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D59B4" w14:textId="77777777" w:rsidR="00A75E40" w:rsidRPr="009110F7" w:rsidRDefault="00BF4329" w:rsidP="00E67696">
      <w:pPr>
        <w:rPr>
          <w:lang w:eastAsia="ar-SA"/>
        </w:rPr>
        <w:sectPr w:rsidR="00A75E40" w:rsidRPr="009110F7" w:rsidSect="0085114D">
          <w:pgSz w:w="11906" w:h="16838" w:code="9"/>
          <w:pgMar w:top="1134" w:right="1134" w:bottom="1418" w:left="1134" w:header="709" w:footer="709" w:gutter="0"/>
          <w:pgNumType w:start="1"/>
          <w:cols w:space="708"/>
          <w:docGrid w:linePitch="360"/>
        </w:sectPr>
      </w:pPr>
      <w:r>
        <w:rPr>
          <w:noProof/>
        </w:rPr>
        <mc:AlternateContent>
          <mc:Choice Requires="wpg">
            <w:drawing>
              <wp:anchor distT="0" distB="0" distL="114300" distR="114300" simplePos="0" relativeHeight="251657728" behindDoc="0" locked="1" layoutInCell="1" allowOverlap="1" wp14:anchorId="153790F7" wp14:editId="0FC115F8">
                <wp:simplePos x="0" y="0"/>
                <wp:positionH relativeFrom="page">
                  <wp:posOffset>571500</wp:posOffset>
                </wp:positionH>
                <wp:positionV relativeFrom="page">
                  <wp:posOffset>466725</wp:posOffset>
                </wp:positionV>
                <wp:extent cx="2249805" cy="554355"/>
                <wp:effectExtent l="0" t="0" r="0" b="0"/>
                <wp:wrapSquare wrapText="bothSides"/>
                <wp:docPr id="31" name="Group 2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49805" cy="554355"/>
                          <a:chOff x="567" y="851"/>
                          <a:chExt cx="2714" cy="667"/>
                        </a:xfrm>
                      </wpg:grpSpPr>
                      <wps:wsp>
                        <wps:cNvPr id="32" name="Rectangle 9"/>
                        <wps:cNvSpPr>
                          <a:spLocks noChangeAspect="1" noChangeArrowheads="1"/>
                        </wps:cNvSpPr>
                        <wps:spPr bwMode="auto">
                          <a:xfrm>
                            <a:off x="1215" y="901"/>
                            <a:ext cx="676" cy="154"/>
                          </a:xfrm>
                          <a:prstGeom prst="rect">
                            <a:avLst/>
                          </a:prstGeom>
                          <a:solidFill>
                            <a:srgbClr val="0071BC"/>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10"/>
                        <wps:cNvSpPr>
                          <a:spLocks noChangeAspect="1" noChangeArrowheads="1"/>
                        </wps:cNvSpPr>
                        <wps:spPr bwMode="auto">
                          <a:xfrm>
                            <a:off x="567" y="1131"/>
                            <a:ext cx="1324" cy="154"/>
                          </a:xfrm>
                          <a:prstGeom prst="rect">
                            <a:avLst/>
                          </a:prstGeom>
                          <a:solidFill>
                            <a:srgbClr val="0071BC"/>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11"/>
                        <wps:cNvSpPr>
                          <a:spLocks noChangeAspect="1" noChangeArrowheads="1"/>
                        </wps:cNvSpPr>
                        <wps:spPr bwMode="auto">
                          <a:xfrm>
                            <a:off x="1288" y="1361"/>
                            <a:ext cx="603" cy="153"/>
                          </a:xfrm>
                          <a:prstGeom prst="rect">
                            <a:avLst/>
                          </a:prstGeom>
                          <a:solidFill>
                            <a:srgbClr val="0071BC"/>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bodyPr rot="0" vert="horz" wrap="square" lIns="91440" tIns="45720" rIns="91440" bIns="45720" anchor="t" anchorCtr="0" upright="1">
                          <a:noAutofit/>
                        </wps:bodyPr>
                      </wps:wsp>
                      <wps:wsp>
                        <wps:cNvPr id="39" name="Freeform 12"/>
                        <wps:cNvSpPr>
                          <a:spLocks noChangeAspect="1" noEditPoints="1"/>
                        </wps:cNvSpPr>
                        <wps:spPr bwMode="auto">
                          <a:xfrm>
                            <a:off x="1969" y="1311"/>
                            <a:ext cx="600" cy="207"/>
                          </a:xfrm>
                          <a:custGeom>
                            <a:avLst/>
                            <a:gdLst>
                              <a:gd name="T0" fmla="*/ 520 w 1200"/>
                              <a:gd name="T1" fmla="*/ 84 h 415"/>
                              <a:gd name="T2" fmla="*/ 537 w 1200"/>
                              <a:gd name="T3" fmla="*/ 88 h 415"/>
                              <a:gd name="T4" fmla="*/ 550 w 1200"/>
                              <a:gd name="T5" fmla="*/ 100 h 415"/>
                              <a:gd name="T6" fmla="*/ 557 w 1200"/>
                              <a:gd name="T7" fmla="*/ 114 h 415"/>
                              <a:gd name="T8" fmla="*/ 559 w 1200"/>
                              <a:gd name="T9" fmla="*/ 131 h 415"/>
                              <a:gd name="T10" fmla="*/ 554 w 1200"/>
                              <a:gd name="T11" fmla="*/ 147 h 415"/>
                              <a:gd name="T12" fmla="*/ 544 w 1200"/>
                              <a:gd name="T13" fmla="*/ 160 h 415"/>
                              <a:gd name="T14" fmla="*/ 530 w 1200"/>
                              <a:gd name="T15" fmla="*/ 168 h 415"/>
                              <a:gd name="T16" fmla="*/ 506 w 1200"/>
                              <a:gd name="T17" fmla="*/ 170 h 415"/>
                              <a:gd name="T18" fmla="*/ 540 w 1200"/>
                              <a:gd name="T19" fmla="*/ 202 h 415"/>
                              <a:gd name="T20" fmla="*/ 567 w 1200"/>
                              <a:gd name="T21" fmla="*/ 190 h 415"/>
                              <a:gd name="T22" fmla="*/ 587 w 1200"/>
                              <a:gd name="T23" fmla="*/ 169 h 415"/>
                              <a:gd name="T24" fmla="*/ 599 w 1200"/>
                              <a:gd name="T25" fmla="*/ 142 h 415"/>
                              <a:gd name="T26" fmla="*/ 599 w 1200"/>
                              <a:gd name="T27" fmla="*/ 111 h 415"/>
                              <a:gd name="T28" fmla="*/ 587 w 1200"/>
                              <a:gd name="T29" fmla="*/ 84 h 415"/>
                              <a:gd name="T30" fmla="*/ 567 w 1200"/>
                              <a:gd name="T31" fmla="*/ 63 h 415"/>
                              <a:gd name="T32" fmla="*/ 540 w 1200"/>
                              <a:gd name="T33" fmla="*/ 51 h 415"/>
                              <a:gd name="T34" fmla="*/ 466 w 1200"/>
                              <a:gd name="T35" fmla="*/ 204 h 415"/>
                              <a:gd name="T36" fmla="*/ 388 w 1200"/>
                              <a:gd name="T37" fmla="*/ 146 h 415"/>
                              <a:gd name="T38" fmla="*/ 393 w 1200"/>
                              <a:gd name="T39" fmla="*/ 50 h 415"/>
                              <a:gd name="T40" fmla="*/ 343 w 1200"/>
                              <a:gd name="T41" fmla="*/ 177 h 415"/>
                              <a:gd name="T42" fmla="*/ 257 w 1200"/>
                              <a:gd name="T43" fmla="*/ 18 h 415"/>
                              <a:gd name="T44" fmla="*/ 174 w 1200"/>
                              <a:gd name="T45" fmla="*/ 18 h 415"/>
                              <a:gd name="T46" fmla="*/ 216 w 1200"/>
                              <a:gd name="T47" fmla="*/ 81 h 415"/>
                              <a:gd name="T48" fmla="*/ 231 w 1200"/>
                              <a:gd name="T49" fmla="*/ 88 h 415"/>
                              <a:gd name="T50" fmla="*/ 235 w 1200"/>
                              <a:gd name="T51" fmla="*/ 104 h 415"/>
                              <a:gd name="T52" fmla="*/ 225 w 1200"/>
                              <a:gd name="T53" fmla="*/ 116 h 415"/>
                              <a:gd name="T54" fmla="*/ 204 w 1200"/>
                              <a:gd name="T55" fmla="*/ 119 h 415"/>
                              <a:gd name="T56" fmla="*/ 258 w 1200"/>
                              <a:gd name="T57" fmla="*/ 135 h 415"/>
                              <a:gd name="T58" fmla="*/ 271 w 1200"/>
                              <a:gd name="T59" fmla="*/ 121 h 415"/>
                              <a:gd name="T60" fmla="*/ 276 w 1200"/>
                              <a:gd name="T61" fmla="*/ 102 h 415"/>
                              <a:gd name="T62" fmla="*/ 275 w 1200"/>
                              <a:gd name="T63" fmla="*/ 83 h 415"/>
                              <a:gd name="T64" fmla="*/ 266 w 1200"/>
                              <a:gd name="T65" fmla="*/ 67 h 415"/>
                              <a:gd name="T66" fmla="*/ 252 w 1200"/>
                              <a:gd name="T67" fmla="*/ 55 h 415"/>
                              <a:gd name="T68" fmla="*/ 232 w 1200"/>
                              <a:gd name="T69" fmla="*/ 50 h 415"/>
                              <a:gd name="T70" fmla="*/ 204 w 1200"/>
                              <a:gd name="T71" fmla="*/ 204 h 415"/>
                              <a:gd name="T72" fmla="*/ 243 w 1200"/>
                              <a:gd name="T73" fmla="*/ 141 h 415"/>
                              <a:gd name="T74" fmla="*/ 67 w 1200"/>
                              <a:gd name="T75" fmla="*/ 42 h 415"/>
                              <a:gd name="T76" fmla="*/ 0 w 1200"/>
                              <a:gd name="T77" fmla="*/ 139 h 415"/>
                              <a:gd name="T78" fmla="*/ 3 w 1200"/>
                              <a:gd name="T79" fmla="*/ 166 h 415"/>
                              <a:gd name="T80" fmla="*/ 12 w 1200"/>
                              <a:gd name="T81" fmla="*/ 184 h 415"/>
                              <a:gd name="T82" fmla="*/ 34 w 1200"/>
                              <a:gd name="T83" fmla="*/ 201 h 415"/>
                              <a:gd name="T84" fmla="*/ 67 w 1200"/>
                              <a:gd name="T85" fmla="*/ 207 h 415"/>
                              <a:gd name="T86" fmla="*/ 96 w 1200"/>
                              <a:gd name="T87" fmla="*/ 202 h 415"/>
                              <a:gd name="T88" fmla="*/ 119 w 1200"/>
                              <a:gd name="T89" fmla="*/ 186 h 415"/>
                              <a:gd name="T90" fmla="*/ 131 w 1200"/>
                              <a:gd name="T91" fmla="*/ 166 h 415"/>
                              <a:gd name="T92" fmla="*/ 134 w 1200"/>
                              <a:gd name="T93" fmla="*/ 139 h 415"/>
                              <a:gd name="T94" fmla="*/ 95 w 1200"/>
                              <a:gd name="T95" fmla="*/ 143 h 415"/>
                              <a:gd name="T96" fmla="*/ 89 w 1200"/>
                              <a:gd name="T97" fmla="*/ 163 h 415"/>
                              <a:gd name="T98" fmla="*/ 78 w 1200"/>
                              <a:gd name="T99" fmla="*/ 170 h 415"/>
                              <a:gd name="T100" fmla="*/ 63 w 1200"/>
                              <a:gd name="T101" fmla="*/ 172 h 415"/>
                              <a:gd name="T102" fmla="*/ 52 w 1200"/>
                              <a:gd name="T103" fmla="*/ 168 h 415"/>
                              <a:gd name="T104" fmla="*/ 42 w 1200"/>
                              <a:gd name="T105" fmla="*/ 156 h 415"/>
                              <a:gd name="T106" fmla="*/ 40 w 1200"/>
                              <a:gd name="T107" fmla="*/ 50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BD1B21"/>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round/>
                                <a:headEnd/>
                                <a:tailEnd/>
                              </a14:hiddenLine>
                            </a:ext>
                          </a:extLst>
                        </wps:spPr>
                        <wps:bodyPr rot="0" vert="horz" wrap="square" lIns="91440" tIns="45720" rIns="91440" bIns="45720" anchor="t" anchorCtr="0" upright="1">
                          <a:noAutofit/>
                        </wps:bodyPr>
                      </wps:wsp>
                      <wps:wsp>
                        <wps:cNvPr id="40" name="Freeform 13"/>
                        <wps:cNvSpPr>
                          <a:spLocks noChangeAspect="1" noEditPoints="1"/>
                        </wps:cNvSpPr>
                        <wps:spPr bwMode="auto">
                          <a:xfrm>
                            <a:off x="1962" y="1081"/>
                            <a:ext cx="1319" cy="208"/>
                          </a:xfrm>
                          <a:custGeom>
                            <a:avLst/>
                            <a:gdLst>
                              <a:gd name="T0" fmla="*/ 1221 w 2637"/>
                              <a:gd name="T1" fmla="*/ 204 h 416"/>
                              <a:gd name="T2" fmla="*/ 1166 w 2637"/>
                              <a:gd name="T3" fmla="*/ 50 h 416"/>
                              <a:gd name="T4" fmla="*/ 1072 w 2637"/>
                              <a:gd name="T5" fmla="*/ 137 h 416"/>
                              <a:gd name="T6" fmla="*/ 1004 w 2637"/>
                              <a:gd name="T7" fmla="*/ 54 h 416"/>
                              <a:gd name="T8" fmla="*/ 943 w 2637"/>
                              <a:gd name="T9" fmla="*/ 51 h 416"/>
                              <a:gd name="T10" fmla="*/ 900 w 2637"/>
                              <a:gd name="T11" fmla="*/ 82 h 416"/>
                              <a:gd name="T12" fmla="*/ 887 w 2637"/>
                              <a:gd name="T13" fmla="*/ 136 h 416"/>
                              <a:gd name="T14" fmla="*/ 907 w 2637"/>
                              <a:gd name="T15" fmla="*/ 181 h 416"/>
                              <a:gd name="T16" fmla="*/ 959 w 2637"/>
                              <a:gd name="T17" fmla="*/ 208 h 416"/>
                              <a:gd name="T18" fmla="*/ 1000 w 2637"/>
                              <a:gd name="T19" fmla="*/ 157 h 416"/>
                              <a:gd name="T20" fmla="*/ 969 w 2637"/>
                              <a:gd name="T21" fmla="*/ 169 h 416"/>
                              <a:gd name="T22" fmla="*/ 945 w 2637"/>
                              <a:gd name="T23" fmla="*/ 161 h 416"/>
                              <a:gd name="T24" fmla="*/ 929 w 2637"/>
                              <a:gd name="T25" fmla="*/ 137 h 416"/>
                              <a:gd name="T26" fmla="*/ 933 w 2637"/>
                              <a:gd name="T27" fmla="*/ 107 h 416"/>
                              <a:gd name="T28" fmla="*/ 953 w 2637"/>
                              <a:gd name="T29" fmla="*/ 89 h 416"/>
                              <a:gd name="T30" fmla="*/ 984 w 2637"/>
                              <a:gd name="T31" fmla="*/ 88 h 416"/>
                              <a:gd name="T32" fmla="*/ 864 w 2637"/>
                              <a:gd name="T33" fmla="*/ 50 h 416"/>
                              <a:gd name="T34" fmla="*/ 802 w 2637"/>
                              <a:gd name="T35" fmla="*/ 50 h 416"/>
                              <a:gd name="T36" fmla="*/ 680 w 2637"/>
                              <a:gd name="T37" fmla="*/ 59 h 416"/>
                              <a:gd name="T38" fmla="*/ 638 w 2637"/>
                              <a:gd name="T39" fmla="*/ 46 h 416"/>
                              <a:gd name="T40" fmla="*/ 602 w 2637"/>
                              <a:gd name="T41" fmla="*/ 54 h 416"/>
                              <a:gd name="T42" fmla="*/ 581 w 2637"/>
                              <a:gd name="T43" fmla="*/ 82 h 416"/>
                              <a:gd name="T44" fmla="*/ 583 w 2637"/>
                              <a:gd name="T45" fmla="*/ 116 h 416"/>
                              <a:gd name="T46" fmla="*/ 610 w 2637"/>
                              <a:gd name="T47" fmla="*/ 138 h 416"/>
                              <a:gd name="T48" fmla="*/ 644 w 2637"/>
                              <a:gd name="T49" fmla="*/ 153 h 416"/>
                              <a:gd name="T50" fmla="*/ 637 w 2637"/>
                              <a:gd name="T51" fmla="*/ 171 h 416"/>
                              <a:gd name="T52" fmla="*/ 608 w 2637"/>
                              <a:gd name="T53" fmla="*/ 170 h 416"/>
                              <a:gd name="T54" fmla="*/ 586 w 2637"/>
                              <a:gd name="T55" fmla="*/ 198 h 416"/>
                              <a:gd name="T56" fmla="*/ 633 w 2637"/>
                              <a:gd name="T57" fmla="*/ 208 h 416"/>
                              <a:gd name="T58" fmla="*/ 671 w 2637"/>
                              <a:gd name="T59" fmla="*/ 193 h 416"/>
                              <a:gd name="T60" fmla="*/ 687 w 2637"/>
                              <a:gd name="T61" fmla="*/ 160 h 416"/>
                              <a:gd name="T62" fmla="*/ 678 w 2637"/>
                              <a:gd name="T63" fmla="*/ 126 h 416"/>
                              <a:gd name="T64" fmla="*/ 638 w 2637"/>
                              <a:gd name="T65" fmla="*/ 107 h 416"/>
                              <a:gd name="T66" fmla="*/ 621 w 2637"/>
                              <a:gd name="T67" fmla="*/ 93 h 416"/>
                              <a:gd name="T68" fmla="*/ 635 w 2637"/>
                              <a:gd name="T69" fmla="*/ 80 h 416"/>
                              <a:gd name="T70" fmla="*/ 665 w 2637"/>
                              <a:gd name="T71" fmla="*/ 90 h 416"/>
                              <a:gd name="T72" fmla="*/ 452 w 2637"/>
                              <a:gd name="T73" fmla="*/ 84 h 416"/>
                              <a:gd name="T74" fmla="*/ 452 w 2637"/>
                              <a:gd name="T75" fmla="*/ 204 h 416"/>
                              <a:gd name="T76" fmla="*/ 343 w 2637"/>
                              <a:gd name="T77" fmla="*/ 204 h 416"/>
                              <a:gd name="T78" fmla="*/ 333 w 2637"/>
                              <a:gd name="T79" fmla="*/ 177 h 416"/>
                              <a:gd name="T80" fmla="*/ 158 w 2637"/>
                              <a:gd name="T81" fmla="*/ 204 h 416"/>
                              <a:gd name="T82" fmla="*/ 84 w 2637"/>
                              <a:gd name="T83" fmla="*/ 49 h 416"/>
                              <a:gd name="T84" fmla="*/ 42 w 2637"/>
                              <a:gd name="T85" fmla="*/ 48 h 416"/>
                              <a:gd name="T86" fmla="*/ 14 w 2637"/>
                              <a:gd name="T87" fmla="*/ 68 h 416"/>
                              <a:gd name="T88" fmla="*/ 6 w 2637"/>
                              <a:gd name="T89" fmla="*/ 103 h 416"/>
                              <a:gd name="T90" fmla="*/ 19 w 2637"/>
                              <a:gd name="T91" fmla="*/ 128 h 416"/>
                              <a:gd name="T92" fmla="*/ 64 w 2637"/>
                              <a:gd name="T93" fmla="*/ 147 h 416"/>
                              <a:gd name="T94" fmla="*/ 71 w 2637"/>
                              <a:gd name="T95" fmla="*/ 165 h 416"/>
                              <a:gd name="T96" fmla="*/ 48 w 2637"/>
                              <a:gd name="T97" fmla="*/ 174 h 416"/>
                              <a:gd name="T98" fmla="*/ 17 w 2637"/>
                              <a:gd name="T99" fmla="*/ 158 h 416"/>
                              <a:gd name="T100" fmla="*/ 40 w 2637"/>
                              <a:gd name="T101" fmla="*/ 207 h 416"/>
                              <a:gd name="T102" fmla="*/ 84 w 2637"/>
                              <a:gd name="T103" fmla="*/ 202 h 416"/>
                              <a:gd name="T104" fmla="*/ 110 w 2637"/>
                              <a:gd name="T105" fmla="*/ 176 h 416"/>
                              <a:gd name="T106" fmla="*/ 110 w 2637"/>
                              <a:gd name="T107" fmla="*/ 135 h 416"/>
                              <a:gd name="T108" fmla="*/ 93 w 2637"/>
                              <a:gd name="T109" fmla="*/ 117 h 416"/>
                              <a:gd name="T110" fmla="*/ 50 w 2637"/>
                              <a:gd name="T111" fmla="*/ 99 h 416"/>
                              <a:gd name="T112" fmla="*/ 53 w 2637"/>
                              <a:gd name="T113" fmla="*/ 84 h 416"/>
                              <a:gd name="T114" fmla="*/ 76 w 2637"/>
                              <a:gd name="T115" fmla="*/ 81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BD1B21"/>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round/>
                                <a:headEnd/>
                                <a:tailEnd/>
                              </a14:hiddenLine>
                            </a:ext>
                          </a:extLst>
                        </wps:spPr>
                        <wps:bodyPr rot="0" vert="horz" wrap="square" lIns="91440" tIns="45720" rIns="91440" bIns="45720" anchor="t" anchorCtr="0" upright="1">
                          <a:noAutofit/>
                        </wps:bodyPr>
                      </wps:wsp>
                      <wps:wsp>
                        <wps:cNvPr id="41" name="Freeform 14"/>
                        <wps:cNvSpPr>
                          <a:spLocks noChangeAspect="1" noEditPoints="1"/>
                        </wps:cNvSpPr>
                        <wps:spPr bwMode="auto">
                          <a:xfrm>
                            <a:off x="1962" y="851"/>
                            <a:ext cx="679" cy="208"/>
                          </a:xfrm>
                          <a:custGeom>
                            <a:avLst/>
                            <a:gdLst>
                              <a:gd name="T0" fmla="*/ 641 w 1358"/>
                              <a:gd name="T1" fmla="*/ 18 h 416"/>
                              <a:gd name="T2" fmla="*/ 679 w 1358"/>
                              <a:gd name="T3" fmla="*/ 50 h 416"/>
                              <a:gd name="T4" fmla="*/ 581 w 1358"/>
                              <a:gd name="T5" fmla="*/ 130 h 416"/>
                              <a:gd name="T6" fmla="*/ 432 w 1358"/>
                              <a:gd name="T7" fmla="*/ 204 h 416"/>
                              <a:gd name="T8" fmla="*/ 530 w 1358"/>
                              <a:gd name="T9" fmla="*/ 50 h 416"/>
                              <a:gd name="T10" fmla="*/ 349 w 1358"/>
                              <a:gd name="T11" fmla="*/ 54 h 416"/>
                              <a:gd name="T12" fmla="*/ 318 w 1358"/>
                              <a:gd name="T13" fmla="*/ 46 h 416"/>
                              <a:gd name="T14" fmla="*/ 290 w 1358"/>
                              <a:gd name="T15" fmla="*/ 50 h 416"/>
                              <a:gd name="T16" fmla="*/ 271 w 1358"/>
                              <a:gd name="T17" fmla="*/ 64 h 416"/>
                              <a:gd name="T18" fmla="*/ 261 w 1358"/>
                              <a:gd name="T19" fmla="*/ 87 h 416"/>
                              <a:gd name="T20" fmla="*/ 261 w 1358"/>
                              <a:gd name="T21" fmla="*/ 112 h 416"/>
                              <a:gd name="T22" fmla="*/ 272 w 1358"/>
                              <a:gd name="T23" fmla="*/ 129 h 416"/>
                              <a:gd name="T24" fmla="*/ 307 w 1358"/>
                              <a:gd name="T25" fmla="*/ 144 h 416"/>
                              <a:gd name="T26" fmla="*/ 324 w 1358"/>
                              <a:gd name="T27" fmla="*/ 153 h 416"/>
                              <a:gd name="T28" fmla="*/ 322 w 1358"/>
                              <a:gd name="T29" fmla="*/ 168 h 416"/>
                              <a:gd name="T30" fmla="*/ 306 w 1358"/>
                              <a:gd name="T31" fmla="*/ 174 h 416"/>
                              <a:gd name="T32" fmla="*/ 284 w 1358"/>
                              <a:gd name="T33" fmla="*/ 168 h 416"/>
                              <a:gd name="T34" fmla="*/ 260 w 1358"/>
                              <a:gd name="T35" fmla="*/ 195 h 416"/>
                              <a:gd name="T36" fmla="*/ 293 w 1358"/>
                              <a:gd name="T37" fmla="*/ 207 h 416"/>
                              <a:gd name="T38" fmla="*/ 326 w 1358"/>
                              <a:gd name="T39" fmla="*/ 206 h 416"/>
                              <a:gd name="T40" fmla="*/ 351 w 1358"/>
                              <a:gd name="T41" fmla="*/ 193 h 416"/>
                              <a:gd name="T42" fmla="*/ 365 w 1358"/>
                              <a:gd name="T43" fmla="*/ 172 h 416"/>
                              <a:gd name="T44" fmla="*/ 365 w 1358"/>
                              <a:gd name="T45" fmla="*/ 138 h 416"/>
                              <a:gd name="T46" fmla="*/ 356 w 1358"/>
                              <a:gd name="T47" fmla="*/ 124 h 416"/>
                              <a:gd name="T48" fmla="*/ 329 w 1358"/>
                              <a:gd name="T49" fmla="*/ 111 h 416"/>
                              <a:gd name="T50" fmla="*/ 304 w 1358"/>
                              <a:gd name="T51" fmla="*/ 99 h 416"/>
                              <a:gd name="T52" fmla="*/ 303 w 1358"/>
                              <a:gd name="T53" fmla="*/ 87 h 416"/>
                              <a:gd name="T54" fmla="*/ 315 w 1358"/>
                              <a:gd name="T55" fmla="*/ 80 h 416"/>
                              <a:gd name="T56" fmla="*/ 332 w 1358"/>
                              <a:gd name="T57" fmla="*/ 82 h 416"/>
                              <a:gd name="T58" fmla="*/ 232 w 1358"/>
                              <a:gd name="T59" fmla="*/ 50 h 416"/>
                              <a:gd name="T60" fmla="*/ 185 w 1358"/>
                              <a:gd name="T61" fmla="*/ 170 h 416"/>
                              <a:gd name="T62" fmla="*/ 185 w 1358"/>
                              <a:gd name="T63" fmla="*/ 84 h 416"/>
                              <a:gd name="T64" fmla="*/ 105 w 1358"/>
                              <a:gd name="T65" fmla="*/ 1 h 416"/>
                              <a:gd name="T66" fmla="*/ 108 w 1358"/>
                              <a:gd name="T67" fmla="*/ 51 h 416"/>
                              <a:gd name="T68" fmla="*/ 65 w 1358"/>
                              <a:gd name="T69" fmla="*/ 48 h 416"/>
                              <a:gd name="T70" fmla="*/ 29 w 1358"/>
                              <a:gd name="T71" fmla="*/ 65 h 416"/>
                              <a:gd name="T72" fmla="*/ 6 w 1358"/>
                              <a:gd name="T73" fmla="*/ 96 h 416"/>
                              <a:gd name="T74" fmla="*/ 0 w 1358"/>
                              <a:gd name="T75" fmla="*/ 136 h 416"/>
                              <a:gd name="T76" fmla="*/ 11 w 1358"/>
                              <a:gd name="T77" fmla="*/ 170 h 416"/>
                              <a:gd name="T78" fmla="*/ 41 w 1358"/>
                              <a:gd name="T79" fmla="*/ 197 h 416"/>
                              <a:gd name="T80" fmla="*/ 82 w 1358"/>
                              <a:gd name="T81" fmla="*/ 208 h 416"/>
                              <a:gd name="T82" fmla="*/ 118 w 1358"/>
                              <a:gd name="T83" fmla="*/ 153 h 416"/>
                              <a:gd name="T84" fmla="*/ 97 w 1358"/>
                              <a:gd name="T85" fmla="*/ 167 h 416"/>
                              <a:gd name="T86" fmla="*/ 76 w 1358"/>
                              <a:gd name="T87" fmla="*/ 168 h 416"/>
                              <a:gd name="T88" fmla="*/ 59 w 1358"/>
                              <a:gd name="T89" fmla="*/ 162 h 416"/>
                              <a:gd name="T90" fmla="*/ 45 w 1358"/>
                              <a:gd name="T91" fmla="*/ 146 h 416"/>
                              <a:gd name="T92" fmla="*/ 42 w 1358"/>
                              <a:gd name="T93" fmla="*/ 124 h 416"/>
                              <a:gd name="T94" fmla="*/ 49 w 1358"/>
                              <a:gd name="T95" fmla="*/ 104 h 416"/>
                              <a:gd name="T96" fmla="*/ 63 w 1358"/>
                              <a:gd name="T97" fmla="*/ 91 h 416"/>
                              <a:gd name="T98" fmla="*/ 83 w 1358"/>
                              <a:gd name="T99" fmla="*/ 86 h 416"/>
                              <a:gd name="T100" fmla="*/ 107 w 1358"/>
                              <a:gd name="T101" fmla="*/ 92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BD1B21"/>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D550F9" id="Group 24" o:spid="_x0000_s1026" style="position:absolute;margin-left:45pt;margin-top:36.75pt;width:177.15pt;height:43.65pt;z-index:251657728;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">
                <o:lock v:ext="edit" aspectratio="t"/>
                <v:rect id="Rectangle 9" o:spid="_x0000_s1027" style="position:absolute;left:1215;top:901;width:676;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" fillcolor="#0071bc" stroked="f">
                  <o:lock v:ext="edit" aspectratio="t"/>
                </v:rect>
                <v:rect id="Rectangle 10" o:spid="_x0000_s1028" style="position:absolute;left:567;top:1131;width:1324;height: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" fillcolor="#0071bc" stroked="f">
                  <o:lock v:ext="edit" aspectratio="t"/>
                </v:rect>
                <v:rect id="Rectangle 11" o:spid="_x0000_s1029" style="position:absolute;left:1288;top:1361;width:603;height: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" fillcolor="#0071bc" stroked="f">
                  <o:lock v:ext="edit" aspectratio="t"/>
                </v:rect>
                <v:shape id="Freeform 12" o:spid="_x0000_s1030" style="position:absolute;left:1969;top:1311;width:600;height:207;visibility:visible;mso-wrap-style:square;v-text-anchor:top" coordsize="1200,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aspectratio="t" verticies="t"/>
                </v:shape>
                <w10:wrap type="square" anchorx="page" anchory="page"/>
                <w10:anchorlock/>
              </v:group>
            </w:pict>
          </mc:Fallback>
        </mc:AlternateContent>
      </w:r>
      <w:r>
        <w:rPr>
          <w:noProof/>
        </w:rPr>
        <mc:AlternateContent>
          <mc:Choice Requires="wps">
            <w:drawing>
              <wp:anchor distT="0" distB="0" distL="114300" distR="114300" simplePos="0" relativeHeight="251656704" behindDoc="0" locked="1" layoutInCell="1" allowOverlap="1" wp14:anchorId="7D749472" wp14:editId="7C6FD2F2">
                <wp:simplePos x="0" y="0"/>
                <wp:positionH relativeFrom="page">
                  <wp:posOffset>1705610</wp:posOffset>
                </wp:positionH>
                <wp:positionV relativeFrom="page">
                  <wp:posOffset>8173085</wp:posOffset>
                </wp:positionV>
                <wp:extent cx="5130165" cy="925195"/>
                <wp:effectExtent l="0" t="0" r="0" b="0"/>
                <wp:wrapNone/>
                <wp:docPr id="2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7E9AC955" w14:textId="77777777" w:rsidR="003474B6" w:rsidRDefault="003474B6" w:rsidP="004924DC">
                            <w:r>
                              <w:t>Z</w:t>
                            </w:r>
                            <w:r w:rsidRPr="006C5577">
                              <w:t xml:space="preserve">pracoval: </w:t>
                            </w:r>
                            <w:r>
                              <w:t>o</w:t>
                            </w:r>
                            <w:r w:rsidRPr="006C5577">
                              <w:t>dbor</w:t>
                            </w:r>
                            <w:r>
                              <w:t xml:space="preserve"> Kancelář předsedy, oddělení svodných analýz</w:t>
                            </w:r>
                          </w:p>
                          <w:p w14:paraId="132AD0FF" w14:textId="77777777" w:rsidR="003474B6" w:rsidRPr="006C5577" w:rsidRDefault="003474B6" w:rsidP="004924DC">
                            <w:r w:rsidRPr="006C5577">
                              <w:t xml:space="preserve">Ředitel odboru: </w:t>
                            </w:r>
                            <w:proofErr w:type="spellStart"/>
                            <w:r>
                              <w:t>Egor</w:t>
                            </w:r>
                            <w:proofErr w:type="spellEnd"/>
                            <w:r>
                              <w:t xml:space="preserve"> </w:t>
                            </w:r>
                            <w:proofErr w:type="spellStart"/>
                            <w:r>
                              <w:t>Sidorov</w:t>
                            </w:r>
                            <w:proofErr w:type="spellEnd"/>
                            <w:r>
                              <w:t>, Ph.D.</w:t>
                            </w:r>
                          </w:p>
                          <w:p w14:paraId="6CA077B6" w14:textId="77777777" w:rsidR="003474B6" w:rsidRPr="006C5577" w:rsidRDefault="003474B6" w:rsidP="004924DC">
                            <w:r w:rsidRPr="006C5577">
                              <w:t xml:space="preserve">Kontaktní osoba: </w:t>
                            </w:r>
                            <w:r>
                              <w:t>Karolína Zábojníková</w:t>
                            </w:r>
                            <w:r w:rsidRPr="006C5577">
                              <w:t>,</w:t>
                            </w:r>
                            <w:r>
                              <w:t xml:space="preserve"> e-mail: karolina.zabojnikova@czso.cz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749472" id="_x0000_t202" coordsize="21600,21600" o:spt="202" path="m,l,21600r21600,l21600,xe">
                <v:stroke joinstyle="miter"/>
                <v:path gradientshapeok="t" o:connecttype="rect"/>
              </v:shapetype>
              <v:shape id="Textové pole 2" o:spid="_x0000_s1026" type="#_x0000_t202" style="position:absolute;left:0;text-align:left;margin-left:134.3pt;margin-top:643.55pt;width:403.95pt;height:72.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" filled="f" stroked="f">
                <v:textbox inset="0,0,0,0">
                  <w:txbxContent>
                    <w:p w14:paraId="7E9AC955" w14:textId="77777777" w:rsidR="003474B6" w:rsidRDefault="003474B6" w:rsidP="004924DC">
                      <w:r>
                        <w:t>Z</w:t>
                      </w:r>
                      <w:r w:rsidRPr="006C5577">
                        <w:t xml:space="preserve">pracoval: </w:t>
                      </w:r>
                      <w:r>
                        <w:t>o</w:t>
                      </w:r>
                      <w:r w:rsidRPr="006C5577">
                        <w:t>dbor</w:t>
                      </w:r>
                      <w:r>
                        <w:t xml:space="preserve"> Kancelář předsedy, oddělení svodných analýz</w:t>
                      </w:r>
                    </w:p>
                    <w:p w14:paraId="132AD0FF" w14:textId="77777777" w:rsidR="003474B6" w:rsidRPr="006C5577" w:rsidRDefault="003474B6" w:rsidP="004924DC">
                      <w:r w:rsidRPr="006C5577">
                        <w:t xml:space="preserve">Ředitel odboru: </w:t>
                      </w:r>
                      <w:proofErr w:type="spellStart"/>
                      <w:r>
                        <w:t>Egor</w:t>
                      </w:r>
                      <w:proofErr w:type="spellEnd"/>
                      <w:r>
                        <w:t xml:space="preserve"> </w:t>
                      </w:r>
                      <w:proofErr w:type="spellStart"/>
                      <w:r>
                        <w:t>Sidorov</w:t>
                      </w:r>
                      <w:proofErr w:type="spellEnd"/>
                      <w:r>
                        <w:t>, Ph.D.</w:t>
                      </w:r>
                    </w:p>
                    <w:p w14:paraId="6CA077B6" w14:textId="77777777" w:rsidR="003474B6" w:rsidRPr="006C5577" w:rsidRDefault="003474B6" w:rsidP="004924DC">
                      <w:r w:rsidRPr="006C5577">
                        <w:t xml:space="preserve">Kontaktní osoba: </w:t>
                      </w:r>
                      <w:r>
                        <w:t>Karolína Zábojníková</w:t>
                      </w:r>
                      <w:r w:rsidRPr="006C5577">
                        <w:t>,</w:t>
                      </w:r>
                      <w:r>
                        <w:t xml:space="preserve"> e-mail: karolina.zabojnikova@czso.cz</w:t>
                      </w:r>
                    </w:p>
                  </w:txbxContent>
                </v:textbox>
                <w10:wrap anchorx="page" anchory="page"/>
                <w10:anchorlock/>
              </v:shape>
            </w:pict>
          </mc:Fallback>
        </mc:AlternateContent>
      </w:r>
      <w:r>
        <w:rPr>
          <w:noProof/>
        </w:rPr>
        <mc:AlternateContent>
          <mc:Choice Requires="wps">
            <w:drawing>
              <wp:anchor distT="0" distB="0" distL="114300" distR="114300" simplePos="0" relativeHeight="251655680" behindDoc="0" locked="1" layoutInCell="1" allowOverlap="1" wp14:anchorId="68FC7FBA" wp14:editId="39BCFF7A">
                <wp:simplePos x="0" y="0"/>
                <wp:positionH relativeFrom="page">
                  <wp:posOffset>1710055</wp:posOffset>
                </wp:positionH>
                <wp:positionV relativeFrom="page">
                  <wp:posOffset>4680585</wp:posOffset>
                </wp:positionV>
                <wp:extent cx="5129530" cy="1686560"/>
                <wp:effectExtent l="0" t="0" r="0" b="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7DD19A4A" w14:textId="77777777" w:rsidR="003474B6" w:rsidRPr="004924DC" w:rsidRDefault="003474B6" w:rsidP="004924DC">
                            <w:pPr>
                              <w:pStyle w:val="TLIdentifikace-sted"/>
                            </w:pPr>
                            <w:r>
                              <w:t>souhrnná data o České republice</w:t>
                            </w:r>
                          </w:p>
                          <w:p w14:paraId="6D18FF6B" w14:textId="5FD4099D" w:rsidR="003474B6" w:rsidRPr="004924DC" w:rsidRDefault="003474B6" w:rsidP="004924DC">
                            <w:pPr>
                              <w:pStyle w:val="TLIdentifikace-sted"/>
                            </w:pPr>
                            <w:r>
                              <w:t>Praha, 15. 4. 2020</w:t>
                            </w:r>
                          </w:p>
                          <w:p w14:paraId="730B937E" w14:textId="77777777" w:rsidR="003474B6" w:rsidRPr="004924DC" w:rsidRDefault="003474B6" w:rsidP="004924DC">
                            <w:pPr>
                              <w:pStyle w:val="TLIdentifikace-sted"/>
                            </w:pPr>
                            <w:r w:rsidRPr="004924DC">
                              <w:t xml:space="preserve">Kód publikace: </w:t>
                            </w:r>
                            <w:r>
                              <w:t>320193-19</w:t>
                            </w:r>
                          </w:p>
                          <w:p w14:paraId="1E265112" w14:textId="19768F7F" w:rsidR="003474B6" w:rsidRPr="004924DC" w:rsidRDefault="003474B6" w:rsidP="004924DC">
                            <w:pPr>
                              <w:pStyle w:val="TLIdentifikace-sted"/>
                            </w:pPr>
                            <w:r w:rsidRPr="00795759">
                              <w:t xml:space="preserve">Č. j.: </w:t>
                            </w:r>
                            <w:r w:rsidRPr="00795759">
                              <w:rPr>
                                <w:color w:val="000000"/>
                              </w:rPr>
                              <w:t>CSU-005036/2020-11</w:t>
                            </w:r>
                          </w:p>
                          <w:p w14:paraId="3F00E29A" w14:textId="630CBCA3" w:rsidR="003474B6" w:rsidRPr="004924DC" w:rsidRDefault="003474B6" w:rsidP="004924DC">
                            <w:pPr>
                              <w:pStyle w:val="TLIdentifikace-sted"/>
                            </w:pPr>
                            <w:r w:rsidRPr="004924DC">
                              <w:t>Pořadové číslo v</w:t>
                            </w:r>
                            <w:r>
                              <w:t> </w:t>
                            </w:r>
                            <w:r w:rsidRPr="004924DC">
                              <w:t xml:space="preserve">roce: </w:t>
                            </w:r>
                            <w:r>
                              <w:t>4</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8FC7FBA" id="_x0000_s1027" type="#_x0000_t202" style="position:absolute;left:0;text-align:left;margin-left:134.65pt;margin-top:368.55pt;width:403.9pt;height:132.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" filled="f" stroked="f">
                <v:textbox style="mso-fit-shape-to-text:t" inset="0,0,0,0">
                  <w:txbxContent>
                    <w:p w14:paraId="7DD19A4A" w14:textId="77777777" w:rsidR="003474B6" w:rsidRPr="004924DC" w:rsidRDefault="003474B6" w:rsidP="004924DC">
                      <w:pPr>
                        <w:pStyle w:val="TLIdentifikace-sted"/>
                      </w:pPr>
                      <w:r>
                        <w:t>souhrnná data o České republice</w:t>
                      </w:r>
                    </w:p>
                    <w:p w14:paraId="6D18FF6B" w14:textId="5FD4099D" w:rsidR="003474B6" w:rsidRPr="004924DC" w:rsidRDefault="003474B6" w:rsidP="004924DC">
                      <w:pPr>
                        <w:pStyle w:val="TLIdentifikace-sted"/>
                      </w:pPr>
                      <w:r>
                        <w:t>Praha, 15. 4. 2020</w:t>
                      </w:r>
                    </w:p>
                    <w:p w14:paraId="730B937E" w14:textId="77777777" w:rsidR="003474B6" w:rsidRPr="004924DC" w:rsidRDefault="003474B6" w:rsidP="004924DC">
                      <w:pPr>
                        <w:pStyle w:val="TLIdentifikace-sted"/>
                      </w:pPr>
                      <w:r w:rsidRPr="004924DC">
                        <w:t xml:space="preserve">Kód publikace: </w:t>
                      </w:r>
                      <w:r>
                        <w:t>320193-19</w:t>
                      </w:r>
                    </w:p>
                    <w:p w14:paraId="1E265112" w14:textId="19768F7F" w:rsidR="003474B6" w:rsidRPr="004924DC" w:rsidRDefault="003474B6" w:rsidP="004924DC">
                      <w:pPr>
                        <w:pStyle w:val="TLIdentifikace-sted"/>
                      </w:pPr>
                      <w:r w:rsidRPr="00795759">
                        <w:t xml:space="preserve">Č. j.: </w:t>
                      </w:r>
                      <w:r w:rsidRPr="00795759">
                        <w:rPr>
                          <w:color w:val="000000"/>
                        </w:rPr>
                        <w:t>CSU-005036/2020-11</w:t>
                      </w:r>
                    </w:p>
                    <w:p w14:paraId="3F00E29A" w14:textId="630CBCA3" w:rsidR="003474B6" w:rsidRPr="004924DC" w:rsidRDefault="003474B6" w:rsidP="004924DC">
                      <w:pPr>
                        <w:pStyle w:val="TLIdentifikace-sted"/>
                      </w:pPr>
                      <w:r w:rsidRPr="004924DC">
                        <w:t>Pořadové číslo v</w:t>
                      </w:r>
                      <w:r>
                        <w:t> </w:t>
                      </w:r>
                      <w:r w:rsidRPr="004924DC">
                        <w:t xml:space="preserve">roce: </w:t>
                      </w:r>
                      <w:r>
                        <w:t>4</w:t>
                      </w:r>
                    </w:p>
                  </w:txbxContent>
                </v:textbox>
                <w10:wrap anchorx="page" anchory="page"/>
                <w10:anchorlock/>
              </v:shape>
            </w:pict>
          </mc:Fallback>
        </mc:AlternateContent>
      </w:r>
      <w:r>
        <w:rPr>
          <w:noProof/>
        </w:rPr>
        <mc:AlternateContent>
          <mc:Choice Requires="wps">
            <w:drawing>
              <wp:anchor distT="0" distB="0" distL="114300" distR="114300" simplePos="0" relativeHeight="251654656" behindDoc="0" locked="1" layoutInCell="1" allowOverlap="1" wp14:anchorId="22A1BD4B" wp14:editId="31E7B526">
                <wp:simplePos x="0" y="0"/>
                <wp:positionH relativeFrom="page">
                  <wp:posOffset>1710055</wp:posOffset>
                </wp:positionH>
                <wp:positionV relativeFrom="page">
                  <wp:posOffset>1476375</wp:posOffset>
                </wp:positionV>
                <wp:extent cx="5129530" cy="1471930"/>
                <wp:effectExtent l="0" t="0" r="0" b="0"/>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471930"/>
                        </a:xfrm>
                        <a:prstGeom prst="rect">
                          <a:avLst/>
                        </a:prstGeom>
                        <a:noFill/>
                        <a:ln>
                          <a:noFill/>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6763847" w14:textId="77777777" w:rsidR="003474B6" w:rsidRPr="000E6FBD" w:rsidRDefault="003474B6" w:rsidP="000E6FBD">
                            <w:pPr>
                              <w:pStyle w:val="Nzev"/>
                            </w:pPr>
                            <w:r>
                              <w:t>Vývoj ekonomiky české republiky</w:t>
                            </w:r>
                          </w:p>
                          <w:p w14:paraId="0059A4DC" w14:textId="77777777" w:rsidR="003474B6" w:rsidRPr="0012192F" w:rsidRDefault="003474B6" w:rsidP="0012192F">
                            <w:pPr>
                              <w:pStyle w:val="Podnadpis"/>
                            </w:pPr>
                          </w:p>
                          <w:p w14:paraId="0A162DB8" w14:textId="31BB58E8" w:rsidR="003474B6" w:rsidRPr="0012192F" w:rsidRDefault="003474B6" w:rsidP="000F090B">
                            <w:pPr>
                              <w:pStyle w:val="Podnadpis"/>
                            </w:pPr>
                            <w:r>
                              <w:t>rok 2019</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2A1BD4B" id="_x0000_s1028" type="#_x0000_t202" style="position:absolute;left:0;text-align:left;margin-left:134.65pt;margin-top:116.25pt;width:403.9pt;height:115.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" filled="f" stroked="f">
                <v:textbox style="mso-fit-shape-to-text:t" inset="0,0,0,0">
                  <w:txbxContent>
                    <w:p w14:paraId="06763847" w14:textId="77777777" w:rsidR="003474B6" w:rsidRPr="000E6FBD" w:rsidRDefault="003474B6" w:rsidP="000E6FBD">
                      <w:pPr>
                        <w:pStyle w:val="Nzev"/>
                      </w:pPr>
                      <w:r>
                        <w:t>Vývoj ekonomiky české republiky</w:t>
                      </w:r>
                    </w:p>
                    <w:p w14:paraId="0059A4DC" w14:textId="77777777" w:rsidR="003474B6" w:rsidRPr="0012192F" w:rsidRDefault="003474B6" w:rsidP="0012192F">
                      <w:pPr>
                        <w:pStyle w:val="Podnadpis"/>
                      </w:pPr>
                    </w:p>
                    <w:p w14:paraId="0A162DB8" w14:textId="31BB58E8" w:rsidR="003474B6" w:rsidRPr="0012192F" w:rsidRDefault="003474B6" w:rsidP="000F090B">
                      <w:pPr>
                        <w:pStyle w:val="Podnadpis"/>
                      </w:pPr>
                      <w:r>
                        <w:t>rok 2019</w:t>
                      </w:r>
                    </w:p>
                  </w:txbxContent>
                </v:textbox>
                <w10:wrap anchorx="page" anchory="page"/>
                <w10:anchorlock/>
              </v:shape>
            </w:pict>
          </mc:Fallback>
        </mc:AlternateContent>
      </w:r>
      <w:r>
        <w:rPr>
          <w:noProof/>
        </w:rPr>
        <mc:AlternateContent>
          <mc:Choice Requires="wps">
            <w:drawing>
              <wp:anchor distT="0" distB="0" distL="114300" distR="114300" simplePos="0" relativeHeight="251658752" behindDoc="0" locked="1" layoutInCell="1" allowOverlap="1" wp14:anchorId="211D308C" wp14:editId="77DC381B">
                <wp:simplePos x="0" y="0"/>
                <wp:positionH relativeFrom="page">
                  <wp:posOffset>1710055</wp:posOffset>
                </wp:positionH>
                <wp:positionV relativeFrom="page">
                  <wp:posOffset>9649460</wp:posOffset>
                </wp:positionV>
                <wp:extent cx="5130165" cy="179705"/>
                <wp:effectExtent l="0" t="0" r="0" b="0"/>
                <wp:wrapNone/>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504B1224" w14:textId="7F5B7397" w:rsidR="003474B6" w:rsidRPr="004924DC" w:rsidRDefault="003474B6" w:rsidP="004924DC">
                            <w:r w:rsidRPr="004924DC">
                              <w:t xml:space="preserve">© Český statistický úřad, </w:t>
                            </w:r>
                            <w:r>
                              <w:t>Praha</w:t>
                            </w:r>
                            <w:r w:rsidRPr="004924DC">
                              <w:t xml:space="preserve">, </w:t>
                            </w:r>
                            <w:r>
                              <w:t>2020</w:t>
                            </w:r>
                          </w:p>
                          <w:p w14:paraId="6B03C3EF" w14:textId="77777777" w:rsidR="003474B6" w:rsidRPr="005251DD" w:rsidRDefault="003474B6" w:rsidP="00665BA4"/>
                          <w:p w14:paraId="0A8089AF" w14:textId="77777777" w:rsidR="003474B6" w:rsidRPr="005251DD" w:rsidRDefault="003474B6" w:rsidP="00FC684B"/>
                          <w:p w14:paraId="002EBABF" w14:textId="77777777" w:rsidR="003474B6" w:rsidRDefault="003474B6"/>
                          <w:p w14:paraId="1BBEDF65" w14:textId="77777777" w:rsidR="003474B6" w:rsidRPr="00097407" w:rsidRDefault="003474B6"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048CED67" w14:textId="77777777" w:rsidR="003474B6" w:rsidRPr="005251DD" w:rsidRDefault="003474B6" w:rsidP="00665BA4"/>
                          <w:p w14:paraId="2D7C43C3" w14:textId="77777777" w:rsidR="003474B6" w:rsidRPr="005251DD" w:rsidRDefault="003474B6"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1D308C" id="_x0000_s1029" type="#_x0000_t202" style="position:absolute;left:0;text-align:left;margin-left:134.65pt;margin-top:759.8pt;width:403.9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" filled="f" stroked="f">
                <v:textbox inset="0,0,0,0">
                  <w:txbxContent>
                    <w:p w14:paraId="504B1224" w14:textId="7F5B7397" w:rsidR="003474B6" w:rsidRPr="004924DC" w:rsidRDefault="003474B6" w:rsidP="004924DC">
                      <w:r w:rsidRPr="004924DC">
                        <w:t xml:space="preserve">© Český statistický úřad, </w:t>
                      </w:r>
                      <w:r>
                        <w:t>Praha</w:t>
                      </w:r>
                      <w:r w:rsidRPr="004924DC">
                        <w:t xml:space="preserve">, </w:t>
                      </w:r>
                      <w:r>
                        <w:t>2020</w:t>
                      </w:r>
                    </w:p>
                    <w:p w14:paraId="6B03C3EF" w14:textId="77777777" w:rsidR="003474B6" w:rsidRPr="005251DD" w:rsidRDefault="003474B6" w:rsidP="00665BA4"/>
                    <w:p w14:paraId="0A8089AF" w14:textId="77777777" w:rsidR="003474B6" w:rsidRPr="005251DD" w:rsidRDefault="003474B6" w:rsidP="00FC684B"/>
                    <w:p w14:paraId="002EBABF" w14:textId="77777777" w:rsidR="003474B6" w:rsidRDefault="003474B6"/>
                    <w:p w14:paraId="1BBEDF65" w14:textId="77777777" w:rsidR="003474B6" w:rsidRPr="00097407" w:rsidRDefault="003474B6"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048CED67" w14:textId="77777777" w:rsidR="003474B6" w:rsidRPr="005251DD" w:rsidRDefault="003474B6" w:rsidP="00665BA4"/>
                    <w:p w14:paraId="2D7C43C3" w14:textId="77777777" w:rsidR="003474B6" w:rsidRPr="005251DD" w:rsidRDefault="003474B6" w:rsidP="00FC684B"/>
                  </w:txbxContent>
                </v:textbox>
                <w10:wrap anchorx="page" anchory="page"/>
                <w10:anchorlock/>
              </v:shape>
            </w:pict>
          </mc:Fallback>
        </mc:AlternateContent>
      </w:r>
      <w:r>
        <w:rPr>
          <w:noProof/>
        </w:rPr>
        <mc:AlternateContent>
          <mc:Choice Requires="wps">
            <w:drawing>
              <wp:anchor distT="4294967293" distB="4294967293" distL="114300" distR="114300" simplePos="0" relativeHeight="251653632" behindDoc="0" locked="1" layoutInCell="0" allowOverlap="1" wp14:anchorId="56616E6D" wp14:editId="72D626EF">
                <wp:simplePos x="0" y="0"/>
                <wp:positionH relativeFrom="page">
                  <wp:posOffset>1710055</wp:posOffset>
                </wp:positionH>
                <wp:positionV relativeFrom="page">
                  <wp:posOffset>9361169</wp:posOffset>
                </wp:positionV>
                <wp:extent cx="5130165" cy="0"/>
                <wp:effectExtent l="0" t="0" r="13335" b="0"/>
                <wp:wrapNone/>
                <wp:docPr id="17"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CF06386" id="Přímá spojnice 33" o:spid="_x0000_s1026" style="position:absolute;z-index:251653632;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BwZiEp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mc:Fallback>
        </mc:AlternateContent>
      </w:r>
      <w:r w:rsidR="00F63FB7" w:rsidRPr="009110F7">
        <w:br w:type="page"/>
      </w:r>
      <w:r w:rsidR="00D57677" w:rsidRPr="009110F7">
        <w:lastRenderedPageBreak/>
        <w:br w:type="page"/>
      </w:r>
      <w:r>
        <w:rPr>
          <w:noProof/>
        </w:rPr>
        <mc:AlternateContent>
          <mc:Choice Requires="wps">
            <w:drawing>
              <wp:anchor distT="0" distB="0" distL="114300" distR="114300" simplePos="0" relativeHeight="251659776" behindDoc="0" locked="1" layoutInCell="1" allowOverlap="1" wp14:anchorId="1CA088C6" wp14:editId="054DEB49">
                <wp:simplePos x="0" y="0"/>
                <wp:positionH relativeFrom="page">
                  <wp:posOffset>723900</wp:posOffset>
                </wp:positionH>
                <wp:positionV relativeFrom="page">
                  <wp:posOffset>1440180</wp:posOffset>
                </wp:positionV>
                <wp:extent cx="6119495" cy="7673340"/>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673340"/>
                        </a:xfrm>
                        <a:prstGeom prst="rect">
                          <a:avLst/>
                        </a:prstGeom>
                        <a:noFill/>
                        <a:ln>
                          <a:noFill/>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28541332" w14:textId="77777777" w:rsidR="003474B6" w:rsidRPr="006F5416" w:rsidRDefault="003474B6" w:rsidP="006F5416">
                            <w:pPr>
                              <w:pStyle w:val="TLKontaktyerven"/>
                            </w:pPr>
                            <w:r w:rsidRPr="006F5416">
                              <w:t>KONTAKTY V ÚSTŘEDÍ</w:t>
                            </w:r>
                          </w:p>
                          <w:p w14:paraId="3C71345D" w14:textId="77777777" w:rsidR="003474B6" w:rsidRPr="007D40DF" w:rsidRDefault="003474B6"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14:paraId="5DF2AD66" w14:textId="77777777" w:rsidR="003474B6" w:rsidRPr="00D235B7" w:rsidRDefault="003474B6"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14:paraId="41F3052F" w14:textId="77777777" w:rsidR="003474B6" w:rsidRPr="00D235B7" w:rsidRDefault="003474B6"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w:t>
                            </w:r>
                            <w:r w:rsidRPr="00D235B7">
                              <w:rPr>
                                <w:b w:val="0"/>
                                <w:color w:val="auto"/>
                              </w:rPr>
                              <w:t>052 361 | e-mail: prodejna@czso.cz</w:t>
                            </w:r>
                          </w:p>
                          <w:p w14:paraId="231AC1D4" w14:textId="77777777" w:rsidR="003474B6" w:rsidRPr="00D235B7" w:rsidRDefault="003474B6"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347 | e-mail: esds@czso.cz</w:t>
                            </w:r>
                          </w:p>
                          <w:p w14:paraId="548AAF1E" w14:textId="77777777" w:rsidR="003474B6" w:rsidRPr="00D235B7" w:rsidRDefault="003474B6"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w:t>
                            </w:r>
                            <w:r w:rsidRPr="00D235B7">
                              <w:rPr>
                                <w:b w:val="0"/>
                                <w:color w:val="auto"/>
                              </w:rPr>
                              <w:t>052 361 | e-mail: knihovna@czso.cz</w:t>
                            </w:r>
                          </w:p>
                          <w:p w14:paraId="676CE837" w14:textId="77777777" w:rsidR="003474B6" w:rsidRPr="004A61C5" w:rsidRDefault="003474B6" w:rsidP="00825C4D">
                            <w:pPr>
                              <w:pStyle w:val="TLKontakty"/>
                              <w:spacing w:after="80" w:line="240" w:lineRule="auto"/>
                              <w:contextualSpacing w:val="0"/>
                              <w:rPr>
                                <w:color w:val="auto"/>
                              </w:rPr>
                            </w:pPr>
                          </w:p>
                          <w:p w14:paraId="58156969" w14:textId="77777777" w:rsidR="003474B6" w:rsidRPr="00D66223" w:rsidRDefault="003474B6" w:rsidP="00D66223">
                            <w:pPr>
                              <w:pStyle w:val="TLKontaktyerven"/>
                            </w:pPr>
                            <w:r w:rsidRPr="00D66223">
                              <w:t>INFORMAČNÍ SLUŽBY V REGIONECH</w:t>
                            </w:r>
                          </w:p>
                          <w:p w14:paraId="4879BC68" w14:textId="77777777" w:rsidR="003474B6" w:rsidRPr="00992CF3" w:rsidRDefault="003474B6"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14:paraId="013DC4C4" w14:textId="77777777" w:rsidR="003474B6" w:rsidRPr="00992CF3" w:rsidRDefault="003474B6"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39B244A8" w14:textId="77777777" w:rsidR="003474B6" w:rsidRPr="004A61C5" w:rsidRDefault="003474B6" w:rsidP="00825C4D">
                            <w:pPr>
                              <w:pStyle w:val="TLKontakty"/>
                              <w:spacing w:after="80" w:line="240" w:lineRule="auto"/>
                              <w:rPr>
                                <w:color w:val="auto"/>
                              </w:rPr>
                            </w:pPr>
                          </w:p>
                          <w:p w14:paraId="0700B661" w14:textId="77777777" w:rsidR="003474B6" w:rsidRPr="00992CF3" w:rsidRDefault="003474B6" w:rsidP="00825C4D">
                            <w:pPr>
                              <w:pStyle w:val="TLKontakty"/>
                              <w:spacing w:after="80" w:line="240" w:lineRule="auto"/>
                              <w:rPr>
                                <w:b w:val="0"/>
                                <w:color w:val="auto"/>
                              </w:rPr>
                            </w:pPr>
                            <w:r w:rsidRPr="00D66223">
                              <w:t>Středočeský kraj</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10, tel.</w:t>
                            </w:r>
                            <w:r>
                              <w:rPr>
                                <w:b w:val="0"/>
                                <w:color w:val="auto"/>
                              </w:rPr>
                              <w:t xml:space="preserve">: </w:t>
                            </w:r>
                            <w:r w:rsidRPr="00992CF3">
                              <w:rPr>
                                <w:b w:val="0"/>
                                <w:color w:val="auto"/>
                              </w:rPr>
                              <w:t>274</w:t>
                            </w:r>
                            <w:r>
                              <w:rPr>
                                <w:b w:val="0"/>
                                <w:color w:val="auto"/>
                              </w:rPr>
                              <w:t> </w:t>
                            </w:r>
                            <w:r w:rsidRPr="00992CF3">
                              <w:rPr>
                                <w:b w:val="0"/>
                                <w:color w:val="auto"/>
                              </w:rPr>
                              <w:t>054 175</w:t>
                            </w:r>
                          </w:p>
                          <w:p w14:paraId="416161E8" w14:textId="77777777" w:rsidR="003474B6" w:rsidRPr="00992CF3" w:rsidRDefault="003474B6"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4FF5E3BD" w14:textId="77777777" w:rsidR="003474B6" w:rsidRPr="004A61C5" w:rsidRDefault="003474B6" w:rsidP="00825C4D">
                            <w:pPr>
                              <w:pStyle w:val="TLKontakty"/>
                              <w:spacing w:after="80" w:line="240" w:lineRule="auto"/>
                              <w:rPr>
                                <w:color w:val="auto"/>
                              </w:rPr>
                            </w:pPr>
                          </w:p>
                          <w:p w14:paraId="272E9710" w14:textId="77777777" w:rsidR="003474B6" w:rsidRPr="00992CF3" w:rsidRDefault="003474B6"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w:t>
                            </w:r>
                            <w:r>
                              <w:rPr>
                                <w:b w:val="0"/>
                                <w:color w:val="auto"/>
                              </w:rPr>
                              <w:t> </w:t>
                            </w:r>
                            <w:r w:rsidRPr="00992CF3">
                              <w:rPr>
                                <w:b w:val="0"/>
                                <w:color w:val="auto"/>
                              </w:rPr>
                              <w:t>718 440</w:t>
                            </w:r>
                          </w:p>
                          <w:p w14:paraId="41660CA4" w14:textId="77777777" w:rsidR="003474B6" w:rsidRPr="00992CF3" w:rsidRDefault="003474B6"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02FFC287" w14:textId="77777777" w:rsidR="003474B6" w:rsidRPr="004A61C5" w:rsidRDefault="003474B6" w:rsidP="00825C4D">
                            <w:pPr>
                              <w:pStyle w:val="TLKontakty"/>
                              <w:spacing w:after="80" w:line="240" w:lineRule="auto"/>
                              <w:rPr>
                                <w:color w:val="auto"/>
                              </w:rPr>
                            </w:pPr>
                          </w:p>
                          <w:p w14:paraId="28D66B71" w14:textId="77777777" w:rsidR="003474B6" w:rsidRPr="00BC731E" w:rsidRDefault="003474B6"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xml:space="preserve">, </w:t>
                            </w:r>
                            <w:r w:rsidRPr="004A61C5">
                              <w:rPr>
                                <w:b w:val="0"/>
                                <w:color w:val="auto"/>
                              </w:rPr>
                              <w:t>tel.</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14:paraId="44E4A2F2" w14:textId="77777777" w:rsidR="003474B6" w:rsidRPr="004A61C5" w:rsidRDefault="003474B6"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124C070B" w14:textId="77777777" w:rsidR="003474B6" w:rsidRPr="004A61C5" w:rsidRDefault="003474B6" w:rsidP="00825C4D">
                            <w:pPr>
                              <w:pStyle w:val="TLKontakty"/>
                              <w:spacing w:after="80" w:line="240" w:lineRule="auto"/>
                              <w:rPr>
                                <w:color w:val="auto"/>
                              </w:rPr>
                            </w:pPr>
                          </w:p>
                          <w:p w14:paraId="09B6DE68" w14:textId="77777777" w:rsidR="003474B6" w:rsidRPr="004A61C5" w:rsidRDefault="003474B6"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tel.</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14:paraId="477EF21B" w14:textId="77777777" w:rsidR="003474B6" w:rsidRPr="004A61C5" w:rsidRDefault="003474B6"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6C1AC3BB" w14:textId="77777777" w:rsidR="003474B6" w:rsidRPr="004A61C5" w:rsidRDefault="003474B6" w:rsidP="00825C4D">
                            <w:pPr>
                              <w:pStyle w:val="TLKontakty"/>
                              <w:spacing w:after="80" w:line="240" w:lineRule="auto"/>
                              <w:rPr>
                                <w:color w:val="auto"/>
                              </w:rPr>
                            </w:pPr>
                          </w:p>
                          <w:p w14:paraId="59D3D98A" w14:textId="77777777" w:rsidR="003474B6" w:rsidRPr="004A61C5" w:rsidRDefault="003474B6"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xml:space="preserve">, </w:t>
                            </w:r>
                            <w:r w:rsidRPr="004A61C5">
                              <w:rPr>
                                <w:b w:val="0"/>
                                <w:color w:val="auto"/>
                              </w:rPr>
                              <w:t>tel.</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14:paraId="2F4D5FAC" w14:textId="77777777" w:rsidR="003474B6" w:rsidRPr="004A61C5" w:rsidRDefault="003474B6"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465C0979" w14:textId="77777777" w:rsidR="003474B6" w:rsidRPr="004A61C5" w:rsidRDefault="003474B6" w:rsidP="00825C4D">
                            <w:pPr>
                              <w:pStyle w:val="TLKontakty"/>
                              <w:spacing w:after="80" w:line="240" w:lineRule="auto"/>
                              <w:rPr>
                                <w:color w:val="auto"/>
                              </w:rPr>
                            </w:pPr>
                          </w:p>
                          <w:p w14:paraId="53E44571" w14:textId="77777777" w:rsidR="003474B6" w:rsidRPr="004A61C5" w:rsidRDefault="003474B6"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1, tel.</w:t>
                            </w:r>
                            <w:r>
                              <w:rPr>
                                <w:b w:val="0"/>
                                <w:color w:val="auto"/>
                              </w:rPr>
                              <w:t xml:space="preserve">: </w:t>
                            </w:r>
                            <w:r w:rsidRPr="004A61C5">
                              <w:rPr>
                                <w:b w:val="0"/>
                                <w:color w:val="auto"/>
                              </w:rPr>
                              <w:t>485</w:t>
                            </w:r>
                            <w:r>
                              <w:rPr>
                                <w:b w:val="0"/>
                                <w:color w:val="auto"/>
                              </w:rPr>
                              <w:t> </w:t>
                            </w:r>
                            <w:r w:rsidRPr="004A61C5">
                              <w:rPr>
                                <w:b w:val="0"/>
                                <w:color w:val="auto"/>
                              </w:rPr>
                              <w:t>238 811</w:t>
                            </w:r>
                          </w:p>
                          <w:p w14:paraId="7748DBC3" w14:textId="77777777" w:rsidR="003474B6" w:rsidRPr="004A61C5" w:rsidRDefault="003474B6"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4123AE44" w14:textId="77777777" w:rsidR="003474B6" w:rsidRPr="004A61C5" w:rsidRDefault="003474B6" w:rsidP="00825C4D">
                            <w:pPr>
                              <w:pStyle w:val="TLKontakty"/>
                              <w:spacing w:after="80" w:line="240" w:lineRule="auto"/>
                              <w:rPr>
                                <w:b w:val="0"/>
                                <w:color w:val="auto"/>
                              </w:rPr>
                            </w:pPr>
                          </w:p>
                          <w:p w14:paraId="10E14C3C" w14:textId="77777777" w:rsidR="003474B6" w:rsidRPr="004A61C5" w:rsidRDefault="003474B6"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tel.</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14:paraId="2E3651FF" w14:textId="77777777" w:rsidR="003474B6" w:rsidRPr="004A61C5" w:rsidRDefault="003474B6"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74F45FF3" w14:textId="77777777" w:rsidR="003474B6" w:rsidRPr="004A61C5" w:rsidRDefault="003474B6" w:rsidP="00825C4D">
                            <w:pPr>
                              <w:pStyle w:val="TLKontakty"/>
                              <w:spacing w:after="80" w:line="240" w:lineRule="auto"/>
                              <w:rPr>
                                <w:color w:val="auto"/>
                              </w:rPr>
                            </w:pPr>
                          </w:p>
                          <w:p w14:paraId="5E11F5F2" w14:textId="77777777" w:rsidR="003474B6" w:rsidRPr="004A61C5" w:rsidRDefault="003474B6"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xml:space="preserve">, </w:t>
                            </w:r>
                            <w:r w:rsidRPr="004A61C5">
                              <w:rPr>
                                <w:b w:val="0"/>
                                <w:color w:val="auto"/>
                              </w:rPr>
                              <w:t>tel.</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14:paraId="72152ABD" w14:textId="77777777" w:rsidR="003474B6" w:rsidRPr="004A61C5" w:rsidRDefault="003474B6"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31158F18" w14:textId="77777777" w:rsidR="003474B6" w:rsidRPr="004A61C5" w:rsidRDefault="003474B6" w:rsidP="00825C4D">
                            <w:pPr>
                              <w:pStyle w:val="TLKontakty"/>
                              <w:spacing w:after="80" w:line="240" w:lineRule="auto"/>
                              <w:rPr>
                                <w:b w:val="0"/>
                                <w:color w:val="auto"/>
                              </w:rPr>
                            </w:pPr>
                          </w:p>
                          <w:p w14:paraId="231F5E11" w14:textId="77777777" w:rsidR="003474B6" w:rsidRPr="004A61C5" w:rsidRDefault="003474B6"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tel.: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14:paraId="05687D8F" w14:textId="77777777" w:rsidR="003474B6" w:rsidRPr="004A61C5" w:rsidRDefault="003474B6"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14A58016" w14:textId="77777777" w:rsidR="003474B6" w:rsidRDefault="003474B6" w:rsidP="00825C4D">
                            <w:pPr>
                              <w:pStyle w:val="TLKontakty"/>
                              <w:spacing w:after="80" w:line="240" w:lineRule="auto"/>
                            </w:pPr>
                          </w:p>
                          <w:p w14:paraId="2C2F9B1E" w14:textId="455F4613" w:rsidR="003474B6" w:rsidRPr="00BC731E" w:rsidRDefault="003474B6"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tel.: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14:paraId="395EA08C" w14:textId="77777777" w:rsidR="003474B6" w:rsidRPr="004A61C5" w:rsidRDefault="003474B6"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E41DBBE" w14:textId="77777777" w:rsidR="003474B6" w:rsidRPr="004A61C5" w:rsidRDefault="003474B6" w:rsidP="00825C4D">
                            <w:pPr>
                              <w:pStyle w:val="TLKontakty"/>
                              <w:spacing w:after="80" w:line="240" w:lineRule="auto"/>
                              <w:rPr>
                                <w:b w:val="0"/>
                                <w:color w:val="auto"/>
                              </w:rPr>
                            </w:pPr>
                          </w:p>
                          <w:p w14:paraId="3F9813C4" w14:textId="77777777" w:rsidR="003474B6" w:rsidRPr="005E7C78" w:rsidRDefault="003474B6"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tel.: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14:paraId="483B16E7" w14:textId="77777777" w:rsidR="003474B6" w:rsidRPr="005E7C78" w:rsidRDefault="003474B6"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1DEA6773" w14:textId="77777777" w:rsidR="003474B6" w:rsidRPr="005E7C78" w:rsidRDefault="003474B6" w:rsidP="00825C4D">
                            <w:pPr>
                              <w:pStyle w:val="TLKontakty"/>
                              <w:spacing w:after="80" w:line="240" w:lineRule="auto"/>
                              <w:rPr>
                                <w:b w:val="0"/>
                                <w:color w:val="auto"/>
                              </w:rPr>
                            </w:pPr>
                          </w:p>
                          <w:p w14:paraId="448F5DDA" w14:textId="77777777" w:rsidR="003474B6" w:rsidRPr="005E7C78" w:rsidRDefault="003474B6"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sidRPr="00BC731E">
                              <w:rPr>
                                <w:b w:val="0"/>
                                <w:color w:val="auto"/>
                              </w:rPr>
                              <w:t>tel.: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14:paraId="4B103B14" w14:textId="77777777" w:rsidR="003474B6" w:rsidRDefault="003474B6"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48B741A9" w14:textId="77777777" w:rsidR="003474B6" w:rsidRPr="005E7C78" w:rsidRDefault="003474B6" w:rsidP="00095135">
                            <w:pPr>
                              <w:pStyle w:val="TLKontakty"/>
                              <w:spacing w:after="80" w:line="240" w:lineRule="auto"/>
                              <w:rPr>
                                <w:b w:val="0"/>
                                <w:color w:val="auto"/>
                              </w:rPr>
                            </w:pPr>
                          </w:p>
                          <w:p w14:paraId="395ED09A" w14:textId="77777777" w:rsidR="003474B6" w:rsidRPr="005E7C78" w:rsidRDefault="003474B6"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tel.: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14:paraId="0575867B" w14:textId="77777777" w:rsidR="003474B6" w:rsidRPr="00095135" w:rsidRDefault="003474B6"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CA088C6" id="_x0000_s1030" type="#_x0000_t202" style="position:absolute;left:0;text-align:left;margin-left:57pt;margin-top:113.4pt;width:481.85pt;height:604.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" filled="f" stroked="f">
                <v:textbox style="mso-fit-shape-to-text:t" inset="0,0,0,0">
                  <w:txbxContent>
                    <w:p w14:paraId="28541332" w14:textId="77777777" w:rsidR="003474B6" w:rsidRPr="006F5416" w:rsidRDefault="003474B6" w:rsidP="006F5416">
                      <w:pPr>
                        <w:pStyle w:val="TLKontaktyerven"/>
                      </w:pPr>
                      <w:r w:rsidRPr="006F5416">
                        <w:t>KONTAKTY V ÚSTŘEDÍ</w:t>
                      </w:r>
                    </w:p>
                    <w:p w14:paraId="3C71345D" w14:textId="77777777" w:rsidR="003474B6" w:rsidRPr="007D40DF" w:rsidRDefault="003474B6"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14:paraId="5DF2AD66" w14:textId="77777777" w:rsidR="003474B6" w:rsidRPr="00D235B7" w:rsidRDefault="003474B6"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14:paraId="41F3052F" w14:textId="77777777" w:rsidR="003474B6" w:rsidRPr="00D235B7" w:rsidRDefault="003474B6"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w:t>
                      </w:r>
                      <w:r w:rsidRPr="00D235B7">
                        <w:rPr>
                          <w:b w:val="0"/>
                          <w:color w:val="auto"/>
                        </w:rPr>
                        <w:t>052 361 | e-mail: prodejna@czso.cz</w:t>
                      </w:r>
                    </w:p>
                    <w:p w14:paraId="231AC1D4" w14:textId="77777777" w:rsidR="003474B6" w:rsidRPr="00D235B7" w:rsidRDefault="003474B6"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347 | e-mail: esds@czso.cz</w:t>
                      </w:r>
                    </w:p>
                    <w:p w14:paraId="548AAF1E" w14:textId="77777777" w:rsidR="003474B6" w:rsidRPr="00D235B7" w:rsidRDefault="003474B6"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w:t>
                      </w:r>
                      <w:r w:rsidRPr="00D235B7">
                        <w:rPr>
                          <w:b w:val="0"/>
                          <w:color w:val="auto"/>
                        </w:rPr>
                        <w:t>052 361 | e-mail: knihovna@czso.cz</w:t>
                      </w:r>
                    </w:p>
                    <w:p w14:paraId="676CE837" w14:textId="77777777" w:rsidR="003474B6" w:rsidRPr="004A61C5" w:rsidRDefault="003474B6" w:rsidP="00825C4D">
                      <w:pPr>
                        <w:pStyle w:val="TLKontakty"/>
                        <w:spacing w:after="80" w:line="240" w:lineRule="auto"/>
                        <w:contextualSpacing w:val="0"/>
                        <w:rPr>
                          <w:color w:val="auto"/>
                        </w:rPr>
                      </w:pPr>
                    </w:p>
                    <w:p w14:paraId="58156969" w14:textId="77777777" w:rsidR="003474B6" w:rsidRPr="00D66223" w:rsidRDefault="003474B6" w:rsidP="00D66223">
                      <w:pPr>
                        <w:pStyle w:val="TLKontaktyerven"/>
                      </w:pPr>
                      <w:r w:rsidRPr="00D66223">
                        <w:t>INFORMAČNÍ SLUŽBY V REGIONECH</w:t>
                      </w:r>
                    </w:p>
                    <w:p w14:paraId="4879BC68" w14:textId="77777777" w:rsidR="003474B6" w:rsidRPr="00992CF3" w:rsidRDefault="003474B6"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14:paraId="013DC4C4" w14:textId="77777777" w:rsidR="003474B6" w:rsidRPr="00992CF3" w:rsidRDefault="003474B6"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39B244A8" w14:textId="77777777" w:rsidR="003474B6" w:rsidRPr="004A61C5" w:rsidRDefault="003474B6" w:rsidP="00825C4D">
                      <w:pPr>
                        <w:pStyle w:val="TLKontakty"/>
                        <w:spacing w:after="80" w:line="240" w:lineRule="auto"/>
                        <w:rPr>
                          <w:color w:val="auto"/>
                        </w:rPr>
                      </w:pPr>
                    </w:p>
                    <w:p w14:paraId="0700B661" w14:textId="77777777" w:rsidR="003474B6" w:rsidRPr="00992CF3" w:rsidRDefault="003474B6" w:rsidP="00825C4D">
                      <w:pPr>
                        <w:pStyle w:val="TLKontakty"/>
                        <w:spacing w:after="80" w:line="240" w:lineRule="auto"/>
                        <w:rPr>
                          <w:b w:val="0"/>
                          <w:color w:val="auto"/>
                        </w:rPr>
                      </w:pPr>
                      <w:r w:rsidRPr="00D66223">
                        <w:t>Středočeský kraj</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10, tel.</w:t>
                      </w:r>
                      <w:r>
                        <w:rPr>
                          <w:b w:val="0"/>
                          <w:color w:val="auto"/>
                        </w:rPr>
                        <w:t xml:space="preserve">: </w:t>
                      </w:r>
                      <w:r w:rsidRPr="00992CF3">
                        <w:rPr>
                          <w:b w:val="0"/>
                          <w:color w:val="auto"/>
                        </w:rPr>
                        <w:t>274</w:t>
                      </w:r>
                      <w:r>
                        <w:rPr>
                          <w:b w:val="0"/>
                          <w:color w:val="auto"/>
                        </w:rPr>
                        <w:t> </w:t>
                      </w:r>
                      <w:r w:rsidRPr="00992CF3">
                        <w:rPr>
                          <w:b w:val="0"/>
                          <w:color w:val="auto"/>
                        </w:rPr>
                        <w:t>054 175</w:t>
                      </w:r>
                    </w:p>
                    <w:p w14:paraId="416161E8" w14:textId="77777777" w:rsidR="003474B6" w:rsidRPr="00992CF3" w:rsidRDefault="003474B6"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4FF5E3BD" w14:textId="77777777" w:rsidR="003474B6" w:rsidRPr="004A61C5" w:rsidRDefault="003474B6" w:rsidP="00825C4D">
                      <w:pPr>
                        <w:pStyle w:val="TLKontakty"/>
                        <w:spacing w:after="80" w:line="240" w:lineRule="auto"/>
                        <w:rPr>
                          <w:color w:val="auto"/>
                        </w:rPr>
                      </w:pPr>
                    </w:p>
                    <w:p w14:paraId="272E9710" w14:textId="77777777" w:rsidR="003474B6" w:rsidRPr="00992CF3" w:rsidRDefault="003474B6"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w:t>
                      </w:r>
                      <w:r>
                        <w:rPr>
                          <w:b w:val="0"/>
                          <w:color w:val="auto"/>
                        </w:rPr>
                        <w:t> </w:t>
                      </w:r>
                      <w:r w:rsidRPr="00992CF3">
                        <w:rPr>
                          <w:b w:val="0"/>
                          <w:color w:val="auto"/>
                        </w:rPr>
                        <w:t>718 440</w:t>
                      </w:r>
                    </w:p>
                    <w:p w14:paraId="41660CA4" w14:textId="77777777" w:rsidR="003474B6" w:rsidRPr="00992CF3" w:rsidRDefault="003474B6"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02FFC287" w14:textId="77777777" w:rsidR="003474B6" w:rsidRPr="004A61C5" w:rsidRDefault="003474B6" w:rsidP="00825C4D">
                      <w:pPr>
                        <w:pStyle w:val="TLKontakty"/>
                        <w:spacing w:after="80" w:line="240" w:lineRule="auto"/>
                        <w:rPr>
                          <w:color w:val="auto"/>
                        </w:rPr>
                      </w:pPr>
                    </w:p>
                    <w:p w14:paraId="28D66B71" w14:textId="77777777" w:rsidR="003474B6" w:rsidRPr="00BC731E" w:rsidRDefault="003474B6"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xml:space="preserve">, </w:t>
                      </w:r>
                      <w:r w:rsidRPr="004A61C5">
                        <w:rPr>
                          <w:b w:val="0"/>
                          <w:color w:val="auto"/>
                        </w:rPr>
                        <w:t>tel.</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14:paraId="44E4A2F2" w14:textId="77777777" w:rsidR="003474B6" w:rsidRPr="004A61C5" w:rsidRDefault="003474B6"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124C070B" w14:textId="77777777" w:rsidR="003474B6" w:rsidRPr="004A61C5" w:rsidRDefault="003474B6" w:rsidP="00825C4D">
                      <w:pPr>
                        <w:pStyle w:val="TLKontakty"/>
                        <w:spacing w:after="80" w:line="240" w:lineRule="auto"/>
                        <w:rPr>
                          <w:color w:val="auto"/>
                        </w:rPr>
                      </w:pPr>
                    </w:p>
                    <w:p w14:paraId="09B6DE68" w14:textId="77777777" w:rsidR="003474B6" w:rsidRPr="004A61C5" w:rsidRDefault="003474B6"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tel.</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14:paraId="477EF21B" w14:textId="77777777" w:rsidR="003474B6" w:rsidRPr="004A61C5" w:rsidRDefault="003474B6"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6C1AC3BB" w14:textId="77777777" w:rsidR="003474B6" w:rsidRPr="004A61C5" w:rsidRDefault="003474B6" w:rsidP="00825C4D">
                      <w:pPr>
                        <w:pStyle w:val="TLKontakty"/>
                        <w:spacing w:after="80" w:line="240" w:lineRule="auto"/>
                        <w:rPr>
                          <w:color w:val="auto"/>
                        </w:rPr>
                      </w:pPr>
                    </w:p>
                    <w:p w14:paraId="59D3D98A" w14:textId="77777777" w:rsidR="003474B6" w:rsidRPr="004A61C5" w:rsidRDefault="003474B6"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xml:space="preserve">, </w:t>
                      </w:r>
                      <w:r w:rsidRPr="004A61C5">
                        <w:rPr>
                          <w:b w:val="0"/>
                          <w:color w:val="auto"/>
                        </w:rPr>
                        <w:t>tel.</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14:paraId="2F4D5FAC" w14:textId="77777777" w:rsidR="003474B6" w:rsidRPr="004A61C5" w:rsidRDefault="003474B6"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465C0979" w14:textId="77777777" w:rsidR="003474B6" w:rsidRPr="004A61C5" w:rsidRDefault="003474B6" w:rsidP="00825C4D">
                      <w:pPr>
                        <w:pStyle w:val="TLKontakty"/>
                        <w:spacing w:after="80" w:line="240" w:lineRule="auto"/>
                        <w:rPr>
                          <w:color w:val="auto"/>
                        </w:rPr>
                      </w:pPr>
                    </w:p>
                    <w:p w14:paraId="53E44571" w14:textId="77777777" w:rsidR="003474B6" w:rsidRPr="004A61C5" w:rsidRDefault="003474B6"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1, tel.</w:t>
                      </w:r>
                      <w:r>
                        <w:rPr>
                          <w:b w:val="0"/>
                          <w:color w:val="auto"/>
                        </w:rPr>
                        <w:t xml:space="preserve">: </w:t>
                      </w:r>
                      <w:r w:rsidRPr="004A61C5">
                        <w:rPr>
                          <w:b w:val="0"/>
                          <w:color w:val="auto"/>
                        </w:rPr>
                        <w:t>485</w:t>
                      </w:r>
                      <w:r>
                        <w:rPr>
                          <w:b w:val="0"/>
                          <w:color w:val="auto"/>
                        </w:rPr>
                        <w:t> </w:t>
                      </w:r>
                      <w:r w:rsidRPr="004A61C5">
                        <w:rPr>
                          <w:b w:val="0"/>
                          <w:color w:val="auto"/>
                        </w:rPr>
                        <w:t>238 811</w:t>
                      </w:r>
                    </w:p>
                    <w:p w14:paraId="7748DBC3" w14:textId="77777777" w:rsidR="003474B6" w:rsidRPr="004A61C5" w:rsidRDefault="003474B6"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4123AE44" w14:textId="77777777" w:rsidR="003474B6" w:rsidRPr="004A61C5" w:rsidRDefault="003474B6" w:rsidP="00825C4D">
                      <w:pPr>
                        <w:pStyle w:val="TLKontakty"/>
                        <w:spacing w:after="80" w:line="240" w:lineRule="auto"/>
                        <w:rPr>
                          <w:b w:val="0"/>
                          <w:color w:val="auto"/>
                        </w:rPr>
                      </w:pPr>
                    </w:p>
                    <w:p w14:paraId="10E14C3C" w14:textId="77777777" w:rsidR="003474B6" w:rsidRPr="004A61C5" w:rsidRDefault="003474B6"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tel.</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14:paraId="2E3651FF" w14:textId="77777777" w:rsidR="003474B6" w:rsidRPr="004A61C5" w:rsidRDefault="003474B6"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74F45FF3" w14:textId="77777777" w:rsidR="003474B6" w:rsidRPr="004A61C5" w:rsidRDefault="003474B6" w:rsidP="00825C4D">
                      <w:pPr>
                        <w:pStyle w:val="TLKontakty"/>
                        <w:spacing w:after="80" w:line="240" w:lineRule="auto"/>
                        <w:rPr>
                          <w:color w:val="auto"/>
                        </w:rPr>
                      </w:pPr>
                    </w:p>
                    <w:p w14:paraId="5E11F5F2" w14:textId="77777777" w:rsidR="003474B6" w:rsidRPr="004A61C5" w:rsidRDefault="003474B6"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xml:space="preserve">, </w:t>
                      </w:r>
                      <w:r w:rsidRPr="004A61C5">
                        <w:rPr>
                          <w:b w:val="0"/>
                          <w:color w:val="auto"/>
                        </w:rPr>
                        <w:t>tel.</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14:paraId="72152ABD" w14:textId="77777777" w:rsidR="003474B6" w:rsidRPr="004A61C5" w:rsidRDefault="003474B6"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31158F18" w14:textId="77777777" w:rsidR="003474B6" w:rsidRPr="004A61C5" w:rsidRDefault="003474B6" w:rsidP="00825C4D">
                      <w:pPr>
                        <w:pStyle w:val="TLKontakty"/>
                        <w:spacing w:after="80" w:line="240" w:lineRule="auto"/>
                        <w:rPr>
                          <w:b w:val="0"/>
                          <w:color w:val="auto"/>
                        </w:rPr>
                      </w:pPr>
                    </w:p>
                    <w:p w14:paraId="231F5E11" w14:textId="77777777" w:rsidR="003474B6" w:rsidRPr="004A61C5" w:rsidRDefault="003474B6"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tel.: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14:paraId="05687D8F" w14:textId="77777777" w:rsidR="003474B6" w:rsidRPr="004A61C5" w:rsidRDefault="003474B6"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14A58016" w14:textId="77777777" w:rsidR="003474B6" w:rsidRDefault="003474B6" w:rsidP="00825C4D">
                      <w:pPr>
                        <w:pStyle w:val="TLKontakty"/>
                        <w:spacing w:after="80" w:line="240" w:lineRule="auto"/>
                      </w:pPr>
                    </w:p>
                    <w:p w14:paraId="2C2F9B1E" w14:textId="455F4613" w:rsidR="003474B6" w:rsidRPr="00BC731E" w:rsidRDefault="003474B6"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tel.: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14:paraId="395EA08C" w14:textId="77777777" w:rsidR="003474B6" w:rsidRPr="004A61C5" w:rsidRDefault="003474B6"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E41DBBE" w14:textId="77777777" w:rsidR="003474B6" w:rsidRPr="004A61C5" w:rsidRDefault="003474B6" w:rsidP="00825C4D">
                      <w:pPr>
                        <w:pStyle w:val="TLKontakty"/>
                        <w:spacing w:after="80" w:line="240" w:lineRule="auto"/>
                        <w:rPr>
                          <w:b w:val="0"/>
                          <w:color w:val="auto"/>
                        </w:rPr>
                      </w:pPr>
                    </w:p>
                    <w:p w14:paraId="3F9813C4" w14:textId="77777777" w:rsidR="003474B6" w:rsidRPr="005E7C78" w:rsidRDefault="003474B6"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tel.: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14:paraId="483B16E7" w14:textId="77777777" w:rsidR="003474B6" w:rsidRPr="005E7C78" w:rsidRDefault="003474B6"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1DEA6773" w14:textId="77777777" w:rsidR="003474B6" w:rsidRPr="005E7C78" w:rsidRDefault="003474B6" w:rsidP="00825C4D">
                      <w:pPr>
                        <w:pStyle w:val="TLKontakty"/>
                        <w:spacing w:after="80" w:line="240" w:lineRule="auto"/>
                        <w:rPr>
                          <w:b w:val="0"/>
                          <w:color w:val="auto"/>
                        </w:rPr>
                      </w:pPr>
                    </w:p>
                    <w:p w14:paraId="448F5DDA" w14:textId="77777777" w:rsidR="003474B6" w:rsidRPr="005E7C78" w:rsidRDefault="003474B6"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sidRPr="00BC731E">
                        <w:rPr>
                          <w:b w:val="0"/>
                          <w:color w:val="auto"/>
                        </w:rPr>
                        <w:t>tel.: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14:paraId="4B103B14" w14:textId="77777777" w:rsidR="003474B6" w:rsidRDefault="003474B6"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48B741A9" w14:textId="77777777" w:rsidR="003474B6" w:rsidRPr="005E7C78" w:rsidRDefault="003474B6" w:rsidP="00095135">
                      <w:pPr>
                        <w:pStyle w:val="TLKontakty"/>
                        <w:spacing w:after="80" w:line="240" w:lineRule="auto"/>
                        <w:rPr>
                          <w:b w:val="0"/>
                          <w:color w:val="auto"/>
                        </w:rPr>
                      </w:pPr>
                    </w:p>
                    <w:p w14:paraId="395ED09A" w14:textId="77777777" w:rsidR="003474B6" w:rsidRPr="005E7C78" w:rsidRDefault="003474B6"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tel.: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14:paraId="0575867B" w14:textId="77777777" w:rsidR="003474B6" w:rsidRPr="00095135" w:rsidRDefault="003474B6"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mc:Fallback>
        </mc:AlternateContent>
      </w:r>
      <w:r>
        <w:rPr>
          <w:noProof/>
        </w:rPr>
        <mc:AlternateContent>
          <mc:Choice Requires="wps">
            <w:drawing>
              <wp:anchor distT="0" distB="0" distL="114300" distR="114300" simplePos="0" relativeHeight="251661824" behindDoc="0" locked="1" layoutInCell="1" allowOverlap="1" wp14:anchorId="3EE77A96" wp14:editId="5156964C">
                <wp:simplePos x="0" y="0"/>
                <wp:positionH relativeFrom="page">
                  <wp:posOffset>720090</wp:posOffset>
                </wp:positionH>
                <wp:positionV relativeFrom="page">
                  <wp:posOffset>9486900</wp:posOffset>
                </wp:positionV>
                <wp:extent cx="6120130" cy="360045"/>
                <wp:effectExtent l="0" t="0" r="0" b="0"/>
                <wp:wrapNone/>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1AD0B002" w14:textId="25AECD0A" w:rsidR="003474B6" w:rsidRPr="00321924" w:rsidRDefault="003474B6" w:rsidP="00A16E1D">
                            <w:pPr>
                              <w:jc w:val="left"/>
                            </w:pPr>
                            <w:r w:rsidRPr="00321924">
                              <w:br/>
                              <w:t xml:space="preserve">© Český statistický úřad, </w:t>
                            </w:r>
                            <w:r>
                              <w:t>Praha, 2020</w:t>
                            </w:r>
                          </w:p>
                          <w:p w14:paraId="52FD100C" w14:textId="77777777" w:rsidR="003474B6" w:rsidRDefault="003474B6"/>
                          <w:p w14:paraId="515D7599" w14:textId="0789EE63" w:rsidR="003474B6" w:rsidRPr="00841D9F" w:rsidRDefault="003474B6" w:rsidP="000A3A2C">
                            <w:r w:rsidRPr="00841D9F">
                              <w:rPr>
                                <w:szCs w:val="26"/>
                              </w:rPr>
                              <w:t>ISBN XX-XXXX-XXX-X</w:t>
                            </w:r>
                            <w:r>
                              <w:rPr>
                                <w:szCs w:val="26"/>
                              </w:rPr>
                              <w:t> </w:t>
                            </w:r>
                            <w:r w:rsidRPr="00841D9F">
                              <w:rPr>
                                <w:szCs w:val="26"/>
                              </w:rPr>
                              <w:t xml:space="preserve"> </w:t>
                            </w:r>
                            <w:r w:rsidRPr="00841D9F">
                              <w:t>(pouze u</w:t>
                            </w:r>
                            <w:r>
                              <w:t> </w:t>
                            </w:r>
                            <w:r w:rsidRPr="00841D9F">
                              <w:t>nepravidelných a</w:t>
                            </w:r>
                            <w:r>
                              <w:t> </w:t>
                            </w:r>
                            <w:r w:rsidRPr="00841D9F">
                              <w:t>ročních publikací)</w:t>
                            </w:r>
                          </w:p>
                          <w:p w14:paraId="0975553D" w14:textId="77777777" w:rsidR="003474B6" w:rsidRPr="00AF2852" w:rsidRDefault="003474B6"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E77A96" id="_x0000_s1031" type="#_x0000_t202" style="position:absolute;left:0;text-align:left;margin-left:56.7pt;margin-top:747pt;width:481.9pt;height:28.3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" filled="f" stroked="f">
                <v:textbox inset="0,0,0,0">
                  <w:txbxContent>
                    <w:p w14:paraId="1AD0B002" w14:textId="25AECD0A" w:rsidR="003474B6" w:rsidRPr="00321924" w:rsidRDefault="003474B6" w:rsidP="00A16E1D">
                      <w:pPr>
                        <w:jc w:val="left"/>
                      </w:pPr>
                      <w:r w:rsidRPr="00321924">
                        <w:br/>
                        <w:t xml:space="preserve">© Český statistický úřad, </w:t>
                      </w:r>
                      <w:r>
                        <w:t>Praha, 2020</w:t>
                      </w:r>
                    </w:p>
                    <w:p w14:paraId="52FD100C" w14:textId="77777777" w:rsidR="003474B6" w:rsidRDefault="003474B6"/>
                    <w:p w14:paraId="515D7599" w14:textId="0789EE63" w:rsidR="003474B6" w:rsidRPr="00841D9F" w:rsidRDefault="003474B6" w:rsidP="000A3A2C">
                      <w:r w:rsidRPr="00841D9F">
                        <w:rPr>
                          <w:szCs w:val="26"/>
                        </w:rPr>
                        <w:t>ISBN XX-XXXX-XXX-X</w:t>
                      </w:r>
                      <w:r>
                        <w:rPr>
                          <w:szCs w:val="26"/>
                        </w:rPr>
                        <w:t> </w:t>
                      </w:r>
                      <w:r w:rsidRPr="00841D9F">
                        <w:rPr>
                          <w:szCs w:val="26"/>
                        </w:rPr>
                        <w:t xml:space="preserve"> </w:t>
                      </w:r>
                      <w:r w:rsidRPr="00841D9F">
                        <w:t>(pouze u</w:t>
                      </w:r>
                      <w:r>
                        <w:t> </w:t>
                      </w:r>
                      <w:r w:rsidRPr="00841D9F">
                        <w:t>nepravidelných a</w:t>
                      </w:r>
                      <w:r>
                        <w:t> </w:t>
                      </w:r>
                      <w:r w:rsidRPr="00841D9F">
                        <w:t>ročních publikací)</w:t>
                      </w:r>
                    </w:p>
                    <w:p w14:paraId="0975553D" w14:textId="77777777" w:rsidR="003474B6" w:rsidRPr="00AF2852" w:rsidRDefault="003474B6"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mc:Fallback>
        </mc:AlternateContent>
      </w:r>
      <w:r>
        <w:rPr>
          <w:noProof/>
        </w:rPr>
        <mc:AlternateContent>
          <mc:Choice Requires="wps">
            <w:drawing>
              <wp:anchor distT="0" distB="0" distL="114300" distR="114300" simplePos="0" relativeHeight="251660800" behindDoc="0" locked="1" layoutInCell="1" allowOverlap="1" wp14:anchorId="01D0B83B" wp14:editId="3F386203">
                <wp:simplePos x="0" y="0"/>
                <wp:positionH relativeFrom="page">
                  <wp:posOffset>723265</wp:posOffset>
                </wp:positionH>
                <wp:positionV relativeFrom="page">
                  <wp:posOffset>723265</wp:posOffset>
                </wp:positionV>
                <wp:extent cx="6119495" cy="555625"/>
                <wp:effectExtent l="0" t="0" r="0" b="0"/>
                <wp:wrapNone/>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55625"/>
                        </a:xfrm>
                        <a:prstGeom prst="rect">
                          <a:avLst/>
                        </a:prstGeom>
                        <a:noFill/>
                        <a:ln>
                          <a:noFill/>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26FEE0FA" w14:textId="77777777" w:rsidR="003474B6" w:rsidRPr="009A1902" w:rsidRDefault="003474B6" w:rsidP="000A3A2C">
                            <w:pPr>
                              <w:rPr>
                                <w:b/>
                                <w:bCs/>
                                <w:i/>
                                <w:sz w:val="24"/>
                              </w:rPr>
                            </w:pPr>
                            <w:r w:rsidRPr="00B95F50">
                              <w:rPr>
                                <w:b/>
                                <w:color w:val="0071BC"/>
                                <w:sz w:val="24"/>
                              </w:rPr>
                              <w:t xml:space="preserve">Zajímají </w:t>
                            </w:r>
                            <w:r>
                              <w:rPr>
                                <w:b/>
                                <w:color w:val="0071BC"/>
                                <w:sz w:val="24"/>
                              </w:rPr>
                              <w:t>v</w:t>
                            </w:r>
                            <w:r w:rsidRPr="00B95F50">
                              <w:rPr>
                                <w:b/>
                                <w:color w:val="0071BC"/>
                                <w:sz w:val="24"/>
                              </w:rPr>
                              <w:t>ás nejnovější údaje o</w:t>
                            </w:r>
                            <w:r>
                              <w:rPr>
                                <w:b/>
                                <w:color w:val="0071BC"/>
                                <w:sz w:val="24"/>
                              </w:rPr>
                              <w:t> </w:t>
                            </w:r>
                            <w:r w:rsidRPr="00B95F50">
                              <w:rPr>
                                <w:b/>
                                <w:color w:val="0071BC"/>
                                <w:sz w:val="24"/>
                              </w:rPr>
                              <w:t xml:space="preserve">inflaci, HDP, obyvatelstvu, průměrných mzdách </w:t>
                            </w:r>
                            <w:r>
                              <w:rPr>
                                <w:b/>
                                <w:color w:val="0071BC"/>
                                <w:sz w:val="24"/>
                              </w:rPr>
                              <w:br/>
                            </w:r>
                            <w:r w:rsidRPr="00B95F50">
                              <w:rPr>
                                <w:b/>
                                <w:color w:val="0071BC"/>
                                <w:sz w:val="24"/>
                              </w:rPr>
                              <w:t>a</w:t>
                            </w:r>
                            <w:r>
                              <w:rPr>
                                <w:b/>
                                <w:color w:val="0071BC"/>
                                <w:sz w:val="24"/>
                              </w:rPr>
                              <w:t> </w:t>
                            </w:r>
                            <w:r w:rsidRPr="00B95F50">
                              <w:rPr>
                                <w:b/>
                                <w:color w:val="0071BC"/>
                                <w:sz w:val="24"/>
                              </w:rPr>
                              <w:t xml:space="preserve">mnohé další? Najdete je na stránkách ČSÚ na internetu: </w:t>
                            </w:r>
                            <w:r>
                              <w:rPr>
                                <w:b/>
                                <w:bCs/>
                                <w:sz w:val="24"/>
                              </w:rPr>
                              <w:t>www.czso.cz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1D0B83B" id="_x0000_s1032" type="#_x0000_t202" style="position:absolute;left:0;text-align:left;margin-left:56.95pt;margin-top:56.95pt;width:481.85pt;height:43.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" filled="f" stroked="f">
                <v:textbox style="mso-fit-shape-to-text:t" inset="0,0,0,0">
                  <w:txbxContent>
                    <w:p w14:paraId="26FEE0FA" w14:textId="77777777" w:rsidR="003474B6" w:rsidRPr="009A1902" w:rsidRDefault="003474B6" w:rsidP="000A3A2C">
                      <w:pPr>
                        <w:rPr>
                          <w:b/>
                          <w:bCs/>
                          <w:i/>
                          <w:sz w:val="24"/>
                        </w:rPr>
                      </w:pPr>
                      <w:r w:rsidRPr="00B95F50">
                        <w:rPr>
                          <w:b/>
                          <w:color w:val="0071BC"/>
                          <w:sz w:val="24"/>
                        </w:rPr>
                        <w:t xml:space="preserve">Zajímají </w:t>
                      </w:r>
                      <w:r>
                        <w:rPr>
                          <w:b/>
                          <w:color w:val="0071BC"/>
                          <w:sz w:val="24"/>
                        </w:rPr>
                        <w:t>v</w:t>
                      </w:r>
                      <w:r w:rsidRPr="00B95F50">
                        <w:rPr>
                          <w:b/>
                          <w:color w:val="0071BC"/>
                          <w:sz w:val="24"/>
                        </w:rPr>
                        <w:t>ás nejnovější údaje o</w:t>
                      </w:r>
                      <w:r>
                        <w:rPr>
                          <w:b/>
                          <w:color w:val="0071BC"/>
                          <w:sz w:val="24"/>
                        </w:rPr>
                        <w:t> </w:t>
                      </w:r>
                      <w:r w:rsidRPr="00B95F50">
                        <w:rPr>
                          <w:b/>
                          <w:color w:val="0071BC"/>
                          <w:sz w:val="24"/>
                        </w:rPr>
                        <w:t xml:space="preserve">inflaci, HDP, obyvatelstvu, průměrných mzdách </w:t>
                      </w:r>
                      <w:r>
                        <w:rPr>
                          <w:b/>
                          <w:color w:val="0071BC"/>
                          <w:sz w:val="24"/>
                        </w:rPr>
                        <w:br/>
                      </w:r>
                      <w:r w:rsidRPr="00B95F50">
                        <w:rPr>
                          <w:b/>
                          <w:color w:val="0071BC"/>
                          <w:sz w:val="24"/>
                        </w:rPr>
                        <w:t>a</w:t>
                      </w:r>
                      <w:r>
                        <w:rPr>
                          <w:b/>
                          <w:color w:val="0071BC"/>
                          <w:sz w:val="24"/>
                        </w:rPr>
                        <w:t> </w:t>
                      </w:r>
                      <w:r w:rsidRPr="00B95F50">
                        <w:rPr>
                          <w:b/>
                          <w:color w:val="0071BC"/>
                          <w:sz w:val="24"/>
                        </w:rPr>
                        <w:t xml:space="preserve">mnohé další? Najdete je na stránkách ČSÚ na internetu: </w:t>
                      </w:r>
                      <w:r>
                        <w:rPr>
                          <w:b/>
                          <w:bCs/>
                          <w:sz w:val="24"/>
                        </w:rPr>
                        <w:t>www.czso.cz</w:t>
                      </w:r>
                    </w:p>
                  </w:txbxContent>
                </v:textbox>
                <w10:wrap anchorx="page" anchory="page"/>
                <w10:anchorlock/>
              </v:shape>
            </w:pict>
          </mc:Fallback>
        </mc:AlternateContent>
      </w:r>
    </w:p>
    <w:sdt>
      <w:sdtPr>
        <w:rPr>
          <w:b w:val="0"/>
          <w:color w:val="auto"/>
          <w:sz w:val="20"/>
        </w:rPr>
        <w:id w:val="5357999"/>
        <w:docPartObj>
          <w:docPartGallery w:val="Table of Contents"/>
          <w:docPartUnique/>
        </w:docPartObj>
      </w:sdtPr>
      <w:sdtEndPr/>
      <w:sdtContent>
        <w:p w14:paraId="74D73AA9" w14:textId="77777777" w:rsidR="00867DAB" w:rsidRPr="009110F7" w:rsidRDefault="00867DAB" w:rsidP="00867DAB">
          <w:pPr>
            <w:pStyle w:val="Obsah"/>
          </w:pPr>
          <w:r w:rsidRPr="009110F7">
            <w:t>Obsah</w:t>
          </w:r>
        </w:p>
        <w:p w14:paraId="6BF5A2E6" w14:textId="6D9C4D09" w:rsidR="002320C9" w:rsidRDefault="007D42E5">
          <w:pPr>
            <w:pStyle w:val="Obsah1"/>
            <w:rPr>
              <w:rFonts w:asciiTheme="minorHAnsi" w:eastAsiaTheme="minorEastAsia" w:hAnsiTheme="minorHAnsi" w:cstheme="minorBidi"/>
              <w:noProof/>
              <w:sz w:val="22"/>
              <w:szCs w:val="22"/>
            </w:rPr>
          </w:pPr>
          <w:r w:rsidRPr="009110F7">
            <w:fldChar w:fldCharType="begin"/>
          </w:r>
          <w:r w:rsidR="00867DAB" w:rsidRPr="009110F7">
            <w:instrText xml:space="preserve"> TOC \o "1-3" \h \z \u </w:instrText>
          </w:r>
          <w:r w:rsidRPr="009110F7">
            <w:fldChar w:fldCharType="separate"/>
          </w:r>
          <w:hyperlink w:anchor="_Toc37403640" w:history="1">
            <w:r w:rsidR="002320C9" w:rsidRPr="00B87C51">
              <w:rPr>
                <w:rStyle w:val="Hypertextovodkaz"/>
                <w:noProof/>
              </w:rPr>
              <w:t>1. Shrnutí</w:t>
            </w:r>
            <w:r w:rsidR="002320C9">
              <w:rPr>
                <w:noProof/>
                <w:webHidden/>
              </w:rPr>
              <w:tab/>
            </w:r>
            <w:r w:rsidR="002320C9">
              <w:rPr>
                <w:noProof/>
                <w:webHidden/>
              </w:rPr>
              <w:fldChar w:fldCharType="begin"/>
            </w:r>
            <w:r w:rsidR="002320C9">
              <w:rPr>
                <w:noProof/>
                <w:webHidden/>
              </w:rPr>
              <w:instrText xml:space="preserve"> PAGEREF _Toc37403640 \h </w:instrText>
            </w:r>
            <w:r w:rsidR="002320C9">
              <w:rPr>
                <w:noProof/>
                <w:webHidden/>
              </w:rPr>
            </w:r>
            <w:r w:rsidR="002320C9">
              <w:rPr>
                <w:noProof/>
                <w:webHidden/>
              </w:rPr>
              <w:fldChar w:fldCharType="separate"/>
            </w:r>
            <w:r w:rsidR="002320C9">
              <w:rPr>
                <w:noProof/>
                <w:webHidden/>
              </w:rPr>
              <w:t>4</w:t>
            </w:r>
            <w:r w:rsidR="002320C9">
              <w:rPr>
                <w:noProof/>
                <w:webHidden/>
              </w:rPr>
              <w:fldChar w:fldCharType="end"/>
            </w:r>
          </w:hyperlink>
        </w:p>
        <w:p w14:paraId="49773103" w14:textId="297C6BEE" w:rsidR="002320C9" w:rsidRDefault="002320C9">
          <w:pPr>
            <w:pStyle w:val="Obsah1"/>
            <w:rPr>
              <w:rFonts w:asciiTheme="minorHAnsi" w:eastAsiaTheme="minorEastAsia" w:hAnsiTheme="minorHAnsi" w:cstheme="minorBidi"/>
              <w:noProof/>
              <w:sz w:val="22"/>
              <w:szCs w:val="22"/>
            </w:rPr>
          </w:pPr>
          <w:hyperlink w:anchor="_Toc37403641" w:history="1">
            <w:r w:rsidRPr="00B87C51">
              <w:rPr>
                <w:rStyle w:val="Hypertextovodkaz"/>
                <w:noProof/>
              </w:rPr>
              <w:t>2. Souhrnná výkonnost</w:t>
            </w:r>
            <w:r>
              <w:rPr>
                <w:noProof/>
                <w:webHidden/>
              </w:rPr>
              <w:tab/>
            </w:r>
            <w:r>
              <w:rPr>
                <w:noProof/>
                <w:webHidden/>
              </w:rPr>
              <w:fldChar w:fldCharType="begin"/>
            </w:r>
            <w:r>
              <w:rPr>
                <w:noProof/>
                <w:webHidden/>
              </w:rPr>
              <w:instrText xml:space="preserve"> PAGEREF _Toc37403641 \h </w:instrText>
            </w:r>
            <w:r>
              <w:rPr>
                <w:noProof/>
                <w:webHidden/>
              </w:rPr>
            </w:r>
            <w:r>
              <w:rPr>
                <w:noProof/>
                <w:webHidden/>
              </w:rPr>
              <w:fldChar w:fldCharType="separate"/>
            </w:r>
            <w:r>
              <w:rPr>
                <w:noProof/>
                <w:webHidden/>
              </w:rPr>
              <w:t>5</w:t>
            </w:r>
            <w:r>
              <w:rPr>
                <w:noProof/>
                <w:webHidden/>
              </w:rPr>
              <w:fldChar w:fldCharType="end"/>
            </w:r>
          </w:hyperlink>
        </w:p>
        <w:p w14:paraId="7CA029CF" w14:textId="1FEA26B8" w:rsidR="002320C9" w:rsidRDefault="002320C9">
          <w:pPr>
            <w:pStyle w:val="Obsah1"/>
            <w:rPr>
              <w:rFonts w:asciiTheme="minorHAnsi" w:eastAsiaTheme="minorEastAsia" w:hAnsiTheme="minorHAnsi" w:cstheme="minorBidi"/>
              <w:noProof/>
              <w:sz w:val="22"/>
              <w:szCs w:val="22"/>
            </w:rPr>
          </w:pPr>
          <w:hyperlink w:anchor="_Toc37403642" w:history="1">
            <w:r w:rsidRPr="00B87C51">
              <w:rPr>
                <w:rStyle w:val="Hypertextovodkaz"/>
                <w:noProof/>
              </w:rPr>
              <w:t>3. Výkonnost odvětví</w:t>
            </w:r>
            <w:r>
              <w:rPr>
                <w:noProof/>
                <w:webHidden/>
              </w:rPr>
              <w:tab/>
            </w:r>
            <w:r>
              <w:rPr>
                <w:noProof/>
                <w:webHidden/>
              </w:rPr>
              <w:fldChar w:fldCharType="begin"/>
            </w:r>
            <w:r>
              <w:rPr>
                <w:noProof/>
                <w:webHidden/>
              </w:rPr>
              <w:instrText xml:space="preserve"> PAGEREF _Toc37403642 \h </w:instrText>
            </w:r>
            <w:r>
              <w:rPr>
                <w:noProof/>
                <w:webHidden/>
              </w:rPr>
            </w:r>
            <w:r>
              <w:rPr>
                <w:noProof/>
                <w:webHidden/>
              </w:rPr>
              <w:fldChar w:fldCharType="separate"/>
            </w:r>
            <w:r>
              <w:rPr>
                <w:noProof/>
                <w:webHidden/>
              </w:rPr>
              <w:t>10</w:t>
            </w:r>
            <w:r>
              <w:rPr>
                <w:noProof/>
                <w:webHidden/>
              </w:rPr>
              <w:fldChar w:fldCharType="end"/>
            </w:r>
          </w:hyperlink>
        </w:p>
        <w:p w14:paraId="2770F5B8" w14:textId="43B98AE6" w:rsidR="002320C9" w:rsidRDefault="002320C9">
          <w:pPr>
            <w:pStyle w:val="Obsah1"/>
            <w:rPr>
              <w:rFonts w:asciiTheme="minorHAnsi" w:eastAsiaTheme="minorEastAsia" w:hAnsiTheme="minorHAnsi" w:cstheme="minorBidi"/>
              <w:noProof/>
              <w:sz w:val="22"/>
              <w:szCs w:val="22"/>
            </w:rPr>
          </w:pPr>
          <w:hyperlink w:anchor="_Toc37403643" w:history="1">
            <w:r w:rsidRPr="00B87C51">
              <w:rPr>
                <w:rStyle w:val="Hypertextovodkaz"/>
                <w:noProof/>
              </w:rPr>
              <w:t>4. Vnější vztahy</w:t>
            </w:r>
            <w:r>
              <w:rPr>
                <w:noProof/>
                <w:webHidden/>
              </w:rPr>
              <w:tab/>
            </w:r>
            <w:r>
              <w:rPr>
                <w:noProof/>
                <w:webHidden/>
              </w:rPr>
              <w:fldChar w:fldCharType="begin"/>
            </w:r>
            <w:r>
              <w:rPr>
                <w:noProof/>
                <w:webHidden/>
              </w:rPr>
              <w:instrText xml:space="preserve"> PAGEREF _Toc37403643 \h </w:instrText>
            </w:r>
            <w:r>
              <w:rPr>
                <w:noProof/>
                <w:webHidden/>
              </w:rPr>
            </w:r>
            <w:r>
              <w:rPr>
                <w:noProof/>
                <w:webHidden/>
              </w:rPr>
              <w:fldChar w:fldCharType="separate"/>
            </w:r>
            <w:r>
              <w:rPr>
                <w:noProof/>
                <w:webHidden/>
              </w:rPr>
              <w:t>17</w:t>
            </w:r>
            <w:r>
              <w:rPr>
                <w:noProof/>
                <w:webHidden/>
              </w:rPr>
              <w:fldChar w:fldCharType="end"/>
            </w:r>
          </w:hyperlink>
        </w:p>
        <w:p w14:paraId="338F4FB6" w14:textId="093187A3" w:rsidR="002320C9" w:rsidRDefault="002320C9">
          <w:pPr>
            <w:pStyle w:val="Obsah1"/>
            <w:rPr>
              <w:rFonts w:asciiTheme="minorHAnsi" w:eastAsiaTheme="minorEastAsia" w:hAnsiTheme="minorHAnsi" w:cstheme="minorBidi"/>
              <w:noProof/>
              <w:sz w:val="22"/>
              <w:szCs w:val="22"/>
            </w:rPr>
          </w:pPr>
          <w:hyperlink w:anchor="_Toc37403644" w:history="1">
            <w:r w:rsidRPr="00B87C51">
              <w:rPr>
                <w:rStyle w:val="Hypertextovodkaz"/>
                <w:noProof/>
              </w:rPr>
              <w:t>5. Ceny</w:t>
            </w:r>
            <w:r>
              <w:rPr>
                <w:noProof/>
                <w:webHidden/>
              </w:rPr>
              <w:tab/>
            </w:r>
            <w:r>
              <w:rPr>
                <w:noProof/>
                <w:webHidden/>
              </w:rPr>
              <w:fldChar w:fldCharType="begin"/>
            </w:r>
            <w:r>
              <w:rPr>
                <w:noProof/>
                <w:webHidden/>
              </w:rPr>
              <w:instrText xml:space="preserve"> PAGEREF _Toc37403644 \h </w:instrText>
            </w:r>
            <w:r>
              <w:rPr>
                <w:noProof/>
                <w:webHidden/>
              </w:rPr>
            </w:r>
            <w:r>
              <w:rPr>
                <w:noProof/>
                <w:webHidden/>
              </w:rPr>
              <w:fldChar w:fldCharType="separate"/>
            </w:r>
            <w:r>
              <w:rPr>
                <w:noProof/>
                <w:webHidden/>
              </w:rPr>
              <w:t>21</w:t>
            </w:r>
            <w:r>
              <w:rPr>
                <w:noProof/>
                <w:webHidden/>
              </w:rPr>
              <w:fldChar w:fldCharType="end"/>
            </w:r>
          </w:hyperlink>
        </w:p>
        <w:p w14:paraId="1BF1D7FB" w14:textId="038041EF" w:rsidR="002320C9" w:rsidRDefault="002320C9">
          <w:pPr>
            <w:pStyle w:val="Obsah1"/>
            <w:rPr>
              <w:rFonts w:asciiTheme="minorHAnsi" w:eastAsiaTheme="minorEastAsia" w:hAnsiTheme="minorHAnsi" w:cstheme="minorBidi"/>
              <w:noProof/>
              <w:sz w:val="22"/>
              <w:szCs w:val="22"/>
            </w:rPr>
          </w:pPr>
          <w:hyperlink w:anchor="_Toc37403645" w:history="1">
            <w:r w:rsidRPr="00B87C51">
              <w:rPr>
                <w:rStyle w:val="Hypertextovodkaz"/>
                <w:noProof/>
              </w:rPr>
              <w:t>6. Trh práce</w:t>
            </w:r>
            <w:r>
              <w:rPr>
                <w:noProof/>
                <w:webHidden/>
              </w:rPr>
              <w:tab/>
            </w:r>
            <w:r>
              <w:rPr>
                <w:noProof/>
                <w:webHidden/>
              </w:rPr>
              <w:fldChar w:fldCharType="begin"/>
            </w:r>
            <w:r>
              <w:rPr>
                <w:noProof/>
                <w:webHidden/>
              </w:rPr>
              <w:instrText xml:space="preserve"> PAGEREF _Toc37403645 \h </w:instrText>
            </w:r>
            <w:r>
              <w:rPr>
                <w:noProof/>
                <w:webHidden/>
              </w:rPr>
            </w:r>
            <w:r>
              <w:rPr>
                <w:noProof/>
                <w:webHidden/>
              </w:rPr>
              <w:fldChar w:fldCharType="separate"/>
            </w:r>
            <w:r>
              <w:rPr>
                <w:noProof/>
                <w:webHidden/>
              </w:rPr>
              <w:t>27</w:t>
            </w:r>
            <w:r>
              <w:rPr>
                <w:noProof/>
                <w:webHidden/>
              </w:rPr>
              <w:fldChar w:fldCharType="end"/>
            </w:r>
          </w:hyperlink>
        </w:p>
        <w:p w14:paraId="27F76A03" w14:textId="1828ADAB" w:rsidR="002320C9" w:rsidRDefault="002320C9">
          <w:pPr>
            <w:pStyle w:val="Obsah1"/>
            <w:rPr>
              <w:rFonts w:asciiTheme="minorHAnsi" w:eastAsiaTheme="minorEastAsia" w:hAnsiTheme="minorHAnsi" w:cstheme="minorBidi"/>
              <w:noProof/>
              <w:sz w:val="22"/>
              <w:szCs w:val="22"/>
            </w:rPr>
          </w:pPr>
          <w:hyperlink w:anchor="_Toc37403646" w:history="1">
            <w:r w:rsidRPr="00B87C51">
              <w:rPr>
                <w:rStyle w:val="Hypertextovodkaz"/>
                <w:noProof/>
              </w:rPr>
              <w:t>7. Měnové podmínky</w:t>
            </w:r>
            <w:r>
              <w:rPr>
                <w:noProof/>
                <w:webHidden/>
              </w:rPr>
              <w:tab/>
            </w:r>
            <w:r>
              <w:rPr>
                <w:noProof/>
                <w:webHidden/>
              </w:rPr>
              <w:fldChar w:fldCharType="begin"/>
            </w:r>
            <w:r>
              <w:rPr>
                <w:noProof/>
                <w:webHidden/>
              </w:rPr>
              <w:instrText xml:space="preserve"> PAGEREF _Toc37403646 \h </w:instrText>
            </w:r>
            <w:r>
              <w:rPr>
                <w:noProof/>
                <w:webHidden/>
              </w:rPr>
            </w:r>
            <w:r>
              <w:rPr>
                <w:noProof/>
                <w:webHidden/>
              </w:rPr>
              <w:fldChar w:fldCharType="separate"/>
            </w:r>
            <w:r>
              <w:rPr>
                <w:noProof/>
                <w:webHidden/>
              </w:rPr>
              <w:t>31</w:t>
            </w:r>
            <w:r>
              <w:rPr>
                <w:noProof/>
                <w:webHidden/>
              </w:rPr>
              <w:fldChar w:fldCharType="end"/>
            </w:r>
          </w:hyperlink>
        </w:p>
        <w:p w14:paraId="59AAC6E9" w14:textId="3F04C1B0" w:rsidR="002320C9" w:rsidRDefault="002320C9">
          <w:pPr>
            <w:pStyle w:val="Obsah1"/>
            <w:rPr>
              <w:rFonts w:asciiTheme="minorHAnsi" w:eastAsiaTheme="minorEastAsia" w:hAnsiTheme="minorHAnsi" w:cstheme="minorBidi"/>
              <w:noProof/>
              <w:sz w:val="22"/>
              <w:szCs w:val="22"/>
            </w:rPr>
          </w:pPr>
          <w:hyperlink w:anchor="_Toc37403647" w:history="1">
            <w:r w:rsidRPr="00B87C51">
              <w:rPr>
                <w:rStyle w:val="Hypertextovodkaz"/>
                <w:noProof/>
              </w:rPr>
              <w:t>8. Státní rozpočet</w:t>
            </w:r>
            <w:r>
              <w:rPr>
                <w:noProof/>
                <w:webHidden/>
              </w:rPr>
              <w:tab/>
            </w:r>
            <w:r>
              <w:rPr>
                <w:noProof/>
                <w:webHidden/>
              </w:rPr>
              <w:fldChar w:fldCharType="begin"/>
            </w:r>
            <w:r>
              <w:rPr>
                <w:noProof/>
                <w:webHidden/>
              </w:rPr>
              <w:instrText xml:space="preserve"> PAGEREF _Toc37403647 \h </w:instrText>
            </w:r>
            <w:r>
              <w:rPr>
                <w:noProof/>
                <w:webHidden/>
              </w:rPr>
            </w:r>
            <w:r>
              <w:rPr>
                <w:noProof/>
                <w:webHidden/>
              </w:rPr>
              <w:fldChar w:fldCharType="separate"/>
            </w:r>
            <w:r>
              <w:rPr>
                <w:noProof/>
                <w:webHidden/>
              </w:rPr>
              <w:t>33</w:t>
            </w:r>
            <w:r>
              <w:rPr>
                <w:noProof/>
                <w:webHidden/>
              </w:rPr>
              <w:fldChar w:fldCharType="end"/>
            </w:r>
          </w:hyperlink>
        </w:p>
        <w:p w14:paraId="75243E96" w14:textId="39D5D36A" w:rsidR="00867DAB" w:rsidRPr="009110F7" w:rsidRDefault="007D42E5">
          <w:r w:rsidRPr="009110F7">
            <w:fldChar w:fldCharType="end"/>
          </w:r>
        </w:p>
      </w:sdtContent>
    </w:sdt>
    <w:p w14:paraId="0A820079" w14:textId="77777777" w:rsidR="00003F5C" w:rsidRPr="009110F7" w:rsidRDefault="00003F5C" w:rsidP="00003F5C">
      <w:pPr>
        <w:pStyle w:val="Textpoznpodarou"/>
        <w:jc w:val="both"/>
        <w:rPr>
          <w:rFonts w:cs="Arial"/>
          <w:color w:val="000000"/>
        </w:rPr>
      </w:pPr>
    </w:p>
    <w:p w14:paraId="3858DEBA" w14:textId="77777777" w:rsidR="00003F5C" w:rsidRPr="009110F7" w:rsidRDefault="00003F5C" w:rsidP="00003F5C">
      <w:pPr>
        <w:pStyle w:val="Textpoznpodarou"/>
        <w:jc w:val="both"/>
        <w:rPr>
          <w:rFonts w:cs="Arial"/>
          <w:color w:val="000000"/>
        </w:rPr>
      </w:pPr>
    </w:p>
    <w:p w14:paraId="446544F6" w14:textId="77777777" w:rsidR="00003F5C" w:rsidRPr="009110F7" w:rsidRDefault="00003F5C" w:rsidP="00003F5C">
      <w:pPr>
        <w:pStyle w:val="Textpoznpodarou"/>
        <w:jc w:val="both"/>
        <w:rPr>
          <w:rFonts w:cs="Arial"/>
          <w:color w:val="000000"/>
        </w:rPr>
      </w:pPr>
    </w:p>
    <w:p w14:paraId="7C135E77" w14:textId="77777777" w:rsidR="00003F5C" w:rsidRPr="009110F7" w:rsidRDefault="00003F5C" w:rsidP="00003F5C">
      <w:pPr>
        <w:pStyle w:val="Textpoznpodarou"/>
        <w:jc w:val="both"/>
        <w:rPr>
          <w:rFonts w:cs="Arial"/>
          <w:color w:val="000000"/>
        </w:rPr>
      </w:pPr>
    </w:p>
    <w:p w14:paraId="0E1BF7EA" w14:textId="77777777" w:rsidR="00003F5C" w:rsidRPr="009110F7" w:rsidRDefault="00003F5C" w:rsidP="00003F5C">
      <w:pPr>
        <w:pStyle w:val="Textpoznpodarou"/>
        <w:jc w:val="both"/>
        <w:rPr>
          <w:rFonts w:cs="Arial"/>
          <w:color w:val="000000"/>
        </w:rPr>
      </w:pPr>
    </w:p>
    <w:p w14:paraId="62028913" w14:textId="77777777" w:rsidR="00003F5C" w:rsidRPr="009110F7" w:rsidRDefault="00003F5C" w:rsidP="00003F5C">
      <w:pPr>
        <w:pStyle w:val="Textpoznpodarou"/>
        <w:jc w:val="both"/>
        <w:rPr>
          <w:rFonts w:cs="Arial"/>
          <w:color w:val="000000"/>
        </w:rPr>
      </w:pPr>
    </w:p>
    <w:p w14:paraId="1651792B" w14:textId="77777777" w:rsidR="00003F5C" w:rsidRPr="009110F7" w:rsidRDefault="00003F5C" w:rsidP="00003F5C">
      <w:pPr>
        <w:pStyle w:val="Textpoznpodarou"/>
        <w:jc w:val="both"/>
        <w:rPr>
          <w:rFonts w:cs="Arial"/>
          <w:color w:val="000000"/>
        </w:rPr>
      </w:pPr>
      <w:r w:rsidRPr="009110F7">
        <w:rPr>
          <w:rFonts w:cs="Arial"/>
          <w:color w:val="000000"/>
        </w:rPr>
        <w:t>Zdroje dat v celé analýze: ČSÚ, MF</w:t>
      </w:r>
      <w:r w:rsidR="00A45489" w:rsidRPr="009110F7">
        <w:rPr>
          <w:rFonts w:cs="Arial"/>
          <w:color w:val="000000"/>
        </w:rPr>
        <w:t> </w:t>
      </w:r>
      <w:r w:rsidRPr="009110F7">
        <w:rPr>
          <w:rFonts w:cs="Arial"/>
          <w:color w:val="000000"/>
        </w:rPr>
        <w:t xml:space="preserve">ČR, ČNB, MPSV, ČSSZ, </w:t>
      </w:r>
      <w:proofErr w:type="spellStart"/>
      <w:r w:rsidRPr="009110F7">
        <w:rPr>
          <w:rFonts w:cs="Arial"/>
          <w:color w:val="000000"/>
        </w:rPr>
        <w:t>Eurostat</w:t>
      </w:r>
      <w:proofErr w:type="spellEnd"/>
      <w:r w:rsidRPr="009110F7">
        <w:rPr>
          <w:rFonts w:cs="Arial"/>
          <w:color w:val="000000"/>
        </w:rPr>
        <w:t>, propočty ČSÚ.</w:t>
      </w:r>
    </w:p>
    <w:p w14:paraId="4EA2233D" w14:textId="3F5C671C" w:rsidR="00003F5C" w:rsidRDefault="00003F5C" w:rsidP="00003F5C">
      <w:pPr>
        <w:pStyle w:val="Textpoznpodarou"/>
        <w:jc w:val="both"/>
        <w:rPr>
          <w:rFonts w:cs="Arial"/>
          <w:color w:val="000000"/>
        </w:rPr>
      </w:pPr>
      <w:r w:rsidRPr="009110F7">
        <w:rPr>
          <w:rFonts w:cs="Arial"/>
          <w:color w:val="000000"/>
        </w:rPr>
        <w:t xml:space="preserve">Poslední informace uváděné v této publikaci </w:t>
      </w:r>
      <w:r w:rsidR="00FA6CB6" w:rsidRPr="009110F7">
        <w:rPr>
          <w:rFonts w:cs="Arial"/>
          <w:color w:val="000000"/>
        </w:rPr>
        <w:t xml:space="preserve">pocházejí </w:t>
      </w:r>
      <w:r w:rsidR="00283F7B" w:rsidRPr="009110F7">
        <w:rPr>
          <w:rFonts w:cs="Arial"/>
          <w:color w:val="000000"/>
        </w:rPr>
        <w:t>z</w:t>
      </w:r>
      <w:r w:rsidR="00283F7B">
        <w:rPr>
          <w:rFonts w:cs="Arial"/>
          <w:color w:val="000000"/>
        </w:rPr>
        <w:t> </w:t>
      </w:r>
      <w:r w:rsidR="005C216C">
        <w:rPr>
          <w:rFonts w:cs="Arial"/>
          <w:color w:val="000000"/>
        </w:rPr>
        <w:t>1</w:t>
      </w:r>
      <w:r w:rsidR="00971710">
        <w:rPr>
          <w:rFonts w:cs="Arial"/>
          <w:color w:val="000000"/>
        </w:rPr>
        <w:t>.</w:t>
      </w:r>
      <w:r w:rsidR="003A7373">
        <w:rPr>
          <w:rFonts w:cs="Arial"/>
          <w:color w:val="000000"/>
        </w:rPr>
        <w:t> </w:t>
      </w:r>
      <w:r w:rsidR="005C216C">
        <w:rPr>
          <w:rFonts w:cs="Arial"/>
          <w:color w:val="000000"/>
        </w:rPr>
        <w:t>dubna</w:t>
      </w:r>
      <w:r w:rsidRPr="009110F7">
        <w:rPr>
          <w:rFonts w:cs="Arial"/>
          <w:color w:val="000000"/>
        </w:rPr>
        <w:t xml:space="preserve"> </w:t>
      </w:r>
      <w:r w:rsidR="00F37EDC">
        <w:rPr>
          <w:rFonts w:cs="Arial"/>
          <w:color w:val="000000"/>
        </w:rPr>
        <w:t>20</w:t>
      </w:r>
      <w:r w:rsidR="005C216C">
        <w:rPr>
          <w:rFonts w:cs="Arial"/>
          <w:color w:val="000000"/>
        </w:rPr>
        <w:t>20</w:t>
      </w:r>
      <w:r w:rsidRPr="009110F7">
        <w:rPr>
          <w:rFonts w:cs="Arial"/>
          <w:color w:val="000000"/>
        </w:rPr>
        <w:t>.</w:t>
      </w:r>
    </w:p>
    <w:p w14:paraId="56EC82D9" w14:textId="0A5866B3" w:rsidR="002F1D56" w:rsidRDefault="002F1D56" w:rsidP="00003F5C">
      <w:pPr>
        <w:pStyle w:val="Textpoznpodarou"/>
        <w:jc w:val="both"/>
        <w:rPr>
          <w:rFonts w:cs="Arial"/>
          <w:color w:val="000000"/>
        </w:rPr>
      </w:pPr>
    </w:p>
    <w:p w14:paraId="7C689972" w14:textId="443C9781" w:rsidR="002F1D56" w:rsidRPr="002F1D56" w:rsidRDefault="002F1D56" w:rsidP="00003F5C">
      <w:pPr>
        <w:pStyle w:val="Textpoznpodarou"/>
        <w:jc w:val="both"/>
        <w:rPr>
          <w:rFonts w:cs="Arial"/>
        </w:rPr>
      </w:pPr>
    </w:p>
    <w:p w14:paraId="638CF984" w14:textId="762182FD" w:rsidR="002F1D56" w:rsidRPr="002F1D56" w:rsidRDefault="002F1D56" w:rsidP="00003F5C">
      <w:pPr>
        <w:pStyle w:val="Textpoznpodarou"/>
        <w:jc w:val="both"/>
        <w:rPr>
          <w:rFonts w:cs="Arial"/>
        </w:rPr>
      </w:pPr>
      <w:r w:rsidRPr="002F1D56">
        <w:rPr>
          <w:rStyle w:val="Zdraznn"/>
          <w:rFonts w:cs="Arial"/>
          <w:i w:val="0"/>
        </w:rPr>
        <w:t xml:space="preserve">Agregované údaje za EU použité v tomto textu a spadající do referenčního období </w:t>
      </w:r>
      <w:r w:rsidR="0080559E">
        <w:rPr>
          <w:rStyle w:val="Zdraznn"/>
          <w:rFonts w:cs="Arial"/>
          <w:i w:val="0"/>
        </w:rPr>
        <w:t xml:space="preserve">končícího rokem </w:t>
      </w:r>
      <w:r w:rsidRPr="002F1D56">
        <w:rPr>
          <w:rStyle w:val="Zdraznn"/>
          <w:rFonts w:cs="Arial"/>
          <w:i w:val="0"/>
        </w:rPr>
        <w:t>2019 zahrnují všech 28 států Unie včetně Velké Británie.</w:t>
      </w:r>
    </w:p>
    <w:p w14:paraId="089CA461" w14:textId="77777777" w:rsidR="006E761A" w:rsidRPr="000350C8" w:rsidRDefault="00087F2B" w:rsidP="006E761A">
      <w:pPr>
        <w:pStyle w:val="Nadpis1"/>
      </w:pPr>
      <w:r w:rsidRPr="002F1D56">
        <w:rPr>
          <w:color w:val="auto"/>
        </w:rPr>
        <w:br w:type="page"/>
      </w:r>
      <w:bookmarkStart w:id="0" w:name="_Toc444112494"/>
      <w:bookmarkStart w:id="1" w:name="_Toc511215208"/>
      <w:r w:rsidR="001554C2" w:rsidRPr="009110F7">
        <w:lastRenderedPageBreak/>
        <w:t xml:space="preserve"> </w:t>
      </w:r>
      <w:bookmarkStart w:id="2" w:name="_Toc37403640"/>
      <w:r w:rsidR="006E761A" w:rsidRPr="000350C8">
        <w:t>1</w:t>
      </w:r>
      <w:r w:rsidR="006E761A">
        <w:t>. </w:t>
      </w:r>
      <w:r w:rsidR="006E761A" w:rsidRPr="000350C8">
        <w:t>Shrnutí</w:t>
      </w:r>
      <w:bookmarkEnd w:id="2"/>
    </w:p>
    <w:p w14:paraId="17FC14D1" w14:textId="77777777" w:rsidR="00925615" w:rsidRDefault="00925615" w:rsidP="00925615">
      <w:pPr>
        <w:pStyle w:val="Normalodrka"/>
        <w:numPr>
          <w:ilvl w:val="0"/>
          <w:numId w:val="29"/>
        </w:numPr>
        <w:spacing w:after="100"/>
        <w:ind w:left="357" w:hanging="357"/>
      </w:pPr>
      <w:bookmarkStart w:id="3" w:name="_Toc26865017"/>
      <w:bookmarkEnd w:id="0"/>
      <w:bookmarkEnd w:id="1"/>
      <w:r>
        <w:t>Hrubý domácí produkt (HDP) se v roce 2019 zvýšil o 2,5 %</w:t>
      </w:r>
      <w:r>
        <w:rPr>
          <w:rStyle w:val="Znakapoznpodarou"/>
          <w:spacing w:val="-4"/>
          <w:szCs w:val="20"/>
        </w:rPr>
        <w:footnoteReference w:id="1"/>
      </w:r>
      <w:r>
        <w:t>. Ve 4. čtvrtletí meziroční tempo růstu HDP výrazněji zpomalilo a dostalo se na 2,0 %. Po celý rok růst HDP stabilně a silně podporovala domácí spotřeba, která se ve 4. čtvrtletí meziročně zvýšila o 2,8 %. Naopak bilance zahraničního obchodu, která růst HDP silně podpořila ve 2. a 3. čtvrtletí, v závěru roku zaznamenala propad. Ve 4. čtvrtletí došlo k oživení dynamiky investiční aktivity. Výdaje na tvorbu hrubého fixního kapitálu se meziročně zvýšily o 4,6 % a mezičtvrtletně o 4,1 %.</w:t>
      </w:r>
    </w:p>
    <w:p w14:paraId="3CB749A0" w14:textId="77777777" w:rsidR="00925615" w:rsidRDefault="00925615" w:rsidP="00925615">
      <w:pPr>
        <w:pStyle w:val="Normalodrka"/>
        <w:numPr>
          <w:ilvl w:val="0"/>
          <w:numId w:val="29"/>
        </w:numPr>
        <w:spacing w:after="100"/>
        <w:ind w:left="357" w:hanging="357"/>
        <w:rPr>
          <w:spacing w:val="2"/>
        </w:rPr>
      </w:pPr>
      <w:r>
        <w:t>Hrubá přidaná hodnota (HPH) se v roce 2019 zvýšila o 2,4 %, ve 4. čtvrtletí její meziroční tempo zvolnilo na 1,8 %. Meziroční růst HPH byl loni ze čtyř pětin tažen sektorem služeb, v němž pokračoval dynamický rozvoj informačních a komunikačních činností (7,6 %). Na oživení z roku 2018 navázalo za podpory eurofondů stavebnictví (3,4 %). Naopak oslabená zahraniční poptávka srazila HPH v průmyslu na šestileté minimum (0,7 %). Pozitivní důvěra spotřebitelů se odrazila ve svižném 4,8% růstu maloobchodních tržeb, pátém nejvyšším mezi státy EU.</w:t>
      </w:r>
    </w:p>
    <w:p w14:paraId="5E9065B3" w14:textId="77777777" w:rsidR="00925615" w:rsidRDefault="00925615" w:rsidP="00925615">
      <w:pPr>
        <w:pStyle w:val="Normalodrka"/>
        <w:numPr>
          <w:ilvl w:val="0"/>
          <w:numId w:val="29"/>
        </w:numPr>
        <w:spacing w:after="100"/>
        <w:ind w:left="357" w:hanging="357"/>
        <w:rPr>
          <w:spacing w:val="2"/>
        </w:rPr>
      </w:pPr>
      <w:r>
        <w:rPr>
          <w:spacing w:val="2"/>
        </w:rPr>
        <w:t>Přebytek bilance zahraničního obchodu se zbožím a službami loni dosáhl 345,7 mld. korun</w:t>
      </w:r>
      <w:r>
        <w:rPr>
          <w:rStyle w:val="Znakapoznpodarou"/>
          <w:spacing w:val="2"/>
        </w:rPr>
        <w:footnoteReference w:id="2"/>
      </w:r>
      <w:r>
        <w:rPr>
          <w:spacing w:val="2"/>
        </w:rPr>
        <w:t>. Zvýšil se přebytek obchodu se zbožím, ale propad u služeb vedl k tomu, že bilance zahraničního obchodu loni příliš nepřispěla k celkovému růstu HDP. Příznivý vývoj ve 2. a 3. kvartálu totiž efektivně vynuloval propad v závěru roku. K růstu přebytku obchodu se zbožím přispěla zejména motorová vozidla, kde se kladné saldo zvýšilo. Pozitivně ovlivnilo výsledné saldo i zlepšení existujícího deficitu obchodu s ropou a zemním plynem.</w:t>
      </w:r>
    </w:p>
    <w:p w14:paraId="649A776A" w14:textId="19B6523E" w:rsidR="00925615" w:rsidRDefault="00925615" w:rsidP="00925615">
      <w:pPr>
        <w:pStyle w:val="Normalodrka"/>
        <w:numPr>
          <w:ilvl w:val="0"/>
          <w:numId w:val="29"/>
        </w:numPr>
        <w:spacing w:after="100"/>
        <w:ind w:left="357" w:hanging="357"/>
        <w:rPr>
          <w:spacing w:val="2"/>
        </w:rPr>
      </w:pPr>
      <w:r>
        <w:rPr>
          <w:spacing w:val="2"/>
        </w:rPr>
        <w:t>Cenová hladina</w:t>
      </w:r>
      <w:r w:rsidR="009F4F6A">
        <w:rPr>
          <w:spacing w:val="2"/>
        </w:rPr>
        <w:t xml:space="preserve"> </w:t>
      </w:r>
      <w:r w:rsidR="002C1110">
        <w:rPr>
          <w:spacing w:val="2"/>
        </w:rPr>
        <w:t>podle deflátoru HDP</w:t>
      </w:r>
      <w:r>
        <w:rPr>
          <w:spacing w:val="2"/>
        </w:rPr>
        <w:t xml:space="preserve"> v roce 2019 vzrostla o 3,5 %, zejména pod vlivem cen spotřebních statků. Index spotřebitelských cen se loni zvýšil o 2,8 %, nejvíce za posledních sedm let. Nejvíce k tomu přispěly ceny bydlení a energií, následované potravinami a nealkoholickými nápoji. Ve 4. čtvrtletí meziroční přírůstek spotřebitelských cen činil 3,0 %. Silná zůstala dynamika v případě cen bydlení a energií (5,0 %), ale zrychlil i růst cen potravin (4,3 %). Vývoj v Česku byl v protikladu s průměrným růstem spotřebitelských cen v EU, který se ve 2. pololetí ustálil na mírných 1,3 %. Meziroční růst cen výrobců v průběhu roku zpomaloval a ve 4. čtvrtletí navýšení dosáhlo 1,3 %.</w:t>
      </w:r>
    </w:p>
    <w:p w14:paraId="14E41339" w14:textId="77777777" w:rsidR="00925615" w:rsidRDefault="00925615" w:rsidP="00925615">
      <w:pPr>
        <w:pStyle w:val="Normalodrka"/>
        <w:numPr>
          <w:ilvl w:val="0"/>
          <w:numId w:val="29"/>
        </w:numPr>
        <w:spacing w:after="100"/>
        <w:ind w:left="357" w:hanging="357"/>
      </w:pPr>
      <w:r>
        <w:rPr>
          <w:spacing w:val="-2"/>
        </w:rPr>
        <w:t>Meziroční růst celkové zaměstnanosti</w:t>
      </w:r>
      <w:r>
        <w:rPr>
          <w:rStyle w:val="Znakapoznpodarou"/>
          <w:spacing w:val="-2"/>
        </w:rPr>
        <w:footnoteReference w:id="3"/>
      </w:r>
      <w:r>
        <w:rPr>
          <w:spacing w:val="-2"/>
        </w:rPr>
        <w:t xml:space="preserve"> v roce 2019 dosáhl 0,7 %, ve 4. čtvrtletí ale zejména vlivem exportních oborů již jen stagnoval. V některých odvětvích nedostatek pracovní síly stále představoval významnou bariéru růstu (zejména ve stavebnictví). </w:t>
      </w:r>
      <w:r>
        <w:rPr>
          <w:spacing w:val="-3"/>
        </w:rPr>
        <w:t xml:space="preserve">Obecná míra nezaměstnanosti doznala během loňského roku jen minimálních změn. V prosinci 2019 čítala 1,8 % u mužů a 2,3 % u žen. </w:t>
      </w:r>
      <w:r>
        <w:rPr>
          <w:spacing w:val="-4"/>
        </w:rPr>
        <w:t xml:space="preserve">Průměrná hrubá nominální měsíční mzda loni vzrostla o 7,1 % (na 34 125 korun). Šlo o druhé nejvyšší meziroční tempo za posledních jedenáct let. </w:t>
      </w:r>
      <w:r>
        <w:t>Relativně nejvíce vzrostly, již druhým rokem v řadě, průměrné výdělky ve vzdělávání.</w:t>
      </w:r>
    </w:p>
    <w:p w14:paraId="0CC232E6" w14:textId="77777777" w:rsidR="00925615" w:rsidRDefault="00925615" w:rsidP="00925615">
      <w:pPr>
        <w:pStyle w:val="Normalodrka"/>
        <w:numPr>
          <w:ilvl w:val="0"/>
          <w:numId w:val="29"/>
        </w:numPr>
        <w:spacing w:after="100"/>
        <w:ind w:left="357" w:hanging="357"/>
      </w:pPr>
      <w:r>
        <w:t xml:space="preserve">Nastavení základních </w:t>
      </w:r>
      <w:proofErr w:type="spellStart"/>
      <w:r>
        <w:t>měnověpolitických</w:t>
      </w:r>
      <w:proofErr w:type="spellEnd"/>
      <w:r>
        <w:t xml:space="preserve"> sazeb se loni změnilo jen jednou, a to při květnovém zvýšení. Od ledna do září rostly průměrné úrokové sazby na vkladech s dohodnutou splatností pro domácnosti, ve 4. čtvrtletí ale došlo k mírnému poklesu. Domácnostem však klesaly náklady na úvěry – spotřebitelské i úvěry na bydlení. Růst objemu úvěrů na bydlení ale od začátku roku zpomaloval.</w:t>
      </w:r>
    </w:p>
    <w:p w14:paraId="11275615" w14:textId="77777777" w:rsidR="00925615" w:rsidRDefault="00925615" w:rsidP="00925615">
      <w:pPr>
        <w:pStyle w:val="Normalodrka"/>
        <w:numPr>
          <w:ilvl w:val="0"/>
          <w:numId w:val="29"/>
        </w:numPr>
        <w:spacing w:after="100"/>
        <w:ind w:left="357" w:hanging="357"/>
      </w:pPr>
      <w:r>
        <w:t xml:space="preserve">Deficit státního rozpočtu (SR) za rok 2019 činil 28,5 mld. korun. </w:t>
      </w:r>
      <w:r>
        <w:rPr>
          <w:spacing w:val="-2"/>
        </w:rPr>
        <w:t xml:space="preserve">Za prohloubením salda oproti roku 2018 stály loni především svižný růst běžných i investičních výdajů a dále i mírné zpomalení dynamiky výběru některých váhově významných daní vlivem zvolnění hospodářského růstu. Na meziročním růstu příjmů SR o 8,5 % se loni projevil silnější příliv prostředků z rozpočtu EU, plánovaný jednorázový převod z privatizačního účtu i vyšší příjmy z prodeje emisních povolenek. Třetinou přispěl k vyšším celkovým příjmům i výběr pojistného na sociální zabezpečení, jen nepatrně menší roli měly daňové příjmy. </w:t>
      </w:r>
      <w:r>
        <w:rPr>
          <w:color w:val="0D0D0D" w:themeColor="text1" w:themeTint="F2"/>
          <w:spacing w:val="-4"/>
        </w:rPr>
        <w:t>Běžné výdaje SR posílily loni meziročně o desetinu, zejména kvůli vyšším výdajům na sociální dávky i růstu výdajů na regionální školství a platů na úrovni organizačních složek státu</w:t>
      </w:r>
      <w:r>
        <w:rPr>
          <w:rFonts w:cs="Arial"/>
          <w:color w:val="0D0D0D" w:themeColor="text1" w:themeTint="F2"/>
          <w:spacing w:val="-4"/>
        </w:rPr>
        <w:t>.</w:t>
      </w:r>
      <w:r>
        <w:t xml:space="preserve"> Saldo hospodaření sektoru vládních institucí zůstalo čtvrtým rokem v řadě kladné, výše přebytku se ale loni ztenčila na 0,3 % HDP. Míra zadlužení dosahovala na konci roku 2019 úrovně 30,8 % HDP, meziročně klesla o 1,8 p. b.</w:t>
      </w:r>
    </w:p>
    <w:p w14:paraId="329CBBF4" w14:textId="77777777" w:rsidR="00C715CC" w:rsidRPr="009110F7" w:rsidRDefault="00C715CC" w:rsidP="00C715CC">
      <w:pPr>
        <w:pStyle w:val="Nadpis1"/>
      </w:pPr>
      <w:bookmarkStart w:id="4" w:name="_Toc37403641"/>
      <w:r w:rsidRPr="0077605B">
        <w:lastRenderedPageBreak/>
        <w:t>2</w:t>
      </w:r>
      <w:r>
        <w:t>. </w:t>
      </w:r>
      <w:r w:rsidRPr="0077605B">
        <w:t>Souhrnná výkonnost</w:t>
      </w:r>
      <w:bookmarkEnd w:id="3"/>
      <w:bookmarkEnd w:id="4"/>
    </w:p>
    <w:tbl>
      <w:tblPr>
        <w:tblW w:w="9639" w:type="dxa"/>
        <w:tblInd w:w="-15" w:type="dxa"/>
        <w:tblCellMar>
          <w:left w:w="0" w:type="dxa"/>
          <w:right w:w="0" w:type="dxa"/>
        </w:tblCellMar>
        <w:tblLook w:val="00A0" w:firstRow="1" w:lastRow="0" w:firstColumn="1" w:lastColumn="0" w:noHBand="0" w:noVBand="0"/>
      </w:tblPr>
      <w:tblGrid>
        <w:gridCol w:w="1806"/>
        <w:gridCol w:w="223"/>
        <w:gridCol w:w="7610"/>
      </w:tblGrid>
      <w:tr w:rsidR="00F93F2C" w:rsidRPr="009110F7" w14:paraId="44932B4C" w14:textId="77777777" w:rsidTr="00E44243">
        <w:trPr>
          <w:trHeight w:val="145"/>
        </w:trPr>
        <w:tc>
          <w:tcPr>
            <w:tcW w:w="1806" w:type="dxa"/>
            <w:shd w:val="clear" w:color="auto" w:fill="auto"/>
            <w:tcMar>
              <w:left w:w="0" w:type="dxa"/>
            </w:tcMar>
          </w:tcPr>
          <w:p w14:paraId="41E356A2" w14:textId="2ACD1491" w:rsidR="00F93F2C" w:rsidRDefault="00F93F2C" w:rsidP="00F93F2C">
            <w:pPr>
              <w:pStyle w:val="Marginlie"/>
            </w:pPr>
            <w:r>
              <w:t>Hrubý domácí produkt se v roce 2019 zvýšil o 2,5 %. V závěru roku meziroční dynamika výrazněji zpomalila.</w:t>
            </w:r>
          </w:p>
        </w:tc>
        <w:tc>
          <w:tcPr>
            <w:tcW w:w="223" w:type="dxa"/>
            <w:shd w:val="clear" w:color="auto" w:fill="auto"/>
            <w:tcMar>
              <w:left w:w="0" w:type="dxa"/>
            </w:tcMar>
          </w:tcPr>
          <w:p w14:paraId="497F5A45" w14:textId="77777777" w:rsidR="00F93F2C" w:rsidRDefault="00F93F2C" w:rsidP="00F93F2C">
            <w:pPr>
              <w:pStyle w:val="Textpoznpodarou"/>
              <w:jc w:val="both"/>
              <w:rPr>
                <w:spacing w:val="-4"/>
              </w:rPr>
            </w:pPr>
          </w:p>
        </w:tc>
        <w:tc>
          <w:tcPr>
            <w:tcW w:w="7610" w:type="dxa"/>
            <w:shd w:val="clear" w:color="auto" w:fill="auto"/>
            <w:tcMar>
              <w:left w:w="0" w:type="dxa"/>
            </w:tcMar>
          </w:tcPr>
          <w:p w14:paraId="35B6E59B" w14:textId="040FD88E" w:rsidR="00F93F2C" w:rsidRPr="00B83E07" w:rsidRDefault="00F93F2C" w:rsidP="00F93F2C">
            <w:pPr>
              <w:spacing w:after="220"/>
              <w:rPr>
                <w:spacing w:val="-2"/>
              </w:rPr>
            </w:pPr>
            <w:r>
              <w:rPr>
                <w:spacing w:val="-2"/>
              </w:rPr>
              <w:t>Meziroční růst hrubého domácího produktu (HDP) měl od počátku roku sestupnou tendenci, v 1. až 3. čtvrtletí se ale držel kolem hranice 2,5 % (2,8 %, 2,7 % a 2,5 % v 1., 2. a 3. kvartálu)</w:t>
            </w:r>
            <w:r w:rsidRPr="00B83E07">
              <w:rPr>
                <w:rStyle w:val="Znakapoznpodarou"/>
                <w:rFonts w:cs="Arial"/>
                <w:spacing w:val="-2"/>
              </w:rPr>
              <w:footnoteReference w:id="4"/>
            </w:r>
            <w:r>
              <w:rPr>
                <w:spacing w:val="-2"/>
              </w:rPr>
              <w:t>. Závěr roku přinesl silnější pokles tempa, a meziroční přírůstek HDP tak ve 4. čtvrtletí činil 2,0 % (nejméně od 4. čtvrtletí 2016). Mezičtvrtletní přírůstky v průběhu 1. až 3. čtvrtletí oslabovaly (0,6 %, 0,5 % a 0,4 % v jednotlivých kvartálech), ale ve 4. čtvrtletí HDP vzrostl o 0,5 %. Za celý rok 2019 se HDP reálně zvýšil o 2,5 %. Po celý rok byla klíčovým hybatelem hospodářského růstu domácí spotřeba. Ta k celoročnímu přírůstku HDP přispěla 1,8 p. b.</w:t>
            </w:r>
            <w:r w:rsidRPr="009110F7">
              <w:rPr>
                <w:rStyle w:val="Znakapoznpodarou"/>
              </w:rPr>
              <w:footnoteReference w:id="5"/>
            </w:r>
            <w:r>
              <w:rPr>
                <w:spacing w:val="-2"/>
              </w:rPr>
              <w:t xml:space="preserve"> Výrazně slabší byl vliv tvorby hrubého kapitálu (0,6 p. b.) a bilance zahraničního obchodu (0,1 p. b.). V samotném 4. čtvrtletí na meziroční růst HDP mimořádně silně působila tvorba hrubého kapitálu (2,3 p. b.), doplněná vlivem výdajů na spotřebu (1,7 p. b.). Silně negativní ale byl příspěvek bilance zahraničního obchodu (–1,9 p. b.). Jde o nejhorší příspěvek bilance od 2. čtvrtletí 2009.</w:t>
            </w:r>
          </w:p>
        </w:tc>
      </w:tr>
      <w:tr w:rsidR="00F93F2C" w:rsidRPr="009110F7" w14:paraId="365FCE6B" w14:textId="77777777" w:rsidTr="00E44243">
        <w:trPr>
          <w:trHeight w:val="170"/>
        </w:trPr>
        <w:tc>
          <w:tcPr>
            <w:tcW w:w="1806" w:type="dxa"/>
            <w:vMerge w:val="restart"/>
            <w:shd w:val="clear" w:color="auto" w:fill="auto"/>
            <w:tcMar>
              <w:left w:w="0" w:type="dxa"/>
            </w:tcMar>
          </w:tcPr>
          <w:p w14:paraId="5CF0E118" w14:textId="77777777" w:rsidR="00F93F2C" w:rsidRDefault="00F93F2C" w:rsidP="00F93F2C">
            <w:pPr>
              <w:pStyle w:val="Marginlie"/>
            </w:pPr>
          </w:p>
        </w:tc>
        <w:tc>
          <w:tcPr>
            <w:tcW w:w="223" w:type="dxa"/>
            <w:vMerge w:val="restart"/>
            <w:shd w:val="clear" w:color="auto" w:fill="auto"/>
            <w:tcMar>
              <w:left w:w="0" w:type="dxa"/>
            </w:tcMar>
          </w:tcPr>
          <w:p w14:paraId="1FF8316F" w14:textId="77777777" w:rsidR="00F93F2C" w:rsidRDefault="00F93F2C" w:rsidP="00F93F2C">
            <w:pPr>
              <w:pStyle w:val="Textpoznpodarou"/>
              <w:jc w:val="both"/>
              <w:rPr>
                <w:spacing w:val="-4"/>
              </w:rPr>
            </w:pPr>
          </w:p>
        </w:tc>
        <w:tc>
          <w:tcPr>
            <w:tcW w:w="7610" w:type="dxa"/>
            <w:shd w:val="clear" w:color="auto" w:fill="auto"/>
            <w:tcMar>
              <w:left w:w="0" w:type="dxa"/>
            </w:tcMar>
          </w:tcPr>
          <w:p w14:paraId="0F8D2F64" w14:textId="69358C3D" w:rsidR="00F93F2C" w:rsidRPr="001208E3" w:rsidRDefault="00F93F2C" w:rsidP="00F93F2C">
            <w:pPr>
              <w:spacing w:after="0"/>
              <w:rPr>
                <w:b/>
                <w:szCs w:val="20"/>
              </w:rPr>
            </w:pPr>
            <w:r w:rsidRPr="0041745D">
              <w:rPr>
                <w:rFonts w:cs="Arial"/>
                <w:b/>
                <w:bCs/>
                <w:color w:val="000000"/>
                <w:sz w:val="18"/>
                <w:szCs w:val="18"/>
              </w:rPr>
              <w:t xml:space="preserve">Graf </w:t>
            </w:r>
            <w:r>
              <w:rPr>
                <w:rFonts w:cs="Arial"/>
                <w:b/>
                <w:bCs/>
                <w:color w:val="000000"/>
                <w:sz w:val="18"/>
                <w:szCs w:val="18"/>
              </w:rPr>
              <w:t>č. </w:t>
            </w:r>
            <w:r w:rsidRPr="00663018">
              <w:rPr>
                <w:rFonts w:cs="Arial"/>
                <w:b/>
                <w:bCs/>
                <w:color w:val="000000"/>
                <w:sz w:val="18"/>
                <w:szCs w:val="18"/>
              </w:rPr>
              <w:t>1</w:t>
            </w:r>
            <w:r>
              <w:rPr>
                <w:rFonts w:cs="Arial"/>
                <w:b/>
                <w:bCs/>
                <w:color w:val="000000"/>
                <w:sz w:val="18"/>
                <w:szCs w:val="18"/>
              </w:rPr>
              <w:t xml:space="preserve"> </w:t>
            </w:r>
            <w:r w:rsidRPr="00663018">
              <w:rPr>
                <w:rFonts w:cs="Arial"/>
                <w:b/>
                <w:bCs/>
                <w:color w:val="000000"/>
                <w:sz w:val="18"/>
                <w:szCs w:val="18"/>
              </w:rPr>
              <w:t xml:space="preserve"> </w:t>
            </w:r>
            <w:r w:rsidRPr="00663018">
              <w:rPr>
                <w:rFonts w:cs="Arial"/>
                <w:b/>
                <w:sz w:val="18"/>
                <w:szCs w:val="18"/>
                <w:lang w:eastAsia="en-US"/>
              </w:rPr>
              <w:t>HDP (objemové indexy, očištěno o</w:t>
            </w:r>
            <w:r>
              <w:rPr>
                <w:rFonts w:cs="Arial"/>
                <w:b/>
                <w:sz w:val="18"/>
                <w:szCs w:val="18"/>
                <w:lang w:eastAsia="en-US"/>
              </w:rPr>
              <w:t> </w:t>
            </w:r>
            <w:r w:rsidRPr="00663018">
              <w:rPr>
                <w:rFonts w:cs="Arial"/>
                <w:b/>
                <w:sz w:val="18"/>
                <w:szCs w:val="18"/>
                <w:lang w:eastAsia="en-US"/>
              </w:rPr>
              <w:t>sezónní a kalendářní vlivy, v</w:t>
            </w:r>
            <w:r>
              <w:rPr>
                <w:rFonts w:cs="Arial"/>
                <w:b/>
                <w:sz w:val="18"/>
                <w:szCs w:val="18"/>
                <w:lang w:eastAsia="en-US"/>
              </w:rPr>
              <w:t> %</w:t>
            </w:r>
            <w:r w:rsidRPr="00663018">
              <w:rPr>
                <w:rFonts w:cs="Arial"/>
                <w:b/>
                <w:sz w:val="18"/>
                <w:szCs w:val="18"/>
                <w:lang w:eastAsia="en-US"/>
              </w:rPr>
              <w:t>)</w:t>
            </w:r>
          </w:p>
        </w:tc>
      </w:tr>
      <w:tr w:rsidR="00F93F2C" w:rsidRPr="009110F7" w14:paraId="2005A113" w14:textId="77777777" w:rsidTr="00E44243">
        <w:tblPrEx>
          <w:tblCellMar>
            <w:left w:w="70" w:type="dxa"/>
            <w:right w:w="70" w:type="dxa"/>
          </w:tblCellMar>
        </w:tblPrEx>
        <w:trPr>
          <w:trHeight w:val="170"/>
        </w:trPr>
        <w:tc>
          <w:tcPr>
            <w:tcW w:w="1806" w:type="dxa"/>
            <w:vMerge/>
            <w:shd w:val="clear" w:color="auto" w:fill="auto"/>
          </w:tcPr>
          <w:p w14:paraId="147EB677" w14:textId="77777777" w:rsidR="00F93F2C" w:rsidRPr="009110F7" w:rsidRDefault="00F93F2C" w:rsidP="00F93F2C">
            <w:pPr>
              <w:pStyle w:val="Marginlie"/>
            </w:pPr>
          </w:p>
        </w:tc>
        <w:tc>
          <w:tcPr>
            <w:tcW w:w="223" w:type="dxa"/>
            <w:vMerge/>
            <w:shd w:val="clear" w:color="auto" w:fill="auto"/>
          </w:tcPr>
          <w:p w14:paraId="5C2AB3AB" w14:textId="77777777" w:rsidR="00F93F2C" w:rsidRPr="009110F7" w:rsidRDefault="00F93F2C" w:rsidP="00F93F2C">
            <w:pPr>
              <w:pStyle w:val="Textpoznpodarou"/>
              <w:jc w:val="both"/>
              <w:rPr>
                <w:spacing w:val="-4"/>
              </w:rPr>
            </w:pPr>
          </w:p>
        </w:tc>
        <w:tc>
          <w:tcPr>
            <w:tcW w:w="7610" w:type="dxa"/>
            <w:shd w:val="clear" w:color="auto" w:fill="auto"/>
          </w:tcPr>
          <w:p w14:paraId="6D3B890D" w14:textId="4F586A53" w:rsidR="00F93F2C" w:rsidRPr="009110F7" w:rsidRDefault="00F93F2C" w:rsidP="00F93F2C">
            <w:pPr>
              <w:spacing w:after="0"/>
            </w:pPr>
            <w:r>
              <w:rPr>
                <w:noProof/>
              </w:rPr>
              <w:drawing>
                <wp:inline distT="0" distB="0" distL="0" distR="0" wp14:anchorId="0DF3C972" wp14:editId="5C83E557">
                  <wp:extent cx="4737600" cy="3553200"/>
                  <wp:effectExtent l="0" t="0" r="6350" b="0"/>
                  <wp:docPr id="1" name="Graf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F93F2C" w:rsidRPr="009110F7" w14:paraId="5F17DB0C" w14:textId="77777777" w:rsidTr="00E44243">
        <w:trPr>
          <w:trHeight w:val="170"/>
        </w:trPr>
        <w:tc>
          <w:tcPr>
            <w:tcW w:w="1806" w:type="dxa"/>
            <w:vMerge/>
            <w:shd w:val="clear" w:color="auto" w:fill="auto"/>
            <w:tcMar>
              <w:left w:w="0" w:type="dxa"/>
            </w:tcMar>
          </w:tcPr>
          <w:p w14:paraId="1301185E" w14:textId="77777777" w:rsidR="00F93F2C" w:rsidRPr="009110F7" w:rsidRDefault="00F93F2C" w:rsidP="00F93F2C">
            <w:pPr>
              <w:pStyle w:val="Marginlie"/>
            </w:pPr>
          </w:p>
        </w:tc>
        <w:tc>
          <w:tcPr>
            <w:tcW w:w="223" w:type="dxa"/>
            <w:vMerge/>
            <w:shd w:val="clear" w:color="auto" w:fill="auto"/>
            <w:tcMar>
              <w:left w:w="0" w:type="dxa"/>
            </w:tcMar>
          </w:tcPr>
          <w:p w14:paraId="2C10860C" w14:textId="77777777" w:rsidR="00F93F2C" w:rsidRPr="009110F7" w:rsidRDefault="00F93F2C" w:rsidP="00F93F2C">
            <w:pPr>
              <w:pStyle w:val="Textpoznpodarou"/>
              <w:jc w:val="both"/>
              <w:rPr>
                <w:spacing w:val="-4"/>
              </w:rPr>
            </w:pPr>
          </w:p>
        </w:tc>
        <w:tc>
          <w:tcPr>
            <w:tcW w:w="7610" w:type="dxa"/>
            <w:shd w:val="clear" w:color="auto" w:fill="auto"/>
            <w:tcMar>
              <w:left w:w="0" w:type="dxa"/>
            </w:tcMar>
          </w:tcPr>
          <w:p w14:paraId="10F3412B" w14:textId="2D8600AB" w:rsidR="00F93F2C" w:rsidRPr="009110F7" w:rsidRDefault="00F93F2C" w:rsidP="00F93F2C">
            <w:pPr>
              <w:spacing w:after="220"/>
              <w:rPr>
                <w:sz w:val="14"/>
                <w:szCs w:val="14"/>
              </w:rPr>
            </w:pPr>
            <w:r>
              <w:rPr>
                <w:sz w:val="14"/>
                <w:szCs w:val="14"/>
              </w:rPr>
              <w:t xml:space="preserve">Zdroj: ČSÚ, </w:t>
            </w:r>
            <w:proofErr w:type="spellStart"/>
            <w:r>
              <w:rPr>
                <w:sz w:val="14"/>
                <w:szCs w:val="14"/>
              </w:rPr>
              <w:t>Eurostat</w:t>
            </w:r>
            <w:proofErr w:type="spellEnd"/>
          </w:p>
        </w:tc>
      </w:tr>
      <w:tr w:rsidR="00F93F2C" w:rsidRPr="009110F7" w14:paraId="18A9F9FC" w14:textId="77777777" w:rsidTr="00E44243">
        <w:trPr>
          <w:trHeight w:val="145"/>
        </w:trPr>
        <w:tc>
          <w:tcPr>
            <w:tcW w:w="1806" w:type="dxa"/>
            <w:shd w:val="clear" w:color="auto" w:fill="auto"/>
            <w:tcMar>
              <w:left w:w="0" w:type="dxa"/>
            </w:tcMar>
          </w:tcPr>
          <w:p w14:paraId="313B3FB1" w14:textId="58ED7455" w:rsidR="00F93F2C" w:rsidRDefault="00F93F2C" w:rsidP="00F93F2C">
            <w:pPr>
              <w:pStyle w:val="Marginlie"/>
            </w:pPr>
            <w:r>
              <w:t>Hospodářský růst loni zvolnil napříč celou EU.</w:t>
            </w:r>
          </w:p>
        </w:tc>
        <w:tc>
          <w:tcPr>
            <w:tcW w:w="223" w:type="dxa"/>
            <w:shd w:val="clear" w:color="auto" w:fill="auto"/>
            <w:tcMar>
              <w:left w:w="0" w:type="dxa"/>
            </w:tcMar>
          </w:tcPr>
          <w:p w14:paraId="49072518" w14:textId="77777777" w:rsidR="00F93F2C" w:rsidRDefault="00F93F2C" w:rsidP="00F93F2C">
            <w:pPr>
              <w:pStyle w:val="Textpoznpodarou"/>
              <w:jc w:val="both"/>
              <w:rPr>
                <w:spacing w:val="-4"/>
              </w:rPr>
            </w:pPr>
          </w:p>
        </w:tc>
        <w:tc>
          <w:tcPr>
            <w:tcW w:w="7610" w:type="dxa"/>
            <w:shd w:val="clear" w:color="auto" w:fill="auto"/>
            <w:tcMar>
              <w:left w:w="0" w:type="dxa"/>
            </w:tcMar>
          </w:tcPr>
          <w:p w14:paraId="3226E19C" w14:textId="433EA796" w:rsidR="00F93F2C" w:rsidRDefault="00F93F2C" w:rsidP="00F93F2C">
            <w:r>
              <w:t>Hrubý domácí produkt v Evropské unii se loni reálně zvýšil o 1,5 %. To je nejméně od roku 2013. Mírný zůstal růst spotřeby (1,6 %), poklesla dynamika výdajů na hrubý kapitál (2,6 %) a snížil se přebytek bilance zahraničního obchodu. Dynamika HDP oproti roku 2018 zpomalila ve většině zemí EU. Nejvíce se loni zvýšil HDP v Irsku (5,5 %), Maďarsku (4,9 %) a na Maltě (4,4 %). Přírůstek byl loni kladný ve všech členských zemích, nejméně to bylo v Itálii (0,3 %), Německu (0,6 %) a ve Finsku (1,0 %). Ve 4. čtvrtletí meziroční růst HDP v EU zpomalil na 1,2 % a mezičtvrtletní přírůstek činil jen 0,1 %. Meziročního přírůstku ve 4. čtvrtletí nakonec dosáhly všechny země EU, nejvíce Irsko (6,3 %), Maďarsko (4,6 %) a Malta (4,3 %). Těsně se poklesu vyhnula Itálie (0,1 %), pod 1 % se dostal meziroční přírůstek v Německu (0,5 %), Finsku (0,6 %), Švédsku (0,8 %), Rakousku a Francii (shodně 0,9 %). Ve čtyřech zemích v závěru roku HDP mezičtvrtletně poklesl – v</w:t>
            </w:r>
            <w:r w:rsidR="00C75752">
              <w:t xml:space="preserve"> </w:t>
            </w:r>
            <w:r>
              <w:t>Řecku</w:t>
            </w:r>
            <w:r w:rsidR="00C75752">
              <w:t xml:space="preserve"> (-0,7 %), ve Finsku </w:t>
            </w:r>
            <w:r w:rsidR="00C75752">
              <w:lastRenderedPageBreak/>
              <w:t>(</w:t>
            </w:r>
            <w:r w:rsidR="00C75752">
              <w:noBreakHyphen/>
              <w:t>0,6 %), v</w:t>
            </w:r>
            <w:r>
              <w:t xml:space="preserve"> Itálii (–0,3 %) a Francii (–0,1 %). V Německu a Velké Británii se HDP mezičtvrtletně neměnil.</w:t>
            </w:r>
          </w:p>
        </w:tc>
      </w:tr>
      <w:tr w:rsidR="00F93F2C" w:rsidRPr="009110F7" w14:paraId="7A48D8D2" w14:textId="77777777" w:rsidTr="00E44243">
        <w:trPr>
          <w:trHeight w:val="145"/>
        </w:trPr>
        <w:tc>
          <w:tcPr>
            <w:tcW w:w="1806" w:type="dxa"/>
            <w:shd w:val="clear" w:color="auto" w:fill="auto"/>
            <w:tcMar>
              <w:left w:w="0" w:type="dxa"/>
            </w:tcMar>
          </w:tcPr>
          <w:p w14:paraId="4BE809FE" w14:textId="4C80979C" w:rsidR="00F93F2C" w:rsidRDefault="00F93F2C" w:rsidP="00F93F2C">
            <w:pPr>
              <w:pStyle w:val="Marginlie"/>
            </w:pPr>
            <w:r>
              <w:lastRenderedPageBreak/>
              <w:t>Pokračovalo zpomalování tempa růstu objemu vyplacených mezd a platů.</w:t>
            </w:r>
          </w:p>
        </w:tc>
        <w:tc>
          <w:tcPr>
            <w:tcW w:w="223" w:type="dxa"/>
            <w:shd w:val="clear" w:color="auto" w:fill="auto"/>
            <w:tcMar>
              <w:left w:w="0" w:type="dxa"/>
            </w:tcMar>
          </w:tcPr>
          <w:p w14:paraId="1FD44020" w14:textId="77777777" w:rsidR="00F93F2C" w:rsidRDefault="00F93F2C" w:rsidP="00F93F2C">
            <w:pPr>
              <w:pStyle w:val="Textpoznpodarou"/>
              <w:jc w:val="both"/>
              <w:rPr>
                <w:spacing w:val="-4"/>
              </w:rPr>
            </w:pPr>
          </w:p>
        </w:tc>
        <w:tc>
          <w:tcPr>
            <w:tcW w:w="7610" w:type="dxa"/>
            <w:shd w:val="clear" w:color="auto" w:fill="auto"/>
            <w:tcMar>
              <w:left w:w="0" w:type="dxa"/>
            </w:tcMar>
          </w:tcPr>
          <w:p w14:paraId="2CACBFDA" w14:textId="0290662B" w:rsidR="00F93F2C" w:rsidRDefault="00F93F2C" w:rsidP="00F93F2C">
            <w:r>
              <w:t>Objem vyplacených mezd a platů loni vzrostl o 7,1 %. Jde o nižší přírůstek než v letech 2017 a 2018, stále se ale jedná o velmi silný růst (v období 2009 až 2019 jde o třetí nejvýraznější navýšení). Celková zaměstnanost</w:t>
            </w:r>
            <w:r w:rsidRPr="00B83E07">
              <w:rPr>
                <w:rStyle w:val="Znakapoznpodarou"/>
                <w:spacing w:val="-2"/>
              </w:rPr>
              <w:footnoteReference w:id="6"/>
            </w:r>
            <w:r>
              <w:t xml:space="preserve"> loni vzrostla o 0,7 %, nejméně od roku 2014, takže nárůst mezd a platů se v naprosté většině projevil navýšením úrovně výdělků. Silněji než dříve ale loni působil růst cenové hladiny. Reálně tak mzdy a platy loni vzrostly o 4,1 %</w:t>
            </w:r>
            <w:r w:rsidRPr="00B83E07">
              <w:rPr>
                <w:rStyle w:val="Znakapoznpodarou"/>
                <w:spacing w:val="-2"/>
              </w:rPr>
              <w:footnoteReference w:id="7"/>
            </w:r>
            <w:r>
              <w:t>. Již několik let se vysoké tempo růstu objemu vyplacených náhrad zaměstnancům projevuje na klesající míře zisku nefinančních podniků</w:t>
            </w:r>
            <w:r>
              <w:rPr>
                <w:rStyle w:val="Znakapoznpodarou"/>
              </w:rPr>
              <w:footnoteReference w:id="8"/>
            </w:r>
            <w:r>
              <w:t>. Loni tento ukazatel ještě drobně poklesl na 46,5 %. Z hlediska míry zisku se tak ČR stále drží v evropském nadprůměru. V samotném 4. čtvrtletí meziroční navýšení objemu mezd a platů dosáhlo 6,5 % a pokračovalo tak postupné zpomalování tempa patrné v průběhu celého roku. Zároveň se v závěru roku meziročně nezvýšila celková zaměstnanost. Silný růst cenové hladiny ale vedl k výrazné redukci reálné dynamiky výdělků (3,4 %, nejméně od 3. čtvrtletí 2014).</w:t>
            </w:r>
          </w:p>
        </w:tc>
      </w:tr>
      <w:tr w:rsidR="00F93F2C" w:rsidRPr="009110F7" w14:paraId="5590FF07" w14:textId="77777777" w:rsidTr="00E44243">
        <w:trPr>
          <w:trHeight w:val="145"/>
        </w:trPr>
        <w:tc>
          <w:tcPr>
            <w:tcW w:w="1806" w:type="dxa"/>
            <w:shd w:val="clear" w:color="auto" w:fill="auto"/>
            <w:tcMar>
              <w:left w:w="0" w:type="dxa"/>
            </w:tcMar>
          </w:tcPr>
          <w:p w14:paraId="57B2ED32" w14:textId="1C49B793" w:rsidR="00F93F2C" w:rsidRDefault="00F93F2C" w:rsidP="00F93F2C">
            <w:pPr>
              <w:pStyle w:val="Marginlie"/>
            </w:pPr>
            <w:r>
              <w:t>Růstu mezd a platů dominovala spíše odvětví služeb.</w:t>
            </w:r>
          </w:p>
        </w:tc>
        <w:tc>
          <w:tcPr>
            <w:tcW w:w="223" w:type="dxa"/>
            <w:shd w:val="clear" w:color="auto" w:fill="auto"/>
            <w:tcMar>
              <w:left w:w="0" w:type="dxa"/>
            </w:tcMar>
          </w:tcPr>
          <w:p w14:paraId="06426937" w14:textId="77777777" w:rsidR="00F93F2C" w:rsidRDefault="00F93F2C" w:rsidP="00F93F2C">
            <w:pPr>
              <w:pStyle w:val="Textpoznpodarou"/>
              <w:jc w:val="both"/>
              <w:rPr>
                <w:spacing w:val="-4"/>
              </w:rPr>
            </w:pPr>
          </w:p>
        </w:tc>
        <w:tc>
          <w:tcPr>
            <w:tcW w:w="7610" w:type="dxa"/>
            <w:shd w:val="clear" w:color="auto" w:fill="auto"/>
            <w:tcMar>
              <w:left w:w="0" w:type="dxa"/>
            </w:tcMar>
          </w:tcPr>
          <w:p w14:paraId="3CCB127C" w14:textId="49C58603" w:rsidR="00F93F2C" w:rsidRDefault="00F93F2C" w:rsidP="00F93F2C">
            <w:r>
              <w:t>Nejvíce loni narůstal objem mezd a platů vyplacených u činností v oblasti nemovitostí (11,0 %), v odvětvích s převahou vládního sektoru</w:t>
            </w:r>
            <w:r>
              <w:rPr>
                <w:rStyle w:val="Znakapoznpodarou"/>
                <w:spacing w:val="-2"/>
              </w:rPr>
              <w:footnoteReference w:id="9"/>
            </w:r>
            <w:r>
              <w:t xml:space="preserve"> (10,3 %) a v informačních a komunikačních činnostech (8,3 %, zde objem mezd a platů podpořil přírůstek celkové zaměstnanosti 4,5 %). Nejvyššího meziročního růstu vyplacených mezd a platů (11,3 %) ve 4. čtvrtletí dosáhly činnosti v oblasti nemovitostí, kde se projevil i výrazný přírůstek zaměstnanosti (4,7 %). Vysokou dynamiku měla i odvětví s převahou vládního sektoru (10,7 %, růst zaměstnanosti 2,4 %). Zrychlil přírůstek mezd a platů vyplacených v informačních a komunikačních činnostech (9,4 %, zčásti ovlivněno zrychlením nárůstu zaměstnanosti na 5,2 %). Pod celkovým průměrem byl růst mezd a platů v uskupení obchod, doprava, ubytování a pohostinství (6,1 %), kde také poklesla zaměstnanost o 0,6 %, a dále ve stavebnictví (5,8 % při nárůstu zaměstnanosti o 2,4 %). Meziroční pokles zaměstnanosti se odehrál ve 4. čtvrtletí v zemědělství, lesnictví a rybářství (zaměstnanost klesla meziročně o 3,2 %, mzdový růst dosáhl 5,4 %), u profesních, vědeckých, technických a administrativních činností (pokles zaměstnanosti o 1,9 %, nárůst vyplacených mezd a platů o 5,5 %) a v peněžnictví a pojišťovnictví (–0,2 %, nárůst mezd a platů o 5,2 %). Vývoj objemu mezd a platů ve zpracovatelském průmyslu odrážel zpomalení, ke kterému v odvětví došlo ve 4. čtvrtletí. Zaměstnanost klesla o 1,8 % a objem vyplacených mezd a platů rostl nejméně v celém hospodářství (3,2 %).</w:t>
            </w:r>
          </w:p>
        </w:tc>
      </w:tr>
      <w:tr w:rsidR="00F93F2C" w:rsidRPr="009110F7" w14:paraId="4537D16E" w14:textId="77777777" w:rsidTr="00E44243">
        <w:trPr>
          <w:trHeight w:val="145"/>
        </w:trPr>
        <w:tc>
          <w:tcPr>
            <w:tcW w:w="1806" w:type="dxa"/>
            <w:shd w:val="clear" w:color="auto" w:fill="auto"/>
            <w:tcMar>
              <w:left w:w="0" w:type="dxa"/>
            </w:tcMar>
          </w:tcPr>
          <w:p w14:paraId="3694A388" w14:textId="3B7E6CF0" w:rsidR="00F93F2C" w:rsidRDefault="00F93F2C" w:rsidP="00F93F2C">
            <w:pPr>
              <w:pStyle w:val="Marginlie"/>
            </w:pPr>
            <w:r>
              <w:t>Domácnosti ve 4. čtvrtletí výrazněji zvýšily výdaje na konečnou spotřebu.</w:t>
            </w:r>
          </w:p>
        </w:tc>
        <w:tc>
          <w:tcPr>
            <w:tcW w:w="223" w:type="dxa"/>
            <w:shd w:val="clear" w:color="auto" w:fill="auto"/>
            <w:tcMar>
              <w:left w:w="0" w:type="dxa"/>
            </w:tcMar>
          </w:tcPr>
          <w:p w14:paraId="7F527923" w14:textId="77777777" w:rsidR="00F93F2C" w:rsidRDefault="00F93F2C" w:rsidP="00F93F2C">
            <w:pPr>
              <w:pStyle w:val="Textpoznpodarou"/>
              <w:jc w:val="both"/>
              <w:rPr>
                <w:spacing w:val="-4"/>
              </w:rPr>
            </w:pPr>
          </w:p>
        </w:tc>
        <w:tc>
          <w:tcPr>
            <w:tcW w:w="7610" w:type="dxa"/>
            <w:shd w:val="clear" w:color="auto" w:fill="auto"/>
            <w:tcMar>
              <w:left w:w="0" w:type="dxa"/>
            </w:tcMar>
          </w:tcPr>
          <w:p w14:paraId="19FE20AA" w14:textId="5739A078" w:rsidR="00F93F2C" w:rsidRDefault="00F93F2C" w:rsidP="00F93F2C">
            <w:r>
              <w:t xml:space="preserve">Výdaje na domácí spotřebu se loni zvýšily o 2,9 % a navzdory drobnému zpomalení v porovnání s předchozím rokem zůstaly klíčovou složkou podporující růst HDP. Pod 3% hranici se roční přírůstky domácí spotřeby dostaly po čtyřech letech. Dynamika spotřeby domácností (3,0 %) byla mírně vyšší než u vládních institucí (2,6 %). Ve 4. čtvrtletí spotřeba celkově meziročně vzrostla o 2,8 %. Drobné zpomalení oproti předchozímu kvartálu mělo původ v propadu meziročního tempa spotřeby vládních institucí (1,7 %). Naopak domácnosti se zcela neřídily obavami vyjadřovanými v konjunkturálních průzkumech a meziroční přírůstek jejich spotřeby zrychlil na 3,2 %, nejvíce od 2. čtvrtletí 2018. Mezičtvrtletní navýšení spotřeby ve 4. kvartálu bylo nejslabší od konce roku 2013 (0,3 %). Zatímco u domácností výdaje posílily o 1,0 %, vládní instituce po dvou čtvrtletích mohutných přírůstků spotřebu mezičtvrtletně snížily o 1,3 %. Bližší pohled na strukturu spotřeby ukazuje, že v závěru roku posílila </w:t>
            </w:r>
            <w:r>
              <w:lastRenderedPageBreak/>
              <w:t>meziroční dynamika v případě služeb (3,6 %)</w:t>
            </w:r>
            <w:r>
              <w:rPr>
                <w:rStyle w:val="Znakapoznpodarou"/>
              </w:rPr>
              <w:footnoteReference w:id="10"/>
            </w:r>
            <w:r>
              <w:t>. Oslabil růst spotřeby trvanlivých statků, i když tempo u předmětů dlouhodobé (2,9 %) i střednědobé (3,8 %) spotřeby zůstalo poměrně solidní.</w:t>
            </w:r>
          </w:p>
        </w:tc>
      </w:tr>
      <w:tr w:rsidR="00F93F2C" w:rsidRPr="009110F7" w14:paraId="6F251D58" w14:textId="77777777" w:rsidTr="00E44243">
        <w:trPr>
          <w:trHeight w:val="145"/>
        </w:trPr>
        <w:tc>
          <w:tcPr>
            <w:tcW w:w="1806" w:type="dxa"/>
            <w:shd w:val="clear" w:color="auto" w:fill="auto"/>
            <w:tcMar>
              <w:left w:w="0" w:type="dxa"/>
            </w:tcMar>
          </w:tcPr>
          <w:p w14:paraId="096A413B" w14:textId="42DCCD98" w:rsidR="00F93F2C" w:rsidRDefault="00F93F2C" w:rsidP="00F93F2C">
            <w:pPr>
              <w:pStyle w:val="Marginlie"/>
            </w:pPr>
            <w:r>
              <w:lastRenderedPageBreak/>
              <w:t>Míra úspor domácností se loni výrazně zvýšila.</w:t>
            </w:r>
          </w:p>
        </w:tc>
        <w:tc>
          <w:tcPr>
            <w:tcW w:w="223" w:type="dxa"/>
            <w:shd w:val="clear" w:color="auto" w:fill="auto"/>
            <w:tcMar>
              <w:left w:w="0" w:type="dxa"/>
            </w:tcMar>
          </w:tcPr>
          <w:p w14:paraId="4C5526DC" w14:textId="77777777" w:rsidR="00F93F2C" w:rsidRDefault="00F93F2C" w:rsidP="00F93F2C">
            <w:pPr>
              <w:pStyle w:val="Textpoznpodarou"/>
              <w:jc w:val="both"/>
              <w:rPr>
                <w:spacing w:val="-4"/>
              </w:rPr>
            </w:pPr>
          </w:p>
        </w:tc>
        <w:tc>
          <w:tcPr>
            <w:tcW w:w="7610" w:type="dxa"/>
            <w:shd w:val="clear" w:color="auto" w:fill="auto"/>
            <w:tcMar>
              <w:left w:w="0" w:type="dxa"/>
            </w:tcMar>
          </w:tcPr>
          <w:p w14:paraId="79C0A920" w14:textId="5BEEB108" w:rsidR="00F93F2C" w:rsidRDefault="00F93F2C" w:rsidP="00F93F2C">
            <w:r>
              <w:t>Hrubý disponibilní důchod domácností se loni nominálně navýšil o 244,7 mld. korun, výrazně více než v předchozím roce, takže při relativně stabilním tempu růstu spotřebních výdajů došlo k nárůstu míry úspor</w:t>
            </w:r>
            <w:r>
              <w:rPr>
                <w:rStyle w:val="Znakapoznpodarou"/>
              </w:rPr>
              <w:footnoteReference w:id="11"/>
            </w:r>
            <w:r>
              <w:t xml:space="preserve"> na 13,2 % (+2,3 p. b.), nejvíce od roku 2009. Průměrný měsíční příjem domácností na osobu</w:t>
            </w:r>
            <w:r>
              <w:rPr>
                <w:rStyle w:val="Znakapoznpodarou"/>
              </w:rPr>
              <w:footnoteReference w:id="12"/>
            </w:r>
            <w:r>
              <w:t xml:space="preserve"> loni dosáhl 28 648 korun a meziročně se zvýšil o 2 292 korun, což je nejvýraznější nominální nárůst za celou dostupnou časovou řadu. Důvodem je zmíněný silný nárůst disponibilního důchodu, ale rovněž navýšení naturálních sociálních transferů</w:t>
            </w:r>
            <w:r>
              <w:rPr>
                <w:rStyle w:val="Znakapoznpodarou"/>
              </w:rPr>
              <w:footnoteReference w:id="13"/>
            </w:r>
            <w:r>
              <w:t>, které jsou součástí příjmů domácností. Jejich průměrná měsíční hodnota na obyvatele dosáhla loni 5 171 korun a na celkových příjmech domácností se podílela 18,</w:t>
            </w:r>
            <w:r w:rsidR="00C75752">
              <w:t>1</w:t>
            </w:r>
            <w:r>
              <w:t> %. Růst naturálních sociálních transferů lze mimo jiné vysvětlit výrazným mzdovým nárůstem ve službách, které jsou v nich obsaženy. Reálné navýšení příjmů domácností na obyvatele loni dosáhlo 5,6 %</w:t>
            </w:r>
            <w:r>
              <w:rPr>
                <w:rStyle w:val="Znakapoznpodarou"/>
              </w:rPr>
              <w:footnoteReference w:id="14"/>
            </w:r>
            <w:r>
              <w:t>.</w:t>
            </w:r>
          </w:p>
        </w:tc>
      </w:tr>
      <w:tr w:rsidR="00F93F2C" w:rsidRPr="009110F7" w14:paraId="6F1155CC" w14:textId="77777777" w:rsidTr="00E44243">
        <w:trPr>
          <w:trHeight w:val="170"/>
        </w:trPr>
        <w:tc>
          <w:tcPr>
            <w:tcW w:w="1806" w:type="dxa"/>
            <w:vMerge w:val="restart"/>
            <w:shd w:val="clear" w:color="auto" w:fill="auto"/>
            <w:tcMar>
              <w:left w:w="0" w:type="dxa"/>
            </w:tcMar>
          </w:tcPr>
          <w:p w14:paraId="7DE3A862" w14:textId="77777777" w:rsidR="00F93F2C" w:rsidRDefault="00F93F2C" w:rsidP="00F93F2C">
            <w:pPr>
              <w:pStyle w:val="Marginlie"/>
            </w:pPr>
          </w:p>
        </w:tc>
        <w:tc>
          <w:tcPr>
            <w:tcW w:w="223" w:type="dxa"/>
            <w:vMerge w:val="restart"/>
            <w:shd w:val="clear" w:color="auto" w:fill="auto"/>
            <w:tcMar>
              <w:left w:w="0" w:type="dxa"/>
            </w:tcMar>
          </w:tcPr>
          <w:p w14:paraId="21BFBBB4" w14:textId="77777777" w:rsidR="00F93F2C" w:rsidRDefault="00F93F2C" w:rsidP="00F93F2C">
            <w:pPr>
              <w:pStyle w:val="Textpoznpodarou"/>
              <w:jc w:val="both"/>
              <w:rPr>
                <w:spacing w:val="-4"/>
              </w:rPr>
            </w:pPr>
          </w:p>
        </w:tc>
        <w:tc>
          <w:tcPr>
            <w:tcW w:w="7610" w:type="dxa"/>
            <w:shd w:val="clear" w:color="auto" w:fill="auto"/>
            <w:tcMar>
              <w:left w:w="0" w:type="dxa"/>
            </w:tcMar>
          </w:tcPr>
          <w:p w14:paraId="5390A4DB" w14:textId="5D86E419" w:rsidR="00F93F2C" w:rsidRDefault="00F93F2C" w:rsidP="00F93F2C">
            <w:pPr>
              <w:spacing w:after="0"/>
            </w:pPr>
            <w:r w:rsidRPr="0041745D">
              <w:rPr>
                <w:b/>
                <w:sz w:val="18"/>
                <w:szCs w:val="18"/>
              </w:rPr>
              <w:t xml:space="preserve">Graf </w:t>
            </w:r>
            <w:r>
              <w:rPr>
                <w:b/>
                <w:sz w:val="18"/>
                <w:szCs w:val="18"/>
              </w:rPr>
              <w:t xml:space="preserve">č. 2  </w:t>
            </w:r>
            <w:r w:rsidRPr="00663018">
              <w:rPr>
                <w:rFonts w:cs="Arial"/>
                <w:b/>
                <w:sz w:val="18"/>
                <w:szCs w:val="18"/>
                <w:lang w:eastAsia="en-US"/>
              </w:rPr>
              <w:t>Příspěvky výdajových složek k</w:t>
            </w:r>
            <w:r>
              <w:rPr>
                <w:rFonts w:cs="Arial"/>
                <w:b/>
                <w:sz w:val="18"/>
                <w:szCs w:val="18"/>
                <w:lang w:eastAsia="en-US"/>
              </w:rPr>
              <w:t> </w:t>
            </w:r>
            <w:r w:rsidRPr="00663018">
              <w:rPr>
                <w:rFonts w:cs="Arial"/>
                <w:b/>
                <w:sz w:val="18"/>
                <w:szCs w:val="18"/>
                <w:lang w:eastAsia="en-US"/>
              </w:rPr>
              <w:t>reálné</w:t>
            </w:r>
            <w:r>
              <w:rPr>
                <w:rFonts w:cs="Arial"/>
                <w:b/>
                <w:sz w:val="18"/>
                <w:szCs w:val="18"/>
                <w:lang w:eastAsia="en-US"/>
              </w:rPr>
              <w:t xml:space="preserve"> </w:t>
            </w:r>
            <w:r w:rsidRPr="00663018">
              <w:rPr>
                <w:rFonts w:cs="Arial"/>
                <w:b/>
                <w:sz w:val="18"/>
                <w:szCs w:val="18"/>
                <w:lang w:eastAsia="en-US"/>
              </w:rPr>
              <w:t>změně HDP* (objemové indexy, meziroční růst, příspěvky v p.</w:t>
            </w:r>
            <w:r>
              <w:rPr>
                <w:rFonts w:cs="Arial"/>
                <w:b/>
                <w:sz w:val="18"/>
                <w:szCs w:val="18"/>
                <w:lang w:eastAsia="en-US"/>
              </w:rPr>
              <w:t> </w:t>
            </w:r>
            <w:r w:rsidRPr="00663018">
              <w:rPr>
                <w:rFonts w:cs="Arial"/>
                <w:b/>
                <w:sz w:val="18"/>
                <w:szCs w:val="18"/>
                <w:lang w:eastAsia="en-US"/>
              </w:rPr>
              <w:t>b., HDP v</w:t>
            </w:r>
            <w:r>
              <w:rPr>
                <w:rFonts w:cs="Arial"/>
                <w:b/>
                <w:sz w:val="18"/>
                <w:szCs w:val="18"/>
                <w:lang w:eastAsia="en-US"/>
              </w:rPr>
              <w:t> %</w:t>
            </w:r>
            <w:r w:rsidRPr="00663018">
              <w:rPr>
                <w:rFonts w:cs="Arial"/>
                <w:b/>
                <w:sz w:val="18"/>
                <w:szCs w:val="18"/>
                <w:lang w:eastAsia="en-US"/>
              </w:rPr>
              <w:t>)</w:t>
            </w:r>
          </w:p>
        </w:tc>
      </w:tr>
      <w:tr w:rsidR="00F93F2C" w:rsidRPr="009110F7" w14:paraId="19CD1032" w14:textId="77777777" w:rsidTr="00E44243">
        <w:tblPrEx>
          <w:tblCellMar>
            <w:left w:w="70" w:type="dxa"/>
            <w:right w:w="70" w:type="dxa"/>
          </w:tblCellMar>
        </w:tblPrEx>
        <w:trPr>
          <w:trHeight w:val="170"/>
        </w:trPr>
        <w:tc>
          <w:tcPr>
            <w:tcW w:w="1806" w:type="dxa"/>
            <w:vMerge/>
            <w:shd w:val="clear" w:color="auto" w:fill="auto"/>
          </w:tcPr>
          <w:p w14:paraId="07157710" w14:textId="77777777" w:rsidR="00F93F2C" w:rsidRDefault="00F93F2C" w:rsidP="00F93F2C">
            <w:pPr>
              <w:pStyle w:val="Marginlie"/>
            </w:pPr>
          </w:p>
        </w:tc>
        <w:tc>
          <w:tcPr>
            <w:tcW w:w="223" w:type="dxa"/>
            <w:vMerge/>
            <w:shd w:val="clear" w:color="auto" w:fill="auto"/>
          </w:tcPr>
          <w:p w14:paraId="5D854F57" w14:textId="77777777" w:rsidR="00F93F2C" w:rsidRDefault="00F93F2C" w:rsidP="00F93F2C">
            <w:pPr>
              <w:pStyle w:val="Textpoznpodarou"/>
              <w:jc w:val="both"/>
              <w:rPr>
                <w:spacing w:val="-4"/>
              </w:rPr>
            </w:pPr>
          </w:p>
        </w:tc>
        <w:tc>
          <w:tcPr>
            <w:tcW w:w="7610" w:type="dxa"/>
            <w:shd w:val="clear" w:color="auto" w:fill="auto"/>
          </w:tcPr>
          <w:p w14:paraId="5E41B517" w14:textId="080A2B27" w:rsidR="00F93F2C" w:rsidRDefault="00F93F2C" w:rsidP="00F93F2C">
            <w:pPr>
              <w:spacing w:after="0"/>
            </w:pPr>
            <w:r>
              <w:rPr>
                <w:noProof/>
              </w:rPr>
              <w:drawing>
                <wp:inline distT="0" distB="0" distL="0" distR="0" wp14:anchorId="092621F5" wp14:editId="16F15C9E">
                  <wp:extent cx="4737600" cy="3553200"/>
                  <wp:effectExtent l="0" t="0" r="6350" b="0"/>
                  <wp:docPr id="5" name="Graf 5">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F93F2C" w:rsidRPr="009110F7" w14:paraId="3E1EC271" w14:textId="77777777" w:rsidTr="00E44243">
        <w:trPr>
          <w:trHeight w:val="170"/>
        </w:trPr>
        <w:tc>
          <w:tcPr>
            <w:tcW w:w="1806" w:type="dxa"/>
            <w:vMerge/>
            <w:shd w:val="clear" w:color="auto" w:fill="auto"/>
            <w:tcMar>
              <w:left w:w="0" w:type="dxa"/>
            </w:tcMar>
          </w:tcPr>
          <w:p w14:paraId="6AF303A9" w14:textId="77777777" w:rsidR="00F93F2C" w:rsidRDefault="00F93F2C" w:rsidP="00F93F2C">
            <w:pPr>
              <w:pStyle w:val="Marginlie"/>
            </w:pPr>
          </w:p>
        </w:tc>
        <w:tc>
          <w:tcPr>
            <w:tcW w:w="223" w:type="dxa"/>
            <w:vMerge/>
            <w:shd w:val="clear" w:color="auto" w:fill="auto"/>
            <w:tcMar>
              <w:left w:w="0" w:type="dxa"/>
            </w:tcMar>
          </w:tcPr>
          <w:p w14:paraId="07E05EC3" w14:textId="77777777" w:rsidR="00F93F2C" w:rsidRDefault="00F93F2C" w:rsidP="00F93F2C">
            <w:pPr>
              <w:pStyle w:val="Textpoznpodarou"/>
              <w:jc w:val="both"/>
              <w:rPr>
                <w:spacing w:val="-4"/>
              </w:rPr>
            </w:pPr>
          </w:p>
        </w:tc>
        <w:tc>
          <w:tcPr>
            <w:tcW w:w="7610" w:type="dxa"/>
            <w:shd w:val="clear" w:color="auto" w:fill="auto"/>
            <w:tcMar>
              <w:left w:w="0" w:type="dxa"/>
            </w:tcMar>
          </w:tcPr>
          <w:p w14:paraId="38A7A14D" w14:textId="77777777" w:rsidR="00F93F2C" w:rsidRDefault="00F93F2C" w:rsidP="00F93F2C">
            <w:pPr>
              <w:spacing w:after="0"/>
              <w:rPr>
                <w:sz w:val="14"/>
                <w:szCs w:val="14"/>
              </w:rPr>
            </w:pPr>
            <w:r>
              <w:rPr>
                <w:sz w:val="14"/>
                <w:szCs w:val="14"/>
              </w:rPr>
              <w:t>Zdroj: ČSÚ</w:t>
            </w:r>
          </w:p>
          <w:p w14:paraId="296FB926" w14:textId="11E3EB9B" w:rsidR="00F93F2C" w:rsidRDefault="00F93F2C" w:rsidP="00F93F2C">
            <w:r>
              <w:rPr>
                <w:sz w:val="14"/>
                <w:szCs w:val="14"/>
              </w:rPr>
              <w:t>*po vyloučení dovozu pro konečné užití</w:t>
            </w:r>
          </w:p>
        </w:tc>
      </w:tr>
      <w:tr w:rsidR="00F93F2C" w:rsidRPr="009110F7" w14:paraId="35262943" w14:textId="77777777" w:rsidTr="00E44243">
        <w:trPr>
          <w:trHeight w:val="145"/>
        </w:trPr>
        <w:tc>
          <w:tcPr>
            <w:tcW w:w="1806" w:type="dxa"/>
            <w:shd w:val="clear" w:color="auto" w:fill="auto"/>
            <w:tcMar>
              <w:left w:w="0" w:type="dxa"/>
            </w:tcMar>
          </w:tcPr>
          <w:p w14:paraId="3D164883" w14:textId="71853070" w:rsidR="00F93F2C" w:rsidRDefault="00F93F2C" w:rsidP="00F93F2C">
            <w:pPr>
              <w:pStyle w:val="Marginlie"/>
            </w:pPr>
            <w:r>
              <w:lastRenderedPageBreak/>
              <w:t>Investiční aktivita ve 4. čtvrtletí výrazně mezičtvrtletně i meziročně posílila.</w:t>
            </w:r>
          </w:p>
        </w:tc>
        <w:tc>
          <w:tcPr>
            <w:tcW w:w="223" w:type="dxa"/>
            <w:shd w:val="clear" w:color="auto" w:fill="auto"/>
            <w:tcMar>
              <w:left w:w="0" w:type="dxa"/>
            </w:tcMar>
          </w:tcPr>
          <w:p w14:paraId="1AE88CCE" w14:textId="77777777" w:rsidR="00F93F2C" w:rsidRDefault="00F93F2C" w:rsidP="00F93F2C">
            <w:pPr>
              <w:pStyle w:val="Textpoznpodarou"/>
              <w:jc w:val="both"/>
              <w:rPr>
                <w:spacing w:val="-4"/>
              </w:rPr>
            </w:pPr>
          </w:p>
        </w:tc>
        <w:tc>
          <w:tcPr>
            <w:tcW w:w="7610" w:type="dxa"/>
            <w:shd w:val="clear" w:color="auto" w:fill="auto"/>
            <w:tcMar>
              <w:left w:w="0" w:type="dxa"/>
            </w:tcMar>
          </w:tcPr>
          <w:p w14:paraId="666E6BB0" w14:textId="274E8D98" w:rsidR="00F93F2C" w:rsidRDefault="00F93F2C" w:rsidP="00F93F2C">
            <w:r>
              <w:t>V roce 2019 vzrostly výdaje na tvorbu hrubého kapitálu o 3,3 %. To je méně než v předchozích dvou letech. Výdaje na tvorbu hrubého fixního kapitálu se zvýšily o 2,7 %. Ve 4. čtvrtletí 2019 se tvorba hrubého kapitálu meziročně zvýšila o 9,2 %, nejvíce od 1. čtvrtletí 2018. Výrazný přírůstek byl zčásti způsoben navýšením zásob</w:t>
            </w:r>
            <w:r>
              <w:rPr>
                <w:rStyle w:val="Znakapoznpodarou"/>
              </w:rPr>
              <w:footnoteReference w:id="15"/>
            </w:r>
            <w:r>
              <w:t>. Výdaje na tvorbu hrubého fixního kapitálu se rovněž meziročně zvýšily, a to o 4,6 %. Investiční aktivita tak po slabém 2. a 3. kvartálu ve 4. čtvrtletí opět podpořila růst HDP (tvorba hrubého kapitálu 2,3 p. b., z toho hrubý fixní kapitál 1,0 p. b.). Mezičtvrtletní nárůsty ve 4. kvartálu odpovídaly výraznému zrychlení meziroční dynamiky. Výdaje na tvorbu hrubého kapitálu se oproti 3. čtvrtletí zvýšily o 8,6 % a na tvorbu hrubého fixního kapitálu o 4,1 %. Loňský nominální nárůst výdajů na tvorbu hrubého fixního kapitálu (76,0 mld. korun) téměř z poloviny připadl na sektor nefinančních podniků (36,6 mld., 4,3 %). Nárůst investiční aktivity nefinančních podniků byl loni slabší než v roce 2018, i proto mírně poklesla jejich míra investic</w:t>
            </w:r>
            <w:r>
              <w:rPr>
                <w:rStyle w:val="Znakapoznpodarou"/>
              </w:rPr>
              <w:footnoteReference w:id="16"/>
            </w:r>
            <w:r>
              <w:t>. Ta dosáhla 28,5 % a snížila se o 0,5 p. b. Sektor vládních institucí navýšil investiční aktivitu o 24,2 mld. korun (10,8 %), což bylo rovněž méně než v předchozím roce, který ovlivnil cyklus čerpání evropských dotací. V případě domácností došlo rovněž k výraznému navýšení investic, a to o 18,5 mld. (7,7 %). Míra investic domácností přesto loni drobně poklesla na 8,5 %</w:t>
            </w:r>
            <w:r>
              <w:rPr>
                <w:rStyle w:val="Znakapoznpodarou"/>
              </w:rPr>
              <w:footnoteReference w:id="17"/>
            </w:r>
            <w:r>
              <w:t>. Výdaje na tvorbu hrubého fixního kapitálu finančních institucí poklesly o 3,5 mld. korun (9,5 %), druhý rok v řadě.</w:t>
            </w:r>
          </w:p>
        </w:tc>
      </w:tr>
      <w:tr w:rsidR="00F93F2C" w:rsidRPr="009110F7" w14:paraId="2EFFAF58" w14:textId="77777777" w:rsidTr="00E44243">
        <w:trPr>
          <w:trHeight w:val="145"/>
        </w:trPr>
        <w:tc>
          <w:tcPr>
            <w:tcW w:w="1806" w:type="dxa"/>
            <w:shd w:val="clear" w:color="auto" w:fill="auto"/>
            <w:tcMar>
              <w:left w:w="0" w:type="dxa"/>
            </w:tcMar>
          </w:tcPr>
          <w:p w14:paraId="1409BF84" w14:textId="3BECA1C2" w:rsidR="00F93F2C" w:rsidRDefault="00F93F2C" w:rsidP="00F93F2C">
            <w:pPr>
              <w:pStyle w:val="Marginlie"/>
            </w:pPr>
            <w:r>
              <w:t>Stabilní meziroční růst si držely investice do obydlí.</w:t>
            </w:r>
          </w:p>
        </w:tc>
        <w:tc>
          <w:tcPr>
            <w:tcW w:w="223" w:type="dxa"/>
            <w:shd w:val="clear" w:color="auto" w:fill="auto"/>
            <w:tcMar>
              <w:left w:w="0" w:type="dxa"/>
            </w:tcMar>
          </w:tcPr>
          <w:p w14:paraId="5504EC11" w14:textId="77777777" w:rsidR="00F93F2C" w:rsidRDefault="00F93F2C" w:rsidP="00F93F2C">
            <w:pPr>
              <w:pStyle w:val="Textpoznpodarou"/>
              <w:jc w:val="both"/>
              <w:rPr>
                <w:spacing w:val="-4"/>
              </w:rPr>
            </w:pPr>
          </w:p>
        </w:tc>
        <w:tc>
          <w:tcPr>
            <w:tcW w:w="7610" w:type="dxa"/>
            <w:shd w:val="clear" w:color="auto" w:fill="auto"/>
            <w:tcMar>
              <w:left w:w="0" w:type="dxa"/>
            </w:tcMar>
          </w:tcPr>
          <w:p w14:paraId="38E11C19" w14:textId="11BB11D3" w:rsidR="00F93F2C" w:rsidRDefault="00F93F2C" w:rsidP="00F93F2C">
            <w:pPr>
              <w:rPr>
                <w:rStyle w:val="Znakapoznpodarou"/>
              </w:rPr>
            </w:pPr>
            <w:r>
              <w:t>Podle věcného členění tvorby hrubého fixního kapitálu loni oslabilo meziroční tempo růstu ve všech důležitých investičních kategoriích</w:t>
            </w:r>
            <w:r w:rsidRPr="009110F7">
              <w:rPr>
                <w:rStyle w:val="Znakapoznpodarou"/>
              </w:rPr>
              <w:footnoteReference w:id="18"/>
            </w:r>
            <w:r>
              <w:t>. Navzdory oslabení tempa ve srovnání s rokem 2018 byl nejsilnější přírůstek investic do obydlí (5,5 %). Výrazný byl také přírůstek výdajů na produkty duševního vlastnictví (5,4 %), u kterých stabilně silná dynamika trvá již šest let (kategorie zahrnuje kromě výzkumu a vývoje i výdaje na software a databáze, které v posledních letech nabyly na významu). Po silném roce 2018 se neudržela dynamika výdajů na ostatní budovy a stavby, stále však přírůstek loni dosáhl 4,0 %. Jen mírně se zvýšily investice do ICT a ostatních strojů a zařízení (1,0 %). Loni klesly výdaje na dopravní prostředky a zařízení (–1,9 %, zčásti se projevila i vysoká základna předchozího roku). Ve 4. čtvrtletí se meziročně poměrně výrazně zvýšily výdaje na obydlí (8,6 %) i ostatní budovy a stavby (8,2 %). Růst zrychlil v případě produktů duševního vlastnictví (5,2 %) a po dvou čtvrtletích poklesů se o 2,7 % zvýšily také investice do ICT a ostatních strojů a zařízení. Výrazně ve 4. čtvrtletí meziročně klesly investice do dopravních prostředků a zařízení (–7,1 %).</w:t>
            </w:r>
          </w:p>
        </w:tc>
      </w:tr>
      <w:tr w:rsidR="00F93F2C" w:rsidRPr="009110F7" w14:paraId="25ECBD1A" w14:textId="77777777" w:rsidTr="00E44243">
        <w:trPr>
          <w:trHeight w:val="145"/>
        </w:trPr>
        <w:tc>
          <w:tcPr>
            <w:tcW w:w="1806" w:type="dxa"/>
            <w:shd w:val="clear" w:color="auto" w:fill="auto"/>
            <w:tcMar>
              <w:left w:w="0" w:type="dxa"/>
            </w:tcMar>
          </w:tcPr>
          <w:p w14:paraId="21F688A7" w14:textId="4ED198DA" w:rsidR="00F93F2C" w:rsidRDefault="00F93F2C" w:rsidP="00F93F2C">
            <w:pPr>
              <w:pStyle w:val="Marginlie"/>
            </w:pPr>
            <w:r>
              <w:t>Po silném 2. a 3. kvartálu 2019 se přebytek zahraničního obchodu ve 4. čtvrtletí propadl.</w:t>
            </w:r>
          </w:p>
        </w:tc>
        <w:tc>
          <w:tcPr>
            <w:tcW w:w="223" w:type="dxa"/>
            <w:shd w:val="clear" w:color="auto" w:fill="auto"/>
            <w:tcMar>
              <w:left w:w="0" w:type="dxa"/>
            </w:tcMar>
          </w:tcPr>
          <w:p w14:paraId="09E545AA" w14:textId="77777777" w:rsidR="00F93F2C" w:rsidRDefault="00F93F2C" w:rsidP="00F93F2C">
            <w:pPr>
              <w:pStyle w:val="Textpoznpodarou"/>
              <w:jc w:val="both"/>
              <w:rPr>
                <w:spacing w:val="-4"/>
              </w:rPr>
            </w:pPr>
          </w:p>
        </w:tc>
        <w:tc>
          <w:tcPr>
            <w:tcW w:w="7610" w:type="dxa"/>
            <w:shd w:val="clear" w:color="auto" w:fill="auto"/>
            <w:tcMar>
              <w:left w:w="0" w:type="dxa"/>
            </w:tcMar>
          </w:tcPr>
          <w:p w14:paraId="3BAE39D0" w14:textId="47CCA986" w:rsidR="00F93F2C" w:rsidRDefault="00F93F2C" w:rsidP="00F93F2C">
            <w:r>
              <w:t>Bilance zahraničního obchodu se zbožím a službami loni dosáhla přebytku 345,7 mld. korun</w:t>
            </w:r>
            <w:r w:rsidRPr="009110F7">
              <w:rPr>
                <w:rStyle w:val="Znakapoznpodarou"/>
              </w:rPr>
              <w:footnoteReference w:id="19"/>
            </w:r>
            <w:r>
              <w:t xml:space="preserve">. Kladné saldo se oproti roku 2018 zvýšilo o 3,7 mld. Bilance obchodu se zbožím sice zaznamenala nárůst přebytku o 15,0 mld. korun, v případě služeb ale došlo ke snížení o 11,4 mld. Bilance zahraničního obchodu ve 2. a 3. čtvrtletí výrazně přispívala k meziročnímu růstu HDP (1,3 a 1,0 p. b. ve 2. a 3. kvartálu). Ve 4. čtvrtletí ale přebytek dosáhl 70,8 mld. korun (nejhorší výsledek za 4. čtvrtletí od roku 2014) a meziročně se snížil o 22,8 mld. (největší propad od 3. čtvrtletí 2010). Bilance tak meziroční růst HDP zbrzdila o 1,9 p. b. Zatímco v předchozích kvartálech bylo navýšení přebytku způsobeno mírným růstem importu, který nepřekonával export, ve 4. čtvrtletí došlo k meziročnímu reálnému poklesu vývozu o 1,5 % (dovoz si držel mírné tempo 1,4 %). </w:t>
            </w:r>
            <w:r>
              <w:lastRenderedPageBreak/>
              <w:t>Snížil se tak přebytek obchodu se zbožím (o 7,7 mld. korun), ale zejména kladné saldo obchodu se službami (o 15,0 mld., nejvýraznější pokles od počátku roku 2005).</w:t>
            </w:r>
          </w:p>
        </w:tc>
      </w:tr>
      <w:tr w:rsidR="00F93F2C" w:rsidRPr="009110F7" w14:paraId="6C963712" w14:textId="77777777" w:rsidTr="00E44243">
        <w:trPr>
          <w:trHeight w:val="145"/>
        </w:trPr>
        <w:tc>
          <w:tcPr>
            <w:tcW w:w="1806" w:type="dxa"/>
            <w:shd w:val="clear" w:color="auto" w:fill="auto"/>
            <w:tcMar>
              <w:left w:w="0" w:type="dxa"/>
            </w:tcMar>
          </w:tcPr>
          <w:p w14:paraId="061F4E70" w14:textId="50623313" w:rsidR="00F93F2C" w:rsidRDefault="00F93F2C" w:rsidP="00F93F2C">
            <w:pPr>
              <w:pStyle w:val="Marginlie"/>
            </w:pPr>
            <w:r>
              <w:lastRenderedPageBreak/>
              <w:t>Růst hrubé přidané hodnoty loni nejvíce podporovaly služby.</w:t>
            </w:r>
          </w:p>
        </w:tc>
        <w:tc>
          <w:tcPr>
            <w:tcW w:w="223" w:type="dxa"/>
            <w:shd w:val="clear" w:color="auto" w:fill="auto"/>
            <w:tcMar>
              <w:left w:w="0" w:type="dxa"/>
            </w:tcMar>
          </w:tcPr>
          <w:p w14:paraId="7A10D6CE" w14:textId="77777777" w:rsidR="00F93F2C" w:rsidRDefault="00F93F2C" w:rsidP="00F93F2C">
            <w:pPr>
              <w:pStyle w:val="Textpoznpodarou"/>
              <w:jc w:val="both"/>
              <w:rPr>
                <w:spacing w:val="-4"/>
              </w:rPr>
            </w:pPr>
          </w:p>
        </w:tc>
        <w:tc>
          <w:tcPr>
            <w:tcW w:w="7610" w:type="dxa"/>
            <w:shd w:val="clear" w:color="auto" w:fill="auto"/>
            <w:tcMar>
              <w:left w:w="0" w:type="dxa"/>
            </w:tcMar>
          </w:tcPr>
          <w:p w14:paraId="730D9EE9" w14:textId="70B900C9" w:rsidR="00F93F2C" w:rsidRPr="00F93F2C" w:rsidRDefault="00F93F2C" w:rsidP="00F93F2C">
            <w:r w:rsidRPr="00F93F2C">
              <w:t>Hrubá přidaná hodnota (HPH) ve 4. čtvrtletí 2019 meziročně vzrostla o 1,8 %, méně než HDP. Mírně nižší bylo i navýšení dynamiky za celý rok 2019 (2,4 %). Mezičtvrtletní přírůstek ve 4. čtvrtletí činil 0,4 % a drobně tak zrychlil oproti předchozímu kvartálu. Po celý rok za většinu meziročního růstu HPH odpovídala odvětví služeb (příspěvek 1,9 p. b. k přírůstku v roce 2019). Ze služeb loni vynikal příspěvek váhově významného uskupení obchod, doprava, ubytování a pohostinství (příspěvek 0,5 p. b., přírůstek HPH 2,6 %) a zejména informačních a komunikačních činností (0,4 p. b., 7,6 %), jejichž dynamický vývoj v posledních sedmi letech značně posílil jejich význam pro domácí ekonomiku. Menší vliv pak loni mělo stavebnictví a zpracovatelský průmysl (shodně 0,2 p. b.).</w:t>
            </w:r>
          </w:p>
        </w:tc>
      </w:tr>
      <w:tr w:rsidR="00F93F2C" w:rsidRPr="009110F7" w14:paraId="2AA4F22B" w14:textId="77777777" w:rsidTr="00E44243">
        <w:trPr>
          <w:trHeight w:val="145"/>
        </w:trPr>
        <w:tc>
          <w:tcPr>
            <w:tcW w:w="1806" w:type="dxa"/>
            <w:shd w:val="clear" w:color="auto" w:fill="auto"/>
            <w:tcMar>
              <w:left w:w="0" w:type="dxa"/>
            </w:tcMar>
          </w:tcPr>
          <w:p w14:paraId="59CB9311" w14:textId="72A9ACC5" w:rsidR="00F93F2C" w:rsidRDefault="00F93F2C" w:rsidP="00F93F2C">
            <w:pPr>
              <w:pStyle w:val="Marginlie"/>
            </w:pPr>
            <w:r>
              <w:t>Pokračoval dynamický rozvoj informačních a komunikačních činností.</w:t>
            </w:r>
          </w:p>
        </w:tc>
        <w:tc>
          <w:tcPr>
            <w:tcW w:w="223" w:type="dxa"/>
            <w:shd w:val="clear" w:color="auto" w:fill="auto"/>
            <w:tcMar>
              <w:left w:w="0" w:type="dxa"/>
            </w:tcMar>
          </w:tcPr>
          <w:p w14:paraId="71D5D1CF" w14:textId="77777777" w:rsidR="00F93F2C" w:rsidRDefault="00F93F2C" w:rsidP="00F93F2C">
            <w:pPr>
              <w:pStyle w:val="Textpoznpodarou"/>
              <w:jc w:val="both"/>
              <w:rPr>
                <w:spacing w:val="-4"/>
              </w:rPr>
            </w:pPr>
          </w:p>
        </w:tc>
        <w:tc>
          <w:tcPr>
            <w:tcW w:w="7610" w:type="dxa"/>
            <w:shd w:val="clear" w:color="auto" w:fill="auto"/>
            <w:tcMar>
              <w:left w:w="0" w:type="dxa"/>
            </w:tcMar>
          </w:tcPr>
          <w:p w14:paraId="32DEDBD9" w14:textId="66CB68B1" w:rsidR="00F93F2C" w:rsidRPr="00F93F2C" w:rsidRDefault="00F93F2C" w:rsidP="00F93F2C">
            <w:r w:rsidRPr="00F93F2C">
              <w:t>V samotném 4. kvartálu téměř kompletně k meziročnímu růstu přispívaly služby (1,6 p. b.). Nejvíce veřejná správa a obrana, vzdělávání, zdravotní a sociální péče (0,4 p. b.), kde ke konci roku meziroční dynamika zrychlila na 2,3 %. Shodně 0,3 p. b. k růstu přispěly informační a komunikační činnosti (meziroční přírůstek HPH 6,1 %), činnosti v oblasti nemovitostí (3,6 %) a profesní, vědecké, technické a administrativní činnosti (3,7 %). Naopak oslabil příspěvek uskupení obchod, doprava, ubytování a pohostinství (0,2 p. b., přírůstek HPH 1,1 %). V posledních dvou letech byl poměrně solidní meziroční růst HPH ve stavebnictví (3,1 % ve 4. čtvrtletí 2019), předchozí propady ale vedly ke snížení váhy, a tedy i příspěvku odvětví k celkovému růstu (0,2 p. b.). Ve zpracovatelském průmyslu ve 4. čtvrtletí HPH meziročně klesla o 0,3 % a celkový růst tak zbrzdila o 0,1 p. b.</w:t>
            </w:r>
          </w:p>
        </w:tc>
      </w:tr>
      <w:tr w:rsidR="00F93F2C" w:rsidRPr="009110F7" w14:paraId="05CD0643" w14:textId="77777777" w:rsidTr="00E44243">
        <w:trPr>
          <w:trHeight w:val="170"/>
        </w:trPr>
        <w:tc>
          <w:tcPr>
            <w:tcW w:w="1806" w:type="dxa"/>
            <w:vMerge w:val="restart"/>
            <w:shd w:val="clear" w:color="auto" w:fill="auto"/>
            <w:tcMar>
              <w:left w:w="0" w:type="dxa"/>
            </w:tcMar>
          </w:tcPr>
          <w:p w14:paraId="14EB2966" w14:textId="77777777" w:rsidR="00F93F2C" w:rsidRDefault="00F93F2C" w:rsidP="00F93F2C">
            <w:pPr>
              <w:pStyle w:val="Marginlie"/>
            </w:pPr>
          </w:p>
        </w:tc>
        <w:tc>
          <w:tcPr>
            <w:tcW w:w="223" w:type="dxa"/>
            <w:vMerge w:val="restart"/>
            <w:shd w:val="clear" w:color="auto" w:fill="auto"/>
            <w:tcMar>
              <w:left w:w="0" w:type="dxa"/>
            </w:tcMar>
          </w:tcPr>
          <w:p w14:paraId="1C9FF65D" w14:textId="77777777" w:rsidR="00F93F2C" w:rsidRDefault="00F93F2C" w:rsidP="00F93F2C">
            <w:pPr>
              <w:pStyle w:val="Textpoznpodarou"/>
              <w:jc w:val="both"/>
              <w:rPr>
                <w:spacing w:val="-4"/>
              </w:rPr>
            </w:pPr>
          </w:p>
        </w:tc>
        <w:tc>
          <w:tcPr>
            <w:tcW w:w="7610" w:type="dxa"/>
            <w:shd w:val="clear" w:color="auto" w:fill="auto"/>
            <w:tcMar>
              <w:left w:w="0" w:type="dxa"/>
            </w:tcMar>
          </w:tcPr>
          <w:p w14:paraId="3FBB0C20" w14:textId="4B5EB044" w:rsidR="00F93F2C" w:rsidRPr="001208E3" w:rsidRDefault="00F93F2C" w:rsidP="00F93F2C">
            <w:pPr>
              <w:spacing w:after="0"/>
              <w:rPr>
                <w:szCs w:val="20"/>
              </w:rPr>
            </w:pPr>
            <w:r>
              <w:rPr>
                <w:b/>
                <w:sz w:val="18"/>
                <w:szCs w:val="18"/>
              </w:rPr>
              <w:t xml:space="preserve">Graf č. 3  </w:t>
            </w:r>
            <w:r w:rsidRPr="00663018">
              <w:rPr>
                <w:rFonts w:cs="Arial"/>
                <w:b/>
                <w:sz w:val="18"/>
                <w:szCs w:val="18"/>
                <w:lang w:eastAsia="en-US"/>
              </w:rPr>
              <w:t>Příspěvky odvětví k</w:t>
            </w:r>
            <w:r>
              <w:rPr>
                <w:rFonts w:cs="Arial"/>
                <w:b/>
                <w:sz w:val="18"/>
                <w:szCs w:val="18"/>
                <w:lang w:eastAsia="en-US"/>
              </w:rPr>
              <w:t> </w:t>
            </w:r>
            <w:r w:rsidRPr="00663018">
              <w:rPr>
                <w:rFonts w:cs="Arial"/>
                <w:b/>
                <w:sz w:val="18"/>
                <w:szCs w:val="18"/>
                <w:lang w:eastAsia="en-US"/>
              </w:rPr>
              <w:t>reálné</w:t>
            </w:r>
            <w:r>
              <w:rPr>
                <w:rFonts w:cs="Arial"/>
                <w:b/>
                <w:sz w:val="18"/>
                <w:szCs w:val="18"/>
                <w:lang w:eastAsia="en-US"/>
              </w:rPr>
              <w:t xml:space="preserve"> </w:t>
            </w:r>
            <w:r w:rsidRPr="00663018">
              <w:rPr>
                <w:rFonts w:cs="Arial"/>
                <w:b/>
                <w:sz w:val="18"/>
                <w:szCs w:val="18"/>
                <w:lang w:eastAsia="en-US"/>
              </w:rPr>
              <w:t>změně HPH (objemové indexy, meziroční příspěvky v p.</w:t>
            </w:r>
            <w:r>
              <w:rPr>
                <w:rFonts w:cs="Arial"/>
                <w:b/>
                <w:sz w:val="18"/>
                <w:szCs w:val="18"/>
                <w:lang w:eastAsia="en-US"/>
              </w:rPr>
              <w:t> </w:t>
            </w:r>
            <w:r w:rsidRPr="00663018">
              <w:rPr>
                <w:rFonts w:cs="Arial"/>
                <w:b/>
                <w:sz w:val="18"/>
                <w:szCs w:val="18"/>
                <w:lang w:eastAsia="en-US"/>
              </w:rPr>
              <w:t>b., HPH v</w:t>
            </w:r>
            <w:r>
              <w:rPr>
                <w:rFonts w:cs="Arial"/>
                <w:b/>
                <w:sz w:val="18"/>
                <w:szCs w:val="18"/>
                <w:lang w:eastAsia="en-US"/>
              </w:rPr>
              <w:t> %</w:t>
            </w:r>
            <w:r w:rsidRPr="00663018">
              <w:rPr>
                <w:rFonts w:cs="Arial"/>
                <w:b/>
                <w:sz w:val="18"/>
                <w:szCs w:val="18"/>
                <w:lang w:eastAsia="en-US"/>
              </w:rPr>
              <w:t>)</w:t>
            </w:r>
          </w:p>
        </w:tc>
      </w:tr>
      <w:tr w:rsidR="00F93F2C" w:rsidRPr="009110F7" w14:paraId="12DF3978" w14:textId="77777777" w:rsidTr="00E44243">
        <w:tblPrEx>
          <w:tblCellMar>
            <w:left w:w="70" w:type="dxa"/>
            <w:right w:w="70" w:type="dxa"/>
          </w:tblCellMar>
        </w:tblPrEx>
        <w:trPr>
          <w:trHeight w:val="170"/>
        </w:trPr>
        <w:tc>
          <w:tcPr>
            <w:tcW w:w="1806" w:type="dxa"/>
            <w:vMerge/>
            <w:shd w:val="clear" w:color="auto" w:fill="auto"/>
          </w:tcPr>
          <w:p w14:paraId="2575FBA1" w14:textId="77777777" w:rsidR="00F93F2C" w:rsidRPr="009110F7" w:rsidRDefault="00F93F2C" w:rsidP="00F93F2C">
            <w:pPr>
              <w:pStyle w:val="Marginlie"/>
            </w:pPr>
          </w:p>
        </w:tc>
        <w:tc>
          <w:tcPr>
            <w:tcW w:w="223" w:type="dxa"/>
            <w:vMerge/>
            <w:shd w:val="clear" w:color="auto" w:fill="auto"/>
          </w:tcPr>
          <w:p w14:paraId="3A43074F" w14:textId="77777777" w:rsidR="00F93F2C" w:rsidRPr="009110F7" w:rsidRDefault="00F93F2C" w:rsidP="00F93F2C">
            <w:pPr>
              <w:pStyle w:val="Textpoznpodarou"/>
              <w:jc w:val="both"/>
              <w:rPr>
                <w:spacing w:val="-4"/>
              </w:rPr>
            </w:pPr>
          </w:p>
        </w:tc>
        <w:tc>
          <w:tcPr>
            <w:tcW w:w="7610" w:type="dxa"/>
            <w:shd w:val="clear" w:color="auto" w:fill="auto"/>
          </w:tcPr>
          <w:p w14:paraId="387C47E7" w14:textId="43053B03" w:rsidR="00F93F2C" w:rsidRPr="009110F7" w:rsidRDefault="00F93F2C" w:rsidP="00F93F2C">
            <w:pPr>
              <w:spacing w:after="0"/>
            </w:pPr>
            <w:r>
              <w:rPr>
                <w:noProof/>
              </w:rPr>
              <w:drawing>
                <wp:inline distT="0" distB="0" distL="0" distR="0" wp14:anchorId="3AB5C96B" wp14:editId="6AFCD3DA">
                  <wp:extent cx="4737600" cy="3553200"/>
                  <wp:effectExtent l="0" t="0" r="6350" b="0"/>
                  <wp:docPr id="12" name="Graf 12">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F93F2C" w:rsidRPr="009110F7" w14:paraId="0FCD8B54" w14:textId="77777777" w:rsidTr="00E44243">
        <w:trPr>
          <w:trHeight w:val="170"/>
        </w:trPr>
        <w:tc>
          <w:tcPr>
            <w:tcW w:w="1806" w:type="dxa"/>
            <w:vMerge/>
            <w:shd w:val="clear" w:color="auto" w:fill="auto"/>
            <w:tcMar>
              <w:left w:w="0" w:type="dxa"/>
            </w:tcMar>
          </w:tcPr>
          <w:p w14:paraId="18AC6E30" w14:textId="77777777" w:rsidR="00F93F2C" w:rsidRPr="009110F7" w:rsidRDefault="00F93F2C" w:rsidP="00F93F2C">
            <w:pPr>
              <w:pStyle w:val="Marginlie"/>
            </w:pPr>
          </w:p>
        </w:tc>
        <w:tc>
          <w:tcPr>
            <w:tcW w:w="223" w:type="dxa"/>
            <w:vMerge/>
            <w:shd w:val="clear" w:color="auto" w:fill="auto"/>
            <w:tcMar>
              <w:left w:w="0" w:type="dxa"/>
            </w:tcMar>
          </w:tcPr>
          <w:p w14:paraId="2A0BE6C1" w14:textId="77777777" w:rsidR="00F93F2C" w:rsidRPr="009110F7" w:rsidRDefault="00F93F2C" w:rsidP="00F93F2C">
            <w:pPr>
              <w:pStyle w:val="Textpoznpodarou"/>
              <w:jc w:val="both"/>
              <w:rPr>
                <w:spacing w:val="-4"/>
              </w:rPr>
            </w:pPr>
          </w:p>
        </w:tc>
        <w:tc>
          <w:tcPr>
            <w:tcW w:w="7610" w:type="dxa"/>
            <w:shd w:val="clear" w:color="auto" w:fill="auto"/>
            <w:tcMar>
              <w:left w:w="0" w:type="dxa"/>
            </w:tcMar>
          </w:tcPr>
          <w:p w14:paraId="25A04040" w14:textId="555E3BD2" w:rsidR="00F93F2C" w:rsidRPr="009110F7" w:rsidRDefault="00F93F2C" w:rsidP="00F93F2C">
            <w:pPr>
              <w:rPr>
                <w:sz w:val="14"/>
                <w:szCs w:val="14"/>
              </w:rPr>
            </w:pPr>
            <w:r w:rsidRPr="00A85DE1">
              <w:rPr>
                <w:sz w:val="14"/>
                <w:szCs w:val="14"/>
              </w:rPr>
              <w:t>Zdroj: ČSÚ</w:t>
            </w:r>
          </w:p>
        </w:tc>
      </w:tr>
    </w:tbl>
    <w:p w14:paraId="34D8C071" w14:textId="77777777" w:rsidR="009A24F1" w:rsidRDefault="009A24F1">
      <w:pPr>
        <w:spacing w:after="0" w:line="240" w:lineRule="auto"/>
        <w:jc w:val="left"/>
        <w:rPr>
          <w:rFonts w:eastAsia="MS Gothic"/>
          <w:b/>
          <w:bCs/>
          <w:color w:val="71818C"/>
          <w:sz w:val="32"/>
          <w:szCs w:val="28"/>
        </w:rPr>
      </w:pPr>
      <w:r>
        <w:br w:type="page"/>
      </w:r>
    </w:p>
    <w:p w14:paraId="2D6CDC52" w14:textId="77777777" w:rsidR="00C81070" w:rsidRDefault="00C81070" w:rsidP="00C81070">
      <w:pPr>
        <w:pStyle w:val="Nadpis11"/>
      </w:pPr>
      <w:bookmarkStart w:id="5" w:name="_Toc19090676"/>
      <w:bookmarkStart w:id="6" w:name="_Toc37403642"/>
      <w:r w:rsidRPr="009F2921">
        <w:lastRenderedPageBreak/>
        <w:t>3. </w:t>
      </w:r>
      <w:bookmarkStart w:id="7" w:name="_Toc454185150"/>
      <w:bookmarkStart w:id="8" w:name="_Toc493683635"/>
      <w:r w:rsidRPr="009F2921">
        <w:t>Výkonnost odvětví</w:t>
      </w:r>
      <w:bookmarkEnd w:id="7"/>
      <w:bookmarkEnd w:id="8"/>
      <w:bookmarkEnd w:id="6"/>
    </w:p>
    <w:tbl>
      <w:tblPr>
        <w:tblW w:w="9644" w:type="dxa"/>
        <w:tblInd w:w="-15" w:type="dxa"/>
        <w:tblCellMar>
          <w:left w:w="0" w:type="dxa"/>
          <w:right w:w="0" w:type="dxa"/>
        </w:tblCellMar>
        <w:tblLook w:val="00A0" w:firstRow="1" w:lastRow="0" w:firstColumn="1" w:lastColumn="0" w:noHBand="0" w:noVBand="0"/>
      </w:tblPr>
      <w:tblGrid>
        <w:gridCol w:w="1764"/>
        <w:gridCol w:w="206"/>
        <w:gridCol w:w="7674"/>
      </w:tblGrid>
      <w:tr w:rsidR="00C81070" w:rsidRPr="00DF6A33" w14:paraId="685044B1" w14:textId="77777777" w:rsidTr="00A746C9">
        <w:trPr>
          <w:trHeight w:val="145"/>
        </w:trPr>
        <w:tc>
          <w:tcPr>
            <w:tcW w:w="1764" w:type="dxa"/>
            <w:shd w:val="clear" w:color="auto" w:fill="auto"/>
            <w:tcMar>
              <w:left w:w="0" w:type="dxa"/>
            </w:tcMar>
          </w:tcPr>
          <w:p w14:paraId="444CF328" w14:textId="77777777" w:rsidR="00C81070" w:rsidRDefault="00C81070" w:rsidP="00485E82">
            <w:pPr>
              <w:pStyle w:val="Marginlie"/>
            </w:pPr>
            <w:r>
              <w:t>Dynamika hrubé přidané hodnoty v ekonomice ČR během roku 2019 zvolňovala.</w:t>
            </w:r>
          </w:p>
        </w:tc>
        <w:tc>
          <w:tcPr>
            <w:tcW w:w="206" w:type="dxa"/>
            <w:shd w:val="clear" w:color="auto" w:fill="auto"/>
            <w:tcMar>
              <w:left w:w="0" w:type="dxa"/>
            </w:tcMar>
          </w:tcPr>
          <w:p w14:paraId="5719164E" w14:textId="77777777" w:rsidR="00C81070" w:rsidRDefault="00C81070" w:rsidP="00485E82">
            <w:pPr>
              <w:pStyle w:val="Textpoznpodarou"/>
              <w:jc w:val="both"/>
              <w:rPr>
                <w:spacing w:val="-4"/>
              </w:rPr>
            </w:pPr>
          </w:p>
        </w:tc>
        <w:tc>
          <w:tcPr>
            <w:tcW w:w="7674" w:type="dxa"/>
            <w:shd w:val="clear" w:color="auto" w:fill="auto"/>
            <w:tcMar>
              <w:left w:w="0" w:type="dxa"/>
            </w:tcMar>
          </w:tcPr>
          <w:p w14:paraId="787980D4" w14:textId="19009417" w:rsidR="00C81070" w:rsidRPr="00DB613B" w:rsidRDefault="00C81070" w:rsidP="00485E82">
            <w:pPr>
              <w:spacing w:after="220"/>
            </w:pPr>
            <w:r w:rsidRPr="00DB613B">
              <w:t>Výkon všech odvětví ekonomiky zachycený prostřednictvím jimi vytvořené hrubé přidané hodnoty (HPH)</w:t>
            </w:r>
            <w:r w:rsidRPr="00DB613B">
              <w:rPr>
                <w:rStyle w:val="Znakapoznpodarou"/>
              </w:rPr>
              <w:footnoteReference w:id="20"/>
            </w:r>
            <w:r w:rsidRPr="00DB613B">
              <w:t xml:space="preserve">, vzrostl za celý loňský rok o 2,4 % </w:t>
            </w:r>
            <w:r w:rsidRPr="00DB613B">
              <w:rPr>
                <w:color w:val="000000" w:themeColor="text1"/>
              </w:rPr>
              <w:t>–</w:t>
            </w:r>
            <w:r w:rsidRPr="00DB613B">
              <w:t xml:space="preserve"> tempo oslabovalo druhým rokem v řadě. Loňské zvolnění odráželo především vývoj ve druhé polovině roku, kdy tuzemské hospodářství postupně ztrácelo odolnost vůči přetrvávajícím nepříznivým vnějším faktorům</w:t>
            </w:r>
            <w:r w:rsidRPr="00DB613B">
              <w:rPr>
                <w:rStyle w:val="Znakapoznpodarou"/>
              </w:rPr>
              <w:footnoteReference w:id="21"/>
            </w:r>
            <w:r w:rsidRPr="00DB613B">
              <w:t xml:space="preserve">. Ve 3. čtvrtletí 2019 se </w:t>
            </w:r>
            <w:proofErr w:type="spellStart"/>
            <w:r w:rsidRPr="00DB613B">
              <w:t>mezikvartální</w:t>
            </w:r>
            <w:proofErr w:type="spellEnd"/>
            <w:r w:rsidRPr="00DB613B">
              <w:t xml:space="preserve"> růst HPH zredukoval na 0,3 % (minimum od poloviny roku 2016) a ani závěr roku významnější posun nepřinesl (+0,4</w:t>
            </w:r>
            <w:r w:rsidR="00A746C9">
              <w:t> </w:t>
            </w:r>
            <w:r w:rsidRPr="00DB613B">
              <w:t>%). I tak ale zůstalo tempo v Č</w:t>
            </w:r>
            <w:r w:rsidRPr="00DB613B">
              <w:rPr>
                <w:color w:val="0D0D0D" w:themeColor="text1" w:themeTint="F2"/>
              </w:rPr>
              <w:t xml:space="preserve">esku po většinu roku vyšší než v sousedních </w:t>
            </w:r>
            <w:r w:rsidRPr="00DB613B">
              <w:t>státech (vyjma Polska) i celé EU.</w:t>
            </w:r>
          </w:p>
        </w:tc>
      </w:tr>
      <w:tr w:rsidR="00C81070" w:rsidRPr="00DF6A33" w14:paraId="248E6E35" w14:textId="77777777" w:rsidTr="00A746C9">
        <w:trPr>
          <w:trHeight w:val="145"/>
        </w:trPr>
        <w:tc>
          <w:tcPr>
            <w:tcW w:w="1764" w:type="dxa"/>
            <w:shd w:val="clear" w:color="auto" w:fill="auto"/>
            <w:tcMar>
              <w:left w:w="0" w:type="dxa"/>
            </w:tcMar>
          </w:tcPr>
          <w:p w14:paraId="6A6827EB" w14:textId="77777777" w:rsidR="00C81070" w:rsidRDefault="00C81070" w:rsidP="00485E82">
            <w:pPr>
              <w:pStyle w:val="Marginlie"/>
            </w:pPr>
            <w:r>
              <w:t>Čtyři pětiny růstu přidané hodnoty zajistil loni sektor služeb. Přispěla k tomu všechna jeho hlavní odvětví.</w:t>
            </w:r>
          </w:p>
          <w:p w14:paraId="38D0589C" w14:textId="77777777" w:rsidR="00C81070" w:rsidRDefault="00C81070" w:rsidP="00485E82">
            <w:pPr>
              <w:pStyle w:val="Marginlie"/>
            </w:pPr>
          </w:p>
          <w:p w14:paraId="2BE42447" w14:textId="77777777" w:rsidR="00C81070" w:rsidRDefault="00C81070" w:rsidP="00485E82">
            <w:pPr>
              <w:pStyle w:val="Marginlie"/>
            </w:pPr>
          </w:p>
          <w:p w14:paraId="6A5075D5" w14:textId="77777777" w:rsidR="00C81070" w:rsidRDefault="00C81070" w:rsidP="00485E82">
            <w:pPr>
              <w:pStyle w:val="Marginlie"/>
            </w:pPr>
          </w:p>
          <w:p w14:paraId="2BC55581" w14:textId="77777777" w:rsidR="00C81070" w:rsidRDefault="00C81070" w:rsidP="00485E82">
            <w:pPr>
              <w:pStyle w:val="Marginlie"/>
            </w:pPr>
            <w:r>
              <w:t>Z rozvoje digitalizace profitovaly činnosti v oblasti IT, dařilo se i službám pro podniky.</w:t>
            </w:r>
          </w:p>
          <w:p w14:paraId="4C6E09A2" w14:textId="77777777" w:rsidR="00C81070" w:rsidRDefault="00C81070" w:rsidP="00485E82">
            <w:pPr>
              <w:pStyle w:val="Marginlie"/>
            </w:pPr>
          </w:p>
          <w:p w14:paraId="3474688A" w14:textId="77777777" w:rsidR="00C81070" w:rsidRDefault="00C81070" w:rsidP="00485E82">
            <w:pPr>
              <w:pStyle w:val="Marginlie"/>
            </w:pPr>
          </w:p>
          <w:p w14:paraId="70DB440E" w14:textId="77777777" w:rsidR="00C81070" w:rsidRDefault="00C81070" w:rsidP="00485E82">
            <w:pPr>
              <w:pStyle w:val="Marginlie"/>
            </w:pPr>
          </w:p>
          <w:p w14:paraId="26CEC9B2" w14:textId="44652957" w:rsidR="00C81070" w:rsidRDefault="00C81070" w:rsidP="00485E82">
            <w:pPr>
              <w:pStyle w:val="Marginlie"/>
            </w:pPr>
            <w:r>
              <w:t>K nejméně dynamickým odvětvím terciární sféry z pohledu HPH patří dlouhodobě veřejné služby.</w:t>
            </w:r>
          </w:p>
        </w:tc>
        <w:tc>
          <w:tcPr>
            <w:tcW w:w="206" w:type="dxa"/>
            <w:shd w:val="clear" w:color="auto" w:fill="auto"/>
            <w:tcMar>
              <w:left w:w="0" w:type="dxa"/>
            </w:tcMar>
          </w:tcPr>
          <w:p w14:paraId="661C67D6" w14:textId="77777777" w:rsidR="00C81070" w:rsidRDefault="00C81070" w:rsidP="00485E82">
            <w:pPr>
              <w:pStyle w:val="Textpoznpodarou"/>
              <w:jc w:val="both"/>
              <w:rPr>
                <w:spacing w:val="-4"/>
              </w:rPr>
            </w:pPr>
          </w:p>
        </w:tc>
        <w:tc>
          <w:tcPr>
            <w:tcW w:w="7674" w:type="dxa"/>
            <w:shd w:val="clear" w:color="auto" w:fill="auto"/>
            <w:tcMar>
              <w:left w:w="0" w:type="dxa"/>
            </w:tcMar>
          </w:tcPr>
          <w:p w14:paraId="6AC86318" w14:textId="4F26AEB9" w:rsidR="00C81070" w:rsidRPr="00DB613B" w:rsidRDefault="00C81070" w:rsidP="00485E82">
            <w:pPr>
              <w:spacing w:after="220"/>
            </w:pPr>
            <w:r w:rsidRPr="00DB613B">
              <w:t>K meziročnímu růstu HPH přispělo loni všech jedenáct hlavních odvětvových uskupení. Klíčovým hybatelem tuzemské ekonomiky byl (podobně jako v roce 2018) sektor služeb, neboť zajistil čtyři pětiny celkového růstu HPH. V rámci tohoto sektoru pokračoval dlouhodobý dynamický růst informačních a komunikačních činností (+7,6 %, za posledních šest let od konce recese +54 %), jež profitoval</w:t>
            </w:r>
            <w:r w:rsidR="003017EC" w:rsidRPr="00DB613B">
              <w:t>y</w:t>
            </w:r>
            <w:r w:rsidRPr="00DB613B">
              <w:t xml:space="preserve"> z dynamického rozvoje digitalizace v podnikové sféře i ve veřejném sektoru. Díky rostoucí poptávce po podpůrných činnostech pro podniky (vč. najímání pracovní síly) vykazují dlouhodobější, byť méně dynamický, růst i profesní, </w:t>
            </w:r>
            <w:r w:rsidR="003017EC" w:rsidRPr="00DB613B">
              <w:t>vědecké, technické</w:t>
            </w:r>
            <w:r w:rsidRPr="00DB613B">
              <w:t xml:space="preserve"> a administrativní činnosti (loni 4,0 %). Dařilo se i aktivitám v oblasti nemovitostí, jejichž růst zrychloval druhým rokem v řadě (na 3,3 %). Naopak po dynamickém období let 2015 až 2017 pokračovalo zvolňování růstu HPH ve finančním sektoru (na 2,8 %). Na silný rok 2018 plně nenavázalo váhově významné uskupení obchod, doprava, ubytování a pohostinství (+2,6 %) – neboť tempo HPH zde během loňska zpomalovalo (+4,0 % v 1. čtvrtletí, +1,1</w:t>
            </w:r>
            <w:r w:rsidR="00A746C9">
              <w:t> </w:t>
            </w:r>
            <w:r w:rsidRPr="00DB613B">
              <w:t>% ve 4. čtvrtletí). Projevilo se jak zvolnění dynamiky příjezdového cestovního ruchu i slábnoucí růst spotřeby domácností v Česku (obě v 1. až 3. čtvrtletí), tak i zpomalení v odvětví dopravy ve vazbě na vývoj zbožového zahraničního obchodu i průmyslu (zejména ve 2. polovině roku). Nejslabším tempem v rámci služeb rostla HPH v uskupení veřejná správa a obrana, vzdělávání, zdravotní a sociální péče (o 1,7 %), jehož dynamika se ale nevymykala z trendů předchozích čtyř let.</w:t>
            </w:r>
          </w:p>
        </w:tc>
      </w:tr>
      <w:tr w:rsidR="00C81070" w:rsidRPr="00DF6A33" w14:paraId="5092FB1D" w14:textId="77777777" w:rsidTr="00A746C9">
        <w:trPr>
          <w:trHeight w:val="145"/>
        </w:trPr>
        <w:tc>
          <w:tcPr>
            <w:tcW w:w="1764" w:type="dxa"/>
            <w:shd w:val="clear" w:color="auto" w:fill="auto"/>
            <w:tcMar>
              <w:left w:w="0" w:type="dxa"/>
            </w:tcMar>
          </w:tcPr>
          <w:p w14:paraId="07269CAE" w14:textId="5FF06C88" w:rsidR="00C81070" w:rsidRDefault="00C81070" w:rsidP="00485E82">
            <w:pPr>
              <w:pStyle w:val="Marginlie"/>
            </w:pPr>
            <w:r>
              <w:t xml:space="preserve">Tempo HPH v průmyslu </w:t>
            </w:r>
            <w:r w:rsidR="003017EC">
              <w:t>v průběhu</w:t>
            </w:r>
            <w:r>
              <w:t xml:space="preserve"> roku zpomalovalo a během 4. čtvrtletí dosáhlo minima od konce recese.</w:t>
            </w:r>
          </w:p>
          <w:p w14:paraId="6F55863E" w14:textId="77777777" w:rsidR="00C81070" w:rsidRDefault="00C81070" w:rsidP="00485E82">
            <w:pPr>
              <w:pStyle w:val="Marginlie"/>
            </w:pPr>
          </w:p>
          <w:p w14:paraId="3F0BD9DB" w14:textId="77777777" w:rsidR="00C81070" w:rsidRDefault="00C81070" w:rsidP="00485E82">
            <w:pPr>
              <w:pStyle w:val="Marginlie"/>
            </w:pPr>
          </w:p>
          <w:p w14:paraId="44B17E99" w14:textId="77777777" w:rsidR="00C81070" w:rsidRDefault="00C81070" w:rsidP="00485E82">
            <w:pPr>
              <w:pStyle w:val="Marginlie"/>
            </w:pPr>
          </w:p>
          <w:p w14:paraId="68529DD4" w14:textId="77777777" w:rsidR="00C81070" w:rsidRDefault="00C81070" w:rsidP="00485E82">
            <w:pPr>
              <w:pStyle w:val="Marginlie"/>
            </w:pPr>
            <w:r>
              <w:t>Stavebnictví loni pokračovalo v oživení z roku 2018. Výkony primárního sektoru podpořila vyšší sklizeň obilovin, mírné posílení živočišné produkce a intenzivní těžba dřeva.</w:t>
            </w:r>
          </w:p>
        </w:tc>
        <w:tc>
          <w:tcPr>
            <w:tcW w:w="206" w:type="dxa"/>
            <w:shd w:val="clear" w:color="auto" w:fill="auto"/>
            <w:tcMar>
              <w:left w:w="0" w:type="dxa"/>
            </w:tcMar>
          </w:tcPr>
          <w:p w14:paraId="447DBD95" w14:textId="77777777" w:rsidR="00C81070" w:rsidRDefault="00C81070" w:rsidP="00485E82">
            <w:pPr>
              <w:pStyle w:val="Textpoznpodarou"/>
              <w:jc w:val="both"/>
              <w:rPr>
                <w:spacing w:val="-4"/>
              </w:rPr>
            </w:pPr>
          </w:p>
        </w:tc>
        <w:tc>
          <w:tcPr>
            <w:tcW w:w="7674" w:type="dxa"/>
            <w:shd w:val="clear" w:color="auto" w:fill="auto"/>
            <w:tcMar>
              <w:left w:w="0" w:type="dxa"/>
            </w:tcMar>
          </w:tcPr>
          <w:p w14:paraId="26DEE8BA" w14:textId="076980E5" w:rsidR="00C81070" w:rsidRPr="00DB613B" w:rsidRDefault="00C81070" w:rsidP="00485E82">
            <w:pPr>
              <w:spacing w:after="220"/>
            </w:pPr>
            <w:r w:rsidRPr="00DB613B">
              <w:t xml:space="preserve">Ve vazbě na ekonomický vývoj Německa </w:t>
            </w:r>
            <w:r w:rsidR="003017EC" w:rsidRPr="00DB613B">
              <w:t>i eurozóny</w:t>
            </w:r>
            <w:r w:rsidRPr="00DB613B">
              <w:rPr>
                <w:rStyle w:val="Znakapoznpodarou"/>
              </w:rPr>
              <w:footnoteReference w:id="22"/>
            </w:r>
            <w:r w:rsidRPr="00DB613B">
              <w:t xml:space="preserve"> pokračovalo zpomalování tuzemského průmyslu. Meziroční růst HPH se v něm loni ztenčil na 0,7 % (šestileté minimum). Mezičtvrtletně HPH klesla již ve 2. čtvrtletí 2019 (</w:t>
            </w:r>
            <w:r w:rsidRPr="00DB613B">
              <w:rPr>
                <w:color w:val="000000" w:themeColor="text1"/>
              </w:rPr>
              <w:t>–</w:t>
            </w:r>
            <w:r w:rsidRPr="00DB613B">
              <w:t>0,2 %) a po stagnaci v následujícím kvartálu doznala silnějšího útlumu na konci roku (</w:t>
            </w:r>
            <w:r w:rsidRPr="00DB613B">
              <w:rPr>
                <w:color w:val="000000" w:themeColor="text1"/>
              </w:rPr>
              <w:t>–</w:t>
            </w:r>
            <w:r w:rsidRPr="00DB613B">
              <w:t>0,5 %, nejhlubší</w:t>
            </w:r>
            <w:r w:rsidR="003017EC" w:rsidRPr="00DB613B">
              <w:t xml:space="preserve"> útlum</w:t>
            </w:r>
            <w:r w:rsidRPr="00DB613B">
              <w:t xml:space="preserve"> od konce poslední recese v roce 2013). Výkon nezpracovatelských průmyslových oborů v celoročním pohledu loni stagnoval, hlavně vlivem slabších výsledků v samotném 3. čtvrtletí. Ve stavebnictví vzrostla i díky sílícímu přílivu prostředků z rozpočtu EU přidaná hodnota o 3,4 %, odvětví tak navázalo na výraznější oživení z roku 2018 (+4,0</w:t>
            </w:r>
            <w:r w:rsidR="00A746C9">
              <w:t> </w:t>
            </w:r>
            <w:r w:rsidRPr="00DB613B">
              <w:t xml:space="preserve">%). </w:t>
            </w:r>
            <w:r w:rsidRPr="00DB613B">
              <w:rPr>
                <w:rFonts w:cs="Arial"/>
                <w:color w:val="0D0D0D" w:themeColor="text1" w:themeTint="F2"/>
                <w:szCs w:val="20"/>
              </w:rPr>
              <w:t>I tak ale výkon stavebnictví jako jednoho z mála hlavních odvětví za úrovní svého konjunkturního vrcholu z roku 2007 dále zaostával (o 2 %)</w:t>
            </w:r>
            <w:r w:rsidRPr="00DB613B">
              <w:rPr>
                <w:rStyle w:val="Znakapoznpodarou"/>
              </w:rPr>
              <w:footnoteReference w:id="23"/>
            </w:r>
            <w:r w:rsidRPr="00DB613B">
              <w:rPr>
                <w:rFonts w:cs="Arial"/>
                <w:color w:val="0D0D0D" w:themeColor="text1" w:themeTint="F2"/>
                <w:szCs w:val="20"/>
              </w:rPr>
              <w:t>.</w:t>
            </w:r>
            <w:r w:rsidRPr="00DB613B">
              <w:t xml:space="preserve"> V primárním sektoru se loni HPH zvýšila o 1,5 %. Dařilo </w:t>
            </w:r>
            <w:r w:rsidR="003017EC" w:rsidRPr="00DB613B">
              <w:t>se rostlinné</w:t>
            </w:r>
            <w:r w:rsidRPr="00DB613B">
              <w:t xml:space="preserve"> produkci, kde došlo hlavně vlivem meziročního růstu hektarových výnosů k posunu objemu celkových sklizní na úroveň blízkou desetiletému průměru (především u </w:t>
            </w:r>
            <w:r w:rsidRPr="00DB613B">
              <w:rPr>
                <w:color w:val="0D0D0D" w:themeColor="text1" w:themeTint="F2"/>
              </w:rPr>
              <w:t>obilovin a pícnin, naopak méně příznivá situace byla u technických plodin)</w:t>
            </w:r>
            <w:r w:rsidRPr="00DB613B">
              <w:t xml:space="preserve">. Pozitivně působily i vyšší objem těžby kůrovcového </w:t>
            </w:r>
            <w:r w:rsidRPr="00DB613B">
              <w:lastRenderedPageBreak/>
              <w:t>dříví, mírné posílení výroby masa (+0,8 %) i objemu mléka nakoupeného od tuzemských producentů (+1,3 %).</w:t>
            </w:r>
          </w:p>
        </w:tc>
      </w:tr>
      <w:tr w:rsidR="00C81070" w:rsidRPr="00DF6A33" w14:paraId="1AC3096D" w14:textId="77777777" w:rsidTr="00A746C9">
        <w:trPr>
          <w:trHeight w:val="145"/>
        </w:trPr>
        <w:tc>
          <w:tcPr>
            <w:tcW w:w="1764" w:type="dxa"/>
            <w:shd w:val="clear" w:color="auto" w:fill="auto"/>
            <w:tcMar>
              <w:left w:w="0" w:type="dxa"/>
            </w:tcMar>
          </w:tcPr>
          <w:p w14:paraId="31B875AE" w14:textId="77777777" w:rsidR="00C81070" w:rsidRDefault="00C81070" w:rsidP="00485E82">
            <w:pPr>
              <w:pStyle w:val="Marginlie"/>
            </w:pPr>
            <w:r>
              <w:lastRenderedPageBreak/>
              <w:t xml:space="preserve">Průmyslová produkce loni vlivem nepříznivého vývoje v hlavních exportních teritoriích klesla o 0,4 %. Šlo o nejslabší výsledek od roku 2012. </w:t>
            </w:r>
          </w:p>
        </w:tc>
        <w:tc>
          <w:tcPr>
            <w:tcW w:w="206" w:type="dxa"/>
            <w:shd w:val="clear" w:color="auto" w:fill="auto"/>
            <w:tcMar>
              <w:left w:w="0" w:type="dxa"/>
            </w:tcMar>
          </w:tcPr>
          <w:p w14:paraId="0C876E81" w14:textId="77777777" w:rsidR="00C81070" w:rsidRDefault="00C81070" w:rsidP="00485E82">
            <w:pPr>
              <w:pStyle w:val="Textpoznpodarou"/>
              <w:jc w:val="both"/>
              <w:rPr>
                <w:spacing w:val="-4"/>
              </w:rPr>
            </w:pPr>
          </w:p>
        </w:tc>
        <w:tc>
          <w:tcPr>
            <w:tcW w:w="7674" w:type="dxa"/>
            <w:shd w:val="clear" w:color="auto" w:fill="auto"/>
            <w:tcMar>
              <w:left w:w="0" w:type="dxa"/>
            </w:tcMar>
          </w:tcPr>
          <w:p w14:paraId="42A6F99E" w14:textId="3269696E" w:rsidR="00C81070" w:rsidRPr="00DB613B" w:rsidRDefault="00C81070" w:rsidP="00485E82">
            <w:pPr>
              <w:spacing w:after="220"/>
              <w:rPr>
                <w:color w:val="000000" w:themeColor="text1"/>
              </w:rPr>
            </w:pPr>
            <w:r w:rsidRPr="00DB613B">
              <w:t xml:space="preserve">Citelné ochlazení výkonů tuzemského průmyslu v roce 2019 dokládají i podrobnější údaje z podnikových statistik. Zatímco v roce 2018 </w:t>
            </w:r>
            <w:r w:rsidRPr="00DB613B">
              <w:rPr>
                <w:color w:val="000000" w:themeColor="text1"/>
              </w:rPr>
              <w:t>rostla hodnota průmyslové produkce</w:t>
            </w:r>
            <w:r w:rsidRPr="00DB613B">
              <w:rPr>
                <w:color w:val="000000" w:themeColor="text1"/>
                <w:vertAlign w:val="superscript"/>
              </w:rPr>
              <w:footnoteReference w:id="24"/>
            </w:r>
            <w:r w:rsidRPr="00DB613B">
              <w:rPr>
                <w:color w:val="000000" w:themeColor="text1"/>
              </w:rPr>
              <w:t xml:space="preserve"> o 3,1 %, za loňský rok se o 0,4 % snížila. Poslední meziroční pokles se datuje k roku 2012 (–0,9 %). Přestože se růst průmyslu v mezičtvrtletním srovnání zastavil již na přelomu let 2018 a 2019</w:t>
            </w:r>
            <w:r w:rsidRPr="00DB613B">
              <w:rPr>
                <w:rStyle w:val="Znakapoznpodarou"/>
              </w:rPr>
              <w:footnoteReference w:id="25"/>
            </w:r>
            <w:r w:rsidRPr="00DB613B">
              <w:rPr>
                <w:color w:val="000000" w:themeColor="text1"/>
              </w:rPr>
              <w:t xml:space="preserve">, do technické recese spadl tento odvětvový sektor až </w:t>
            </w:r>
            <w:r w:rsidR="003017EC" w:rsidRPr="00DB613B">
              <w:rPr>
                <w:color w:val="000000" w:themeColor="text1"/>
              </w:rPr>
              <w:t xml:space="preserve">na </w:t>
            </w:r>
            <w:r w:rsidRPr="00DB613B">
              <w:rPr>
                <w:color w:val="000000" w:themeColor="text1"/>
              </w:rPr>
              <w:t>konci loňského roku (za 2. pololetí 2019 produkce klesla o 1,</w:t>
            </w:r>
            <w:r w:rsidR="00EF77D4">
              <w:rPr>
                <w:color w:val="000000" w:themeColor="text1"/>
              </w:rPr>
              <w:t>6</w:t>
            </w:r>
            <w:r w:rsidRPr="00DB613B">
              <w:rPr>
                <w:color w:val="000000" w:themeColor="text1"/>
              </w:rPr>
              <w:t> %). Tuzemští exportéři byli negativně ovlivněni oslabením dynamiky poptávky v asijských zemích i silnější recesí německého průmyslu, jež přesáhla délku (nikoli však intenzitu) útlumu z přelomu let 2008 a 2009</w:t>
            </w:r>
            <w:r w:rsidRPr="00DB613B">
              <w:rPr>
                <w:rStyle w:val="Znakapoznpodarou"/>
              </w:rPr>
              <w:footnoteReference w:id="26"/>
            </w:r>
            <w:r w:rsidRPr="00DB613B">
              <w:rPr>
                <w:color w:val="000000" w:themeColor="text1"/>
              </w:rPr>
              <w:t>. Potíže tuzemského průmyslu se během roku stupňovaly, ve 4. čtvrtletí 2019 se průmyslová produkce snížila o 2,</w:t>
            </w:r>
            <w:r w:rsidR="00EF77D4">
              <w:rPr>
                <w:color w:val="000000" w:themeColor="text1"/>
              </w:rPr>
              <w:t>2</w:t>
            </w:r>
            <w:r w:rsidRPr="00DB613B">
              <w:rPr>
                <w:color w:val="000000" w:themeColor="text1"/>
              </w:rPr>
              <w:t xml:space="preserve"> %, neboť k růstu celého odvětví přestalo přispívat klíčové odvětví výroby dopravních prostředků.</w:t>
            </w:r>
          </w:p>
        </w:tc>
      </w:tr>
      <w:tr w:rsidR="00C81070" w:rsidRPr="0041745D" w14:paraId="19252FEE" w14:textId="77777777" w:rsidTr="00A746C9">
        <w:trPr>
          <w:trHeight w:val="170"/>
        </w:trPr>
        <w:tc>
          <w:tcPr>
            <w:tcW w:w="1764" w:type="dxa"/>
            <w:vMerge w:val="restart"/>
            <w:shd w:val="clear" w:color="auto" w:fill="auto"/>
            <w:tcMar>
              <w:left w:w="0" w:type="dxa"/>
            </w:tcMar>
          </w:tcPr>
          <w:p w14:paraId="13D03CD8" w14:textId="77777777" w:rsidR="00C81070" w:rsidRDefault="00C81070" w:rsidP="00485E82">
            <w:pPr>
              <w:pStyle w:val="Marginlie"/>
            </w:pPr>
          </w:p>
        </w:tc>
        <w:tc>
          <w:tcPr>
            <w:tcW w:w="206" w:type="dxa"/>
            <w:vMerge w:val="restart"/>
            <w:shd w:val="clear" w:color="auto" w:fill="auto"/>
            <w:tcMar>
              <w:left w:w="0" w:type="dxa"/>
            </w:tcMar>
          </w:tcPr>
          <w:p w14:paraId="36BAE357" w14:textId="77777777" w:rsidR="00C81070" w:rsidRDefault="00C81070" w:rsidP="00485E82">
            <w:pPr>
              <w:pStyle w:val="Textpoznpodarou"/>
              <w:jc w:val="both"/>
              <w:rPr>
                <w:spacing w:val="-4"/>
              </w:rPr>
            </w:pPr>
          </w:p>
        </w:tc>
        <w:tc>
          <w:tcPr>
            <w:tcW w:w="7674" w:type="dxa"/>
            <w:shd w:val="clear" w:color="auto" w:fill="auto"/>
            <w:tcMar>
              <w:left w:w="0" w:type="dxa"/>
            </w:tcMar>
          </w:tcPr>
          <w:p w14:paraId="3AB05546" w14:textId="17A4C6DB" w:rsidR="00C81070" w:rsidRPr="00DB613B" w:rsidRDefault="000767F5" w:rsidP="00485E82">
            <w:pPr>
              <w:spacing w:after="0"/>
              <w:rPr>
                <w:b/>
              </w:rPr>
            </w:pPr>
            <w:r w:rsidRPr="00DB613B">
              <w:rPr>
                <w:rFonts w:cs="Arial"/>
                <w:b/>
                <w:bCs/>
                <w:color w:val="000000"/>
                <w:szCs w:val="20"/>
              </w:rPr>
              <w:t>Graf č. 4</w:t>
            </w:r>
            <w:r w:rsidR="00C81070" w:rsidRPr="00DB613B">
              <w:rPr>
                <w:rFonts w:cs="Arial"/>
                <w:b/>
                <w:bCs/>
                <w:color w:val="000000"/>
                <w:szCs w:val="20"/>
              </w:rPr>
              <w:t xml:space="preserve">  </w:t>
            </w:r>
            <w:r w:rsidR="00C81070" w:rsidRPr="00DB613B">
              <w:rPr>
                <w:b/>
              </w:rPr>
              <w:t>Příspěvky dílčích odvětví k meziroční změně průmyslové produkce</w:t>
            </w:r>
          </w:p>
          <w:p w14:paraId="19C44203" w14:textId="77777777" w:rsidR="00C81070" w:rsidRPr="00DB613B" w:rsidRDefault="00C81070" w:rsidP="00485E82">
            <w:pPr>
              <w:spacing w:after="0"/>
              <w:rPr>
                <w:b/>
              </w:rPr>
            </w:pPr>
            <w:r w:rsidRPr="00DB613B">
              <w:t>(v procentních bodech, očištěno o kalendářní vlivy)</w:t>
            </w:r>
          </w:p>
        </w:tc>
      </w:tr>
      <w:tr w:rsidR="00C81070" w14:paraId="592AB2CB" w14:textId="77777777" w:rsidTr="00A746C9">
        <w:tblPrEx>
          <w:tblCellMar>
            <w:left w:w="70" w:type="dxa"/>
            <w:right w:w="70" w:type="dxa"/>
          </w:tblCellMar>
        </w:tblPrEx>
        <w:trPr>
          <w:trHeight w:val="170"/>
        </w:trPr>
        <w:tc>
          <w:tcPr>
            <w:tcW w:w="1764" w:type="dxa"/>
            <w:vMerge/>
            <w:shd w:val="clear" w:color="auto" w:fill="auto"/>
          </w:tcPr>
          <w:p w14:paraId="42AC71D6" w14:textId="77777777" w:rsidR="00C81070" w:rsidRPr="009110F7" w:rsidRDefault="00C81070" w:rsidP="00485E82">
            <w:pPr>
              <w:pStyle w:val="Marginlie"/>
            </w:pPr>
          </w:p>
        </w:tc>
        <w:tc>
          <w:tcPr>
            <w:tcW w:w="206" w:type="dxa"/>
            <w:vMerge/>
            <w:shd w:val="clear" w:color="auto" w:fill="auto"/>
          </w:tcPr>
          <w:p w14:paraId="6C97F74E" w14:textId="77777777" w:rsidR="00C81070" w:rsidRPr="009110F7" w:rsidRDefault="00C81070" w:rsidP="00485E82">
            <w:pPr>
              <w:pStyle w:val="Textpoznpodarou"/>
              <w:jc w:val="both"/>
              <w:rPr>
                <w:spacing w:val="-4"/>
              </w:rPr>
            </w:pPr>
          </w:p>
        </w:tc>
        <w:tc>
          <w:tcPr>
            <w:tcW w:w="7674" w:type="dxa"/>
            <w:shd w:val="clear" w:color="auto" w:fill="auto"/>
          </w:tcPr>
          <w:p w14:paraId="1CF76000" w14:textId="77777777" w:rsidR="00C81070" w:rsidRPr="00DB613B" w:rsidRDefault="00C81070" w:rsidP="00485E82">
            <w:pPr>
              <w:spacing w:after="0"/>
              <w:rPr>
                <w:color w:val="000000" w:themeColor="text1"/>
              </w:rPr>
            </w:pPr>
            <w:r w:rsidRPr="00DB613B">
              <w:rPr>
                <w:noProof/>
              </w:rPr>
              <w:drawing>
                <wp:inline distT="0" distB="0" distL="0" distR="0" wp14:anchorId="1455989D" wp14:editId="32CC768F">
                  <wp:extent cx="4781550" cy="3289110"/>
                  <wp:effectExtent l="0" t="0" r="0" b="6985"/>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C81070" w14:paraId="7C4C7389" w14:textId="77777777" w:rsidTr="00A746C9">
        <w:trPr>
          <w:trHeight w:val="170"/>
        </w:trPr>
        <w:tc>
          <w:tcPr>
            <w:tcW w:w="1764" w:type="dxa"/>
            <w:vMerge/>
            <w:shd w:val="clear" w:color="auto" w:fill="auto"/>
            <w:tcMar>
              <w:left w:w="0" w:type="dxa"/>
            </w:tcMar>
          </w:tcPr>
          <w:p w14:paraId="561A0AEF" w14:textId="77777777" w:rsidR="00C81070" w:rsidRPr="009110F7" w:rsidRDefault="00C81070" w:rsidP="00485E82">
            <w:pPr>
              <w:pStyle w:val="Marginlie"/>
            </w:pPr>
          </w:p>
        </w:tc>
        <w:tc>
          <w:tcPr>
            <w:tcW w:w="206" w:type="dxa"/>
            <w:vMerge/>
            <w:shd w:val="clear" w:color="auto" w:fill="auto"/>
            <w:tcMar>
              <w:left w:w="0" w:type="dxa"/>
            </w:tcMar>
          </w:tcPr>
          <w:p w14:paraId="40224FF6" w14:textId="77777777" w:rsidR="00C81070" w:rsidRPr="009110F7" w:rsidRDefault="00C81070" w:rsidP="00485E82">
            <w:pPr>
              <w:pStyle w:val="Textpoznpodarou"/>
              <w:jc w:val="both"/>
              <w:rPr>
                <w:spacing w:val="-4"/>
              </w:rPr>
            </w:pPr>
          </w:p>
        </w:tc>
        <w:tc>
          <w:tcPr>
            <w:tcW w:w="7674" w:type="dxa"/>
            <w:shd w:val="clear" w:color="auto" w:fill="auto"/>
            <w:tcMar>
              <w:left w:w="0" w:type="dxa"/>
            </w:tcMar>
          </w:tcPr>
          <w:p w14:paraId="7F6261BC" w14:textId="77777777" w:rsidR="00C81070" w:rsidRPr="00DB613B" w:rsidRDefault="00C81070" w:rsidP="00485E82">
            <w:pPr>
              <w:spacing w:after="120"/>
              <w:rPr>
                <w:color w:val="000000" w:themeColor="text1"/>
              </w:rPr>
            </w:pPr>
            <w:r w:rsidRPr="00DB613B">
              <w:rPr>
                <w:rFonts w:cs="Arial"/>
                <w:sz w:val="14"/>
                <w:szCs w:val="14"/>
              </w:rPr>
              <w:t>Zdroj: ČSÚ</w:t>
            </w:r>
          </w:p>
        </w:tc>
      </w:tr>
      <w:tr w:rsidR="00DB613B" w:rsidRPr="00B01C55" w14:paraId="4CC9CC93" w14:textId="77777777" w:rsidTr="00A746C9">
        <w:trPr>
          <w:trHeight w:val="145"/>
        </w:trPr>
        <w:tc>
          <w:tcPr>
            <w:tcW w:w="1764" w:type="dxa"/>
            <w:shd w:val="clear" w:color="auto" w:fill="auto"/>
            <w:tcMar>
              <w:left w:w="0" w:type="dxa"/>
            </w:tcMar>
          </w:tcPr>
          <w:p w14:paraId="545F3E49" w14:textId="77777777" w:rsidR="00DB613B" w:rsidRDefault="00DB613B" w:rsidP="00DB613B">
            <w:pPr>
              <w:pStyle w:val="Marginlie"/>
            </w:pPr>
            <w:r>
              <w:t>Ve směrů růstu celkové průmyslové produkce loni působily nejvíce elektrotechnika a farmacie.</w:t>
            </w:r>
          </w:p>
          <w:p w14:paraId="64E55E85" w14:textId="77777777" w:rsidR="00DB613B" w:rsidRDefault="00DB613B" w:rsidP="00DB613B">
            <w:pPr>
              <w:pStyle w:val="Marginlie"/>
            </w:pPr>
          </w:p>
          <w:p w14:paraId="4E67F2A7" w14:textId="77777777" w:rsidR="00DB613B" w:rsidRDefault="00DB613B" w:rsidP="00DB613B">
            <w:pPr>
              <w:pStyle w:val="Marginlie"/>
            </w:pPr>
          </w:p>
          <w:p w14:paraId="04D4BE73" w14:textId="77777777" w:rsidR="00DB613B" w:rsidRDefault="00DB613B" w:rsidP="00DB613B">
            <w:pPr>
              <w:pStyle w:val="Marginlie"/>
            </w:pPr>
          </w:p>
          <w:p w14:paraId="709AE3B8" w14:textId="77777777" w:rsidR="00DB613B" w:rsidRDefault="00DB613B" w:rsidP="00DB613B">
            <w:pPr>
              <w:pStyle w:val="Marginlie"/>
            </w:pPr>
            <w:r>
              <w:lastRenderedPageBreak/>
              <w:t xml:space="preserve">Výkony výrobců dopravních prostředků stagnovaly. </w:t>
            </w:r>
          </w:p>
          <w:p w14:paraId="4C433841" w14:textId="77777777" w:rsidR="00DB613B" w:rsidRDefault="00DB613B" w:rsidP="00DB613B">
            <w:pPr>
              <w:pStyle w:val="Marginlie"/>
            </w:pPr>
          </w:p>
        </w:tc>
        <w:tc>
          <w:tcPr>
            <w:tcW w:w="206" w:type="dxa"/>
            <w:shd w:val="clear" w:color="auto" w:fill="auto"/>
            <w:tcMar>
              <w:left w:w="0" w:type="dxa"/>
            </w:tcMar>
          </w:tcPr>
          <w:p w14:paraId="49D1E8DC" w14:textId="77777777" w:rsidR="00DB613B" w:rsidRDefault="00DB613B" w:rsidP="00DB613B">
            <w:pPr>
              <w:pStyle w:val="Textpoznpodarou"/>
              <w:jc w:val="both"/>
              <w:rPr>
                <w:spacing w:val="-4"/>
              </w:rPr>
            </w:pPr>
          </w:p>
        </w:tc>
        <w:tc>
          <w:tcPr>
            <w:tcW w:w="7674" w:type="dxa"/>
            <w:shd w:val="clear" w:color="auto" w:fill="auto"/>
            <w:tcMar>
              <w:left w:w="0" w:type="dxa"/>
            </w:tcMar>
          </w:tcPr>
          <w:p w14:paraId="14DF1232" w14:textId="011EEE8D" w:rsidR="00DB613B" w:rsidRPr="00DB613B" w:rsidRDefault="00DB613B" w:rsidP="00DB613B">
            <w:pPr>
              <w:spacing w:after="200"/>
            </w:pPr>
            <w:r w:rsidRPr="00DB613B">
              <w:t>Ve směru růstu průmyslové produkce působila v roce 2019 nejvíce odvětví výroba elektrických zařízení (příspěvek +0,32 p. b.). Vyšší výkon zde (+4,8 %) byl podpořen především posílením domácí poptávky. Z ostatních odvětví zaznamenala významnější příspěvek jen farmacie (+0,20 p. b.), výkon tohoto váhově okrajového, ale dlouhodobě rostoucího oboru vzrostl o 18 %</w:t>
            </w:r>
            <w:r w:rsidRPr="00DB613B">
              <w:rPr>
                <w:rStyle w:val="Znakapoznpodarou"/>
              </w:rPr>
              <w:footnoteReference w:id="27"/>
            </w:r>
            <w:r w:rsidRPr="00DB613B">
              <w:t xml:space="preserve">. V nosném odvětví – automobilovém průmyslu – </w:t>
            </w:r>
            <w:r w:rsidRPr="00DB613B">
              <w:lastRenderedPageBreak/>
              <w:t>produkce loni jen stagnovala, což dokládají i údaje o fyzické výrobě</w:t>
            </w:r>
            <w:r w:rsidRPr="00DB613B">
              <w:rPr>
                <w:rStyle w:val="Znakapoznpodarou"/>
              </w:rPr>
              <w:footnoteReference w:id="28"/>
            </w:r>
            <w:r w:rsidRPr="00DB613B">
              <w:t xml:space="preserve">. To platilo i o příbuzných oborech – jak gumárenství i </w:t>
            </w:r>
            <w:proofErr w:type="spellStart"/>
            <w:r w:rsidRPr="00DB613B">
              <w:rPr>
                <w:color w:val="000000" w:themeColor="text1"/>
              </w:rPr>
              <w:t>plastikářství</w:t>
            </w:r>
            <w:proofErr w:type="spellEnd"/>
            <w:r w:rsidRPr="00DB613B">
              <w:t>, tak i výrobě ostatních dopravních prostředků (kolejových, ale i letadel či vojenské techniky), kde růstový impulz vyvolaný v roce 2018 zvýšenou tuzemskou poptávkou již vyprchal. Větší odolnost vůči cyklickým výkyvům poptávky potvrdil loni potravinářský průmysl (+1,0 %), který těžil ze stále pozitivní celkové důvěry tuzemských spotřebitelů.</w:t>
            </w:r>
          </w:p>
        </w:tc>
      </w:tr>
      <w:tr w:rsidR="00DB613B" w:rsidRPr="00B01C55" w14:paraId="453B394E" w14:textId="77777777" w:rsidTr="00A746C9">
        <w:trPr>
          <w:trHeight w:val="145"/>
        </w:trPr>
        <w:tc>
          <w:tcPr>
            <w:tcW w:w="1764" w:type="dxa"/>
            <w:shd w:val="clear" w:color="auto" w:fill="auto"/>
            <w:tcMar>
              <w:left w:w="0" w:type="dxa"/>
            </w:tcMar>
          </w:tcPr>
          <w:p w14:paraId="1BF953EB" w14:textId="77777777" w:rsidR="00DB613B" w:rsidRDefault="00DB613B" w:rsidP="00DB613B">
            <w:pPr>
              <w:pStyle w:val="Marginlie"/>
            </w:pPr>
            <w:r>
              <w:lastRenderedPageBreak/>
              <w:t>Ke snížení výkonu průmyslu přispělo  nejvíce odvětví výroby počítačů, elektronických a optických přístrojů. Negativně působily také hutnictví a těžební průmysl.</w:t>
            </w:r>
          </w:p>
          <w:p w14:paraId="47152FAB" w14:textId="77777777" w:rsidR="00DB613B" w:rsidRDefault="00DB613B" w:rsidP="00DB613B">
            <w:pPr>
              <w:pStyle w:val="Marginlie"/>
            </w:pPr>
          </w:p>
          <w:p w14:paraId="12D29009" w14:textId="77777777" w:rsidR="00DB613B" w:rsidRDefault="00DB613B" w:rsidP="00DB613B">
            <w:pPr>
              <w:pStyle w:val="Marginlie"/>
            </w:pPr>
          </w:p>
          <w:p w14:paraId="32EC65BD" w14:textId="77777777" w:rsidR="00DB613B" w:rsidRDefault="00DB613B" w:rsidP="00DB613B">
            <w:pPr>
              <w:pStyle w:val="Marginlie"/>
            </w:pPr>
          </w:p>
          <w:p w14:paraId="3207CD8A" w14:textId="77777777" w:rsidR="00DB613B" w:rsidRDefault="00DB613B" w:rsidP="00DB613B">
            <w:pPr>
              <w:pStyle w:val="Marginlie"/>
            </w:pPr>
          </w:p>
          <w:p w14:paraId="706504B7" w14:textId="77777777" w:rsidR="00DB613B" w:rsidRDefault="00DB613B" w:rsidP="00DB613B">
            <w:pPr>
              <w:pStyle w:val="Marginlie"/>
            </w:pPr>
          </w:p>
          <w:p w14:paraId="6E72DBA9" w14:textId="77777777" w:rsidR="00DB613B" w:rsidRDefault="00DB613B" w:rsidP="00DB613B">
            <w:pPr>
              <w:pStyle w:val="Marginlie"/>
            </w:pPr>
            <w:r>
              <w:t>Díky pokračujícímu růstu tuzemské poptávky klesla produkce kovovýroby i strojírenství jen mírně.</w:t>
            </w:r>
          </w:p>
        </w:tc>
        <w:tc>
          <w:tcPr>
            <w:tcW w:w="206" w:type="dxa"/>
            <w:shd w:val="clear" w:color="auto" w:fill="auto"/>
            <w:tcMar>
              <w:left w:w="0" w:type="dxa"/>
            </w:tcMar>
          </w:tcPr>
          <w:p w14:paraId="4761D3E9" w14:textId="77777777" w:rsidR="00DB613B" w:rsidRDefault="00DB613B" w:rsidP="00DB613B">
            <w:pPr>
              <w:pStyle w:val="Textpoznpodarou"/>
              <w:jc w:val="both"/>
              <w:rPr>
                <w:spacing w:val="-4"/>
              </w:rPr>
            </w:pPr>
          </w:p>
        </w:tc>
        <w:tc>
          <w:tcPr>
            <w:tcW w:w="7674" w:type="dxa"/>
            <w:shd w:val="clear" w:color="auto" w:fill="auto"/>
            <w:tcMar>
              <w:left w:w="0" w:type="dxa"/>
            </w:tcMar>
          </w:tcPr>
          <w:p w14:paraId="0F0B72AE" w14:textId="0B2A79A2" w:rsidR="00DB613B" w:rsidRPr="00DB613B" w:rsidRDefault="00DB613B" w:rsidP="00DB613B">
            <w:pPr>
              <w:spacing w:after="200"/>
            </w:pPr>
            <w:r w:rsidRPr="00DB613B">
              <w:t xml:space="preserve">Průmyslovou produkci táhlo loni dolů nejvíce odvětví výroba počítačů, elektronických a optických přístrojů (pokles odvětví o 7,9 %, příspěvek </w:t>
            </w:r>
            <w:r w:rsidRPr="00DB613B">
              <w:rPr>
                <w:color w:val="000000" w:themeColor="text1"/>
              </w:rPr>
              <w:t>–</w:t>
            </w:r>
            <w:r w:rsidRPr="00DB613B">
              <w:t>0,28 p. b), silný růst zahraniční poptávky z let 2017 i 2018 se zde již neopakoval</w:t>
            </w:r>
            <w:r w:rsidRPr="00DB613B">
              <w:rPr>
                <w:rStyle w:val="Znakapoznpodarou"/>
              </w:rPr>
              <w:footnoteReference w:id="29"/>
            </w:r>
            <w:r w:rsidRPr="00DB613B">
              <w:t>. Redukce zahraniční, ale i domácí poptávky se negativně podepsala na produkci hutnictví (</w:t>
            </w:r>
            <w:r w:rsidRPr="00DB613B">
              <w:rPr>
                <w:color w:val="000000" w:themeColor="text1"/>
              </w:rPr>
              <w:t>–</w:t>
            </w:r>
            <w:r w:rsidRPr="00DB613B">
              <w:t xml:space="preserve">5,8 %, </w:t>
            </w:r>
            <w:r w:rsidRPr="00DB613B">
              <w:rPr>
                <w:color w:val="000000" w:themeColor="text1"/>
              </w:rPr>
              <w:t>–</w:t>
            </w:r>
            <w:r w:rsidRPr="00DB613B">
              <w:t>0,17 p. b), jednoho z mála průmyslových oborů, jehož výkon se loni nacházel pod úrovní poslední recese</w:t>
            </w:r>
            <w:r w:rsidRPr="00DB613B">
              <w:rPr>
                <w:rStyle w:val="Znakapoznpodarou"/>
              </w:rPr>
              <w:footnoteReference w:id="30"/>
            </w:r>
            <w:r w:rsidRPr="00DB613B">
              <w:t>. S vleklými strukturálními problémy se potýkal těžební průmysl (</w:t>
            </w:r>
            <w:r w:rsidRPr="00DB613B">
              <w:rPr>
                <w:color w:val="000000" w:themeColor="text1"/>
              </w:rPr>
              <w:t>–</w:t>
            </w:r>
            <w:r w:rsidRPr="00DB613B">
              <w:t xml:space="preserve">6,2 %, </w:t>
            </w:r>
            <w:r w:rsidRPr="00DB613B">
              <w:rPr>
                <w:color w:val="000000" w:themeColor="text1"/>
              </w:rPr>
              <w:t>–</w:t>
            </w:r>
            <w:r w:rsidRPr="00DB613B">
              <w:t>0,13 p. b.). V</w:t>
            </w:r>
            <w:r w:rsidRPr="00DB613B">
              <w:rPr>
                <w:color w:val="000000" w:themeColor="text1"/>
              </w:rPr>
              <w:t>ýkon váhově dominantní těžby uhlí klesl na šestileté minimum (–8,1 %), souběžně ale posilovala těžba stavebních materiálů (kamene, písků a jílů (+1,8 %, za poslední tři roky +1</w:t>
            </w:r>
            <w:r w:rsidR="00EF77D4">
              <w:rPr>
                <w:color w:val="000000" w:themeColor="text1"/>
              </w:rPr>
              <w:t>7</w:t>
            </w:r>
            <w:r w:rsidRPr="00DB613B">
              <w:rPr>
                <w:color w:val="000000" w:themeColor="text1"/>
              </w:rPr>
              <w:t>,</w:t>
            </w:r>
            <w:r w:rsidR="00EF77D4">
              <w:rPr>
                <w:color w:val="000000" w:themeColor="text1"/>
              </w:rPr>
              <w:t>6</w:t>
            </w:r>
            <w:r w:rsidRPr="00DB613B">
              <w:rPr>
                <w:color w:val="000000" w:themeColor="text1"/>
              </w:rPr>
              <w:t xml:space="preserve"> %).</w:t>
            </w:r>
            <w:r w:rsidRPr="00DB613B">
              <w:t xml:space="preserve"> Slabší produkci vykázaly i některé malé exportně zaměřené obory, např. textilní (</w:t>
            </w:r>
            <w:r w:rsidRPr="00DB613B">
              <w:rPr>
                <w:color w:val="000000" w:themeColor="text1"/>
              </w:rPr>
              <w:t>–</w:t>
            </w:r>
            <w:r w:rsidRPr="00DB613B">
              <w:t>3,5 %) a kožedělný průmysl (</w:t>
            </w:r>
            <w:r w:rsidRPr="00DB613B">
              <w:rPr>
                <w:color w:val="000000" w:themeColor="text1"/>
              </w:rPr>
              <w:t>–</w:t>
            </w:r>
            <w:r w:rsidRPr="00DB613B">
              <w:t>9,8 %). Větší vliv na výkon celého průmyslu měl ovšem vývoj ve významných odvětvích kovovýroby (</w:t>
            </w:r>
            <w:r w:rsidRPr="00DB613B">
              <w:rPr>
                <w:color w:val="000000" w:themeColor="text1"/>
              </w:rPr>
              <w:t>–</w:t>
            </w:r>
            <w:r w:rsidRPr="00DB613B">
              <w:t>0,8 %) a</w:t>
            </w:r>
            <w:r w:rsidRPr="00DB613B">
              <w:rPr>
                <w:color w:val="000000" w:themeColor="text1"/>
              </w:rPr>
              <w:t> </w:t>
            </w:r>
            <w:r w:rsidRPr="00DB613B">
              <w:t>strojírenství (</w:t>
            </w:r>
            <w:r w:rsidRPr="00DB613B">
              <w:rPr>
                <w:color w:val="000000" w:themeColor="text1"/>
              </w:rPr>
              <w:t>–</w:t>
            </w:r>
            <w:r w:rsidRPr="00DB613B">
              <w:t>1,0 %, první pokles od roku 2009). Za pouze mělký pokles vděčí tyto obory pokračujícímu růstu tuzemské poptávky (ve strojírenství přetrvávajícímu i ve 4. čtvrtletí 2019). O</w:t>
            </w:r>
            <w:r w:rsidRPr="00DB613B">
              <w:rPr>
                <w:color w:val="000000" w:themeColor="text1"/>
              </w:rPr>
              <w:t> </w:t>
            </w:r>
            <w:r w:rsidRPr="00DB613B">
              <w:t>necelá 3 % snížil výkon chemický průmysl, podobné tempo signalizovala i výroba</w:t>
            </w:r>
            <w:r w:rsidRPr="00DB613B">
              <w:rPr>
                <w:color w:val="000000" w:themeColor="text1"/>
              </w:rPr>
              <w:t xml:space="preserve"> ostatních nekovových minerálních výrobků</w:t>
            </w:r>
            <w:r w:rsidRPr="00DB613B">
              <w:t xml:space="preserve"> (navzdory stále rostoucí tuzemské poptávce, zejména ve stavebnictví). Po třech předchozích letech růstu produkce energetiky loni klesla o 0,4</w:t>
            </w:r>
            <w:r w:rsidR="00A746C9">
              <w:t> </w:t>
            </w:r>
            <w:r w:rsidRPr="00DB613B">
              <w:t>%, což souznělo s dynamikou tuzemské výroby elektřiny i tepla</w:t>
            </w:r>
            <w:r w:rsidRPr="00DB613B">
              <w:rPr>
                <w:rStyle w:val="Znakapoznpodarou"/>
              </w:rPr>
              <w:footnoteReference w:id="31"/>
            </w:r>
            <w:r w:rsidRPr="00DB613B">
              <w:t>. Proti hlubšímu poklesu energetiky působila meziročně silnější celoroční spotřeba plynu (+4,7 %, navzdory vyšším teplotám v zimním období roku 2019), neboť pokles u domácností (</w:t>
            </w:r>
            <w:r w:rsidR="00A746C9">
              <w:noBreakHyphen/>
            </w:r>
            <w:r w:rsidRPr="00DB613B">
              <w:t>4,5 %) byl kompenzován růstem u podniků.</w:t>
            </w:r>
          </w:p>
        </w:tc>
      </w:tr>
      <w:tr w:rsidR="00DB613B" w:rsidRPr="00B01C55" w14:paraId="60103985" w14:textId="77777777" w:rsidTr="00A746C9">
        <w:trPr>
          <w:trHeight w:val="145"/>
        </w:trPr>
        <w:tc>
          <w:tcPr>
            <w:tcW w:w="1764" w:type="dxa"/>
            <w:shd w:val="clear" w:color="auto" w:fill="auto"/>
            <w:tcMar>
              <w:left w:w="0" w:type="dxa"/>
            </w:tcMar>
          </w:tcPr>
          <w:p w14:paraId="70F2F0E1" w14:textId="4984570A" w:rsidR="00DB613B" w:rsidRDefault="00DB613B" w:rsidP="00DB613B">
            <w:pPr>
              <w:pStyle w:val="Marginlie"/>
            </w:pPr>
            <w:r>
              <w:t>Zatímco v 1. až 3. čtvrtletí tržby průmyslových podniků mírně, ale stabilně rostly, na konci roku byly poznamenány citelnějším útlumem zahraniční poptávky.</w:t>
            </w:r>
          </w:p>
        </w:tc>
        <w:tc>
          <w:tcPr>
            <w:tcW w:w="206" w:type="dxa"/>
            <w:shd w:val="clear" w:color="auto" w:fill="auto"/>
            <w:tcMar>
              <w:left w:w="0" w:type="dxa"/>
            </w:tcMar>
          </w:tcPr>
          <w:p w14:paraId="330FD50F" w14:textId="77777777" w:rsidR="00DB613B" w:rsidRDefault="00DB613B" w:rsidP="00DB613B">
            <w:pPr>
              <w:pStyle w:val="Textpoznpodarou"/>
              <w:jc w:val="both"/>
              <w:rPr>
                <w:spacing w:val="-4"/>
              </w:rPr>
            </w:pPr>
          </w:p>
        </w:tc>
        <w:tc>
          <w:tcPr>
            <w:tcW w:w="7674" w:type="dxa"/>
            <w:shd w:val="clear" w:color="auto" w:fill="auto"/>
            <w:tcMar>
              <w:left w:w="0" w:type="dxa"/>
            </w:tcMar>
          </w:tcPr>
          <w:p w14:paraId="016D7AE4" w14:textId="750BFA03" w:rsidR="00DB613B" w:rsidRPr="00DB613B" w:rsidRDefault="00DB613B" w:rsidP="00DB613B">
            <w:pPr>
              <w:spacing w:after="200"/>
            </w:pPr>
            <w:r w:rsidRPr="00DB613B">
              <w:rPr>
                <w:color w:val="0D0D0D" w:themeColor="text1" w:themeTint="F2"/>
              </w:rPr>
              <w:t>Zásadní změnu poptávky po průmyslových produktech během roku 2019 dokládají i nominální tržby podniků. Zatímco v 1. až 3. čtvrtletí meziročně rostly v pásmu 2 až 3 %, na konci roku se dostavil útlum (</w:t>
            </w:r>
            <w:r w:rsidRPr="00DB613B">
              <w:rPr>
                <w:color w:val="000000" w:themeColor="text1"/>
              </w:rPr>
              <w:t>–</w:t>
            </w:r>
            <w:r w:rsidRPr="00DB613B">
              <w:rPr>
                <w:color w:val="0D0D0D" w:themeColor="text1" w:themeTint="F2"/>
              </w:rPr>
              <w:t>3,6 %), jenž byl zvláště patrný v hutnictví, výrobě počítačů, elektronických a optických přístrojů, v chemickém průmyslu a také těžbě a dobývání (kde šlo ale v posledních letech o častý jev). V pozadí negativního vývoje ve 4. čtvrtletí stály hlavně nižší tržby z přímého vývozu (</w:t>
            </w:r>
            <w:r w:rsidRPr="00DB613B">
              <w:rPr>
                <w:color w:val="000000" w:themeColor="text1"/>
              </w:rPr>
              <w:t>–</w:t>
            </w:r>
            <w:r w:rsidRPr="00DB613B">
              <w:rPr>
                <w:color w:val="0D0D0D" w:themeColor="text1" w:themeTint="F2"/>
              </w:rPr>
              <w:t>5,6 %), oslabení tuzemské poptávky bylo méně markantní (</w:t>
            </w:r>
            <w:r w:rsidRPr="00DB613B">
              <w:rPr>
                <w:color w:val="000000" w:themeColor="text1"/>
              </w:rPr>
              <w:t>–</w:t>
            </w:r>
            <w:r w:rsidRPr="00DB613B">
              <w:rPr>
                <w:color w:val="0D0D0D" w:themeColor="text1" w:themeTint="F2"/>
              </w:rPr>
              <w:t>1,0 %). Za celý rok 2019 inkasovaly podniky na tržbách o 1 % více. Domácí tržby přitom vykazovaly vyšší dynamiku než tržby z přímého vývozu již třetím rokem. Růst tržeb zrcadlil postupný nárůst cen v ekonomice vlivem vyšších cen energií i lidské práce. To bylo loni patrné zejména v energetice (růst tržeb o bezmála 9 %), kožedělném a oděvním průmyslu, výrobě stavebních hmot, potravinářství, strojírenství, opravách strojů a zařízení či výrobě dopravních prostředků. Naopak nižší ceny produkce měly negativní dopad na hospodaření podniků např. v těžbě uhlí, dřevozpracujícím a chemickém průmyslu a hutnictví.</w:t>
            </w:r>
          </w:p>
        </w:tc>
      </w:tr>
      <w:tr w:rsidR="00DB613B" w:rsidRPr="00B01C55" w14:paraId="56FC77D6" w14:textId="77777777" w:rsidTr="00A746C9">
        <w:trPr>
          <w:trHeight w:val="145"/>
        </w:trPr>
        <w:tc>
          <w:tcPr>
            <w:tcW w:w="1764" w:type="dxa"/>
            <w:shd w:val="clear" w:color="auto" w:fill="auto"/>
            <w:tcMar>
              <w:left w:w="0" w:type="dxa"/>
            </w:tcMar>
          </w:tcPr>
          <w:p w14:paraId="1CA3067A" w14:textId="77777777" w:rsidR="00DB613B" w:rsidRDefault="00DB613B" w:rsidP="00DB613B">
            <w:pPr>
              <w:pStyle w:val="Marginlie"/>
            </w:pPr>
            <w:r>
              <w:t xml:space="preserve">Hodnota nových průmyslových zakázek </w:t>
            </w:r>
            <w:r>
              <w:lastRenderedPageBreak/>
              <w:t>ze zahraničí i tuzemska ve 4. čtvrtletí klesla.</w:t>
            </w:r>
          </w:p>
          <w:p w14:paraId="353C3197" w14:textId="77777777" w:rsidR="00DB613B" w:rsidRDefault="00DB613B" w:rsidP="00DB613B">
            <w:pPr>
              <w:pStyle w:val="Marginlie"/>
            </w:pPr>
          </w:p>
          <w:p w14:paraId="61473B54" w14:textId="77777777" w:rsidR="00DB613B" w:rsidRDefault="00DB613B" w:rsidP="00DB613B">
            <w:pPr>
              <w:pStyle w:val="Marginlie"/>
            </w:pPr>
          </w:p>
          <w:p w14:paraId="04BBFEAE" w14:textId="77777777" w:rsidR="00DB613B" w:rsidRDefault="00DB613B" w:rsidP="00DB613B">
            <w:pPr>
              <w:pStyle w:val="Marginlie"/>
            </w:pPr>
          </w:p>
          <w:p w14:paraId="3B2601AC" w14:textId="77777777" w:rsidR="00DB613B" w:rsidRDefault="00DB613B" w:rsidP="00DB613B">
            <w:pPr>
              <w:pStyle w:val="Marginlie"/>
            </w:pPr>
          </w:p>
          <w:p w14:paraId="3C1B009F" w14:textId="77777777" w:rsidR="00DB613B" w:rsidRDefault="00DB613B" w:rsidP="00DB613B">
            <w:pPr>
              <w:pStyle w:val="Marginlie"/>
            </w:pPr>
          </w:p>
          <w:p w14:paraId="72F3A522" w14:textId="77777777" w:rsidR="00DB613B" w:rsidRDefault="00DB613B" w:rsidP="00DB613B">
            <w:pPr>
              <w:pStyle w:val="Marginlie"/>
            </w:pPr>
            <w:r>
              <w:t>Důvěra podnikatelů v průmyslu během roku slábla a v listopadu sestoupila na nejnižší úroveň po srpnu 2013.</w:t>
            </w:r>
          </w:p>
          <w:p w14:paraId="50547B10" w14:textId="77777777" w:rsidR="00DB613B" w:rsidRDefault="00DB613B" w:rsidP="00DB613B">
            <w:pPr>
              <w:pStyle w:val="Marginlie"/>
            </w:pPr>
          </w:p>
        </w:tc>
        <w:tc>
          <w:tcPr>
            <w:tcW w:w="206" w:type="dxa"/>
            <w:shd w:val="clear" w:color="auto" w:fill="auto"/>
            <w:tcMar>
              <w:left w:w="0" w:type="dxa"/>
            </w:tcMar>
          </w:tcPr>
          <w:p w14:paraId="5401ECB4" w14:textId="77777777" w:rsidR="00DB613B" w:rsidRDefault="00DB613B" w:rsidP="00DB613B">
            <w:pPr>
              <w:pStyle w:val="Textpoznpodarou"/>
              <w:jc w:val="both"/>
              <w:rPr>
                <w:spacing w:val="-4"/>
              </w:rPr>
            </w:pPr>
          </w:p>
        </w:tc>
        <w:tc>
          <w:tcPr>
            <w:tcW w:w="7674" w:type="dxa"/>
            <w:shd w:val="clear" w:color="auto" w:fill="auto"/>
            <w:tcMar>
              <w:left w:w="0" w:type="dxa"/>
            </w:tcMar>
          </w:tcPr>
          <w:p w14:paraId="68E291B3" w14:textId="0812ED3C" w:rsidR="00DB613B" w:rsidRPr="00DB613B" w:rsidRDefault="00DB613B" w:rsidP="00DB613B">
            <w:pPr>
              <w:spacing w:after="200"/>
              <w:rPr>
                <w:color w:val="0D0D0D" w:themeColor="text1" w:themeTint="F2"/>
              </w:rPr>
            </w:pPr>
            <w:r w:rsidRPr="00DB613B">
              <w:rPr>
                <w:color w:val="0D0D0D" w:themeColor="text1" w:themeTint="F2"/>
              </w:rPr>
              <w:t>Hodnota průmyslových zakázek</w:t>
            </w:r>
            <w:r w:rsidRPr="00DB613B">
              <w:rPr>
                <w:rStyle w:val="Znakapoznpodarou"/>
              </w:rPr>
              <w:footnoteReference w:id="32"/>
            </w:r>
            <w:r w:rsidRPr="00DB613B">
              <w:rPr>
                <w:color w:val="0D0D0D" w:themeColor="text1" w:themeTint="F2"/>
              </w:rPr>
              <w:t xml:space="preserve"> ze zahraničí ve 4. čtvrtletí meziročně klesla o 5,7 %, z tuzemska se snížila o 2,8 %. Růst celkových zakázek signalizovaly ze sledovaných </w:t>
            </w:r>
            <w:r w:rsidRPr="00DB613B">
              <w:rPr>
                <w:color w:val="0D0D0D" w:themeColor="text1" w:themeTint="F2"/>
              </w:rPr>
              <w:lastRenderedPageBreak/>
              <w:t xml:space="preserve">odvětví jen elektrotechnický, farmaceutický a oděvní průmysl. Slabší poptávka se odrazila v mírném poklesu využití výrobních kapacit v celém průmyslu (za 2. pololetí o 2 p. b.), přesto zůstala i na konci roku vysoká (84 %, po sezónním očištění), hlavně zásluhou automobilového (93 %), chemického, dřevozpracujícího a papírenského průmyslu. Sezónně očištěné saldo </w:t>
            </w:r>
            <w:r w:rsidRPr="00DB613B">
              <w:rPr>
                <w:rFonts w:cs="Arial"/>
                <w:color w:val="0D0D0D" w:themeColor="text1" w:themeTint="F2"/>
              </w:rPr>
              <w:t>indikátoru důvěry v průmyslu sestoupilo v březnu 2019 po více než pěti letech do záporného pásma a</w:t>
            </w:r>
            <w:r w:rsidRPr="00DB613B">
              <w:t> </w:t>
            </w:r>
            <w:r w:rsidRPr="00DB613B">
              <w:rPr>
                <w:rFonts w:cs="Arial"/>
                <w:color w:val="0D0D0D" w:themeColor="text1" w:themeTint="F2"/>
              </w:rPr>
              <w:t xml:space="preserve">na počátku 4. čtvrtletí se lehký pesimismus dále prohloubil (na </w:t>
            </w:r>
            <w:r w:rsidRPr="00DB613B">
              <w:rPr>
                <w:color w:val="0D0D0D" w:themeColor="text1" w:themeTint="F2"/>
              </w:rPr>
              <w:t>–6,7 p. b. v listopadu, minimum po srpnu 2013)</w:t>
            </w:r>
            <w:r w:rsidRPr="00DB613B">
              <w:rPr>
                <w:rFonts w:cs="Arial"/>
                <w:color w:val="0D0D0D" w:themeColor="text1" w:themeTint="F2"/>
              </w:rPr>
              <w:t xml:space="preserve">. Nejvýznamnější bariérou růstu průmyslových podniků se stala od poloviny roku 2019 opět nedostatečná poptávka </w:t>
            </w:r>
            <w:r w:rsidRPr="00DB613B">
              <w:rPr>
                <w:color w:val="000000" w:themeColor="text1"/>
              </w:rPr>
              <w:t xml:space="preserve">– </w:t>
            </w:r>
            <w:r w:rsidRPr="00DB613B">
              <w:rPr>
                <w:rFonts w:cs="Arial"/>
                <w:color w:val="0D0D0D" w:themeColor="text1" w:themeTint="F2"/>
              </w:rPr>
              <w:t xml:space="preserve">na počátku 1. čtvrtletí 2020 ji naznačovalo 50 % podniků, nejvíce od půle roku 2014. Naopak role nedostatku pracovní síly klesla meziročně ze 39 % na 28 % </w:t>
            </w:r>
            <w:r w:rsidRPr="00DB613B">
              <w:rPr>
                <w:color w:val="000000" w:themeColor="text1"/>
              </w:rPr>
              <w:t xml:space="preserve">– </w:t>
            </w:r>
            <w:r w:rsidRPr="00DB613B">
              <w:rPr>
                <w:rFonts w:cs="Arial"/>
                <w:color w:val="0D0D0D" w:themeColor="text1" w:themeTint="F2"/>
              </w:rPr>
              <w:t>na nejnižší úroveň za poslední tři a půl roku. Očekávání podniků ohledně krátkodobého vývoje zaměstnanosti zůstala na přelomu let 2019 a 2020 mírně negativní</w:t>
            </w:r>
            <w:r w:rsidRPr="00DB613B">
              <w:rPr>
                <w:rStyle w:val="Znakapoznpodarou"/>
              </w:rPr>
              <w:footnoteReference w:id="33"/>
            </w:r>
            <w:r w:rsidRPr="00DB613B">
              <w:rPr>
                <w:rFonts w:cs="Arial"/>
                <w:color w:val="0D0D0D" w:themeColor="text1" w:themeTint="F2"/>
              </w:rPr>
              <w:t xml:space="preserve">. </w:t>
            </w:r>
          </w:p>
        </w:tc>
      </w:tr>
      <w:tr w:rsidR="00DB613B" w:rsidRPr="0041745D" w14:paraId="3A79562F" w14:textId="77777777" w:rsidTr="00A746C9">
        <w:trPr>
          <w:trHeight w:val="170"/>
        </w:trPr>
        <w:tc>
          <w:tcPr>
            <w:tcW w:w="1764" w:type="dxa"/>
            <w:vMerge w:val="restart"/>
            <w:shd w:val="clear" w:color="auto" w:fill="auto"/>
            <w:tcMar>
              <w:left w:w="0" w:type="dxa"/>
            </w:tcMar>
          </w:tcPr>
          <w:p w14:paraId="0C1232BE" w14:textId="77777777" w:rsidR="00DB613B" w:rsidRDefault="00DB613B" w:rsidP="00DB613B">
            <w:pPr>
              <w:pStyle w:val="Marginlie"/>
            </w:pPr>
          </w:p>
        </w:tc>
        <w:tc>
          <w:tcPr>
            <w:tcW w:w="206" w:type="dxa"/>
            <w:vMerge w:val="restart"/>
            <w:shd w:val="clear" w:color="auto" w:fill="auto"/>
            <w:tcMar>
              <w:left w:w="0" w:type="dxa"/>
            </w:tcMar>
          </w:tcPr>
          <w:p w14:paraId="3131487D" w14:textId="77777777" w:rsidR="00DB613B" w:rsidRDefault="00DB613B" w:rsidP="00DB613B">
            <w:pPr>
              <w:pStyle w:val="Textpoznpodarou"/>
              <w:jc w:val="both"/>
              <w:rPr>
                <w:spacing w:val="-4"/>
              </w:rPr>
            </w:pPr>
          </w:p>
        </w:tc>
        <w:tc>
          <w:tcPr>
            <w:tcW w:w="7674" w:type="dxa"/>
            <w:shd w:val="clear" w:color="auto" w:fill="auto"/>
            <w:tcMar>
              <w:left w:w="0" w:type="dxa"/>
            </w:tcMar>
          </w:tcPr>
          <w:p w14:paraId="4AB6B65B" w14:textId="5D9388CD" w:rsidR="00DB613B" w:rsidRPr="00DB613B" w:rsidRDefault="00DB613B" w:rsidP="00DB613B">
            <w:pPr>
              <w:pStyle w:val="Textpoznpodarou"/>
              <w:spacing w:line="276" w:lineRule="auto"/>
              <w:rPr>
                <w:b/>
              </w:rPr>
            </w:pPr>
            <w:r w:rsidRPr="00DB613B">
              <w:rPr>
                <w:b/>
              </w:rPr>
              <w:t>Graf č. 5  Nové zakázky v automobilovém průmyslu, v průmyslu celkem</w:t>
            </w:r>
          </w:p>
          <w:p w14:paraId="5E7E9DD1" w14:textId="77777777" w:rsidR="00DB613B" w:rsidRPr="00DB613B" w:rsidRDefault="00DB613B" w:rsidP="00DB613B">
            <w:pPr>
              <w:spacing w:after="0"/>
              <w:rPr>
                <w:b/>
                <w:sz w:val="18"/>
                <w:szCs w:val="18"/>
              </w:rPr>
            </w:pPr>
            <w:r w:rsidRPr="00DB613B">
              <w:rPr>
                <w:bCs/>
              </w:rPr>
              <w:t xml:space="preserve">(v běžných cenách, </w:t>
            </w:r>
            <w:r w:rsidRPr="00DB613B">
              <w:t>meziročně</w:t>
            </w:r>
            <w:r w:rsidRPr="00DB613B">
              <w:rPr>
                <w:bCs/>
              </w:rPr>
              <w:t xml:space="preserve"> v %)</w:t>
            </w:r>
            <w:r w:rsidRPr="00DB613B">
              <w:rPr>
                <w:b/>
              </w:rPr>
              <w:t xml:space="preserve">, saldo indikátoru důvěry v průmyslu* </w:t>
            </w:r>
            <w:r w:rsidRPr="00DB613B">
              <w:t xml:space="preserve">(v p. b.) </w:t>
            </w:r>
            <w:r w:rsidRPr="00DB613B">
              <w:rPr>
                <w:b/>
              </w:rPr>
              <w:t>a využití výrobních kapacit v průmyslu*</w:t>
            </w:r>
            <w:r w:rsidRPr="00DB613B">
              <w:t xml:space="preserve"> (v %, pravá osa)</w:t>
            </w:r>
          </w:p>
        </w:tc>
      </w:tr>
      <w:tr w:rsidR="00DB613B" w:rsidRPr="00970E6F" w14:paraId="083A754A" w14:textId="77777777" w:rsidTr="008D1E0A">
        <w:tblPrEx>
          <w:tblCellMar>
            <w:left w:w="70" w:type="dxa"/>
            <w:right w:w="70" w:type="dxa"/>
          </w:tblCellMar>
        </w:tblPrEx>
        <w:trPr>
          <w:trHeight w:val="170"/>
        </w:trPr>
        <w:tc>
          <w:tcPr>
            <w:tcW w:w="1764" w:type="dxa"/>
            <w:vMerge/>
            <w:shd w:val="clear" w:color="auto" w:fill="auto"/>
          </w:tcPr>
          <w:p w14:paraId="5BEC1B32" w14:textId="77777777" w:rsidR="00DB613B" w:rsidRPr="009110F7" w:rsidRDefault="00DB613B" w:rsidP="00DB613B">
            <w:pPr>
              <w:pStyle w:val="Marginlie"/>
            </w:pPr>
          </w:p>
        </w:tc>
        <w:tc>
          <w:tcPr>
            <w:tcW w:w="206" w:type="dxa"/>
            <w:vMerge/>
            <w:shd w:val="clear" w:color="auto" w:fill="auto"/>
          </w:tcPr>
          <w:p w14:paraId="0BDC2A01" w14:textId="77777777" w:rsidR="00DB613B" w:rsidRPr="009110F7" w:rsidRDefault="00DB613B" w:rsidP="00DB613B">
            <w:pPr>
              <w:pStyle w:val="Textpoznpodarou"/>
              <w:jc w:val="both"/>
              <w:rPr>
                <w:spacing w:val="-4"/>
              </w:rPr>
            </w:pPr>
          </w:p>
        </w:tc>
        <w:tc>
          <w:tcPr>
            <w:tcW w:w="7674" w:type="dxa"/>
            <w:shd w:val="clear" w:color="auto" w:fill="auto"/>
          </w:tcPr>
          <w:p w14:paraId="18441DDD" w14:textId="4AD3CCCA" w:rsidR="00DB613B" w:rsidRPr="00DB613B" w:rsidRDefault="008D1E0A" w:rsidP="00DB613B">
            <w:pPr>
              <w:spacing w:after="0" w:line="240" w:lineRule="auto"/>
              <w:rPr>
                <w:szCs w:val="20"/>
              </w:rPr>
            </w:pPr>
            <w:r>
              <w:rPr>
                <w:noProof/>
              </w:rPr>
              <w:drawing>
                <wp:inline distT="0" distB="0" distL="0" distR="0" wp14:anchorId="3A6431A2" wp14:editId="526B989C">
                  <wp:extent cx="4759549" cy="3553200"/>
                  <wp:effectExtent l="0" t="0" r="3175"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DB613B" w:rsidRPr="00DE6706" w14:paraId="7EC6AD85" w14:textId="77777777" w:rsidTr="00A746C9">
        <w:trPr>
          <w:trHeight w:val="170"/>
        </w:trPr>
        <w:tc>
          <w:tcPr>
            <w:tcW w:w="1764" w:type="dxa"/>
            <w:vMerge/>
            <w:shd w:val="clear" w:color="auto" w:fill="auto"/>
            <w:tcMar>
              <w:left w:w="0" w:type="dxa"/>
            </w:tcMar>
          </w:tcPr>
          <w:p w14:paraId="45B24EBB" w14:textId="77777777" w:rsidR="00DB613B" w:rsidRPr="009110F7" w:rsidRDefault="00DB613B" w:rsidP="00DB613B">
            <w:pPr>
              <w:pStyle w:val="Marginlie"/>
            </w:pPr>
          </w:p>
        </w:tc>
        <w:tc>
          <w:tcPr>
            <w:tcW w:w="206" w:type="dxa"/>
            <w:vMerge/>
            <w:shd w:val="clear" w:color="auto" w:fill="auto"/>
            <w:tcMar>
              <w:left w:w="0" w:type="dxa"/>
            </w:tcMar>
          </w:tcPr>
          <w:p w14:paraId="64833446" w14:textId="77777777" w:rsidR="00DB613B" w:rsidRPr="009110F7" w:rsidRDefault="00DB613B" w:rsidP="00DB613B">
            <w:pPr>
              <w:pStyle w:val="Textpoznpodarou"/>
              <w:jc w:val="both"/>
              <w:rPr>
                <w:spacing w:val="-4"/>
              </w:rPr>
            </w:pPr>
          </w:p>
        </w:tc>
        <w:tc>
          <w:tcPr>
            <w:tcW w:w="7674" w:type="dxa"/>
            <w:shd w:val="clear" w:color="auto" w:fill="auto"/>
            <w:tcMar>
              <w:left w:w="0" w:type="dxa"/>
            </w:tcMar>
          </w:tcPr>
          <w:p w14:paraId="3EC24A16" w14:textId="01918F79" w:rsidR="008D1E0A" w:rsidRDefault="00DB613B" w:rsidP="008D1E0A">
            <w:pPr>
              <w:spacing w:after="0"/>
              <w:rPr>
                <w:rFonts w:cs="Arial"/>
                <w:sz w:val="14"/>
                <w:szCs w:val="14"/>
              </w:rPr>
            </w:pPr>
            <w:r w:rsidRPr="00DB613B">
              <w:rPr>
                <w:rFonts w:cs="Arial"/>
                <w:sz w:val="14"/>
                <w:szCs w:val="14"/>
              </w:rPr>
              <w:t>*Údaje jsou sezónně očišt</w:t>
            </w:r>
            <w:r w:rsidR="008D1E0A">
              <w:rPr>
                <w:rFonts w:cs="Arial"/>
                <w:sz w:val="14"/>
                <w:szCs w:val="14"/>
              </w:rPr>
              <w:t>ěny.</w:t>
            </w:r>
          </w:p>
          <w:p w14:paraId="18794131" w14:textId="5C0B7632" w:rsidR="00DB613B" w:rsidRPr="00DB613B" w:rsidRDefault="00DB613B" w:rsidP="00DB613B">
            <w:pPr>
              <w:spacing w:after="200"/>
              <w:rPr>
                <w:rFonts w:cs="Arial"/>
                <w:sz w:val="14"/>
                <w:szCs w:val="14"/>
              </w:rPr>
            </w:pPr>
            <w:r w:rsidRPr="00DB613B">
              <w:rPr>
                <w:rFonts w:cs="Arial"/>
                <w:sz w:val="14"/>
                <w:szCs w:val="14"/>
              </w:rPr>
              <w:t>Zdroj: ČSÚ</w:t>
            </w:r>
          </w:p>
        </w:tc>
      </w:tr>
      <w:tr w:rsidR="00DB613B" w14:paraId="3293257E" w14:textId="77777777" w:rsidTr="00A746C9">
        <w:trPr>
          <w:trHeight w:val="145"/>
        </w:trPr>
        <w:tc>
          <w:tcPr>
            <w:tcW w:w="1764" w:type="dxa"/>
            <w:shd w:val="clear" w:color="auto" w:fill="auto"/>
            <w:tcMar>
              <w:left w:w="0" w:type="dxa"/>
            </w:tcMar>
          </w:tcPr>
          <w:p w14:paraId="26FBB46A" w14:textId="724390D1" w:rsidR="00DB613B" w:rsidRDefault="00DB613B" w:rsidP="00DB613B">
            <w:pPr>
              <w:pStyle w:val="Marginlie"/>
            </w:pPr>
            <w:r>
              <w:t xml:space="preserve">Růst stavební produkce pokračoval již třetím rokem. Táhlo ho především pozemní stavitelství. </w:t>
            </w:r>
          </w:p>
        </w:tc>
        <w:tc>
          <w:tcPr>
            <w:tcW w:w="206" w:type="dxa"/>
            <w:shd w:val="clear" w:color="auto" w:fill="auto"/>
            <w:tcMar>
              <w:left w:w="0" w:type="dxa"/>
            </w:tcMar>
          </w:tcPr>
          <w:p w14:paraId="21450BF8" w14:textId="77777777" w:rsidR="00DB613B" w:rsidRPr="002A4B98" w:rsidRDefault="00DB613B" w:rsidP="00DB613B">
            <w:pPr>
              <w:pStyle w:val="Textpoznpodarou"/>
              <w:jc w:val="both"/>
              <w:rPr>
                <w:spacing w:val="-3"/>
              </w:rPr>
            </w:pPr>
          </w:p>
        </w:tc>
        <w:tc>
          <w:tcPr>
            <w:tcW w:w="7674" w:type="dxa"/>
            <w:shd w:val="clear" w:color="auto" w:fill="auto"/>
            <w:tcMar>
              <w:left w:w="0" w:type="dxa"/>
            </w:tcMar>
          </w:tcPr>
          <w:p w14:paraId="70E8EB2E" w14:textId="251796BE" w:rsidR="00DB613B" w:rsidRPr="00DB613B" w:rsidRDefault="00DB613B" w:rsidP="00DB613B">
            <w:pPr>
              <w:pStyle w:val="Textpoznpodarou"/>
              <w:spacing w:after="200" w:line="276" w:lineRule="auto"/>
              <w:jc w:val="both"/>
              <w:rPr>
                <w:color w:val="0D0D0D" w:themeColor="text1" w:themeTint="F2"/>
              </w:rPr>
            </w:pPr>
            <w:r w:rsidRPr="00DB613B">
              <w:rPr>
                <w:color w:val="0D0D0D" w:themeColor="text1" w:themeTint="F2"/>
              </w:rPr>
              <w:t>S</w:t>
            </w:r>
            <w:r w:rsidRPr="00DB613B">
              <w:t>tavební produkce</w:t>
            </w:r>
            <w:r w:rsidRPr="00DB613B">
              <w:rPr>
                <w:rStyle w:val="Znakapoznpodarou"/>
              </w:rPr>
              <w:footnoteReference w:id="34"/>
            </w:r>
            <w:r w:rsidRPr="00DB613B">
              <w:t xml:space="preserve"> vzrostla loni meziročně o 2,6 %</w:t>
            </w:r>
            <w:r w:rsidRPr="00DB613B">
              <w:rPr>
                <w:rStyle w:val="Znakapoznpodarou"/>
              </w:rPr>
              <w:footnoteReference w:id="35"/>
            </w:r>
            <w:r w:rsidRPr="00DB613B">
              <w:t xml:space="preserve">, posilovala třetím rokem v řadě. Ve srovnání s tempem z roku 2018 (+9,1 %) šlo ale o citelné zvolnění. Tehdy bylo celé odvětví podpořeno výrazným zrychlením čerpání eurofondů, tento faktor se loni projevoval v menší míře. Na rozdíl od průmyslu byla situace ve stavebnictví po celý rok 2019 stabilní – jak z pohledu výkonu, tak i očekávané poptávky. Inženýrské stavitelství rostlo o 4,0 %, celé odvětví bylo ale taženo, stejně jako v roce 2018, hlavně pozemním stavitelstvím (+2,1 %, příspěvek +1,5 p. b.). </w:t>
            </w:r>
          </w:p>
        </w:tc>
      </w:tr>
      <w:tr w:rsidR="00DB613B" w:rsidRPr="001A21A7" w14:paraId="34A4BCC7" w14:textId="77777777" w:rsidTr="00A746C9">
        <w:trPr>
          <w:trHeight w:val="170"/>
        </w:trPr>
        <w:tc>
          <w:tcPr>
            <w:tcW w:w="1764" w:type="dxa"/>
            <w:vMerge w:val="restart"/>
            <w:shd w:val="clear" w:color="auto" w:fill="auto"/>
            <w:tcMar>
              <w:left w:w="0" w:type="dxa"/>
            </w:tcMar>
          </w:tcPr>
          <w:p w14:paraId="20D59A19" w14:textId="77777777" w:rsidR="00DB613B" w:rsidRDefault="00DB613B" w:rsidP="00DB613B">
            <w:pPr>
              <w:pStyle w:val="Marginlie"/>
            </w:pPr>
          </w:p>
        </w:tc>
        <w:tc>
          <w:tcPr>
            <w:tcW w:w="206" w:type="dxa"/>
            <w:vMerge w:val="restart"/>
            <w:shd w:val="clear" w:color="auto" w:fill="auto"/>
            <w:tcMar>
              <w:left w:w="0" w:type="dxa"/>
            </w:tcMar>
          </w:tcPr>
          <w:p w14:paraId="3D8583A7" w14:textId="77777777" w:rsidR="00DB613B" w:rsidRDefault="00DB613B" w:rsidP="00DB613B">
            <w:pPr>
              <w:pStyle w:val="Textpoznpodarou"/>
              <w:jc w:val="both"/>
              <w:rPr>
                <w:spacing w:val="-4"/>
              </w:rPr>
            </w:pPr>
          </w:p>
        </w:tc>
        <w:tc>
          <w:tcPr>
            <w:tcW w:w="7674" w:type="dxa"/>
            <w:shd w:val="clear" w:color="auto" w:fill="auto"/>
            <w:tcMar>
              <w:left w:w="0" w:type="dxa"/>
            </w:tcMar>
          </w:tcPr>
          <w:p w14:paraId="5B948561" w14:textId="77777777" w:rsidR="008D1E0A" w:rsidRDefault="00DB613B" w:rsidP="00DB613B">
            <w:pPr>
              <w:spacing w:after="0"/>
              <w:jc w:val="left"/>
              <w:rPr>
                <w:b/>
                <w:bCs/>
              </w:rPr>
            </w:pPr>
            <w:r w:rsidRPr="00DB613B">
              <w:rPr>
                <w:b/>
              </w:rPr>
              <w:t xml:space="preserve">Graf č. 6  Příspěvky odvětví k meziroční změně stavební produkce </w:t>
            </w:r>
            <w:r w:rsidRPr="00DB613B">
              <w:t>(v p. b.)</w:t>
            </w:r>
            <w:r w:rsidRPr="00DB613B">
              <w:rPr>
                <w:b/>
                <w:bCs/>
              </w:rPr>
              <w:t xml:space="preserve">, </w:t>
            </w:r>
          </w:p>
          <w:p w14:paraId="46187DF3" w14:textId="1121DFD4" w:rsidR="00DB613B" w:rsidRPr="00DB613B" w:rsidRDefault="00DB613B" w:rsidP="00DB613B">
            <w:pPr>
              <w:spacing w:after="0"/>
              <w:jc w:val="left"/>
              <w:rPr>
                <w:b/>
              </w:rPr>
            </w:pPr>
            <w:r w:rsidRPr="00DB613B">
              <w:rPr>
                <w:b/>
              </w:rPr>
              <w:t xml:space="preserve">nové </w:t>
            </w:r>
            <w:r w:rsidR="008D1E0A">
              <w:rPr>
                <w:b/>
              </w:rPr>
              <w:t xml:space="preserve">stavební </w:t>
            </w:r>
            <w:r w:rsidRPr="00DB613B">
              <w:rPr>
                <w:b/>
              </w:rPr>
              <w:t xml:space="preserve">zakázky </w:t>
            </w:r>
            <w:r w:rsidRPr="00DB613B">
              <w:rPr>
                <w:bCs/>
              </w:rPr>
              <w:t>(</w:t>
            </w:r>
            <w:r w:rsidRPr="00DB613B">
              <w:t>meziročně</w:t>
            </w:r>
            <w:r w:rsidRPr="00DB613B">
              <w:rPr>
                <w:bCs/>
              </w:rPr>
              <w:t xml:space="preserve"> v %</w:t>
            </w:r>
            <w:r w:rsidR="008D1E0A" w:rsidRPr="00DB613B">
              <w:t>, pravá osa</w:t>
            </w:r>
            <w:r w:rsidRPr="00DB613B">
              <w:rPr>
                <w:bCs/>
              </w:rPr>
              <w:t>)</w:t>
            </w:r>
            <w:r w:rsidRPr="00DB613B">
              <w:rPr>
                <w:b/>
              </w:rPr>
              <w:t>, saldo indikátoru důvěry ve stavebnictví*</w:t>
            </w:r>
            <w:r w:rsidRPr="00DB613B">
              <w:t xml:space="preserve"> (v p. b., pravá osa) </w:t>
            </w:r>
            <w:r w:rsidRPr="00DB613B">
              <w:rPr>
                <w:b/>
              </w:rPr>
              <w:t>a vybrané bariéry růstu</w:t>
            </w:r>
            <w:r w:rsidRPr="00DB613B">
              <w:t>* (v %, pravá osa)</w:t>
            </w:r>
          </w:p>
        </w:tc>
      </w:tr>
      <w:tr w:rsidR="00DB613B" w:rsidRPr="00B4411A" w14:paraId="487C8A4F" w14:textId="77777777" w:rsidTr="008D1E0A">
        <w:tblPrEx>
          <w:tblCellMar>
            <w:left w:w="70" w:type="dxa"/>
            <w:right w:w="70" w:type="dxa"/>
          </w:tblCellMar>
        </w:tblPrEx>
        <w:trPr>
          <w:trHeight w:val="170"/>
        </w:trPr>
        <w:tc>
          <w:tcPr>
            <w:tcW w:w="1764" w:type="dxa"/>
            <w:vMerge/>
            <w:shd w:val="clear" w:color="auto" w:fill="auto"/>
          </w:tcPr>
          <w:p w14:paraId="2EEAEE8B" w14:textId="77777777" w:rsidR="00DB613B" w:rsidRPr="009110F7" w:rsidRDefault="00DB613B" w:rsidP="00DB613B">
            <w:pPr>
              <w:pStyle w:val="Marginlie"/>
            </w:pPr>
          </w:p>
        </w:tc>
        <w:tc>
          <w:tcPr>
            <w:tcW w:w="206" w:type="dxa"/>
            <w:vMerge/>
            <w:shd w:val="clear" w:color="auto" w:fill="auto"/>
          </w:tcPr>
          <w:p w14:paraId="05CE1295" w14:textId="77777777" w:rsidR="00DB613B" w:rsidRPr="009110F7" w:rsidRDefault="00DB613B" w:rsidP="00DB613B">
            <w:pPr>
              <w:pStyle w:val="Textpoznpodarou"/>
              <w:jc w:val="both"/>
              <w:rPr>
                <w:spacing w:val="-4"/>
              </w:rPr>
            </w:pPr>
          </w:p>
        </w:tc>
        <w:tc>
          <w:tcPr>
            <w:tcW w:w="7674" w:type="dxa"/>
            <w:shd w:val="clear" w:color="auto" w:fill="auto"/>
          </w:tcPr>
          <w:p w14:paraId="4DAB8790" w14:textId="4A513ABD" w:rsidR="00DB613B" w:rsidRPr="00DB613B" w:rsidRDefault="008D1E0A" w:rsidP="00DB613B">
            <w:pPr>
              <w:spacing w:after="0"/>
            </w:pPr>
            <w:r>
              <w:rPr>
                <w:noProof/>
              </w:rPr>
              <w:drawing>
                <wp:inline distT="0" distB="0" distL="0" distR="0" wp14:anchorId="29474F49" wp14:editId="5FD74BA2">
                  <wp:extent cx="4749121" cy="3623323"/>
                  <wp:effectExtent l="0" t="0" r="0" b="0"/>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DB613B" w:rsidRPr="004621FE" w14:paraId="411C4F56" w14:textId="77777777" w:rsidTr="00A746C9">
        <w:trPr>
          <w:trHeight w:val="170"/>
        </w:trPr>
        <w:tc>
          <w:tcPr>
            <w:tcW w:w="1764" w:type="dxa"/>
            <w:vMerge/>
            <w:shd w:val="clear" w:color="auto" w:fill="auto"/>
            <w:tcMar>
              <w:left w:w="0" w:type="dxa"/>
            </w:tcMar>
          </w:tcPr>
          <w:p w14:paraId="6CD2E139" w14:textId="77777777" w:rsidR="00DB613B" w:rsidRPr="009110F7" w:rsidRDefault="00DB613B" w:rsidP="00DB613B">
            <w:pPr>
              <w:pStyle w:val="Marginlie"/>
            </w:pPr>
          </w:p>
        </w:tc>
        <w:tc>
          <w:tcPr>
            <w:tcW w:w="206" w:type="dxa"/>
            <w:vMerge/>
            <w:shd w:val="clear" w:color="auto" w:fill="auto"/>
            <w:tcMar>
              <w:left w:w="0" w:type="dxa"/>
            </w:tcMar>
          </w:tcPr>
          <w:p w14:paraId="71173074" w14:textId="77777777" w:rsidR="00DB613B" w:rsidRPr="009110F7" w:rsidRDefault="00DB613B" w:rsidP="00DB613B">
            <w:pPr>
              <w:pStyle w:val="Textpoznpodarou"/>
              <w:jc w:val="both"/>
              <w:rPr>
                <w:spacing w:val="-4"/>
              </w:rPr>
            </w:pPr>
          </w:p>
        </w:tc>
        <w:tc>
          <w:tcPr>
            <w:tcW w:w="7674" w:type="dxa"/>
            <w:shd w:val="clear" w:color="auto" w:fill="auto"/>
            <w:tcMar>
              <w:left w:w="0" w:type="dxa"/>
            </w:tcMar>
          </w:tcPr>
          <w:p w14:paraId="21AACFF3" w14:textId="77777777" w:rsidR="00DB613B" w:rsidRPr="00DB613B" w:rsidRDefault="00DB613B" w:rsidP="00DB613B">
            <w:pPr>
              <w:spacing w:after="0"/>
              <w:rPr>
                <w:rFonts w:cs="Arial"/>
                <w:sz w:val="14"/>
                <w:szCs w:val="14"/>
              </w:rPr>
            </w:pPr>
            <w:r w:rsidRPr="00DB613B">
              <w:rPr>
                <w:rFonts w:cs="Arial"/>
                <w:sz w:val="14"/>
                <w:szCs w:val="14"/>
              </w:rPr>
              <w:t>Údaje o stavební produkci jsou očištěny o kalendářní vlivy.</w:t>
            </w:r>
          </w:p>
          <w:p w14:paraId="6B8B40B8" w14:textId="717BD401" w:rsidR="008D1E0A" w:rsidRDefault="00DB613B" w:rsidP="008D1E0A">
            <w:pPr>
              <w:spacing w:after="0"/>
              <w:rPr>
                <w:rFonts w:cs="Arial"/>
                <w:sz w:val="14"/>
                <w:szCs w:val="14"/>
              </w:rPr>
            </w:pPr>
            <w:r w:rsidRPr="00DB613B">
              <w:rPr>
                <w:rFonts w:cs="Arial"/>
                <w:sz w:val="14"/>
                <w:szCs w:val="14"/>
              </w:rPr>
              <w:t>*Údaje j</w:t>
            </w:r>
            <w:r w:rsidR="008D1E0A">
              <w:rPr>
                <w:rFonts w:cs="Arial"/>
                <w:sz w:val="14"/>
                <w:szCs w:val="14"/>
              </w:rPr>
              <w:t>sou sezónně očištěny.</w:t>
            </w:r>
          </w:p>
          <w:p w14:paraId="30F84FDB" w14:textId="158A0916" w:rsidR="00DB613B" w:rsidRPr="00DB613B" w:rsidRDefault="00DB613B" w:rsidP="00DB613B">
            <w:pPr>
              <w:spacing w:after="200"/>
              <w:rPr>
                <w:rFonts w:cs="Arial"/>
                <w:sz w:val="14"/>
                <w:szCs w:val="14"/>
              </w:rPr>
            </w:pPr>
            <w:r w:rsidRPr="00DB613B">
              <w:rPr>
                <w:rFonts w:cs="Arial"/>
                <w:sz w:val="14"/>
                <w:szCs w:val="14"/>
              </w:rPr>
              <w:t>Zdroj: ČSÚ</w:t>
            </w:r>
          </w:p>
        </w:tc>
      </w:tr>
      <w:tr w:rsidR="00DB613B" w14:paraId="3A5370EC" w14:textId="77777777" w:rsidTr="00A746C9">
        <w:trPr>
          <w:trHeight w:val="145"/>
        </w:trPr>
        <w:tc>
          <w:tcPr>
            <w:tcW w:w="1764" w:type="dxa"/>
            <w:shd w:val="clear" w:color="auto" w:fill="auto"/>
            <w:tcMar>
              <w:left w:w="0" w:type="dxa"/>
            </w:tcMar>
          </w:tcPr>
          <w:p w14:paraId="30FBB93E" w14:textId="77777777" w:rsidR="00DB613B" w:rsidRDefault="00DB613B" w:rsidP="00DB613B">
            <w:pPr>
              <w:pStyle w:val="Marginlie"/>
            </w:pPr>
            <w:r>
              <w:t>K akceleraci bytové výstavby přispěly loni téměř výhradně byty v bytových domech.</w:t>
            </w:r>
          </w:p>
          <w:p w14:paraId="43FE4129" w14:textId="77777777" w:rsidR="00DB613B" w:rsidRDefault="00DB613B" w:rsidP="00DB613B">
            <w:pPr>
              <w:pStyle w:val="Marginlie"/>
            </w:pPr>
          </w:p>
        </w:tc>
        <w:tc>
          <w:tcPr>
            <w:tcW w:w="206" w:type="dxa"/>
            <w:shd w:val="clear" w:color="auto" w:fill="auto"/>
            <w:tcMar>
              <w:left w:w="0" w:type="dxa"/>
            </w:tcMar>
          </w:tcPr>
          <w:p w14:paraId="0C16A03C" w14:textId="77777777" w:rsidR="00DB613B" w:rsidRPr="009110F7" w:rsidRDefault="00DB613B" w:rsidP="00DB613B">
            <w:pPr>
              <w:pStyle w:val="Textpoznpodarou"/>
              <w:jc w:val="both"/>
              <w:rPr>
                <w:spacing w:val="-4"/>
              </w:rPr>
            </w:pPr>
          </w:p>
        </w:tc>
        <w:tc>
          <w:tcPr>
            <w:tcW w:w="7674" w:type="dxa"/>
            <w:shd w:val="clear" w:color="auto" w:fill="auto"/>
            <w:tcMar>
              <w:left w:w="0" w:type="dxa"/>
            </w:tcMar>
          </w:tcPr>
          <w:p w14:paraId="5B0DC535" w14:textId="77777777" w:rsidR="00DB613B" w:rsidRPr="00DB613B" w:rsidRDefault="00DB613B" w:rsidP="00DB613B">
            <w:pPr>
              <w:spacing w:after="200"/>
              <w:rPr>
                <w:color w:val="0D0D0D" w:themeColor="text1" w:themeTint="F2"/>
                <w:szCs w:val="20"/>
              </w:rPr>
            </w:pPr>
            <w:r w:rsidRPr="00DB613B">
              <w:rPr>
                <w:color w:val="0D0D0D" w:themeColor="text1" w:themeTint="F2"/>
              </w:rPr>
              <w:t>Ve výkonech pozemního stavitelství se odrážel pokračující rozvoj bytové výstavby. V roce 2019 bylo zahájeno 38,7 tis. bytů, růst výstavby přetrvával již šestým rokem (roční nabídka nových bytů se za toto období zvýšila o 75 %, proti vrcholu konjunktury byla ale stále o osminu nižší). Z drtivé většiny to bylo zásluhou vyššího počtu bytů v bytových domech (+5,2 tis.), jejichž výstavba v roce 2018 stagnovala. Více se loni prosazovaly i „administrativně méně náročné“ formy výstavby – stavební úpravou nebytových prostor bylo zahájeno nejvíce bytů po roce 2005 (1154). Naproti tomu v domovech pro seniory takto vzniklo nejméně bytů v novodobé historii (301). Na růstu všech zahájených bytů v roce 2019 se nejvíce podílela Praha</w:t>
            </w:r>
            <w:r w:rsidRPr="00DB613B">
              <w:rPr>
                <w:rStyle w:val="Znakapoznpodarou"/>
              </w:rPr>
              <w:footnoteReference w:id="36"/>
            </w:r>
            <w:r w:rsidRPr="00DB613B">
              <w:rPr>
                <w:color w:val="0D0D0D" w:themeColor="text1" w:themeTint="F2"/>
              </w:rPr>
              <w:t xml:space="preserve"> (ze dvou pětin), významněji přispěly i Liberecký a Moravskoslezský kraj.</w:t>
            </w:r>
          </w:p>
        </w:tc>
      </w:tr>
      <w:tr w:rsidR="00DB613B" w14:paraId="51418063" w14:textId="77777777" w:rsidTr="00A746C9">
        <w:trPr>
          <w:trHeight w:val="145"/>
        </w:trPr>
        <w:tc>
          <w:tcPr>
            <w:tcW w:w="1764" w:type="dxa"/>
            <w:shd w:val="clear" w:color="auto" w:fill="auto"/>
            <w:tcMar>
              <w:left w:w="0" w:type="dxa"/>
            </w:tcMar>
          </w:tcPr>
          <w:p w14:paraId="2E1FF270" w14:textId="77777777" w:rsidR="00DB613B" w:rsidRPr="00190B89" w:rsidRDefault="00DB613B" w:rsidP="00DB613B">
            <w:pPr>
              <w:pStyle w:val="Marginlie"/>
              <w:rPr>
                <w:spacing w:val="-6"/>
              </w:rPr>
            </w:pPr>
            <w:r w:rsidRPr="00190B89">
              <w:rPr>
                <w:spacing w:val="-6"/>
              </w:rPr>
              <w:t>Hodnota nových zakázek</w:t>
            </w:r>
          </w:p>
          <w:p w14:paraId="1AA49153" w14:textId="77777777" w:rsidR="00DB613B" w:rsidRPr="00190B89" w:rsidRDefault="00DB613B" w:rsidP="00DB613B">
            <w:pPr>
              <w:pStyle w:val="Marginlie"/>
              <w:rPr>
                <w:spacing w:val="-6"/>
              </w:rPr>
            </w:pPr>
            <w:r w:rsidRPr="00190B89">
              <w:rPr>
                <w:spacing w:val="-6"/>
              </w:rPr>
              <w:t>v pozemním i inženýrském stavitelství rostla. Pokračoval trend růstu váhy větších projektů.</w:t>
            </w:r>
          </w:p>
          <w:p w14:paraId="3667E070" w14:textId="77777777" w:rsidR="00DB613B" w:rsidRDefault="00DB613B" w:rsidP="00DB613B">
            <w:pPr>
              <w:pStyle w:val="Marginlie"/>
            </w:pPr>
          </w:p>
          <w:p w14:paraId="63867F36" w14:textId="03827170" w:rsidR="00DB613B" w:rsidRDefault="00DB613B" w:rsidP="00DB613B">
            <w:pPr>
              <w:pStyle w:val="Marginlie"/>
            </w:pPr>
          </w:p>
          <w:p w14:paraId="39CB3187" w14:textId="77777777" w:rsidR="00DB613B" w:rsidRPr="00190B89" w:rsidRDefault="00DB613B" w:rsidP="00DB613B">
            <w:pPr>
              <w:pStyle w:val="Marginlie"/>
              <w:rPr>
                <w:spacing w:val="-4"/>
              </w:rPr>
            </w:pPr>
            <w:r w:rsidRPr="00190B89">
              <w:rPr>
                <w:spacing w:val="-4"/>
              </w:rPr>
              <w:t>Saldo důvěry ve stavebnictví zůstávalo po většinu roku mírně pozitivní. Nedostatek pracovníků sužoval pol</w:t>
            </w:r>
            <w:r>
              <w:rPr>
                <w:spacing w:val="-4"/>
              </w:rPr>
              <w:t>ovinu podniků</w:t>
            </w:r>
            <w:r w:rsidRPr="00190B89">
              <w:rPr>
                <w:spacing w:val="-4"/>
              </w:rPr>
              <w:t>.</w:t>
            </w:r>
          </w:p>
          <w:p w14:paraId="4337EBFF" w14:textId="77777777" w:rsidR="00DB613B" w:rsidRDefault="00DB613B" w:rsidP="00DB613B">
            <w:pPr>
              <w:pStyle w:val="Marginlie"/>
            </w:pPr>
          </w:p>
        </w:tc>
        <w:tc>
          <w:tcPr>
            <w:tcW w:w="206" w:type="dxa"/>
            <w:shd w:val="clear" w:color="auto" w:fill="auto"/>
            <w:tcMar>
              <w:left w:w="0" w:type="dxa"/>
            </w:tcMar>
          </w:tcPr>
          <w:p w14:paraId="53657B50" w14:textId="77777777" w:rsidR="00DB613B" w:rsidRPr="009110F7" w:rsidRDefault="00DB613B" w:rsidP="00DB613B">
            <w:pPr>
              <w:pStyle w:val="Textpoznpodarou"/>
              <w:jc w:val="both"/>
              <w:rPr>
                <w:spacing w:val="-4"/>
              </w:rPr>
            </w:pPr>
          </w:p>
        </w:tc>
        <w:tc>
          <w:tcPr>
            <w:tcW w:w="7674" w:type="dxa"/>
            <w:shd w:val="clear" w:color="auto" w:fill="auto"/>
            <w:tcMar>
              <w:left w:w="0" w:type="dxa"/>
            </w:tcMar>
          </w:tcPr>
          <w:p w14:paraId="7738988E" w14:textId="5BF872D4" w:rsidR="00DB613B" w:rsidRPr="00DB613B" w:rsidRDefault="00DB613B" w:rsidP="00DB613B">
            <w:pPr>
              <w:pStyle w:val="Textpoznpodarou"/>
              <w:spacing w:after="200" w:line="276" w:lineRule="auto"/>
              <w:jc w:val="both"/>
              <w:rPr>
                <w:rFonts w:cs="Arial"/>
              </w:rPr>
            </w:pPr>
            <w:r w:rsidRPr="00DB613B">
              <w:t>Hodnota nových tuzemských zakázek (</w:t>
            </w:r>
            <w:r w:rsidRPr="00DB613B">
              <w:rPr>
                <w:rFonts w:cs="Arial"/>
              </w:rPr>
              <w:t>u podniků s více než 50 zaměstnanci) byla ve 4.</w:t>
            </w:r>
            <w:r w:rsidR="00A746C9">
              <w:rPr>
                <w:rFonts w:cs="Arial"/>
              </w:rPr>
              <w:t> </w:t>
            </w:r>
            <w:r w:rsidRPr="00DB613B">
              <w:rPr>
                <w:rFonts w:cs="Arial"/>
              </w:rPr>
              <w:t>čtvrtletí meziročně o 5,8 %vyšší. Podobným tempem rostla poptávka v pozemním i inženýrském stavitelství. Díky rozvoji náročnějších infrastrukturálních projektů i vlivem svižného růstu cen stavebních prací rostla průměrná velikost nově uzavřených zakázek (za celý rok 2019 čítala 4,0 mil. korun, o tři roky dříve 3,0 mil.). Tento trend potvrzovala i statistika stavebních povolení</w:t>
            </w:r>
            <w:r w:rsidRPr="00DB613B">
              <w:rPr>
                <w:rStyle w:val="Znakapoznpodarou"/>
              </w:rPr>
              <w:footnoteReference w:id="37"/>
            </w:r>
            <w:r w:rsidRPr="00DB613B">
              <w:rPr>
                <w:rFonts w:cs="Arial"/>
              </w:rPr>
              <w:t xml:space="preserve">. </w:t>
            </w:r>
            <w:r w:rsidRPr="00DB613B">
              <w:rPr>
                <w:color w:val="0D0D0D" w:themeColor="text1" w:themeTint="F2"/>
              </w:rPr>
              <w:t xml:space="preserve">Celková zásoba práce (ve formě dosud nerealizovaných stavebních zakázek) čítala na konci 4. čtvrtletí 171 mld. korun a meziročně posílila o 11,5 % – primárně vlivem růstu tuzemských veřejných zakázek (zvýšení o pětinu), významně posílily i soukromé zakázky v ČR (o desetinu). Indikátor důvěry manažerů stavebních podniků zůstával po většinu roku 2019 mírně pozitivní, maxima dosáhl v lednu (+5,5 bodu), kdy překonal dosud rekordní optimismus z roku </w:t>
            </w:r>
            <w:r w:rsidRPr="00DB613B">
              <w:rPr>
                <w:color w:val="0D0D0D" w:themeColor="text1" w:themeTint="F2"/>
              </w:rPr>
              <w:lastRenderedPageBreak/>
              <w:t>2005. Hlavní růstovou bariérou stavebnictví zůstával již pět čtvrtletí nedostatek pracovní síly. Ten se na počátku roku 2020 týkal 48 % podniků (v srpnu 2019 dosud rekordních 55 %). Nedostatečná poptávka sužovala 29 % firem, její váha během loňského roku ale rostla jen mírně.</w:t>
            </w:r>
          </w:p>
        </w:tc>
      </w:tr>
      <w:tr w:rsidR="00DB613B" w14:paraId="394D26C8" w14:textId="77777777" w:rsidTr="00A746C9">
        <w:trPr>
          <w:trHeight w:val="145"/>
        </w:trPr>
        <w:tc>
          <w:tcPr>
            <w:tcW w:w="1764" w:type="dxa"/>
            <w:shd w:val="clear" w:color="auto" w:fill="auto"/>
            <w:tcMar>
              <w:left w:w="0" w:type="dxa"/>
            </w:tcMar>
          </w:tcPr>
          <w:p w14:paraId="58E73918" w14:textId="778901C2" w:rsidR="00DB613B" w:rsidRDefault="00DB613B" w:rsidP="00DB613B">
            <w:pPr>
              <w:pStyle w:val="Marginlie"/>
            </w:pPr>
            <w:r>
              <w:lastRenderedPageBreak/>
              <w:t xml:space="preserve">Meziroční tempo tržeb ve službách zvolnilo na </w:t>
            </w:r>
            <w:r w:rsidR="00EF77D4">
              <w:t>tříleté</w:t>
            </w:r>
            <w:r>
              <w:t xml:space="preserve"> minimum. V kladných hodnotách se loni udrželo jen díky odvětví ICT.</w:t>
            </w:r>
          </w:p>
          <w:p w14:paraId="39863379" w14:textId="77777777" w:rsidR="00DB613B" w:rsidRDefault="00DB613B" w:rsidP="00DB613B">
            <w:pPr>
              <w:pStyle w:val="Marginlie"/>
            </w:pPr>
          </w:p>
          <w:p w14:paraId="6C71760E" w14:textId="173D7376" w:rsidR="00DB613B" w:rsidRDefault="00DB613B" w:rsidP="00DB613B">
            <w:pPr>
              <w:pStyle w:val="Marginlie"/>
            </w:pPr>
          </w:p>
          <w:p w14:paraId="2B832500" w14:textId="612F2E24" w:rsidR="00DB613B" w:rsidRDefault="00DB613B" w:rsidP="00DB613B">
            <w:pPr>
              <w:pStyle w:val="Marginlie"/>
            </w:pPr>
          </w:p>
          <w:p w14:paraId="6A09FD4F" w14:textId="1C479E90" w:rsidR="00DB613B" w:rsidRDefault="00DB613B" w:rsidP="00DB613B">
            <w:pPr>
              <w:pStyle w:val="Marginlie"/>
            </w:pPr>
          </w:p>
          <w:p w14:paraId="353E08E2" w14:textId="77777777" w:rsidR="00DB613B" w:rsidRDefault="00DB613B" w:rsidP="00DB613B">
            <w:pPr>
              <w:pStyle w:val="Marginlie"/>
            </w:pPr>
          </w:p>
          <w:p w14:paraId="57CAF3C4" w14:textId="77777777" w:rsidR="00DB613B" w:rsidRDefault="00DB613B" w:rsidP="00DB613B">
            <w:pPr>
              <w:pStyle w:val="Marginlie"/>
            </w:pPr>
          </w:p>
          <w:p w14:paraId="1FF689A3" w14:textId="77777777" w:rsidR="00DB613B" w:rsidRDefault="00DB613B" w:rsidP="00DB613B">
            <w:pPr>
              <w:pStyle w:val="Marginlie"/>
            </w:pPr>
            <w:r>
              <w:t>Tržby vydavatelů rostly o rekordních 10 %.</w:t>
            </w:r>
          </w:p>
          <w:p w14:paraId="500AE71D" w14:textId="77777777" w:rsidR="00DB613B" w:rsidRDefault="00DB613B" w:rsidP="00DB613B">
            <w:pPr>
              <w:pStyle w:val="Marginlie"/>
            </w:pPr>
          </w:p>
          <w:p w14:paraId="4D512684" w14:textId="77777777" w:rsidR="00DB613B" w:rsidRDefault="00DB613B" w:rsidP="00DB613B">
            <w:pPr>
              <w:pStyle w:val="Marginlie"/>
            </w:pPr>
          </w:p>
          <w:p w14:paraId="3D3F6DC5" w14:textId="77777777" w:rsidR="00DB613B" w:rsidRDefault="00DB613B" w:rsidP="00DB613B">
            <w:pPr>
              <w:pStyle w:val="Marginlie"/>
            </w:pPr>
          </w:p>
          <w:p w14:paraId="5346457B" w14:textId="77777777" w:rsidR="00DB613B" w:rsidRDefault="00DB613B" w:rsidP="00DB613B">
            <w:pPr>
              <w:pStyle w:val="Marginlie"/>
            </w:pPr>
          </w:p>
        </w:tc>
        <w:tc>
          <w:tcPr>
            <w:tcW w:w="206" w:type="dxa"/>
            <w:shd w:val="clear" w:color="auto" w:fill="auto"/>
            <w:tcMar>
              <w:left w:w="0" w:type="dxa"/>
            </w:tcMar>
          </w:tcPr>
          <w:p w14:paraId="49E468CF" w14:textId="77777777" w:rsidR="00DB613B" w:rsidRPr="009110F7" w:rsidRDefault="00DB613B" w:rsidP="00DB613B">
            <w:pPr>
              <w:pStyle w:val="Textpoznpodarou"/>
              <w:jc w:val="both"/>
              <w:rPr>
                <w:spacing w:val="-4"/>
              </w:rPr>
            </w:pPr>
          </w:p>
        </w:tc>
        <w:tc>
          <w:tcPr>
            <w:tcW w:w="7674" w:type="dxa"/>
            <w:shd w:val="clear" w:color="auto" w:fill="auto"/>
            <w:tcMar>
              <w:left w:w="0" w:type="dxa"/>
            </w:tcMar>
          </w:tcPr>
          <w:p w14:paraId="5A95A0F8" w14:textId="2FAF86C9" w:rsidR="00DB613B" w:rsidRPr="00DB613B" w:rsidRDefault="00DB613B" w:rsidP="00DB613B">
            <w:pPr>
              <w:spacing w:after="200"/>
              <w:rPr>
                <w:color w:val="0D0D0D" w:themeColor="text1" w:themeTint="F2"/>
              </w:rPr>
            </w:pPr>
            <w:r w:rsidRPr="00DB613B">
              <w:t xml:space="preserve">Tržby </w:t>
            </w:r>
            <w:r w:rsidRPr="00DB613B">
              <w:rPr>
                <w:color w:val="0D0D0D" w:themeColor="text1" w:themeTint="F2"/>
              </w:rPr>
              <w:t>ve vybraných službách</w:t>
            </w:r>
            <w:r w:rsidRPr="00DB613B">
              <w:rPr>
                <w:color w:val="0D0D0D" w:themeColor="text1" w:themeTint="F2"/>
                <w:vertAlign w:val="superscript"/>
              </w:rPr>
              <w:footnoteReference w:id="38"/>
            </w:r>
            <w:r w:rsidRPr="00DB613B">
              <w:rPr>
                <w:color w:val="0D0D0D" w:themeColor="text1" w:themeTint="F2"/>
              </w:rPr>
              <w:t xml:space="preserve"> po svižném růstu v letech 2017 i 2018 loni posílily jen o 1,1 %. Jednalo se o nejslabší meziroční růst za posledních </w:t>
            </w:r>
            <w:r w:rsidR="00EF77D4">
              <w:rPr>
                <w:color w:val="0D0D0D" w:themeColor="text1" w:themeTint="F2"/>
              </w:rPr>
              <w:t>tři</w:t>
            </w:r>
            <w:r w:rsidRPr="00DB613B">
              <w:rPr>
                <w:color w:val="0D0D0D" w:themeColor="text1" w:themeTint="F2"/>
              </w:rPr>
              <w:t xml:space="preserve"> </w:t>
            </w:r>
            <w:r w:rsidR="00EF77D4">
              <w:rPr>
                <w:color w:val="0D0D0D" w:themeColor="text1" w:themeTint="F2"/>
              </w:rPr>
              <w:t>roky</w:t>
            </w:r>
            <w:r w:rsidRPr="00DB613B">
              <w:rPr>
                <w:color w:val="0D0D0D" w:themeColor="text1" w:themeTint="F2"/>
              </w:rPr>
              <w:t>. Výkon služeb v průběhu loňského roku slábl – zatímco v 1. čtvrtletí byl zaznamenán 3,</w:t>
            </w:r>
            <w:r w:rsidR="00EF77D4">
              <w:rPr>
                <w:color w:val="0D0D0D" w:themeColor="text1" w:themeTint="F2"/>
              </w:rPr>
              <w:t>7</w:t>
            </w:r>
            <w:r w:rsidRPr="00DB613B">
              <w:rPr>
                <w:color w:val="0D0D0D" w:themeColor="text1" w:themeTint="F2"/>
              </w:rPr>
              <w:t>% růst, ve 3.</w:t>
            </w:r>
            <w:r w:rsidR="00A746C9">
              <w:rPr>
                <w:color w:val="0D0D0D" w:themeColor="text1" w:themeTint="F2"/>
              </w:rPr>
              <w:t> </w:t>
            </w:r>
            <w:r w:rsidRPr="00DB613B">
              <w:rPr>
                <w:color w:val="0D0D0D" w:themeColor="text1" w:themeTint="F2"/>
              </w:rPr>
              <w:t xml:space="preserve">čtvrtletí se tempo snížilo na –0,8 % a v mírném poklesu zakončily služby i konec roku. Vývoj v dlouhodobě dynamické sekci informační a komunikační činnosti (ICT) ostře kontrastoval s ostatními segmenty služeb. V ICT nebyl během loňska </w:t>
            </w:r>
            <w:r w:rsidR="00EF77D4">
              <w:rPr>
                <w:color w:val="0D0D0D" w:themeColor="text1" w:themeTint="F2"/>
              </w:rPr>
              <w:t xml:space="preserve">klesající </w:t>
            </w:r>
            <w:r w:rsidRPr="00DB613B">
              <w:rPr>
                <w:color w:val="0D0D0D" w:themeColor="text1" w:themeTint="F2"/>
              </w:rPr>
              <w:t xml:space="preserve">trend zaznamenán. Bez sekce ICT by tržby ve službách loni pouze stagnovaly. Tržby </w:t>
            </w:r>
            <w:r w:rsidRPr="00DB613B">
              <w:rPr>
                <w:color w:val="0D0D0D" w:themeColor="text1" w:themeTint="F2"/>
                <w:szCs w:val="20"/>
              </w:rPr>
              <w:t xml:space="preserve">v sekci ICT vzrostly v roce 2019 o 5,9 %, primárně zásluhou činností v oblasti informačních technologií (zahrnující programování, správu počítačového vybavení či poradenství v oblasti IT). Dařilo se </w:t>
            </w:r>
            <w:r w:rsidR="00EF77D4">
              <w:rPr>
                <w:color w:val="0D0D0D" w:themeColor="text1" w:themeTint="F2"/>
                <w:szCs w:val="20"/>
              </w:rPr>
              <w:t>rovněž</w:t>
            </w:r>
            <w:r w:rsidRPr="00DB613B">
              <w:rPr>
                <w:color w:val="0D0D0D" w:themeColor="text1" w:themeTint="F2"/>
                <w:szCs w:val="20"/>
              </w:rPr>
              <w:t xml:space="preserve"> informačním činnostem, telekomunikacím a zejména vydavatelským činnostem, jejichž tempo tržeb akcelerovalo na rekordních +</w:t>
            </w:r>
            <w:r w:rsidR="00EF77D4">
              <w:rPr>
                <w:color w:val="0D0D0D" w:themeColor="text1" w:themeTint="F2"/>
                <w:szCs w:val="20"/>
              </w:rPr>
              <w:t>10</w:t>
            </w:r>
            <w:r w:rsidRPr="00DB613B">
              <w:rPr>
                <w:color w:val="0D0D0D" w:themeColor="text1" w:themeTint="F2"/>
                <w:szCs w:val="20"/>
              </w:rPr>
              <w:t>,</w:t>
            </w:r>
            <w:r w:rsidR="00EF77D4">
              <w:rPr>
                <w:color w:val="0D0D0D" w:themeColor="text1" w:themeTint="F2"/>
                <w:szCs w:val="20"/>
              </w:rPr>
              <w:t>0</w:t>
            </w:r>
            <w:r w:rsidR="00A746C9">
              <w:rPr>
                <w:color w:val="0D0D0D" w:themeColor="text1" w:themeTint="F2"/>
                <w:szCs w:val="20"/>
              </w:rPr>
              <w:t> </w:t>
            </w:r>
            <w:r w:rsidRPr="00DB613B">
              <w:rPr>
                <w:color w:val="0D0D0D" w:themeColor="text1" w:themeTint="F2"/>
                <w:szCs w:val="20"/>
              </w:rPr>
              <w:t>% (díky prodeji softwaru, jenž kompenzoval pokles tržeb vydavatelů novin a časopisů). Pokles zaznamenal jen t</w:t>
            </w:r>
            <w:r w:rsidRPr="00DB613B">
              <w:rPr>
                <w:color w:val="0D0D0D" w:themeColor="text1" w:themeTint="F2"/>
              </w:rPr>
              <w:t>zv. filmový a hudební průmysl (o 1,6 %) vlivem nepříznivého vývoje na konci roku</w:t>
            </w:r>
            <w:r w:rsidRPr="00DB613B">
              <w:rPr>
                <w:rStyle w:val="Znakapoznpodarou"/>
              </w:rPr>
              <w:footnoteReference w:id="39"/>
            </w:r>
            <w:r w:rsidRPr="00DB613B">
              <w:rPr>
                <w:color w:val="0D0D0D" w:themeColor="text1" w:themeTint="F2"/>
              </w:rPr>
              <w:t>.</w:t>
            </w:r>
            <w:r w:rsidRPr="00DB613B">
              <w:rPr>
                <w:color w:val="0D0D0D" w:themeColor="text1" w:themeTint="F2"/>
                <w:szCs w:val="20"/>
              </w:rPr>
              <w:t xml:space="preserve"> V sekci doprava a skladování tržby loni klesly o 0,5 %, poprvé po krizovém roce 2009. </w:t>
            </w:r>
          </w:p>
        </w:tc>
      </w:tr>
      <w:tr w:rsidR="00DB613B" w:rsidRPr="00A16220" w14:paraId="4B03C5D7" w14:textId="77777777" w:rsidTr="00A746C9">
        <w:trPr>
          <w:trHeight w:val="170"/>
        </w:trPr>
        <w:tc>
          <w:tcPr>
            <w:tcW w:w="1764" w:type="dxa"/>
            <w:vMerge w:val="restart"/>
            <w:shd w:val="clear" w:color="auto" w:fill="auto"/>
            <w:tcMar>
              <w:left w:w="0" w:type="dxa"/>
            </w:tcMar>
          </w:tcPr>
          <w:p w14:paraId="5FD59494" w14:textId="77777777" w:rsidR="00DB613B" w:rsidRDefault="00DB613B" w:rsidP="00DB613B">
            <w:pPr>
              <w:pStyle w:val="Marginlie"/>
            </w:pPr>
          </w:p>
        </w:tc>
        <w:tc>
          <w:tcPr>
            <w:tcW w:w="206" w:type="dxa"/>
            <w:vMerge w:val="restart"/>
            <w:shd w:val="clear" w:color="auto" w:fill="auto"/>
            <w:tcMar>
              <w:left w:w="0" w:type="dxa"/>
            </w:tcMar>
          </w:tcPr>
          <w:p w14:paraId="1FB1EE60" w14:textId="77777777" w:rsidR="00DB613B" w:rsidRDefault="00DB613B" w:rsidP="00DB613B">
            <w:pPr>
              <w:pStyle w:val="Textpoznpodarou"/>
              <w:jc w:val="both"/>
              <w:rPr>
                <w:spacing w:val="-4"/>
              </w:rPr>
            </w:pPr>
          </w:p>
        </w:tc>
        <w:tc>
          <w:tcPr>
            <w:tcW w:w="7674" w:type="dxa"/>
            <w:shd w:val="clear" w:color="auto" w:fill="auto"/>
            <w:tcMar>
              <w:left w:w="0" w:type="dxa"/>
            </w:tcMar>
          </w:tcPr>
          <w:p w14:paraId="08128EFA" w14:textId="1F7AC598" w:rsidR="00DB613B" w:rsidRPr="00DB613B" w:rsidRDefault="00DB613B" w:rsidP="00DB613B">
            <w:pPr>
              <w:pStyle w:val="Textpoznpodarou"/>
              <w:spacing w:line="276" w:lineRule="auto"/>
              <w:rPr>
                <w:b/>
              </w:rPr>
            </w:pPr>
            <w:r w:rsidRPr="00DB613B">
              <w:rPr>
                <w:b/>
              </w:rPr>
              <w:t xml:space="preserve">Graf č. 7  Příspěvky odvětví k meziroční změně tržeb ve službách* </w:t>
            </w:r>
            <w:r w:rsidRPr="00DB613B">
              <w:t xml:space="preserve">(v p. b., očištěno o kalendářní vlivy), </w:t>
            </w:r>
            <w:r w:rsidRPr="00DB613B">
              <w:rPr>
                <w:b/>
              </w:rPr>
              <w:t xml:space="preserve">a saldo indikátoru důvěry ve službách** </w:t>
            </w:r>
            <w:r w:rsidRPr="00DB613B">
              <w:t>(v p. b., pravá osa)</w:t>
            </w:r>
            <w:r w:rsidRPr="00DB613B">
              <w:rPr>
                <w:b/>
              </w:rPr>
              <w:t xml:space="preserve"> a vybrané bariéry růstu*</w:t>
            </w:r>
            <w:r w:rsidRPr="00DB613B">
              <w:t>* (v %, pravá osa)</w:t>
            </w:r>
          </w:p>
        </w:tc>
      </w:tr>
      <w:tr w:rsidR="00DB613B" w:rsidRPr="00535F78" w14:paraId="1AC401EC" w14:textId="77777777" w:rsidTr="008D1E0A">
        <w:tblPrEx>
          <w:tblCellMar>
            <w:left w:w="70" w:type="dxa"/>
            <w:right w:w="70" w:type="dxa"/>
          </w:tblCellMar>
        </w:tblPrEx>
        <w:trPr>
          <w:trHeight w:val="170"/>
        </w:trPr>
        <w:tc>
          <w:tcPr>
            <w:tcW w:w="1764" w:type="dxa"/>
            <w:vMerge/>
            <w:shd w:val="clear" w:color="auto" w:fill="auto"/>
          </w:tcPr>
          <w:p w14:paraId="6AC9ABB5" w14:textId="77777777" w:rsidR="00DB613B" w:rsidRPr="009110F7" w:rsidRDefault="00DB613B" w:rsidP="00DB613B">
            <w:pPr>
              <w:pStyle w:val="Marginlie"/>
            </w:pPr>
          </w:p>
        </w:tc>
        <w:tc>
          <w:tcPr>
            <w:tcW w:w="206" w:type="dxa"/>
            <w:vMerge/>
            <w:shd w:val="clear" w:color="auto" w:fill="auto"/>
          </w:tcPr>
          <w:p w14:paraId="55CD4074" w14:textId="77777777" w:rsidR="00DB613B" w:rsidRPr="009110F7" w:rsidRDefault="00DB613B" w:rsidP="00DB613B">
            <w:pPr>
              <w:pStyle w:val="Textpoznpodarou"/>
              <w:jc w:val="both"/>
              <w:rPr>
                <w:spacing w:val="-4"/>
              </w:rPr>
            </w:pPr>
          </w:p>
        </w:tc>
        <w:tc>
          <w:tcPr>
            <w:tcW w:w="7674" w:type="dxa"/>
            <w:shd w:val="clear" w:color="auto" w:fill="auto"/>
          </w:tcPr>
          <w:p w14:paraId="3E2E8C2A" w14:textId="48700577" w:rsidR="00DB613B" w:rsidRPr="00DB613B" w:rsidRDefault="008D1E0A" w:rsidP="00DB613B">
            <w:pPr>
              <w:spacing w:after="0"/>
              <w:rPr>
                <w:rFonts w:cs="Arial"/>
                <w:sz w:val="14"/>
                <w:szCs w:val="14"/>
              </w:rPr>
            </w:pPr>
            <w:r>
              <w:rPr>
                <w:noProof/>
              </w:rPr>
              <w:drawing>
                <wp:inline distT="0" distB="0" distL="0" distR="0" wp14:anchorId="0C8E79C7" wp14:editId="7F3C2253">
                  <wp:extent cx="4777153" cy="3590193"/>
                  <wp:effectExtent l="0" t="0" r="4445"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DB613B" w:rsidRPr="00535F78" w14:paraId="4A02351F" w14:textId="77777777" w:rsidTr="00A746C9">
        <w:trPr>
          <w:trHeight w:val="170"/>
        </w:trPr>
        <w:tc>
          <w:tcPr>
            <w:tcW w:w="1764" w:type="dxa"/>
            <w:vMerge/>
            <w:shd w:val="clear" w:color="auto" w:fill="auto"/>
            <w:tcMar>
              <w:left w:w="0" w:type="dxa"/>
            </w:tcMar>
          </w:tcPr>
          <w:p w14:paraId="6C8A8C54" w14:textId="77777777" w:rsidR="00DB613B" w:rsidRPr="009110F7" w:rsidRDefault="00DB613B" w:rsidP="00DB613B">
            <w:pPr>
              <w:pStyle w:val="Marginlie"/>
            </w:pPr>
          </w:p>
        </w:tc>
        <w:tc>
          <w:tcPr>
            <w:tcW w:w="206" w:type="dxa"/>
            <w:vMerge/>
            <w:shd w:val="clear" w:color="auto" w:fill="auto"/>
            <w:tcMar>
              <w:left w:w="0" w:type="dxa"/>
            </w:tcMar>
          </w:tcPr>
          <w:p w14:paraId="1A366B4D" w14:textId="77777777" w:rsidR="00DB613B" w:rsidRPr="009110F7" w:rsidRDefault="00DB613B" w:rsidP="00DB613B">
            <w:pPr>
              <w:pStyle w:val="Textpoznpodarou"/>
              <w:jc w:val="both"/>
              <w:rPr>
                <w:spacing w:val="-4"/>
              </w:rPr>
            </w:pPr>
          </w:p>
        </w:tc>
        <w:tc>
          <w:tcPr>
            <w:tcW w:w="7674" w:type="dxa"/>
            <w:shd w:val="clear" w:color="auto" w:fill="auto"/>
            <w:tcMar>
              <w:left w:w="0" w:type="dxa"/>
            </w:tcMar>
          </w:tcPr>
          <w:p w14:paraId="34BF3B52" w14:textId="77777777" w:rsidR="00DB613B" w:rsidRPr="00DB613B" w:rsidRDefault="00DB613B" w:rsidP="00DB613B">
            <w:pPr>
              <w:spacing w:after="0"/>
              <w:rPr>
                <w:rFonts w:cs="Arial"/>
                <w:sz w:val="14"/>
                <w:szCs w:val="14"/>
              </w:rPr>
            </w:pPr>
            <w:r w:rsidRPr="00DB613B">
              <w:rPr>
                <w:rFonts w:cs="Arial"/>
                <w:sz w:val="14"/>
                <w:szCs w:val="14"/>
              </w:rPr>
              <w:t>*</w:t>
            </w:r>
            <w:r w:rsidRPr="00DB613B">
              <w:rPr>
                <w:color w:val="0D0D0D" w:themeColor="text1" w:themeTint="F2"/>
                <w:sz w:val="14"/>
                <w:szCs w:val="14"/>
              </w:rPr>
              <w:t xml:space="preserve"> Bez odvětví obchodu, peněžnictví, pojišťovnictví, vědy, výzkumu a veřejných služeb.</w:t>
            </w:r>
          </w:p>
          <w:p w14:paraId="13BE53A8" w14:textId="5EE560D4" w:rsidR="008D1E0A" w:rsidRDefault="00DB613B" w:rsidP="008D1E0A">
            <w:pPr>
              <w:spacing w:after="0"/>
              <w:rPr>
                <w:rFonts w:cs="Arial"/>
                <w:sz w:val="14"/>
                <w:szCs w:val="14"/>
              </w:rPr>
            </w:pPr>
            <w:r w:rsidRPr="00DB613B">
              <w:rPr>
                <w:rFonts w:cs="Arial"/>
                <w:sz w:val="14"/>
                <w:szCs w:val="14"/>
              </w:rPr>
              <w:t>**Údaje jsou sezónně očištěny, zahrn</w:t>
            </w:r>
            <w:r w:rsidR="008D1E0A">
              <w:rPr>
                <w:rFonts w:cs="Arial"/>
                <w:sz w:val="14"/>
                <w:szCs w:val="14"/>
              </w:rPr>
              <w:t>uje i finanční sektor.</w:t>
            </w:r>
          </w:p>
          <w:p w14:paraId="2753842B" w14:textId="5EC702AB" w:rsidR="00DB613B" w:rsidRPr="00DB613B" w:rsidRDefault="00DB613B" w:rsidP="00DB613B">
            <w:pPr>
              <w:spacing w:after="180"/>
              <w:rPr>
                <w:rFonts w:cs="Arial"/>
                <w:sz w:val="14"/>
                <w:szCs w:val="14"/>
              </w:rPr>
            </w:pPr>
            <w:r w:rsidRPr="00DB613B">
              <w:rPr>
                <w:rFonts w:cs="Arial"/>
                <w:sz w:val="14"/>
                <w:szCs w:val="14"/>
              </w:rPr>
              <w:t>Zdroj: ČSÚ</w:t>
            </w:r>
          </w:p>
        </w:tc>
      </w:tr>
      <w:tr w:rsidR="00A746C9" w:rsidRPr="000E298B" w14:paraId="5CD738AD" w14:textId="77777777" w:rsidTr="00A746C9">
        <w:trPr>
          <w:trHeight w:val="80"/>
        </w:trPr>
        <w:tc>
          <w:tcPr>
            <w:tcW w:w="1764" w:type="dxa"/>
            <w:shd w:val="clear" w:color="auto" w:fill="auto"/>
            <w:tcMar>
              <w:left w:w="0" w:type="dxa"/>
            </w:tcMar>
          </w:tcPr>
          <w:p w14:paraId="0E45697D" w14:textId="77777777" w:rsidR="00A746C9" w:rsidRDefault="00A746C9" w:rsidP="00A746C9">
            <w:pPr>
              <w:pStyle w:val="Marginlie"/>
            </w:pPr>
            <w:r>
              <w:lastRenderedPageBreak/>
              <w:t>Oslabení průmyslu se odrazilo v nižších tržbách pozemní dopravy i skladování. Naopak na vlně svižného růstu internetového obchodu se nesly poštovní a kurýrní činnosti.</w:t>
            </w:r>
          </w:p>
          <w:p w14:paraId="17EC9337" w14:textId="77777777" w:rsidR="00A746C9" w:rsidRDefault="00A746C9" w:rsidP="00A746C9">
            <w:pPr>
              <w:pStyle w:val="Marginlie"/>
            </w:pPr>
          </w:p>
          <w:p w14:paraId="69D85E4C" w14:textId="77777777" w:rsidR="00A746C9" w:rsidRDefault="00A746C9" w:rsidP="00A746C9">
            <w:pPr>
              <w:pStyle w:val="Marginlie"/>
            </w:pPr>
          </w:p>
          <w:p w14:paraId="2CA68817" w14:textId="77777777" w:rsidR="00A746C9" w:rsidRDefault="00A746C9" w:rsidP="00A746C9">
            <w:pPr>
              <w:pStyle w:val="Marginlie"/>
            </w:pPr>
            <w:r>
              <w:t>Růst příjezdového cestovního ruchu loni zvolnil.</w:t>
            </w:r>
          </w:p>
          <w:p w14:paraId="0BBFA536" w14:textId="77777777" w:rsidR="00A746C9" w:rsidRDefault="00A746C9" w:rsidP="00A746C9">
            <w:pPr>
              <w:pStyle w:val="Marginlie"/>
            </w:pPr>
          </w:p>
          <w:p w14:paraId="5231CDB3" w14:textId="77777777" w:rsidR="00A746C9" w:rsidRDefault="00A746C9" w:rsidP="00A746C9">
            <w:pPr>
              <w:pStyle w:val="Marginlie"/>
            </w:pPr>
          </w:p>
          <w:p w14:paraId="5BAD37FF" w14:textId="77777777" w:rsidR="00A746C9" w:rsidRDefault="00A746C9" w:rsidP="00A746C9">
            <w:pPr>
              <w:pStyle w:val="Marginlie"/>
            </w:pPr>
            <w:r>
              <w:t>Klesla poptávka po pronájmu strojů a zařízení, nižší byly také výkony pracovních agentur.</w:t>
            </w:r>
          </w:p>
          <w:p w14:paraId="50E31D4B" w14:textId="77777777" w:rsidR="00A746C9" w:rsidRDefault="00A746C9" w:rsidP="00A746C9">
            <w:pPr>
              <w:pStyle w:val="Marginlie"/>
              <w:rPr>
                <w:color w:val="0D0D0D" w:themeColor="text1" w:themeTint="F2"/>
                <w:spacing w:val="-4"/>
              </w:rPr>
            </w:pPr>
          </w:p>
        </w:tc>
        <w:tc>
          <w:tcPr>
            <w:tcW w:w="206" w:type="dxa"/>
            <w:shd w:val="clear" w:color="auto" w:fill="auto"/>
            <w:tcMar>
              <w:left w:w="0" w:type="dxa"/>
            </w:tcMar>
          </w:tcPr>
          <w:p w14:paraId="33E79A3E" w14:textId="77777777" w:rsidR="00A746C9" w:rsidRPr="009110F7" w:rsidRDefault="00A746C9" w:rsidP="00A746C9">
            <w:pPr>
              <w:pStyle w:val="Textpoznpodarou"/>
              <w:jc w:val="both"/>
              <w:rPr>
                <w:spacing w:val="-4"/>
              </w:rPr>
            </w:pPr>
          </w:p>
        </w:tc>
        <w:tc>
          <w:tcPr>
            <w:tcW w:w="7674" w:type="dxa"/>
            <w:shd w:val="clear" w:color="auto" w:fill="auto"/>
            <w:tcMar>
              <w:left w:w="0" w:type="dxa"/>
            </w:tcMar>
          </w:tcPr>
          <w:p w14:paraId="571507C0" w14:textId="5BB41374" w:rsidR="00A746C9" w:rsidRPr="00DB613B" w:rsidRDefault="00A746C9" w:rsidP="00A746C9">
            <w:pPr>
              <w:rPr>
                <w:rFonts w:cs="Arial"/>
                <w:szCs w:val="20"/>
              </w:rPr>
            </w:pPr>
            <w:r w:rsidRPr="00DB613B">
              <w:rPr>
                <w:color w:val="0D0D0D" w:themeColor="text1" w:themeTint="F2"/>
                <w:szCs w:val="20"/>
              </w:rPr>
              <w:t>Zejména na tempech ve 2. polovině roku se projevil pokles výkonu v průmyslu doprovázený klesající dynamikou objemu zahraničního obchodu. K poklesu celé sekce nejvíce přispěly nižší tržby ve skladování (i vlivem velmi vysoké srovnávací základny roku 2018). Dařilo se naopak poštovním a kurýrním činnostem (profitujícím z rychlého rozvoje internetového obchodu) a již druhým rokem i vodní dopravě (vlivem růstu výkonů tuzemských provozovatelů v zahraničí). V sekci ubytování, stravování a pohostinství vzrostly tržby, podobně jako v roce 2018, jen okolo 1 %. Nižší tempo souviselo s oslabující dynamikou příjezdového cestovního ruchu</w:t>
            </w:r>
            <w:r w:rsidRPr="00DB613B">
              <w:rPr>
                <w:color w:val="0D0D0D" w:themeColor="text1" w:themeTint="F2"/>
                <w:vertAlign w:val="superscript"/>
              </w:rPr>
              <w:footnoteReference w:id="40"/>
            </w:r>
            <w:r w:rsidRPr="00DB613B">
              <w:rPr>
                <w:color w:val="0D0D0D" w:themeColor="text1" w:themeTint="F2"/>
                <w:szCs w:val="20"/>
              </w:rPr>
              <w:t>. V sekci profesní, vědecké a technické činnosti se loni tržby mírně snížily (</w:t>
            </w:r>
            <w:r w:rsidRPr="00DB613B">
              <w:rPr>
                <w:color w:val="0D0D0D" w:themeColor="text1" w:themeTint="F2"/>
              </w:rPr>
              <w:t>–</w:t>
            </w:r>
            <w:r w:rsidRPr="00DB613B">
              <w:rPr>
                <w:color w:val="0D0D0D" w:themeColor="text1" w:themeTint="F2"/>
                <w:szCs w:val="20"/>
              </w:rPr>
              <w:t>0,</w:t>
            </w:r>
            <w:r w:rsidR="00CC66F9">
              <w:rPr>
                <w:color w:val="0D0D0D" w:themeColor="text1" w:themeTint="F2"/>
                <w:szCs w:val="20"/>
              </w:rPr>
              <w:t>2</w:t>
            </w:r>
            <w:r w:rsidRPr="00DB613B">
              <w:rPr>
                <w:color w:val="0D0D0D" w:themeColor="text1" w:themeTint="F2"/>
                <w:szCs w:val="20"/>
              </w:rPr>
              <w:t xml:space="preserve"> %), podobně jako v oblasti nemovitostí. Lépe se vedlo </w:t>
            </w:r>
            <w:r w:rsidRPr="00DB613B">
              <w:rPr>
                <w:color w:val="0D0D0D" w:themeColor="text1" w:themeTint="F2"/>
              </w:rPr>
              <w:t>administrativním a podpůrným činnostem, byť vykázaly nejslabší růst za posledních devět let (+0,5 %). Rychle rostla poptávka po administrativních i</w:t>
            </w:r>
            <w:r w:rsidRPr="00DB613B">
              <w:rPr>
                <w:color w:val="0D0D0D" w:themeColor="text1" w:themeTint="F2"/>
                <w:szCs w:val="20"/>
              </w:rPr>
              <w:t xml:space="preserve"> </w:t>
            </w:r>
            <w:r w:rsidRPr="00DB613B">
              <w:rPr>
                <w:color w:val="0D0D0D" w:themeColor="text1" w:themeTint="F2"/>
              </w:rPr>
              <w:t>kancelářských činnostech (zprostředkování po telefonu, pořádání výstav a konferencí). Naopak růst v oblasti pronájmu a operativního leasingu zmírnil na šestileté minimum (+1,6 %) vlivem snížení poptávky u strojů, zařízení a nákladních automobilů. Se zvolněním průmyslu souvisel také celoroční pokles tržeb pracovních agentur (–5,3 %), jenž nastal poprvé po roce 2009.</w:t>
            </w:r>
          </w:p>
        </w:tc>
      </w:tr>
      <w:tr w:rsidR="00A746C9" w:rsidRPr="000E298B" w14:paraId="402E5963" w14:textId="77777777" w:rsidTr="00A746C9">
        <w:trPr>
          <w:trHeight w:val="80"/>
        </w:trPr>
        <w:tc>
          <w:tcPr>
            <w:tcW w:w="1764" w:type="dxa"/>
            <w:shd w:val="clear" w:color="auto" w:fill="auto"/>
            <w:tcMar>
              <w:left w:w="0" w:type="dxa"/>
            </w:tcMar>
          </w:tcPr>
          <w:p w14:paraId="51BCB563" w14:textId="77777777" w:rsidR="00A746C9" w:rsidRDefault="00A746C9" w:rsidP="00A746C9">
            <w:pPr>
              <w:pStyle w:val="Marginlie"/>
              <w:rPr>
                <w:color w:val="0D0D0D" w:themeColor="text1" w:themeTint="F2"/>
                <w:spacing w:val="-4"/>
              </w:rPr>
            </w:pPr>
            <w:r>
              <w:rPr>
                <w:color w:val="0D0D0D" w:themeColor="text1" w:themeTint="F2"/>
                <w:spacing w:val="-4"/>
              </w:rPr>
              <w:t>Tempo růstu maloobchodních tržeb ve shodě s důvěrou spotřebitelů během roku mírně sláblo.</w:t>
            </w:r>
          </w:p>
          <w:p w14:paraId="4F87699C" w14:textId="77777777" w:rsidR="00A746C9" w:rsidRDefault="00A746C9" w:rsidP="00A746C9">
            <w:pPr>
              <w:pStyle w:val="Marginlie"/>
              <w:rPr>
                <w:color w:val="0D0D0D" w:themeColor="text1" w:themeTint="F2"/>
                <w:spacing w:val="-4"/>
              </w:rPr>
            </w:pPr>
          </w:p>
          <w:p w14:paraId="18EB6CED" w14:textId="77777777" w:rsidR="00A746C9" w:rsidRDefault="00A746C9" w:rsidP="00A746C9">
            <w:pPr>
              <w:pStyle w:val="Marginlie"/>
              <w:rPr>
                <w:color w:val="0D0D0D" w:themeColor="text1" w:themeTint="F2"/>
                <w:spacing w:val="-4"/>
              </w:rPr>
            </w:pPr>
          </w:p>
          <w:p w14:paraId="1ABE7F1D" w14:textId="77777777" w:rsidR="00A746C9" w:rsidRDefault="00A746C9" w:rsidP="00A746C9">
            <w:pPr>
              <w:pStyle w:val="Marginlie"/>
              <w:rPr>
                <w:color w:val="0D0D0D" w:themeColor="text1" w:themeTint="F2"/>
                <w:spacing w:val="-4"/>
              </w:rPr>
            </w:pPr>
          </w:p>
          <w:p w14:paraId="191F4C29" w14:textId="77777777" w:rsidR="00A746C9" w:rsidRDefault="00A746C9" w:rsidP="00A746C9">
            <w:pPr>
              <w:pStyle w:val="Marginlie"/>
              <w:rPr>
                <w:color w:val="0D0D0D" w:themeColor="text1" w:themeTint="F2"/>
                <w:spacing w:val="-4"/>
              </w:rPr>
            </w:pPr>
          </w:p>
          <w:p w14:paraId="60B98574" w14:textId="77777777" w:rsidR="00A746C9" w:rsidRDefault="00A746C9" w:rsidP="00A746C9">
            <w:pPr>
              <w:pStyle w:val="Marginlie"/>
              <w:rPr>
                <w:color w:val="0D0D0D" w:themeColor="text1" w:themeTint="F2"/>
                <w:spacing w:val="-4"/>
              </w:rPr>
            </w:pPr>
            <w:r>
              <w:rPr>
                <w:color w:val="0D0D0D" w:themeColor="text1" w:themeTint="F2"/>
                <w:spacing w:val="-4"/>
              </w:rPr>
              <w:t>Růst tržeb za potraviny či pohonné hmoty se ztenčil na pětileté minimum. Prudký rozvoj internetového prodeje pokračoval.</w:t>
            </w:r>
          </w:p>
          <w:p w14:paraId="484194B2" w14:textId="77777777" w:rsidR="00A746C9" w:rsidRDefault="00A746C9" w:rsidP="00A746C9">
            <w:pPr>
              <w:pStyle w:val="Marginlie"/>
            </w:pPr>
            <w:r>
              <w:t>.</w:t>
            </w:r>
          </w:p>
        </w:tc>
        <w:tc>
          <w:tcPr>
            <w:tcW w:w="206" w:type="dxa"/>
            <w:shd w:val="clear" w:color="auto" w:fill="auto"/>
            <w:tcMar>
              <w:left w:w="0" w:type="dxa"/>
            </w:tcMar>
          </w:tcPr>
          <w:p w14:paraId="16F25D8A" w14:textId="77777777" w:rsidR="00A746C9" w:rsidRPr="009110F7" w:rsidRDefault="00A746C9" w:rsidP="00A746C9">
            <w:pPr>
              <w:pStyle w:val="Textpoznpodarou"/>
              <w:jc w:val="both"/>
              <w:rPr>
                <w:spacing w:val="-4"/>
              </w:rPr>
            </w:pPr>
          </w:p>
        </w:tc>
        <w:tc>
          <w:tcPr>
            <w:tcW w:w="7674" w:type="dxa"/>
            <w:shd w:val="clear" w:color="auto" w:fill="auto"/>
            <w:tcMar>
              <w:left w:w="0" w:type="dxa"/>
            </w:tcMar>
          </w:tcPr>
          <w:p w14:paraId="6AFB27AF" w14:textId="0AD2FC17" w:rsidR="00A746C9" w:rsidRPr="00DB613B" w:rsidRDefault="00A746C9" w:rsidP="00A746C9">
            <w:pPr>
              <w:spacing w:after="0"/>
              <w:rPr>
                <w:color w:val="0D0D0D" w:themeColor="text1" w:themeTint="F2"/>
              </w:rPr>
            </w:pPr>
            <w:r w:rsidRPr="00DB613B">
              <w:rPr>
                <w:rFonts w:cs="Arial"/>
                <w:szCs w:val="20"/>
              </w:rPr>
              <w:t>Maloobchodních tržby</w:t>
            </w:r>
            <w:r w:rsidRPr="00DB613B">
              <w:rPr>
                <w:rStyle w:val="Znakapoznpodarou"/>
              </w:rPr>
              <w:footnoteReference w:id="41"/>
            </w:r>
            <w:r w:rsidRPr="00DB613B">
              <w:rPr>
                <w:rFonts w:cs="Arial"/>
                <w:szCs w:val="20"/>
              </w:rPr>
              <w:t xml:space="preserve"> vzrostly v roce 2019 o 4,8 %. Přestože jejich tempo mírně zvolňovalo druhým rokem v řadě, bylo loni ve srovnání s EU téměř dvojnásobné (+2,6</w:t>
            </w:r>
            <w:r>
              <w:rPr>
                <w:rFonts w:cs="Arial"/>
                <w:szCs w:val="20"/>
              </w:rPr>
              <w:t> </w:t>
            </w:r>
            <w:r w:rsidRPr="00DB613B">
              <w:rPr>
                <w:rFonts w:cs="Arial"/>
                <w:szCs w:val="20"/>
              </w:rPr>
              <w:t xml:space="preserve">%) a zároveň mezi členskými státy páté nejvyšší. Během roku dynamika tržeb oslabovala (ve 4. čtvrtletí +4,2 %), což odpovídalo vývoji spotřebitelské důvěry. Zatímco růst maloobchodu s potravinami zvolnil na pětileté minimum (+2,0 %), váhově dominantní maloobchod s nepotravinářským zbožím si vysoké tempo z roku 2018 loni udržel (+7,6 %). Pomohl k tomu </w:t>
            </w:r>
            <w:r w:rsidRPr="00DB613B">
              <w:rPr>
                <w:color w:val="0D0D0D" w:themeColor="text1" w:themeTint="F2"/>
              </w:rPr>
              <w:t>internetový a zásilkový prodej (+18,1 %, proti roku 2012 se tržby zčtyřnásobily). Mezi specializovanými prodejnami se i díky slevovým akcím již třetím rokem dařilo nejvíce těm s počítačovým a komunikačním zařízením (+8,5 %). V těsném závěsu následovaly prodejny s výrobky pro kulturu a rekreaci. Mezi specializovanými prodejnami vykázaly slabší tempa jen tržby za pohonné hmoty (+2,</w:t>
            </w:r>
            <w:r w:rsidR="00CC66F9">
              <w:rPr>
                <w:color w:val="0D0D0D" w:themeColor="text1" w:themeTint="F2"/>
              </w:rPr>
              <w:t>3</w:t>
            </w:r>
            <w:r>
              <w:rPr>
                <w:color w:val="0D0D0D" w:themeColor="text1" w:themeTint="F2"/>
              </w:rPr>
              <w:t> </w:t>
            </w:r>
            <w:r w:rsidRPr="00DB613B">
              <w:rPr>
                <w:color w:val="0D0D0D" w:themeColor="text1" w:themeTint="F2"/>
              </w:rPr>
              <w:t>%, pětileté minimum) a za potraviny (–1,3 %, první pokles po roce 2014). Tržby v</w:t>
            </w:r>
            <w:r w:rsidR="00CC66F9" w:rsidRPr="00DB613B">
              <w:rPr>
                <w:color w:val="0D0D0D" w:themeColor="text1" w:themeTint="F2"/>
                <w:szCs w:val="20"/>
              </w:rPr>
              <w:t> </w:t>
            </w:r>
            <w:r w:rsidRPr="00DB613B">
              <w:rPr>
                <w:color w:val="0D0D0D" w:themeColor="text1" w:themeTint="F2"/>
              </w:rPr>
              <w:t>motoristickém segmentu obchodu po mírném útlumu v roce 2018 loni lehce ožily (+1,</w:t>
            </w:r>
            <w:r w:rsidR="00CC66F9">
              <w:rPr>
                <w:color w:val="0D0D0D" w:themeColor="text1" w:themeTint="F2"/>
              </w:rPr>
              <w:t>2</w:t>
            </w:r>
            <w:r>
              <w:rPr>
                <w:color w:val="0D0D0D" w:themeColor="text1" w:themeTint="F2"/>
              </w:rPr>
              <w:t> </w:t>
            </w:r>
            <w:r w:rsidRPr="00DB613B">
              <w:rPr>
                <w:color w:val="0D0D0D" w:themeColor="text1" w:themeTint="F2"/>
              </w:rPr>
              <w:t>%), k čemuž přispěly vyšší výkony prodejců vozidel. Pokles tržeb za opravy a</w:t>
            </w:r>
            <w:r w:rsidR="00CC66F9" w:rsidRPr="00DB613B">
              <w:rPr>
                <w:color w:val="0D0D0D" w:themeColor="text1" w:themeTint="F2"/>
                <w:szCs w:val="20"/>
              </w:rPr>
              <w:t> </w:t>
            </w:r>
            <w:r w:rsidRPr="00DB613B">
              <w:rPr>
                <w:color w:val="0D0D0D" w:themeColor="text1" w:themeTint="F2"/>
              </w:rPr>
              <w:t>údržbu vozů naopak pokračoval.</w:t>
            </w:r>
          </w:p>
        </w:tc>
      </w:tr>
    </w:tbl>
    <w:p w14:paraId="4D280BB2" w14:textId="77777777" w:rsidR="00C81070" w:rsidRPr="007202F2" w:rsidRDefault="00C81070" w:rsidP="00C81070">
      <w:pPr>
        <w:pStyle w:val="Nadpis11"/>
        <w:spacing w:after="0"/>
        <w:rPr>
          <w:b w:val="0"/>
          <w:sz w:val="2"/>
          <w:szCs w:val="2"/>
        </w:rPr>
      </w:pPr>
    </w:p>
    <w:p w14:paraId="74F2F8DA" w14:textId="77777777" w:rsidR="006E761A" w:rsidRPr="009110F7" w:rsidRDefault="006E761A" w:rsidP="006E761A">
      <w:pPr>
        <w:pStyle w:val="Nadpis11"/>
        <w:rPr>
          <w:sz w:val="2"/>
          <w:szCs w:val="2"/>
        </w:rPr>
      </w:pPr>
    </w:p>
    <w:bookmarkEnd w:id="5"/>
    <w:p w14:paraId="1C649B4E" w14:textId="77777777" w:rsidR="00AA4790" w:rsidRPr="009110F7" w:rsidRDefault="00AA4790" w:rsidP="00AA4790">
      <w:pPr>
        <w:pStyle w:val="Nadpis11"/>
        <w:rPr>
          <w:sz w:val="2"/>
          <w:szCs w:val="2"/>
        </w:rPr>
      </w:pPr>
    </w:p>
    <w:p w14:paraId="61B82263" w14:textId="77777777" w:rsidR="00A746C9" w:rsidRDefault="00A746C9">
      <w:pPr>
        <w:spacing w:after="0" w:line="240" w:lineRule="auto"/>
        <w:jc w:val="left"/>
        <w:rPr>
          <w:rFonts w:eastAsia="MS Gothic"/>
          <w:b/>
          <w:bCs/>
          <w:color w:val="71818C"/>
          <w:sz w:val="32"/>
          <w:szCs w:val="28"/>
        </w:rPr>
      </w:pPr>
      <w:bookmarkStart w:id="9" w:name="_Toc532558284"/>
      <w:bookmarkStart w:id="10" w:name="_Toc26539341"/>
      <w:r>
        <w:br w:type="page"/>
      </w:r>
    </w:p>
    <w:p w14:paraId="35010B3B" w14:textId="22423A02" w:rsidR="00C715CC" w:rsidRPr="009110F7" w:rsidRDefault="00C715CC" w:rsidP="00C715CC">
      <w:pPr>
        <w:pStyle w:val="Nadpis11"/>
      </w:pPr>
      <w:bookmarkStart w:id="11" w:name="_Toc37403643"/>
      <w:r w:rsidRPr="009110F7">
        <w:lastRenderedPageBreak/>
        <w:t>4. Vnější vztahy</w:t>
      </w:r>
      <w:bookmarkEnd w:id="9"/>
      <w:bookmarkEnd w:id="11"/>
    </w:p>
    <w:tbl>
      <w:tblPr>
        <w:tblW w:w="9639" w:type="dxa"/>
        <w:tblInd w:w="-15" w:type="dxa"/>
        <w:tblCellMar>
          <w:left w:w="0" w:type="dxa"/>
          <w:right w:w="0" w:type="dxa"/>
        </w:tblCellMar>
        <w:tblLook w:val="00A0" w:firstRow="1" w:lastRow="0" w:firstColumn="1" w:lastColumn="0" w:noHBand="0" w:noVBand="0"/>
      </w:tblPr>
      <w:tblGrid>
        <w:gridCol w:w="1763"/>
        <w:gridCol w:w="222"/>
        <w:gridCol w:w="7654"/>
      </w:tblGrid>
      <w:tr w:rsidR="0080346B" w:rsidRPr="009110F7" w14:paraId="4C34FE21" w14:textId="77777777" w:rsidTr="00CA5EAD">
        <w:trPr>
          <w:trHeight w:val="145"/>
        </w:trPr>
        <w:tc>
          <w:tcPr>
            <w:tcW w:w="1763" w:type="dxa"/>
            <w:shd w:val="clear" w:color="auto" w:fill="auto"/>
            <w:tcMar>
              <w:left w:w="0" w:type="dxa"/>
            </w:tcMar>
          </w:tcPr>
          <w:p w14:paraId="04189EF8" w14:textId="71419717" w:rsidR="0080346B" w:rsidRDefault="0080346B" w:rsidP="0080346B">
            <w:pPr>
              <w:pStyle w:val="Marginlie"/>
            </w:pPr>
            <w:r>
              <w:t>V roce 2019 se hodnota vývozu zboží celkově zvýšila. Ve 4. čtvrtletí ale došlo k propadu.</w:t>
            </w:r>
          </w:p>
        </w:tc>
        <w:tc>
          <w:tcPr>
            <w:tcW w:w="222" w:type="dxa"/>
            <w:shd w:val="clear" w:color="auto" w:fill="auto"/>
            <w:tcMar>
              <w:left w:w="0" w:type="dxa"/>
            </w:tcMar>
          </w:tcPr>
          <w:p w14:paraId="3F973CFA" w14:textId="77777777" w:rsidR="0080346B" w:rsidRDefault="0080346B" w:rsidP="0080346B">
            <w:pPr>
              <w:pStyle w:val="Textpoznpodarou"/>
              <w:jc w:val="both"/>
              <w:rPr>
                <w:spacing w:val="-4"/>
              </w:rPr>
            </w:pPr>
          </w:p>
        </w:tc>
        <w:tc>
          <w:tcPr>
            <w:tcW w:w="7654" w:type="dxa"/>
            <w:shd w:val="clear" w:color="auto" w:fill="auto"/>
            <w:tcMar>
              <w:left w:w="0" w:type="dxa"/>
            </w:tcMar>
          </w:tcPr>
          <w:p w14:paraId="280B1518" w14:textId="153AE4FE" w:rsidR="0080346B" w:rsidRPr="00DB613B" w:rsidRDefault="0080346B" w:rsidP="0080346B">
            <w:pPr>
              <w:spacing w:after="200"/>
            </w:pPr>
            <w:r w:rsidRPr="00DB613B">
              <w:t>Hodnota vývozu zboží v roce 2019 dosáhla 3 687,5 mld. korun</w:t>
            </w:r>
            <w:r w:rsidRPr="00DB613B">
              <w:rPr>
                <w:rStyle w:val="Znakapoznpodarou"/>
              </w:rPr>
              <w:footnoteReference w:id="42"/>
            </w:r>
            <w:r w:rsidRPr="00DB613B">
              <w:t>. Export zboží roste nepřetržitě již deset let a loni tomu nezabránilo ani ekonomické zpomalení u významných obchodních partnerů. Navýšení hodnoty vývozu loni činilo 71,3 mld. korun (2,0 %), nejméně od roku 2016. Celoroční výsledek zhoršilo zejména 4. čtvrtletí, kdy export dosáhl hodnoty 912,2 mld. korun a meziročně se propadl o 34,8 mld. (</w:t>
            </w:r>
            <w:r w:rsidR="00495145">
              <w:noBreakHyphen/>
            </w:r>
            <w:r w:rsidRPr="00DB613B">
              <w:t>3,7 %). K meziročnímu poklesu došlo poprvé od 1. kvartálu 2018, zčásti ale šlo o důsledek vysoké srovnávací základny</w:t>
            </w:r>
            <w:r w:rsidRPr="00DB613B">
              <w:rPr>
                <w:rStyle w:val="Znakapoznpodarou"/>
              </w:rPr>
              <w:footnoteReference w:id="43"/>
            </w:r>
            <w:r w:rsidRPr="00DB613B">
              <w:t>. Loňské 4. čtvrtletí mělo také o jeden pracovní den méně oproti roku 2018.</w:t>
            </w:r>
          </w:p>
        </w:tc>
      </w:tr>
      <w:tr w:rsidR="0080346B" w:rsidRPr="009110F7" w14:paraId="6C3733E9" w14:textId="77777777" w:rsidTr="00CA5EAD">
        <w:trPr>
          <w:trHeight w:val="145"/>
        </w:trPr>
        <w:tc>
          <w:tcPr>
            <w:tcW w:w="1763" w:type="dxa"/>
            <w:shd w:val="clear" w:color="auto" w:fill="auto"/>
            <w:tcMar>
              <w:left w:w="0" w:type="dxa"/>
            </w:tcMar>
          </w:tcPr>
          <w:p w14:paraId="28060B9C" w14:textId="07E570C1" w:rsidR="0080346B" w:rsidRDefault="0080346B" w:rsidP="0080346B">
            <w:pPr>
              <w:pStyle w:val="Marginlie"/>
            </w:pPr>
            <w:r>
              <w:t>Vývoz do EU rostl pomaleji než mimo Unii.</w:t>
            </w:r>
          </w:p>
        </w:tc>
        <w:tc>
          <w:tcPr>
            <w:tcW w:w="222" w:type="dxa"/>
            <w:shd w:val="clear" w:color="auto" w:fill="auto"/>
            <w:tcMar>
              <w:left w:w="0" w:type="dxa"/>
            </w:tcMar>
          </w:tcPr>
          <w:p w14:paraId="0AF82E6D" w14:textId="77777777" w:rsidR="0080346B" w:rsidRDefault="0080346B" w:rsidP="0080346B">
            <w:pPr>
              <w:pStyle w:val="Textpoznpodarou"/>
              <w:jc w:val="both"/>
              <w:rPr>
                <w:spacing w:val="-4"/>
              </w:rPr>
            </w:pPr>
          </w:p>
        </w:tc>
        <w:tc>
          <w:tcPr>
            <w:tcW w:w="7654" w:type="dxa"/>
            <w:shd w:val="clear" w:color="auto" w:fill="auto"/>
            <w:tcMar>
              <w:left w:w="0" w:type="dxa"/>
            </w:tcMar>
          </w:tcPr>
          <w:p w14:paraId="6E19BB66" w14:textId="7201568B" w:rsidR="0080346B" w:rsidRPr="00DB613B" w:rsidRDefault="0080346B" w:rsidP="0080346B">
            <w:pPr>
              <w:spacing w:after="200"/>
            </w:pPr>
            <w:r w:rsidRPr="00DB613B">
              <w:t>Zvolnění ekonomického růstu v Evropské unii se loni mírně projevilo i na struktuře výsledků českého exportu. Hodnota exportu mířícího do EU</w:t>
            </w:r>
            <w:r w:rsidRPr="00DB613B">
              <w:rPr>
                <w:rStyle w:val="Znakapoznpodarou"/>
              </w:rPr>
              <w:footnoteReference w:id="44"/>
            </w:r>
            <w:r w:rsidRPr="00DB613B">
              <w:t xml:space="preserve"> i mimo ni se zvýšila, nárůst exportu do EU byl ale mírnější (1,4 %, 41,8 mld. korun). U vývozu mimo Unii došlo k nárůstu o 5,1 % (29,5 mld.). Slabý přírůstek měl loni vývoz do Německa (1,1 %, 12,0 mld. korun), Nizozemska (1,1 %, 1,4 mld.) a Polska (1,3 %, 2,9 mld.). Zatímco v případě Nizozemska byly předchozí dva roky z hlediska českého exportu mimořádně úspěšné (přírůstky o 34,0 a 12,7 mld. korun v letech 2017 a 2018), export do Německa měl slabý přírůstek už v roce 2018. Loni poklesla hodnota vývozu do Švédska </w:t>
            </w:r>
            <w:r w:rsidR="00495145">
              <w:t>(-</w:t>
            </w:r>
            <w:r w:rsidRPr="00DB613B">
              <w:t>5,9 %,</w:t>
            </w:r>
            <w:r w:rsidR="00495145">
              <w:t xml:space="preserve"> -</w:t>
            </w:r>
            <w:r w:rsidRPr="00DB613B">
              <w:t>3,7 mld.</w:t>
            </w:r>
            <w:r w:rsidR="00495145">
              <w:t xml:space="preserve"> </w:t>
            </w:r>
            <w:r w:rsidRPr="00DB613B">
              <w:t>korun),</w:t>
            </w:r>
            <w:r w:rsidR="00495145">
              <w:t xml:space="preserve"> </w:t>
            </w:r>
            <w:r w:rsidRPr="00DB613B">
              <w:t>Itálie</w:t>
            </w:r>
            <w:r w:rsidR="00495145">
              <w:t xml:space="preserve"> </w:t>
            </w:r>
            <w:r w:rsidRPr="00DB613B">
              <w:t>(</w:t>
            </w:r>
            <w:r w:rsidR="00495145">
              <w:t>-</w:t>
            </w:r>
            <w:r w:rsidRPr="00DB613B">
              <w:t>3,6 %,</w:t>
            </w:r>
            <w:r w:rsidR="00495145">
              <w:t xml:space="preserve"> </w:t>
            </w:r>
            <w:r w:rsidRPr="00DB613B">
              <w:t>–4,9 mld.),</w:t>
            </w:r>
            <w:r w:rsidR="00495145">
              <w:t xml:space="preserve"> </w:t>
            </w:r>
            <w:r w:rsidRPr="00DB613B">
              <w:t>Velké Británie</w:t>
            </w:r>
            <w:r w:rsidR="00495145">
              <w:t xml:space="preserve"> </w:t>
            </w:r>
            <w:r w:rsidRPr="00DB613B">
              <w:t>(</w:t>
            </w:r>
            <w:r w:rsidR="00495145">
              <w:t>-</w:t>
            </w:r>
            <w:r w:rsidRPr="00DB613B">
              <w:t>2,1 %,</w:t>
            </w:r>
            <w:r w:rsidR="00495145">
              <w:t xml:space="preserve"> -</w:t>
            </w:r>
            <w:r w:rsidRPr="00DB613B">
              <w:t>3,4 mld.)</w:t>
            </w:r>
            <w:r w:rsidR="00495145">
              <w:t xml:space="preserve"> </w:t>
            </w:r>
            <w:r w:rsidRPr="00DB613B">
              <w:t>nebo</w:t>
            </w:r>
            <w:r w:rsidR="00495145">
              <w:t xml:space="preserve"> </w:t>
            </w:r>
            <w:r w:rsidRPr="00DB613B">
              <w:t>Rakouska</w:t>
            </w:r>
            <w:r w:rsidR="00495145">
              <w:t xml:space="preserve"> </w:t>
            </w:r>
            <w:r w:rsidRPr="00DB613B">
              <w:t>(</w:t>
            </w:r>
            <w:r w:rsidR="00495145">
              <w:noBreakHyphen/>
            </w:r>
            <w:r w:rsidRPr="00DB613B">
              <w:t>1,2 %,</w:t>
            </w:r>
            <w:r w:rsidR="00495145">
              <w:t xml:space="preserve"> </w:t>
            </w:r>
            <w:r w:rsidR="00495145">
              <w:noBreakHyphen/>
            </w:r>
            <w:r w:rsidRPr="00DB613B">
              <w:t>1,9 mld.). Naopak výrazně se zvýšil export do Maďarska (10,4 %, 11,5 mld. korun) a solidní zůstala tempa růstu vývozu do Rumunska (6,3 %, 3,5 mld.), Španělska (4,4 %, 5,2 mld.), na Slovensko (3,9 %, 12,6 mld.) a do Francie (3,3 %, 5,9 mld.). O 10,5 % (přes 8,0 mld. korun) vzrostla hodnota vývozu do Ruska i Spojených států. Přírůstek ve výši 8,7 % (4,2 mld.) zaznamenal export do Švýcarska. Poměrně výrazný byl nárůst vývozu do Japonska (11,4 %, 1,5 mld.). V samotném 4. čtvrtletí došlo k meziročnímu poklesu vývozu do zemí EU o 5,0 % (</w:t>
            </w:r>
            <w:r w:rsidR="00495145">
              <w:t>-</w:t>
            </w:r>
            <w:r w:rsidRPr="00DB613B">
              <w:t xml:space="preserve">39,8 mld. korun), zatímco růst exportu do </w:t>
            </w:r>
            <w:proofErr w:type="spellStart"/>
            <w:r w:rsidRPr="00DB613B">
              <w:t>mimounijních</w:t>
            </w:r>
            <w:proofErr w:type="spellEnd"/>
            <w:r w:rsidRPr="00DB613B">
              <w:t xml:space="preserve"> zemí se udržel na 3,2 % (5,0 mld.). Meziročně klesl v tomto čtvrtletí vývoz do většiny zemí EU, se kterými má ČR významné obchodní vztahy. Výjimkou bylo Maďarsko (+9,8 %) a Rumunsko (+7,0 %). Ve 4. čtvrtletí se udržel silný růst vývozu do Ruska (9,3 %).</w:t>
            </w:r>
          </w:p>
        </w:tc>
      </w:tr>
      <w:tr w:rsidR="0080346B" w:rsidRPr="009110F7" w14:paraId="7B6DB945" w14:textId="77777777" w:rsidTr="00CA5EAD">
        <w:trPr>
          <w:trHeight w:val="170"/>
        </w:trPr>
        <w:tc>
          <w:tcPr>
            <w:tcW w:w="1763" w:type="dxa"/>
            <w:shd w:val="clear" w:color="auto" w:fill="auto"/>
            <w:tcMar>
              <w:left w:w="0" w:type="dxa"/>
            </w:tcMar>
          </w:tcPr>
          <w:p w14:paraId="1CCF553A" w14:textId="6B72DE57" w:rsidR="0080346B" w:rsidRDefault="0080346B" w:rsidP="0080346B">
            <w:pPr>
              <w:pStyle w:val="Marginlie"/>
            </w:pPr>
            <w:r>
              <w:t>Export motorových vozidel k celkovému přírůstku přispěl nejvíce. Vývoz ostatních výrobků rostl pomaleji.</w:t>
            </w:r>
          </w:p>
        </w:tc>
        <w:tc>
          <w:tcPr>
            <w:tcW w:w="222" w:type="dxa"/>
            <w:shd w:val="clear" w:color="auto" w:fill="auto"/>
            <w:tcMar>
              <w:left w:w="0" w:type="dxa"/>
            </w:tcMar>
          </w:tcPr>
          <w:p w14:paraId="590554FB" w14:textId="77777777" w:rsidR="0080346B" w:rsidRDefault="0080346B" w:rsidP="0080346B">
            <w:pPr>
              <w:pStyle w:val="Textpoznpodarou"/>
              <w:jc w:val="both"/>
              <w:rPr>
                <w:spacing w:val="-4"/>
              </w:rPr>
            </w:pPr>
          </w:p>
        </w:tc>
        <w:tc>
          <w:tcPr>
            <w:tcW w:w="7654" w:type="dxa"/>
            <w:shd w:val="clear" w:color="auto" w:fill="auto"/>
            <w:tcMar>
              <w:left w:w="0" w:type="dxa"/>
            </w:tcMar>
          </w:tcPr>
          <w:p w14:paraId="3C9A02E4" w14:textId="26D8D01C" w:rsidR="0080346B" w:rsidRPr="00DB613B" w:rsidRDefault="0080346B" w:rsidP="0080346B">
            <w:pPr>
              <w:spacing w:after="200"/>
            </w:pPr>
            <w:r w:rsidRPr="00DB613B">
              <w:t>Růst hodnoty exportu loni nejvíce podpořila motorová vozidla (+38,3 mld. korun, 3,9 %, poprvé hodnota jejich vývozu překonala 1 bilion korun). Silný byl také přírůstek vývozu ostatních dopravních prostředků (+6,8 mld., 13,1 %), potravinářských výrobků (+6,6 mld., 6,1 %, zčásti kvůli silnému růstu cen) a základních farmaceutických výrobků (4,8 mld., 10,3 %). Kalamitní kůrovcová situace vedla také k prudkému nárůstu vývozu produktů lesnictví a těžby dřeva (+4,4 mld., 32,0 %). Solidní bylo navýšení exportu chemických látek a přípravků (+5,2 mld., 3,1 %). Z menších odvětví se dařilo například vývozu oděvů (+2,9 mld. korun, 10,8 %) nebo papíru a výrobků z něj (+3,9 mld., 6,8 %). Oslabení nastalo u některých významných vývozních artiklů. Vývoz strojů a zařízení se loni zvýšil o 8,6 mld. korun (2,1 %), což je nejméně od poklesu v roce 2013. Jen o 2,3 mld. (0,7 %) rostl export elektrických zařízení a o 2,1 mld. (0,9 %) se navýšil vývoz kovodělných výrobků. Silný pokles zaznamenal export základních kovů (–11,3 mld. korun, –7,6 %). Po mimořádně silném navýšení v letech 2017 a 2018 poklesl o 2,5 mld. (–0,6 %) vývoz počítačů, elektronických a optických přístrojů</w:t>
            </w:r>
            <w:r w:rsidRPr="00DB613B">
              <w:rPr>
                <w:rStyle w:val="Znakapoznpodarou"/>
              </w:rPr>
              <w:footnoteReference w:id="45"/>
            </w:r>
            <w:r w:rsidRPr="00DB613B">
              <w:t xml:space="preserve">. Výrazně klesla také hodnota exportu elektřiny, plynu, páry a klimatizovaného vzduchu (–2,9 mld. korun, </w:t>
            </w:r>
            <w:r w:rsidR="00495145">
              <w:noBreakHyphen/>
            </w:r>
            <w:r w:rsidRPr="00DB613B">
              <w:t xml:space="preserve">8,7 %), černého a hnědého uhlí a lignitu (–1,9 mld., –24,3 %) a dřeva </w:t>
            </w:r>
            <w:r w:rsidRPr="00DB613B">
              <w:lastRenderedPageBreak/>
              <w:t>a dřevěných výrobků (–1,6 mld., –3,9 %, první pokles od roku 2009). Ve 4. čtvrtletí k celkovému meziročnímu poklesu nejvýrazněji přispěly počítače, elektronické a optické</w:t>
            </w:r>
            <w:r w:rsidR="00495145">
              <w:t xml:space="preserve"> </w:t>
            </w:r>
            <w:r w:rsidRPr="00DB613B">
              <w:t>přístroje</w:t>
            </w:r>
            <w:r w:rsidR="00495145">
              <w:t xml:space="preserve"> </w:t>
            </w:r>
            <w:r w:rsidRPr="00DB613B">
              <w:t>(–9,2 mld.</w:t>
            </w:r>
            <w:r w:rsidR="00495145">
              <w:t xml:space="preserve"> </w:t>
            </w:r>
            <w:r w:rsidRPr="00DB613B">
              <w:t>korun,</w:t>
            </w:r>
            <w:r w:rsidR="00495145">
              <w:t xml:space="preserve"> </w:t>
            </w:r>
            <w:r w:rsidRPr="00DB613B">
              <w:t>–8,3 %),</w:t>
            </w:r>
            <w:r w:rsidR="00495145">
              <w:t xml:space="preserve"> </w:t>
            </w:r>
            <w:r w:rsidRPr="00DB613B">
              <w:t>dále</w:t>
            </w:r>
            <w:r w:rsidR="00495145">
              <w:t xml:space="preserve"> </w:t>
            </w:r>
            <w:r w:rsidRPr="00DB613B">
              <w:t>motorová</w:t>
            </w:r>
            <w:r w:rsidR="00495145">
              <w:t xml:space="preserve"> </w:t>
            </w:r>
            <w:r w:rsidRPr="00DB613B">
              <w:t>vozidla</w:t>
            </w:r>
            <w:r w:rsidR="00495145">
              <w:t xml:space="preserve"> </w:t>
            </w:r>
            <w:r w:rsidRPr="00DB613B">
              <w:t>(–7,1 mld., –2,8 %), základní</w:t>
            </w:r>
            <w:r w:rsidR="00495145">
              <w:t xml:space="preserve"> </w:t>
            </w:r>
            <w:r w:rsidRPr="00DB613B">
              <w:t>kovy</w:t>
            </w:r>
            <w:r w:rsidR="00495145">
              <w:t xml:space="preserve"> </w:t>
            </w:r>
            <w:r w:rsidRPr="00DB613B">
              <w:t>(–5,6 mld.,</w:t>
            </w:r>
            <w:r w:rsidR="00495145">
              <w:t xml:space="preserve"> </w:t>
            </w:r>
            <w:r w:rsidRPr="00DB613B">
              <w:t>–16,0 %</w:t>
            </w:r>
            <w:r w:rsidR="00495145" w:rsidRPr="00DB613B">
              <w:t>), stroje</w:t>
            </w:r>
            <w:r w:rsidR="00495145">
              <w:t xml:space="preserve"> </w:t>
            </w:r>
            <w:r w:rsidRPr="00DB613B">
              <w:t>a zařízení</w:t>
            </w:r>
            <w:r w:rsidR="00495145">
              <w:t xml:space="preserve"> </w:t>
            </w:r>
            <w:r w:rsidRPr="00DB613B">
              <w:t>(–3,1 mld.,</w:t>
            </w:r>
            <w:r w:rsidR="00495145">
              <w:t xml:space="preserve"> </w:t>
            </w:r>
            <w:r w:rsidRPr="00DB613B">
              <w:t>–3,0 %) a elektřina, plyn, pára a klimatizovaný vzduch (–3,0 mld., –27,3 %).</w:t>
            </w:r>
          </w:p>
        </w:tc>
      </w:tr>
      <w:tr w:rsidR="0080346B" w:rsidRPr="009110F7" w14:paraId="3ED40684" w14:textId="77777777" w:rsidTr="00CA5EAD">
        <w:trPr>
          <w:trHeight w:val="145"/>
        </w:trPr>
        <w:tc>
          <w:tcPr>
            <w:tcW w:w="1763" w:type="dxa"/>
            <w:shd w:val="clear" w:color="auto" w:fill="auto"/>
            <w:tcMar>
              <w:left w:w="0" w:type="dxa"/>
            </w:tcMar>
          </w:tcPr>
          <w:p w14:paraId="3B69811B" w14:textId="7A7CBB1F" w:rsidR="0080346B" w:rsidRDefault="0080346B" w:rsidP="0080346B">
            <w:pPr>
              <w:pStyle w:val="Marginlie"/>
            </w:pPr>
            <w:r>
              <w:lastRenderedPageBreak/>
              <w:t>Dovoz loni rostl pomaleji než vývoz a v závěru roku byl jeho propad rovněž výraznější.</w:t>
            </w:r>
          </w:p>
        </w:tc>
        <w:tc>
          <w:tcPr>
            <w:tcW w:w="222" w:type="dxa"/>
            <w:shd w:val="clear" w:color="auto" w:fill="auto"/>
            <w:tcMar>
              <w:left w:w="0" w:type="dxa"/>
            </w:tcMar>
          </w:tcPr>
          <w:p w14:paraId="598AB828" w14:textId="77777777" w:rsidR="0080346B" w:rsidRDefault="0080346B" w:rsidP="0080346B">
            <w:pPr>
              <w:pStyle w:val="Textpoznpodarou"/>
              <w:jc w:val="both"/>
              <w:rPr>
                <w:spacing w:val="-4"/>
              </w:rPr>
            </w:pPr>
          </w:p>
        </w:tc>
        <w:tc>
          <w:tcPr>
            <w:tcW w:w="7654" w:type="dxa"/>
            <w:shd w:val="clear" w:color="auto" w:fill="auto"/>
            <w:tcMar>
              <w:left w:w="0" w:type="dxa"/>
            </w:tcMar>
          </w:tcPr>
          <w:p w14:paraId="39C7BE15" w14:textId="150649A3" w:rsidR="0080346B" w:rsidRPr="00DB613B" w:rsidRDefault="0080346B" w:rsidP="0080346B">
            <w:r w:rsidRPr="00DB613B">
              <w:t>Dovoz v roce 2019 celkově dosáhl hodnoty 3 542,0 mld. korun. Vzhledem k úzkým vazbám importu na výrobu v domácí ekonomice jsou charakteristiky vývoje dovozu i vývozu podobné. Meziroční navýšení hodnoty importu dosáhlo loni celkem 24,2 mld. korun (0,7 %), opět nejméně od roku 2016. Podobně jako u vývozu došlo ve 4. čtvrtletí k výraznému meziročnímu propadu hodnoty importu (–34,3 mld. korun, –3,7 %), a dovoz tak dosáhl hodnoty 900,9 mld. korun. V roce 2019 meziročně klesla hodnota dovozu</w:t>
            </w:r>
            <w:r w:rsidR="00495145">
              <w:t xml:space="preserve"> </w:t>
            </w:r>
            <w:r w:rsidRPr="00DB613B">
              <w:t>z</w:t>
            </w:r>
            <w:r w:rsidR="00495145">
              <w:t xml:space="preserve"> </w:t>
            </w:r>
            <w:r w:rsidRPr="00DB613B">
              <w:t>EU</w:t>
            </w:r>
            <w:r w:rsidR="00495145">
              <w:t xml:space="preserve"> </w:t>
            </w:r>
            <w:r w:rsidRPr="00DB613B">
              <w:t>(–0,8 %, –18,3 mld. korun) a rostl import z ostatních destinací (3,4 %, 38,5 mld.), ovšem slaběji než v předchozím roce. Za snížením dovozu z EU stojí zejména</w:t>
            </w:r>
            <w:r w:rsidR="00495145">
              <w:t xml:space="preserve"> </w:t>
            </w:r>
            <w:r w:rsidRPr="00DB613B">
              <w:t>Slovensko</w:t>
            </w:r>
            <w:r w:rsidR="00495145">
              <w:t xml:space="preserve"> </w:t>
            </w:r>
            <w:r w:rsidRPr="00DB613B">
              <w:t>(–9,0 %,</w:t>
            </w:r>
            <w:r w:rsidR="00495145">
              <w:t xml:space="preserve"> </w:t>
            </w:r>
            <w:r w:rsidRPr="00DB613B">
              <w:t>–17,3 mld. korun), nezanedbatelný byl také pokles u Velké Británie (–7,4 %, –4,5 mld., dovoz klesal třetím rokem) a Německa (–0,4 %, –3,9 mld., první propad od roku 2009). Výrazně se propadl dovoz z Ruska (–10,5 %, –13,4 mld. korun). Významně však narostla hodnota importu z Číny (5,2 %, 19,0 mld.), ze Spojených států (5,6 %, 5,1 mld.) nebo Japonska (4,9 %, 3,0 mld.). Samotné 4. čtvrtletí přineslo propad dovozu z většiny zemí významných obchodních partnerů s výjimkou Spojených států (+10,2 %), Španělska (+2,8 %), Nizozemska (+2,5 %) a Japonska (+1,8 %).</w:t>
            </w:r>
          </w:p>
        </w:tc>
      </w:tr>
      <w:tr w:rsidR="0080346B" w:rsidRPr="009110F7" w14:paraId="416BD4D5" w14:textId="77777777" w:rsidTr="00CA5EAD">
        <w:trPr>
          <w:trHeight w:val="145"/>
        </w:trPr>
        <w:tc>
          <w:tcPr>
            <w:tcW w:w="1763" w:type="dxa"/>
            <w:shd w:val="clear" w:color="auto" w:fill="auto"/>
            <w:tcMar>
              <w:left w:w="0" w:type="dxa"/>
            </w:tcMar>
          </w:tcPr>
          <w:p w14:paraId="670ADC74" w14:textId="78679A73" w:rsidR="0080346B" w:rsidRDefault="0080346B" w:rsidP="0080346B">
            <w:pPr>
              <w:pStyle w:val="Marginlie"/>
            </w:pPr>
            <w:r>
              <w:t>Nárůst cen posílil hodnotu dovozu potravinářských výrobků.</w:t>
            </w:r>
          </w:p>
        </w:tc>
        <w:tc>
          <w:tcPr>
            <w:tcW w:w="222" w:type="dxa"/>
            <w:shd w:val="clear" w:color="auto" w:fill="auto"/>
            <w:tcMar>
              <w:left w:w="0" w:type="dxa"/>
            </w:tcMar>
          </w:tcPr>
          <w:p w14:paraId="26B83A90" w14:textId="77777777" w:rsidR="0080346B" w:rsidRDefault="0080346B" w:rsidP="0080346B">
            <w:pPr>
              <w:pStyle w:val="Textpoznpodarou"/>
              <w:jc w:val="both"/>
              <w:rPr>
                <w:spacing w:val="-4"/>
              </w:rPr>
            </w:pPr>
          </w:p>
        </w:tc>
        <w:tc>
          <w:tcPr>
            <w:tcW w:w="7654" w:type="dxa"/>
            <w:shd w:val="clear" w:color="auto" w:fill="auto"/>
            <w:tcMar>
              <w:left w:w="0" w:type="dxa"/>
            </w:tcMar>
          </w:tcPr>
          <w:p w14:paraId="04AB79C9" w14:textId="5A5C3192" w:rsidR="0080346B" w:rsidRPr="00DB613B" w:rsidRDefault="0080346B" w:rsidP="0080346B">
            <w:r w:rsidRPr="00DB613B">
              <w:t xml:space="preserve">K poměrně nízkému přírůstku hodnoty dovozu loni nejvíce pozitivně přispěla motorová vozidla (+13,1 mld. korun, 2,4 %), potravinářské výrobky (+11,4 mld., 7,8 %, zčásti kvůli cenovému nárůstu) a základní farmaceutické výrobky (+8,5 mld., 8,8 %). Celkem výrazné bylo rovněž navýšení u oděvů (5,9 mld. korun, 10,3 %). Prudce se zmírnil růst dovozu některých významných položek – strojů a zařízení (5,6 mld., 1,6 %), počítačů, elektronických a optických přístrojů (4,1 mld., 1,0 %) nebo chemických látek a přípravků (0,2 mld., 0,1 %). Silné poklesy byly zaznamenány u základních kovů (–16,5 mld. korun, </w:t>
            </w:r>
            <w:r w:rsidRPr="00DB613B">
              <w:br/>
              <w:t xml:space="preserve">–5,9 %), elektřiny, plynu, páry a klimatizovaného vzduchu (–9,1 mld. –33,1 %), koksu a rafinovaných ropných výrobků (–7,9 mld., –11,5 %), ropy a zemního plynu (–5,9 mld., </w:t>
            </w:r>
            <w:r w:rsidRPr="00DB613B">
              <w:br/>
              <w:t xml:space="preserve">–4,4 %) nebo ostatních dopravních prostředků (–5,4 mld., –11,5 %). K silnému meziročnímu propadu hodnoty importu, který se odehrál ve 4. čtvrtletí, přispěly nejvíce základní kovy (–8,4 mld. korun, –12,3 %), ropa a zemní plyn (–7,0 mld., –17,2 %), stroje a zařízení (–6,9 mld., –7,5 %) a elektřina, plyn, pára a klimatizovaný vzduch (–4,1 mld., </w:t>
            </w:r>
            <w:r w:rsidRPr="00DB613B">
              <w:br/>
              <w:t>–49,8 %). Nejvíce se meziročně v posledním čtvrtletí zvýšil dovoz potravinářských výrobků (3,2 mld., 8,0 %) a základních farmaceutických výrobků (1,9 mld., 7,6 %).</w:t>
            </w:r>
          </w:p>
        </w:tc>
      </w:tr>
      <w:tr w:rsidR="0080346B" w:rsidRPr="009110F7" w14:paraId="19CC0611" w14:textId="77777777" w:rsidTr="00CA5EAD">
        <w:trPr>
          <w:trHeight w:val="145"/>
        </w:trPr>
        <w:tc>
          <w:tcPr>
            <w:tcW w:w="1763" w:type="dxa"/>
            <w:shd w:val="clear" w:color="auto" w:fill="auto"/>
            <w:tcMar>
              <w:left w:w="0" w:type="dxa"/>
            </w:tcMar>
          </w:tcPr>
          <w:p w14:paraId="60D0CDC9" w14:textId="3455C21A" w:rsidR="0080346B" w:rsidRPr="000B78B7" w:rsidRDefault="0080346B" w:rsidP="0080346B">
            <w:pPr>
              <w:pStyle w:val="Marginlie"/>
            </w:pPr>
            <w:r>
              <w:t>Tradiční přebytek obchodu se zbožím se loni zvýšil nejvíce od roku 2012.</w:t>
            </w:r>
          </w:p>
        </w:tc>
        <w:tc>
          <w:tcPr>
            <w:tcW w:w="222" w:type="dxa"/>
            <w:shd w:val="clear" w:color="auto" w:fill="auto"/>
            <w:tcMar>
              <w:left w:w="0" w:type="dxa"/>
            </w:tcMar>
          </w:tcPr>
          <w:p w14:paraId="45739320" w14:textId="77777777" w:rsidR="0080346B" w:rsidRDefault="0080346B" w:rsidP="0080346B">
            <w:pPr>
              <w:pStyle w:val="Textpoznpodarou"/>
              <w:jc w:val="both"/>
              <w:rPr>
                <w:spacing w:val="-4"/>
              </w:rPr>
            </w:pPr>
          </w:p>
        </w:tc>
        <w:tc>
          <w:tcPr>
            <w:tcW w:w="7654" w:type="dxa"/>
            <w:shd w:val="clear" w:color="auto" w:fill="auto"/>
            <w:tcMar>
              <w:left w:w="0" w:type="dxa"/>
            </w:tcMar>
          </w:tcPr>
          <w:p w14:paraId="7DE01D2B" w14:textId="1740E896" w:rsidR="0080346B" w:rsidRPr="00DB613B" w:rsidRDefault="0080346B" w:rsidP="0080346B">
            <w:r w:rsidRPr="00DB613B">
              <w:t>Bilance zahraničního obchodu se zbožím loni dosáhla přebytku 145,6 mld. korun. Kladné saldo se zároveň meziročně navýšilo o 47,1 mld. korun, nejvíce od roku 2012 (ovlivněného intervencí ČNB a oslabením směnného kurzu). Výsledek ovlivnilo především oslabení dovozu. Popsaný nárůst přebytku vznikl zejména ve 2.</w:t>
            </w:r>
            <w:r w:rsidR="00495145">
              <w:t> </w:t>
            </w:r>
            <w:r w:rsidRPr="00DB613B">
              <w:t xml:space="preserve">a 3. kvartálu. Ve 4. čtvrtletí přebytek dosáhl 11,3 mld. korun a meziročně klesl o 0,5 mld. korun. Na loňském nárůstu přebytku se podílelo výhradně kladné saldo obchodu s EU (+60,1 mld. korun), naopak existující deficit se zbytkem světa se prohloubil o 9,0 mld. Zlepšila se zejména bilance se Slovenskem (+30,0 mld. korun), Německem (+15,9 mld.) a Maďarskem (+13,0 mld.). Výrazného zmírnění deficitu (o 21,5 mld. korun) dosáhl obchod s Ruskem. Ve směru deficitu obchodu se zbožím loni působila především Čína (–18,0 mld. korun). Ve 4. čtvrtletí byla situace opačná oproti kumulaci za celý rok. Přebytek obchodu s EU se meziročně propadl o 12,5 mld. korun a naopak deficit se zeměmi mimo EU se zmírnil o 12,3 mld. Bilanci obchodu s EU v posledním čtvrtletí negativně ovlivnil hlavně propad přebytku u Německa (–7,7 mld.), </w:t>
            </w:r>
            <w:r w:rsidRPr="00DB613B">
              <w:lastRenderedPageBreak/>
              <w:t>Nizozemska (–4,0 mld.), Španělska (–2,8 mld.) a Rakouska (–2,9 mld.). V závěru roku se zlepšila bilance obchodu s Ruskem (+7,2 mld.).</w:t>
            </w:r>
          </w:p>
        </w:tc>
      </w:tr>
      <w:tr w:rsidR="0080346B" w:rsidRPr="009110F7" w14:paraId="33317B83" w14:textId="77777777" w:rsidTr="00CA5EAD">
        <w:trPr>
          <w:trHeight w:val="145"/>
        </w:trPr>
        <w:tc>
          <w:tcPr>
            <w:tcW w:w="1763" w:type="dxa"/>
            <w:shd w:val="clear" w:color="auto" w:fill="auto"/>
            <w:tcMar>
              <w:left w:w="0" w:type="dxa"/>
            </w:tcMar>
          </w:tcPr>
          <w:p w14:paraId="43116F00" w14:textId="56E2A6E9" w:rsidR="0080346B" w:rsidRDefault="0080346B" w:rsidP="0080346B">
            <w:pPr>
              <w:pStyle w:val="Marginlie"/>
            </w:pPr>
            <w:r>
              <w:lastRenderedPageBreak/>
              <w:t>Motorová vozidla podpořila zlepšení bilance nejvíce.</w:t>
            </w:r>
          </w:p>
        </w:tc>
        <w:tc>
          <w:tcPr>
            <w:tcW w:w="222" w:type="dxa"/>
            <w:shd w:val="clear" w:color="auto" w:fill="auto"/>
            <w:tcMar>
              <w:left w:w="0" w:type="dxa"/>
            </w:tcMar>
          </w:tcPr>
          <w:p w14:paraId="0EDC2F04" w14:textId="77777777" w:rsidR="0080346B" w:rsidRDefault="0080346B" w:rsidP="0080346B">
            <w:pPr>
              <w:pStyle w:val="Textpoznpodarou"/>
              <w:jc w:val="both"/>
              <w:rPr>
                <w:spacing w:val="-4"/>
              </w:rPr>
            </w:pPr>
          </w:p>
        </w:tc>
        <w:tc>
          <w:tcPr>
            <w:tcW w:w="7654" w:type="dxa"/>
            <w:shd w:val="clear" w:color="auto" w:fill="auto"/>
            <w:tcMar>
              <w:left w:w="0" w:type="dxa"/>
            </w:tcMar>
          </w:tcPr>
          <w:p w14:paraId="30046207" w14:textId="508B207C" w:rsidR="0080346B" w:rsidRPr="00DB613B" w:rsidRDefault="0080346B" w:rsidP="00495145">
            <w:r w:rsidRPr="00DB613B">
              <w:t>K loňskému přebytku nejvýrazněji přispěl v meziročním srovnání obchod s motorovými vozidly (+25,2 mld. korun) a ostatními dopravními prostředky (+12,2 mld.). Významné bylo rovněž zlepšení bilance u koksu a rafinovaných ropných výrobků (+7,4 mld. korun), elektřiny, plynu, páry a klimatizovaného vzduchu (+6,1 mld.), ropy a zemního plynu (+5,0 mld.) a chemických látek a přípravků (+4,9 mld.). Přebytek se silně navýšil u obchodu s produkty lesnictví a těžby dřeva (+4,8 mld. korun) a díky zlepšení o 4,8 mld. se z deficitu do přebytku poprvé v dostupné časové řadě dostal obchod s papírem a výrobky z něj. Loni se výrazněji zhoršila bilance obchodu s počítači, elektronickými</w:t>
            </w:r>
            <w:r w:rsidR="00495145">
              <w:t xml:space="preserve"> </w:t>
            </w:r>
            <w:r w:rsidRPr="00DB613B">
              <w:t>a optickými</w:t>
            </w:r>
            <w:r w:rsidR="00495145">
              <w:t xml:space="preserve"> </w:t>
            </w:r>
            <w:r w:rsidRPr="00DB613B">
              <w:t>přístroji</w:t>
            </w:r>
            <w:r w:rsidR="00495145">
              <w:t xml:space="preserve"> </w:t>
            </w:r>
            <w:r w:rsidRPr="00DB613B">
              <w:t>(–6,6 mld. korun) a základními farmaceutickými výrobky (–3,7 mld.). V samotném 4. čtvrtletí nejvíce přispíval ve směru přebytku obchod s ropou a zemním plynem (+6,2 mld. korun), stroji a zařízením (+3,8 mld.), základními kovy (+2,8 mld.) a chemickými látkami a přípravky (+2,6 mld.). Deficitně působily zejména</w:t>
            </w:r>
            <w:r w:rsidR="00495145">
              <w:t xml:space="preserve"> </w:t>
            </w:r>
            <w:r w:rsidRPr="00DB613B">
              <w:t>počítače, elektronické</w:t>
            </w:r>
            <w:r w:rsidR="00495145">
              <w:t xml:space="preserve"> </w:t>
            </w:r>
            <w:r w:rsidRPr="00DB613B">
              <w:t>a optické</w:t>
            </w:r>
            <w:r w:rsidR="00495145">
              <w:t xml:space="preserve"> </w:t>
            </w:r>
            <w:r w:rsidRPr="00DB613B">
              <w:t>přístroje</w:t>
            </w:r>
            <w:r w:rsidR="00495145">
              <w:t xml:space="preserve"> </w:t>
            </w:r>
            <w:r w:rsidRPr="00DB613B">
              <w:t>(–8,3 mld.), motorová vozidla (</w:t>
            </w:r>
            <w:r w:rsidR="00495145">
              <w:noBreakHyphen/>
            </w:r>
            <w:r w:rsidRPr="00DB613B">
              <w:t>7,1 mld. korun) a potravinářské výrobky (–1,9 mld.).</w:t>
            </w:r>
          </w:p>
        </w:tc>
      </w:tr>
      <w:tr w:rsidR="0080346B" w:rsidRPr="009110F7" w14:paraId="2D19373E" w14:textId="77777777" w:rsidTr="00CA5EAD">
        <w:trPr>
          <w:trHeight w:val="170"/>
        </w:trPr>
        <w:tc>
          <w:tcPr>
            <w:tcW w:w="1763" w:type="dxa"/>
            <w:vMerge w:val="restart"/>
            <w:shd w:val="clear" w:color="auto" w:fill="auto"/>
            <w:tcMar>
              <w:left w:w="0" w:type="dxa"/>
            </w:tcMar>
          </w:tcPr>
          <w:p w14:paraId="38496118" w14:textId="77777777" w:rsidR="0080346B" w:rsidRDefault="0080346B" w:rsidP="0080346B">
            <w:pPr>
              <w:pStyle w:val="Marginlie"/>
            </w:pPr>
          </w:p>
        </w:tc>
        <w:tc>
          <w:tcPr>
            <w:tcW w:w="222" w:type="dxa"/>
            <w:vMerge w:val="restart"/>
            <w:shd w:val="clear" w:color="auto" w:fill="auto"/>
            <w:tcMar>
              <w:left w:w="0" w:type="dxa"/>
            </w:tcMar>
          </w:tcPr>
          <w:p w14:paraId="721EAB6F" w14:textId="77777777" w:rsidR="0080346B" w:rsidRDefault="0080346B" w:rsidP="0080346B">
            <w:pPr>
              <w:pStyle w:val="Textpoznpodarou"/>
              <w:jc w:val="both"/>
              <w:rPr>
                <w:spacing w:val="-4"/>
              </w:rPr>
            </w:pPr>
          </w:p>
        </w:tc>
        <w:tc>
          <w:tcPr>
            <w:tcW w:w="7654" w:type="dxa"/>
            <w:shd w:val="clear" w:color="auto" w:fill="auto"/>
            <w:tcMar>
              <w:left w:w="0" w:type="dxa"/>
            </w:tcMar>
          </w:tcPr>
          <w:p w14:paraId="1DA3B9BD" w14:textId="795FA2EB" w:rsidR="0080346B" w:rsidRPr="00DB613B" w:rsidRDefault="000767F5" w:rsidP="0080346B">
            <w:pPr>
              <w:spacing w:after="0"/>
            </w:pPr>
            <w:r w:rsidRPr="00DB613B">
              <w:rPr>
                <w:rFonts w:cs="Arial"/>
                <w:b/>
                <w:bCs/>
                <w:color w:val="000000"/>
                <w:sz w:val="18"/>
                <w:szCs w:val="18"/>
              </w:rPr>
              <w:t>Graf č. 8</w:t>
            </w:r>
            <w:r w:rsidR="0080346B" w:rsidRPr="00DB613B">
              <w:rPr>
                <w:rFonts w:cs="Arial"/>
                <w:b/>
                <w:bCs/>
                <w:color w:val="000000"/>
                <w:sz w:val="18"/>
                <w:szCs w:val="18"/>
              </w:rPr>
              <w:t xml:space="preserve">  </w:t>
            </w:r>
            <w:r w:rsidR="0080346B" w:rsidRPr="00DB613B">
              <w:rPr>
                <w:b/>
                <w:sz w:val="18"/>
                <w:szCs w:val="18"/>
              </w:rPr>
              <w:t>Bilance zahraničního obchodu ve statistice zahraničního obchodu (kumulace celého roku, v mld. korun, vybrané oddíly klasifikace CPA)</w:t>
            </w:r>
          </w:p>
        </w:tc>
      </w:tr>
      <w:tr w:rsidR="0080346B" w:rsidRPr="009110F7" w14:paraId="43987404" w14:textId="77777777" w:rsidTr="00CA5EAD">
        <w:trPr>
          <w:trHeight w:val="170"/>
        </w:trPr>
        <w:tc>
          <w:tcPr>
            <w:tcW w:w="1763" w:type="dxa"/>
            <w:vMerge/>
            <w:shd w:val="clear" w:color="auto" w:fill="auto"/>
            <w:tcMar>
              <w:left w:w="0" w:type="dxa"/>
            </w:tcMar>
          </w:tcPr>
          <w:p w14:paraId="7DECEC15" w14:textId="77777777" w:rsidR="0080346B" w:rsidRDefault="0080346B" w:rsidP="0080346B">
            <w:pPr>
              <w:pStyle w:val="Marginlie"/>
            </w:pPr>
          </w:p>
        </w:tc>
        <w:tc>
          <w:tcPr>
            <w:tcW w:w="222" w:type="dxa"/>
            <w:vMerge/>
            <w:shd w:val="clear" w:color="auto" w:fill="auto"/>
            <w:tcMar>
              <w:left w:w="0" w:type="dxa"/>
            </w:tcMar>
          </w:tcPr>
          <w:p w14:paraId="0529D147" w14:textId="77777777" w:rsidR="0080346B" w:rsidRDefault="0080346B" w:rsidP="0080346B">
            <w:pPr>
              <w:pStyle w:val="Textpoznpodarou"/>
              <w:jc w:val="both"/>
              <w:rPr>
                <w:spacing w:val="-4"/>
              </w:rPr>
            </w:pPr>
          </w:p>
        </w:tc>
        <w:tc>
          <w:tcPr>
            <w:tcW w:w="7654" w:type="dxa"/>
            <w:shd w:val="clear" w:color="auto" w:fill="auto"/>
            <w:tcMar>
              <w:left w:w="0" w:type="dxa"/>
            </w:tcMar>
          </w:tcPr>
          <w:p w14:paraId="304E36C8" w14:textId="4283EA70" w:rsidR="0080346B" w:rsidRPr="00DB613B" w:rsidRDefault="0080346B" w:rsidP="0080346B">
            <w:pPr>
              <w:spacing w:after="0"/>
            </w:pPr>
            <w:r w:rsidRPr="00DB613B">
              <w:rPr>
                <w:noProof/>
              </w:rPr>
              <w:drawing>
                <wp:inline distT="0" distB="0" distL="0" distR="0" wp14:anchorId="59C5A427" wp14:editId="0E37415D">
                  <wp:extent cx="4771467" cy="3553200"/>
                  <wp:effectExtent l="0" t="0" r="0" b="0"/>
                  <wp:docPr id="25" name="Graf 25">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80346B" w:rsidRPr="009110F7" w14:paraId="13F2C9BA" w14:textId="77777777" w:rsidTr="00CA5EAD">
        <w:trPr>
          <w:trHeight w:val="170"/>
        </w:trPr>
        <w:tc>
          <w:tcPr>
            <w:tcW w:w="1763" w:type="dxa"/>
            <w:vMerge/>
            <w:shd w:val="clear" w:color="auto" w:fill="auto"/>
            <w:tcMar>
              <w:left w:w="0" w:type="dxa"/>
            </w:tcMar>
          </w:tcPr>
          <w:p w14:paraId="4AA7A3BB" w14:textId="77777777" w:rsidR="0080346B" w:rsidRDefault="0080346B" w:rsidP="0080346B">
            <w:pPr>
              <w:pStyle w:val="Marginlie"/>
            </w:pPr>
          </w:p>
        </w:tc>
        <w:tc>
          <w:tcPr>
            <w:tcW w:w="222" w:type="dxa"/>
            <w:vMerge/>
            <w:shd w:val="clear" w:color="auto" w:fill="auto"/>
            <w:tcMar>
              <w:left w:w="0" w:type="dxa"/>
            </w:tcMar>
          </w:tcPr>
          <w:p w14:paraId="1C411474" w14:textId="77777777" w:rsidR="0080346B" w:rsidRDefault="0080346B" w:rsidP="0080346B">
            <w:pPr>
              <w:pStyle w:val="Textpoznpodarou"/>
              <w:jc w:val="both"/>
              <w:rPr>
                <w:spacing w:val="-4"/>
              </w:rPr>
            </w:pPr>
          </w:p>
        </w:tc>
        <w:tc>
          <w:tcPr>
            <w:tcW w:w="7654" w:type="dxa"/>
            <w:shd w:val="clear" w:color="auto" w:fill="auto"/>
            <w:tcMar>
              <w:left w:w="0" w:type="dxa"/>
            </w:tcMar>
          </w:tcPr>
          <w:p w14:paraId="07BA5F9D" w14:textId="5E5A5939" w:rsidR="0080346B" w:rsidRPr="00DB613B" w:rsidRDefault="0080346B" w:rsidP="0080346B">
            <w:r w:rsidRPr="00DB613B">
              <w:rPr>
                <w:sz w:val="14"/>
                <w:szCs w:val="14"/>
              </w:rPr>
              <w:t>Zdroj: ČSÚ</w:t>
            </w:r>
          </w:p>
        </w:tc>
      </w:tr>
      <w:tr w:rsidR="0080346B" w:rsidRPr="009110F7" w14:paraId="58E343BD" w14:textId="77777777" w:rsidTr="00CA5EAD">
        <w:trPr>
          <w:trHeight w:val="145"/>
        </w:trPr>
        <w:tc>
          <w:tcPr>
            <w:tcW w:w="1763" w:type="dxa"/>
            <w:shd w:val="clear" w:color="auto" w:fill="auto"/>
            <w:tcMar>
              <w:left w:w="0" w:type="dxa"/>
            </w:tcMar>
          </w:tcPr>
          <w:p w14:paraId="33C7C8B3" w14:textId="4EEDFB53" w:rsidR="0080346B" w:rsidRDefault="0080346B" w:rsidP="0080346B">
            <w:pPr>
              <w:pStyle w:val="Marginlie"/>
            </w:pPr>
            <w:r>
              <w:t>Přebytek zahraničního obchodu se službami se loni výrazně snížil.</w:t>
            </w:r>
          </w:p>
        </w:tc>
        <w:tc>
          <w:tcPr>
            <w:tcW w:w="222" w:type="dxa"/>
            <w:shd w:val="clear" w:color="auto" w:fill="auto"/>
            <w:tcMar>
              <w:left w:w="0" w:type="dxa"/>
            </w:tcMar>
          </w:tcPr>
          <w:p w14:paraId="126B5060" w14:textId="77777777" w:rsidR="0080346B" w:rsidRDefault="0080346B" w:rsidP="0080346B">
            <w:pPr>
              <w:pStyle w:val="Textpoznpodarou"/>
              <w:jc w:val="both"/>
              <w:rPr>
                <w:spacing w:val="-4"/>
              </w:rPr>
            </w:pPr>
          </w:p>
        </w:tc>
        <w:tc>
          <w:tcPr>
            <w:tcW w:w="7654" w:type="dxa"/>
            <w:shd w:val="clear" w:color="auto" w:fill="auto"/>
            <w:tcMar>
              <w:left w:w="0" w:type="dxa"/>
            </w:tcMar>
          </w:tcPr>
          <w:p w14:paraId="39F72215" w14:textId="236A4512" w:rsidR="0080346B" w:rsidRPr="00DB613B" w:rsidRDefault="0080346B" w:rsidP="0080346B">
            <w:r w:rsidRPr="00DB613B">
              <w:t>Podle údajů ČNB o platební bilanci se přebytek obchodu se službami loni meziročně snížil o 18,3 mld. korun a dosáhl 103,7 mld. Podrobnější údaje ukazují na výrazné prohloubení deficitu u ostatních podnikatelských služeb</w:t>
            </w:r>
            <w:r w:rsidRPr="00DB613B">
              <w:rPr>
                <w:rStyle w:val="Znakapoznpodarou"/>
              </w:rPr>
              <w:footnoteReference w:id="46"/>
            </w:r>
            <w:r w:rsidRPr="00DB613B">
              <w:t xml:space="preserve"> (o 16,7 mld. korun). Deficit se zde prohloubil kvůli prudkému navýšení dovozu. Propad přebytku nastal také u služeb v dopravě (pokles o 12,5 mld. korun na 22,3 mld.). Souběžně zde loni poklesla hodnota vývozu a narostl jejich dovoz. Naopak příznivě na bilanci služeb působil obchod s telekomunikačními službami a službami v oblasti počítačů a informačních služeb (nárůst přebytku o 10,5 mld. korun na 50,3 mld.). Loni se výrazně zvýšila hodnota jejich </w:t>
            </w:r>
            <w:r w:rsidRPr="00DB613B">
              <w:lastRenderedPageBreak/>
              <w:t>vývozu a tyto služby tvořily také největší část z celkového přebytku. Prakticky nezměněn zůstal přebytek obchodu s výrobními službami u cizích fyzických vstupů</w:t>
            </w:r>
            <w:r w:rsidRPr="00DB613B">
              <w:rPr>
                <w:rStyle w:val="Znakapoznpodarou"/>
              </w:rPr>
              <w:footnoteReference w:id="47"/>
            </w:r>
            <w:r w:rsidRPr="00DB613B">
              <w:t xml:space="preserve"> (42,0 mld. korun) a cestovního ruchu (32,7 mld.).</w:t>
            </w:r>
          </w:p>
        </w:tc>
      </w:tr>
      <w:tr w:rsidR="0080346B" w:rsidRPr="009110F7" w14:paraId="675855E2" w14:textId="77777777" w:rsidTr="00CA5EAD">
        <w:trPr>
          <w:trHeight w:val="170"/>
        </w:trPr>
        <w:tc>
          <w:tcPr>
            <w:tcW w:w="1763" w:type="dxa"/>
            <w:shd w:val="clear" w:color="auto" w:fill="auto"/>
            <w:tcMar>
              <w:left w:w="0" w:type="dxa"/>
            </w:tcMar>
          </w:tcPr>
          <w:p w14:paraId="48A8069F" w14:textId="74930645" w:rsidR="0080346B" w:rsidRPr="00127BC2" w:rsidRDefault="0080346B" w:rsidP="0080346B">
            <w:pPr>
              <w:pStyle w:val="Marginlie"/>
            </w:pPr>
            <w:r w:rsidRPr="00127BC2">
              <w:lastRenderedPageBreak/>
              <w:t>Deficit prvotních důchodů se loni zmírnil o</w:t>
            </w:r>
            <w:r>
              <w:t> </w:t>
            </w:r>
            <w:r w:rsidRPr="00127BC2">
              <w:t>37,6</w:t>
            </w:r>
            <w:r>
              <w:t> mld.</w:t>
            </w:r>
            <w:r w:rsidRPr="00127BC2">
              <w:t xml:space="preserve"> korun.</w:t>
            </w:r>
          </w:p>
        </w:tc>
        <w:tc>
          <w:tcPr>
            <w:tcW w:w="222" w:type="dxa"/>
            <w:shd w:val="clear" w:color="auto" w:fill="auto"/>
            <w:tcMar>
              <w:left w:w="0" w:type="dxa"/>
            </w:tcMar>
          </w:tcPr>
          <w:p w14:paraId="7112E5DD" w14:textId="77777777" w:rsidR="0080346B" w:rsidRPr="00A601E7" w:rsidRDefault="0080346B" w:rsidP="0080346B">
            <w:pPr>
              <w:pStyle w:val="Textpoznpodarou"/>
              <w:jc w:val="both"/>
              <w:rPr>
                <w:spacing w:val="-4"/>
              </w:rPr>
            </w:pPr>
          </w:p>
        </w:tc>
        <w:tc>
          <w:tcPr>
            <w:tcW w:w="7654" w:type="dxa"/>
            <w:shd w:val="clear" w:color="auto" w:fill="auto"/>
            <w:tcMar>
              <w:left w:w="0" w:type="dxa"/>
            </w:tcMar>
          </w:tcPr>
          <w:p w14:paraId="7D0942E5" w14:textId="774DCEBE" w:rsidR="0080346B" w:rsidRPr="00DB613B" w:rsidRDefault="0080346B" w:rsidP="0080346B">
            <w:r w:rsidRPr="00DB613B">
              <w:t>Saldo toků prvotních důchodů mezi rezidenty a nerezidenty loni dosáhlo –254,0 mld. korun. Tradiční deficit se loni zmírnil o 37,6 mld. Hlavním zdrojem deficitu bylo záporné saldo důchodů z vlastnictví, které loni činilo –293,1 mld. korun. Jeho zlepšení o 50,1 mld. vzniklo zejména navýšením důchodů z vlastnictví rezidentů v zahraničí o 40,7 mld. korun (prakticky celý nárůst připadl na reinvestované zisky rezidentů z přímých zahraničních investic, které vzrostly na 91,7 mld.). Důchody z vlastnictví nerezidentů v domácí ekonomice činily loni 485,9 mld. korun, z toho téměř 401 mld. (7,1 % HDP) představovaly zisky z přímých investic. Z toho reinvestováno bylo 82,0 mld. korun (o 52,4 mld. méně než v roce 2018) a 321,2 mld. odešlo do zahraničí ve formě rozdělovaných důchodů společností (meziročně o 15,7 mld. více). Protiváhou k deficitu důchodů z vlastnictví je kladné saldo náhrad zaměstnancům, které loni dosáhlo 17,4 mld. korun a meziročně se snížilo o 13,3 mld. Jen mírný nárůst prostředků, které si připsali rezidenti ve formě náhrad od nerezidentů (68,1 mld. korun, +1,4 mld.), byl doprovázen nárůstem náhrad vyplacených nerezidentům o 14,7 mld. na 50,8 mld.</w:t>
            </w:r>
          </w:p>
        </w:tc>
      </w:tr>
      <w:tr w:rsidR="0080346B" w:rsidRPr="009110F7" w14:paraId="645A31E9" w14:textId="77777777" w:rsidTr="00CA5EAD">
        <w:trPr>
          <w:trHeight w:val="170"/>
        </w:trPr>
        <w:tc>
          <w:tcPr>
            <w:tcW w:w="1763" w:type="dxa"/>
            <w:shd w:val="clear" w:color="auto" w:fill="auto"/>
            <w:tcMar>
              <w:left w:w="0" w:type="dxa"/>
            </w:tcMar>
          </w:tcPr>
          <w:p w14:paraId="013942CA" w14:textId="6F775F55" w:rsidR="0080346B" w:rsidRPr="00127BC2" w:rsidRDefault="0080346B" w:rsidP="0080346B">
            <w:pPr>
              <w:pStyle w:val="Marginlie"/>
            </w:pPr>
            <w:r w:rsidRPr="00127BC2">
              <w:t>Objem investičních dotací ze zahraničí loni dosáhl 61,3</w:t>
            </w:r>
            <w:r>
              <w:t> mld.</w:t>
            </w:r>
            <w:r w:rsidRPr="00127BC2">
              <w:t xml:space="preserve"> korun.</w:t>
            </w:r>
          </w:p>
        </w:tc>
        <w:tc>
          <w:tcPr>
            <w:tcW w:w="222" w:type="dxa"/>
            <w:shd w:val="clear" w:color="auto" w:fill="auto"/>
            <w:tcMar>
              <w:left w:w="0" w:type="dxa"/>
            </w:tcMar>
          </w:tcPr>
          <w:p w14:paraId="0CC3FD47" w14:textId="77777777" w:rsidR="0080346B" w:rsidRPr="00974782" w:rsidRDefault="0080346B" w:rsidP="0080346B">
            <w:pPr>
              <w:pStyle w:val="Textpoznpodarou"/>
              <w:jc w:val="both"/>
              <w:rPr>
                <w:spacing w:val="-4"/>
                <w:highlight w:val="yellow"/>
              </w:rPr>
            </w:pPr>
          </w:p>
        </w:tc>
        <w:tc>
          <w:tcPr>
            <w:tcW w:w="7654" w:type="dxa"/>
            <w:shd w:val="clear" w:color="auto" w:fill="auto"/>
            <w:tcMar>
              <w:left w:w="0" w:type="dxa"/>
            </w:tcMar>
          </w:tcPr>
          <w:p w14:paraId="55D8419E" w14:textId="47B3ECA8" w:rsidR="0080346B" w:rsidRPr="00DB613B" w:rsidRDefault="0080346B" w:rsidP="0080346B">
            <w:r w:rsidRPr="00DB613B">
              <w:t>Prostřednictvím ostatních transferů</w:t>
            </w:r>
            <w:r w:rsidRPr="00DB613B">
              <w:rPr>
                <w:rStyle w:val="Znakapoznpodarou"/>
              </w:rPr>
              <w:footnoteReference w:id="48"/>
            </w:r>
            <w:r w:rsidRPr="00DB613B">
              <w:t xml:space="preserve"> si nerezidenti připsali 138,6 mld. korun, v opačném směru to bylo 89,2 mld. Výsledné saldo se tak zmírnilo o 6,3 mld. korun na 49,4 mld. Společně s deficitem prvotních důchodů to působilo ve směru deficitu běžných transakcí rezidentů s nerezidenty, přebytek zahraničního obchodu byl ale dostatečně vysoký, aby konečné saldo bylo kladné a dosáhlo 40,8 mld. korun (zlepšení o 48,0 mld.). Přebytek bilance kapitálových transferů loni činil 53,9 mld. korun, zejména díky výraznému přílivu prostředků ze zahraničí (63,3 mld. korun, z toho 61,3 mld. ve formě investičních dotací). Čisté výpůjčky</w:t>
            </w:r>
            <w:r w:rsidRPr="00DB613B">
              <w:rPr>
                <w:rStyle w:val="Znakapoznpodarou"/>
              </w:rPr>
              <w:footnoteReference w:id="49"/>
            </w:r>
            <w:r w:rsidRPr="00DB613B">
              <w:t xml:space="preserve"> se tak loni zvýšily o 20,7 mld. korun a dosáhly 62,1 mld.</w:t>
            </w:r>
          </w:p>
        </w:tc>
      </w:tr>
    </w:tbl>
    <w:p w14:paraId="71F71560" w14:textId="77777777" w:rsidR="00C715CC" w:rsidRPr="009110F7" w:rsidRDefault="00C715CC" w:rsidP="00C715CC">
      <w:pPr>
        <w:pStyle w:val="Nadpis11"/>
        <w:rPr>
          <w:sz w:val="2"/>
          <w:szCs w:val="2"/>
        </w:rPr>
      </w:pPr>
      <w:bookmarkStart w:id="12" w:name="_Toc511215218"/>
      <w:bookmarkEnd w:id="12"/>
    </w:p>
    <w:p w14:paraId="33954BD7" w14:textId="77777777" w:rsidR="00CA5EAD" w:rsidRDefault="00CA5EAD">
      <w:pPr>
        <w:spacing w:after="0" w:line="240" w:lineRule="auto"/>
        <w:jc w:val="left"/>
        <w:rPr>
          <w:rFonts w:eastAsia="MS Gothic"/>
          <w:b/>
          <w:bCs/>
          <w:color w:val="71818C"/>
          <w:sz w:val="32"/>
          <w:szCs w:val="28"/>
        </w:rPr>
      </w:pPr>
      <w:bookmarkStart w:id="13" w:name="_Toc19090678"/>
      <w:bookmarkStart w:id="14" w:name="_Toc26539342"/>
      <w:bookmarkEnd w:id="10"/>
      <w:r>
        <w:br w:type="page"/>
      </w:r>
    </w:p>
    <w:p w14:paraId="28747BFF" w14:textId="5F50A34B" w:rsidR="00C715CC" w:rsidRPr="009110F7" w:rsidRDefault="00C715CC" w:rsidP="00C715CC">
      <w:pPr>
        <w:pStyle w:val="Nadpis11"/>
      </w:pPr>
      <w:bookmarkStart w:id="15" w:name="_Toc37403644"/>
      <w:r w:rsidRPr="009110F7">
        <w:lastRenderedPageBreak/>
        <w:t>5</w:t>
      </w:r>
      <w:r>
        <w:t>. </w:t>
      </w:r>
      <w:r w:rsidRPr="009110F7">
        <w:t>Ceny</w:t>
      </w:r>
      <w:bookmarkEnd w:id="13"/>
      <w:bookmarkEnd w:id="15"/>
    </w:p>
    <w:tbl>
      <w:tblPr>
        <w:tblW w:w="9639" w:type="dxa"/>
        <w:tblInd w:w="-15" w:type="dxa"/>
        <w:tblCellMar>
          <w:left w:w="0" w:type="dxa"/>
          <w:right w:w="0" w:type="dxa"/>
        </w:tblCellMar>
        <w:tblLook w:val="00A0" w:firstRow="1" w:lastRow="0" w:firstColumn="1" w:lastColumn="0" w:noHBand="0" w:noVBand="0"/>
      </w:tblPr>
      <w:tblGrid>
        <w:gridCol w:w="1805"/>
        <w:gridCol w:w="224"/>
        <w:gridCol w:w="7610"/>
      </w:tblGrid>
      <w:tr w:rsidR="009005E4" w:rsidRPr="009110F7" w14:paraId="51396A1B" w14:textId="77777777" w:rsidTr="00C715CC">
        <w:trPr>
          <w:trHeight w:val="145"/>
        </w:trPr>
        <w:tc>
          <w:tcPr>
            <w:tcW w:w="1805" w:type="dxa"/>
            <w:shd w:val="clear" w:color="auto" w:fill="auto"/>
            <w:tcMar>
              <w:left w:w="0" w:type="dxa"/>
            </w:tcMar>
          </w:tcPr>
          <w:p w14:paraId="17C5A255" w14:textId="68944926" w:rsidR="009005E4" w:rsidRPr="00793D78" w:rsidRDefault="009005E4" w:rsidP="009005E4">
            <w:pPr>
              <w:pStyle w:val="Marginlie"/>
              <w:rPr>
                <w:spacing w:val="0"/>
              </w:rPr>
            </w:pPr>
            <w:r>
              <w:rPr>
                <w:spacing w:val="0"/>
              </w:rPr>
              <w:t>Loni rostla cenová hladina nejvíce od roku 2004.</w:t>
            </w:r>
          </w:p>
        </w:tc>
        <w:tc>
          <w:tcPr>
            <w:tcW w:w="224" w:type="dxa"/>
            <w:shd w:val="clear" w:color="auto" w:fill="auto"/>
            <w:tcMar>
              <w:left w:w="0" w:type="dxa"/>
            </w:tcMar>
          </w:tcPr>
          <w:p w14:paraId="13F14F4E" w14:textId="77777777" w:rsidR="009005E4" w:rsidRPr="00793D78" w:rsidRDefault="009005E4" w:rsidP="009005E4">
            <w:pPr>
              <w:pStyle w:val="Textpoznpodarou1"/>
              <w:jc w:val="both"/>
            </w:pPr>
          </w:p>
        </w:tc>
        <w:tc>
          <w:tcPr>
            <w:tcW w:w="7610" w:type="dxa"/>
            <w:shd w:val="clear" w:color="auto" w:fill="auto"/>
            <w:tcMar>
              <w:left w:w="0" w:type="dxa"/>
            </w:tcMar>
          </w:tcPr>
          <w:p w14:paraId="2B7C0E32" w14:textId="30E40C71" w:rsidR="009005E4" w:rsidRPr="00793D78" w:rsidRDefault="009005E4" w:rsidP="009005E4">
            <w:pPr>
              <w:rPr>
                <w:szCs w:val="20"/>
              </w:rPr>
            </w:pPr>
            <w:r>
              <w:rPr>
                <w:szCs w:val="20"/>
              </w:rPr>
              <w:t>Cenová hladina se v roce 2019 celkově zvýšila o 3,5 %</w:t>
            </w:r>
            <w:r>
              <w:rPr>
                <w:rStyle w:val="Znakapoznpodarou"/>
                <w:szCs w:val="20"/>
              </w:rPr>
              <w:footnoteReference w:id="50"/>
            </w:r>
            <w:r>
              <w:rPr>
                <w:szCs w:val="20"/>
              </w:rPr>
              <w:t xml:space="preserve">. To je nejvíce od roku 2004 (v roce 2007 byl přírůstek stejně vysoký). Nejvíce rostly ceny spotřebních statků (3,7 %), u těch pořízených domácnostmi o 2,9 %, vládní instituce se již druhým rokem potýkaly s více než 5% nárůstem (5,4 % v roce 2019, spotřeba vládních institucí ve větší míře sestává ze služeb, jejichž ceny jsou více ovlivněny růstem mezd). Kapitálové statky loni zdražily o 2,6 %. Směnné relace byly loni kladné (100,4 %), a to u zboží (100,2 %) i služeb (101,4 %). Ceny vývozu služeb rostly nejvíce za posledních pět let. Ve 4. čtvrtletí cenová hladina meziročně vzrostla o 3,7 %, z toho o 3,7 % u výdajů na spotřebu – u domácností o 3,0 %, pro vládní instituce se cenová hladina zvýšila o 5,5 %. </w:t>
            </w:r>
            <w:r w:rsidR="005A0A03">
              <w:rPr>
                <w:szCs w:val="20"/>
              </w:rPr>
              <w:t>R</w:t>
            </w:r>
            <w:r>
              <w:rPr>
                <w:szCs w:val="20"/>
              </w:rPr>
              <w:t xml:space="preserve">ůst cen kapitálových statků </w:t>
            </w:r>
            <w:r w:rsidR="005A0A03">
              <w:rPr>
                <w:szCs w:val="20"/>
              </w:rPr>
              <w:t>dosáhl 2,3</w:t>
            </w:r>
            <w:r>
              <w:rPr>
                <w:szCs w:val="20"/>
              </w:rPr>
              <w:t> %. Směnné relace byly kladné (100,8 %).</w:t>
            </w:r>
          </w:p>
        </w:tc>
      </w:tr>
      <w:tr w:rsidR="009005E4" w:rsidRPr="009110F7" w14:paraId="0B6DC554" w14:textId="77777777" w:rsidTr="00C715CC">
        <w:trPr>
          <w:trHeight w:val="145"/>
        </w:trPr>
        <w:tc>
          <w:tcPr>
            <w:tcW w:w="1805" w:type="dxa"/>
            <w:shd w:val="clear" w:color="auto" w:fill="auto"/>
            <w:tcMar>
              <w:left w:w="0" w:type="dxa"/>
            </w:tcMar>
          </w:tcPr>
          <w:p w14:paraId="22A874C3" w14:textId="363B2C7B" w:rsidR="009005E4" w:rsidRPr="00793D78" w:rsidRDefault="009005E4" w:rsidP="009005E4">
            <w:pPr>
              <w:pStyle w:val="Marginlie"/>
              <w:rPr>
                <w:spacing w:val="0"/>
              </w:rPr>
            </w:pPr>
            <w:r>
              <w:rPr>
                <w:spacing w:val="0"/>
              </w:rPr>
              <w:t>Meziroční dynamika spotřebitelských cen v závěru roku zrychlovala.</w:t>
            </w:r>
          </w:p>
        </w:tc>
        <w:tc>
          <w:tcPr>
            <w:tcW w:w="224" w:type="dxa"/>
            <w:shd w:val="clear" w:color="auto" w:fill="auto"/>
            <w:tcMar>
              <w:left w:w="0" w:type="dxa"/>
            </w:tcMar>
          </w:tcPr>
          <w:p w14:paraId="33942658" w14:textId="77777777" w:rsidR="009005E4" w:rsidRPr="00793D78" w:rsidRDefault="009005E4" w:rsidP="009005E4">
            <w:pPr>
              <w:pStyle w:val="Textpoznpodarou1"/>
              <w:jc w:val="both"/>
              <w:rPr>
                <w:highlight w:val="yellow"/>
              </w:rPr>
            </w:pPr>
          </w:p>
        </w:tc>
        <w:tc>
          <w:tcPr>
            <w:tcW w:w="7610" w:type="dxa"/>
            <w:shd w:val="clear" w:color="auto" w:fill="auto"/>
            <w:tcMar>
              <w:left w:w="0" w:type="dxa"/>
            </w:tcMar>
          </w:tcPr>
          <w:p w14:paraId="558FDF13" w14:textId="01C0813B" w:rsidR="009005E4" w:rsidRPr="00793D78" w:rsidRDefault="009005E4" w:rsidP="009005E4">
            <w:pPr>
              <w:rPr>
                <w:highlight w:val="yellow"/>
              </w:rPr>
            </w:pPr>
            <w:r w:rsidRPr="00777959">
              <w:t xml:space="preserve">Závěr roku přinesl </w:t>
            </w:r>
            <w:r>
              <w:t>zrychlení meziroční</w:t>
            </w:r>
            <w:r w:rsidRPr="00777959">
              <w:t xml:space="preserve"> dynamiky</w:t>
            </w:r>
            <w:r>
              <w:t xml:space="preserve"> spotřebitelských cen</w:t>
            </w:r>
            <w:r w:rsidRPr="00777959">
              <w:t>.</w:t>
            </w:r>
            <w:r>
              <w:t xml:space="preserve"> Ty se ve 4. čtvrtletí zvýšily o 3,0 %, což byl nejvyšší přírůstek od 3. čtvrtletí 2012. K posílení celkového tempa nejvýrazněji přispěly ceny potravin. Projevilo se také zastavení propadu cen dopravy. I ve 4. kvartálu v meziročním růstu cen spotřebitelů přetrvával klíčový vliv bydlení a energií. Meziroční dynamika spotřebitelských cen sílila v průběhu celého roku a výsledný přírůstek za rok 2019 činil 2,8 %, což byla nejvyšší hodnota za posledních sedm let. Přibližně polovina z loňského nárůstu padla na vrub cen bydlení a energií. Po slabém příspěvku v roce 2018 opět posílil vliv potravin a nealkoholických nápojů. Třetí nejvyšší příspěvek k růstu měl oddíl ostatní zboží a služby. Blízko k 3% hranici dynamiku posunuly i drobnější příspěvky cen alkoholických nápojů a tabáku, stravování a ubytování, rekreace a kultury, zdraví, bytového vybavení a zařízení domácnosti. Protiinflačně působily ceny </w:t>
            </w:r>
            <w:r w:rsidR="005A0A03">
              <w:t>odívání a obuvi</w:t>
            </w:r>
            <w:r>
              <w:t>.</w:t>
            </w:r>
          </w:p>
        </w:tc>
      </w:tr>
      <w:tr w:rsidR="009005E4" w:rsidRPr="009110F7" w14:paraId="62741D90" w14:textId="77777777" w:rsidTr="00C715CC">
        <w:trPr>
          <w:trHeight w:val="145"/>
        </w:trPr>
        <w:tc>
          <w:tcPr>
            <w:tcW w:w="1805" w:type="dxa"/>
            <w:shd w:val="clear" w:color="auto" w:fill="auto"/>
            <w:tcMar>
              <w:left w:w="0" w:type="dxa"/>
            </w:tcMar>
          </w:tcPr>
          <w:p w14:paraId="0D37F0CD" w14:textId="48E7D74E" w:rsidR="009005E4" w:rsidRPr="00793D78" w:rsidRDefault="009005E4" w:rsidP="009005E4">
            <w:pPr>
              <w:pStyle w:val="Marginlie"/>
              <w:rPr>
                <w:spacing w:val="0"/>
              </w:rPr>
            </w:pPr>
            <w:r>
              <w:rPr>
                <w:spacing w:val="0"/>
              </w:rPr>
              <w:t>Bydlení zůstalo hlavním hybatelem meziročního růstu cen.</w:t>
            </w:r>
          </w:p>
        </w:tc>
        <w:tc>
          <w:tcPr>
            <w:tcW w:w="224" w:type="dxa"/>
            <w:shd w:val="clear" w:color="auto" w:fill="auto"/>
            <w:tcMar>
              <w:left w:w="0" w:type="dxa"/>
            </w:tcMar>
          </w:tcPr>
          <w:p w14:paraId="361D8E50" w14:textId="77777777" w:rsidR="009005E4" w:rsidRPr="00793D78" w:rsidRDefault="009005E4" w:rsidP="009005E4">
            <w:pPr>
              <w:pStyle w:val="Textpoznpodarou1"/>
              <w:jc w:val="both"/>
              <w:rPr>
                <w:highlight w:val="yellow"/>
              </w:rPr>
            </w:pPr>
          </w:p>
        </w:tc>
        <w:tc>
          <w:tcPr>
            <w:tcW w:w="7610" w:type="dxa"/>
            <w:shd w:val="clear" w:color="auto" w:fill="auto"/>
            <w:tcMar>
              <w:left w:w="0" w:type="dxa"/>
            </w:tcMar>
          </w:tcPr>
          <w:p w14:paraId="26E9627D" w14:textId="68BAFB54" w:rsidR="009005E4" w:rsidRDefault="009005E4" w:rsidP="009005E4">
            <w:r>
              <w:t>Meziroční růst cen bydlení a energií ve 4. čtvrtletí drobně oslabil na 5,0 %. Přes mírné zvolnění přetrvával poměrně vysoký růst cen nájemného (3,8 %) a imputovaného nájemného (4,0 %). Ceny elektrické a tepelné energie, plynu a vody vzrostly o 7,2 %. Jednotlivá čtvrtletí se od sebe z hlediska vývoje cen bydlení a energií příliš nelišila a docházelo jen k drobným korekcím. Celkově se loni ceny bydlení a energií zvýšily o 5,3 %. Nejvýrazněji rostla právě složka energií – ceny elektrické a tepelné energie, plynu a vody narostly o 7,0 % a jejich zrychlení bylo hlavním impulzem, který způsobil posílení celkové dynamiky. Nájemné z bytu se zvýšilo o 3,7 % a imputované nájemné o 5,1 %. Dynamika obou položek ale byla poměrně silná již v roce 2018, takže náklady na samotné bydlení se za poslední dva roky pro domácnosti citelně zvýšily. Ceny běžné údržby a drobných oprav se rovněž silně zvyšovaly (4,9 %). Mírnější bylo navýšení cen ostatních služeb (2,0 %).</w:t>
            </w:r>
          </w:p>
        </w:tc>
      </w:tr>
      <w:tr w:rsidR="009005E4" w:rsidRPr="009110F7" w14:paraId="2BEB16DE" w14:textId="77777777" w:rsidTr="00C715CC">
        <w:trPr>
          <w:trHeight w:val="145"/>
        </w:trPr>
        <w:tc>
          <w:tcPr>
            <w:tcW w:w="1805" w:type="dxa"/>
            <w:shd w:val="clear" w:color="auto" w:fill="auto"/>
            <w:tcMar>
              <w:left w:w="0" w:type="dxa"/>
            </w:tcMar>
          </w:tcPr>
          <w:p w14:paraId="1B9F1A72" w14:textId="469771DD" w:rsidR="009005E4" w:rsidRDefault="009005E4" w:rsidP="009005E4">
            <w:pPr>
              <w:pStyle w:val="Marginlie"/>
              <w:rPr>
                <w:spacing w:val="0"/>
              </w:rPr>
            </w:pPr>
            <w:r>
              <w:rPr>
                <w:spacing w:val="0"/>
              </w:rPr>
              <w:t>Ke konci roku zrychlil růst cen potravin, hlavně kvůli cenám masa.</w:t>
            </w:r>
          </w:p>
        </w:tc>
        <w:tc>
          <w:tcPr>
            <w:tcW w:w="224" w:type="dxa"/>
            <w:shd w:val="clear" w:color="auto" w:fill="auto"/>
            <w:tcMar>
              <w:left w:w="0" w:type="dxa"/>
            </w:tcMar>
          </w:tcPr>
          <w:p w14:paraId="41C647ED" w14:textId="77777777" w:rsidR="009005E4" w:rsidRPr="00793D78" w:rsidRDefault="009005E4" w:rsidP="009005E4">
            <w:pPr>
              <w:pStyle w:val="Textpoznpodarou1"/>
              <w:jc w:val="both"/>
              <w:rPr>
                <w:highlight w:val="yellow"/>
              </w:rPr>
            </w:pPr>
          </w:p>
        </w:tc>
        <w:tc>
          <w:tcPr>
            <w:tcW w:w="7610" w:type="dxa"/>
            <w:shd w:val="clear" w:color="auto" w:fill="auto"/>
            <w:tcMar>
              <w:left w:w="0" w:type="dxa"/>
            </w:tcMar>
          </w:tcPr>
          <w:p w14:paraId="6EC237FF" w14:textId="5A1FB4D2" w:rsidR="009005E4" w:rsidRDefault="009005E4" w:rsidP="009005E4">
            <w:r>
              <w:t xml:space="preserve">Závěr roku přinesl zrychlení meziročního růstu cen potravin a nealkoholických nápojů. Ty se ve 4. čtvrtletí zvýšily o 4,3 %, zejména kvůli posílení meziročního přírůstku cen masa (7,6 %) a ovoce (10,7 %). Naopak ve 4. čtvrtletí oslabil do té doby velmi silný růst cen zeleniny (z 26,1 % ve 3. kvartálu na 6,0 %), především kvůli vysoké srovnávací základně. V průběhu roku meziroční růst cen potravin a nealkoholických nápojů postupně zrychloval. Celkový přírůstek loni dosáhl 2,8 %. Nejsilněji se zvýšily ceny zeleniny (19,6 %), </w:t>
            </w:r>
            <w:r w:rsidRPr="002C1110">
              <w:t>masa</w:t>
            </w:r>
            <w:r>
              <w:t xml:space="preserve"> (3,6 %) a pekárenských výrobků a obilovin (3,5 %). Tyto tři položky také nejsilněji ovlivňovaly vývoj cen celého oddílu. Pokles zaznamenaly oleje a tuky (3,2 %) a ovoce (3,9 %).</w:t>
            </w:r>
          </w:p>
        </w:tc>
      </w:tr>
      <w:tr w:rsidR="009005E4" w:rsidRPr="009110F7" w14:paraId="1BE8B355" w14:textId="77777777" w:rsidTr="00C715CC">
        <w:trPr>
          <w:trHeight w:val="145"/>
        </w:trPr>
        <w:tc>
          <w:tcPr>
            <w:tcW w:w="1805" w:type="dxa"/>
            <w:shd w:val="clear" w:color="auto" w:fill="auto"/>
            <w:tcMar>
              <w:left w:w="0" w:type="dxa"/>
            </w:tcMar>
          </w:tcPr>
          <w:p w14:paraId="74D90568" w14:textId="04200D2D" w:rsidR="009005E4" w:rsidRDefault="009005E4" w:rsidP="009005E4">
            <w:pPr>
              <w:pStyle w:val="Marginlie"/>
              <w:rPr>
                <w:spacing w:val="0"/>
              </w:rPr>
            </w:pPr>
            <w:r>
              <w:rPr>
                <w:spacing w:val="0"/>
              </w:rPr>
              <w:t>Ve 4. čtvrtletí vyprchal vliv srovnávací základny u cen dopravních služeb.</w:t>
            </w:r>
          </w:p>
        </w:tc>
        <w:tc>
          <w:tcPr>
            <w:tcW w:w="224" w:type="dxa"/>
            <w:shd w:val="clear" w:color="auto" w:fill="auto"/>
            <w:tcMar>
              <w:left w:w="0" w:type="dxa"/>
            </w:tcMar>
          </w:tcPr>
          <w:p w14:paraId="44B160EA" w14:textId="77777777" w:rsidR="009005E4" w:rsidRPr="00793D78" w:rsidRDefault="009005E4" w:rsidP="009005E4">
            <w:pPr>
              <w:pStyle w:val="Textpoznpodarou1"/>
              <w:jc w:val="both"/>
              <w:rPr>
                <w:highlight w:val="yellow"/>
              </w:rPr>
            </w:pPr>
          </w:p>
        </w:tc>
        <w:tc>
          <w:tcPr>
            <w:tcW w:w="7610" w:type="dxa"/>
            <w:shd w:val="clear" w:color="auto" w:fill="auto"/>
            <w:tcMar>
              <w:left w:w="0" w:type="dxa"/>
            </w:tcMar>
          </w:tcPr>
          <w:p w14:paraId="63DFCDD8" w14:textId="623D4EB0" w:rsidR="009005E4" w:rsidRDefault="009005E4" w:rsidP="009005E4">
            <w:r>
              <w:t xml:space="preserve">Po celý rok 2019 byl meziroční růst cen dopravy jen velmi mírný (ve 3. čtvrtletí dokonce klesly o 0,2 %). Ve 4. kvartálu dosáhl přírůstek 0,5 %, zejména kvůli vyprchání vlivu </w:t>
            </w:r>
            <w:r>
              <w:lastRenderedPageBreak/>
              <w:t>nízké srovnávací základny cen dopravních služeb, která na ceny dopravy negativně působila od podzimu 2018. V průběhu roku oslabovala dynamika cen nákupu automobilů, motocyklů a jízdních kol a zejména ve 2. pololetí stagnovaly i náklady na provoz dopravních prostředků. Za celý rok 2019 vzrostly ceny dopravy o 0,4 %, z toho ceny nákupu dopravních prostředků o 0,9 %, provozu dopravních prostředků o 1,5 % a ceny dopravních služeb klesly o 4,7 %. Velmi výrazná byla po celý rok meziroční dynamika cen stravování a ubytování (celkový přírůstek dosáhl loni 4,2 %) a ostatního zboží a služeb (3,8 %). Obecně loni mnohem více rostly ceny služeb (3,7 %) než zboží (2,</w:t>
            </w:r>
            <w:r w:rsidR="005A0A03">
              <w:t>3</w:t>
            </w:r>
            <w:r>
              <w:t> %), což souvisí s pokračující nadprůměrnou mzdovou dynamikou. Mírné posílení růstu cen zboží přišlo až ve 4. čtvrtletí (2,7 % zboží, 3,7 % služby).</w:t>
            </w:r>
          </w:p>
        </w:tc>
      </w:tr>
      <w:tr w:rsidR="009005E4" w:rsidRPr="00D75AC1" w14:paraId="74FA9028" w14:textId="77777777" w:rsidTr="00C715CC">
        <w:trPr>
          <w:trHeight w:val="170"/>
        </w:trPr>
        <w:tc>
          <w:tcPr>
            <w:tcW w:w="1805" w:type="dxa"/>
            <w:vMerge w:val="restart"/>
            <w:shd w:val="clear" w:color="auto" w:fill="auto"/>
            <w:tcMar>
              <w:left w:w="0" w:type="dxa"/>
            </w:tcMar>
          </w:tcPr>
          <w:p w14:paraId="493491E1" w14:textId="77777777" w:rsidR="009005E4" w:rsidRDefault="009005E4" w:rsidP="009005E4">
            <w:pPr>
              <w:pStyle w:val="Marginlie"/>
              <w:rPr>
                <w:spacing w:val="0"/>
              </w:rPr>
            </w:pPr>
          </w:p>
        </w:tc>
        <w:tc>
          <w:tcPr>
            <w:tcW w:w="224" w:type="dxa"/>
            <w:vMerge w:val="restart"/>
            <w:shd w:val="clear" w:color="auto" w:fill="auto"/>
            <w:tcMar>
              <w:left w:w="0" w:type="dxa"/>
            </w:tcMar>
          </w:tcPr>
          <w:p w14:paraId="00CD41F4" w14:textId="77777777" w:rsidR="009005E4" w:rsidRPr="00793D78" w:rsidRDefault="009005E4" w:rsidP="009005E4">
            <w:pPr>
              <w:pStyle w:val="Textpoznpodarou1"/>
              <w:jc w:val="both"/>
              <w:rPr>
                <w:highlight w:val="yellow"/>
              </w:rPr>
            </w:pPr>
          </w:p>
        </w:tc>
        <w:tc>
          <w:tcPr>
            <w:tcW w:w="7610" w:type="dxa"/>
            <w:shd w:val="clear" w:color="auto" w:fill="auto"/>
            <w:tcMar>
              <w:left w:w="0" w:type="dxa"/>
            </w:tcMar>
          </w:tcPr>
          <w:p w14:paraId="5D67DF9E" w14:textId="603A8B22" w:rsidR="009005E4" w:rsidRPr="00D75AC1" w:rsidRDefault="009005E4" w:rsidP="009005E4">
            <w:pPr>
              <w:spacing w:after="0"/>
              <w:rPr>
                <w:b/>
                <w:szCs w:val="20"/>
              </w:rPr>
            </w:pPr>
            <w:r w:rsidRPr="00793D78">
              <w:rPr>
                <w:rFonts w:cs="Arial"/>
                <w:b/>
                <w:bCs/>
                <w:color w:val="000000"/>
                <w:sz w:val="18"/>
                <w:szCs w:val="18"/>
              </w:rPr>
              <w:t xml:space="preserve">Graf </w:t>
            </w:r>
            <w:r>
              <w:rPr>
                <w:rFonts w:cs="Arial"/>
                <w:b/>
                <w:bCs/>
                <w:color w:val="000000"/>
                <w:sz w:val="18"/>
                <w:szCs w:val="18"/>
              </w:rPr>
              <w:t>č. </w:t>
            </w:r>
            <w:r w:rsidR="000767F5">
              <w:rPr>
                <w:rFonts w:cs="Arial"/>
                <w:b/>
                <w:bCs/>
                <w:color w:val="000000"/>
                <w:sz w:val="18"/>
                <w:szCs w:val="18"/>
              </w:rPr>
              <w:t>9</w:t>
            </w:r>
            <w:r w:rsidRPr="00793D78">
              <w:rPr>
                <w:rFonts w:cs="Arial"/>
                <w:b/>
                <w:bCs/>
                <w:color w:val="000000"/>
                <w:sz w:val="18"/>
                <w:szCs w:val="18"/>
              </w:rPr>
              <w:t xml:space="preserve">  Ceny ve vybraných oddílech indexu spotřebitelských cen</w:t>
            </w:r>
            <w:r w:rsidRPr="00793D78">
              <w:rPr>
                <w:rFonts w:cs="Arial"/>
                <w:b/>
                <w:color w:val="000000"/>
                <w:sz w:val="18"/>
                <w:szCs w:val="18"/>
              </w:rPr>
              <w:t xml:space="preserve"> </w:t>
            </w:r>
            <w:r w:rsidRPr="009067EA">
              <w:rPr>
                <w:rFonts w:cs="Arial"/>
                <w:color w:val="000000"/>
                <w:sz w:val="18"/>
                <w:szCs w:val="18"/>
              </w:rPr>
              <w:t>(meziročně v %)</w:t>
            </w:r>
          </w:p>
        </w:tc>
      </w:tr>
      <w:tr w:rsidR="009005E4" w:rsidRPr="009110F7" w14:paraId="6D68EE74" w14:textId="77777777" w:rsidTr="00C715CC">
        <w:tblPrEx>
          <w:tblCellMar>
            <w:left w:w="70" w:type="dxa"/>
            <w:right w:w="70" w:type="dxa"/>
          </w:tblCellMar>
        </w:tblPrEx>
        <w:trPr>
          <w:trHeight w:val="170"/>
        </w:trPr>
        <w:tc>
          <w:tcPr>
            <w:tcW w:w="1805" w:type="dxa"/>
            <w:vMerge/>
            <w:shd w:val="clear" w:color="auto" w:fill="auto"/>
          </w:tcPr>
          <w:p w14:paraId="4B793914" w14:textId="77777777" w:rsidR="009005E4" w:rsidRPr="00793D78" w:rsidRDefault="009005E4" w:rsidP="009005E4">
            <w:pPr>
              <w:pStyle w:val="Marginlie"/>
              <w:rPr>
                <w:spacing w:val="0"/>
              </w:rPr>
            </w:pPr>
          </w:p>
        </w:tc>
        <w:tc>
          <w:tcPr>
            <w:tcW w:w="224" w:type="dxa"/>
            <w:vMerge/>
            <w:shd w:val="clear" w:color="auto" w:fill="auto"/>
          </w:tcPr>
          <w:p w14:paraId="048F997F" w14:textId="77777777" w:rsidR="009005E4" w:rsidRPr="00793D78" w:rsidRDefault="009005E4" w:rsidP="009005E4">
            <w:pPr>
              <w:pStyle w:val="Textpoznpodarou"/>
              <w:jc w:val="both"/>
            </w:pPr>
          </w:p>
        </w:tc>
        <w:tc>
          <w:tcPr>
            <w:tcW w:w="7610" w:type="dxa"/>
            <w:shd w:val="clear" w:color="auto" w:fill="auto"/>
          </w:tcPr>
          <w:p w14:paraId="14005FD3" w14:textId="615502BC" w:rsidR="009005E4" w:rsidRPr="00793D78" w:rsidRDefault="009005E4" w:rsidP="009005E4">
            <w:pPr>
              <w:spacing w:after="0"/>
            </w:pPr>
            <w:r>
              <w:rPr>
                <w:noProof/>
              </w:rPr>
              <w:drawing>
                <wp:inline distT="0" distB="0" distL="0" distR="0" wp14:anchorId="1556E394" wp14:editId="41657337">
                  <wp:extent cx="4737600" cy="3553200"/>
                  <wp:effectExtent l="0" t="0" r="6350" b="0"/>
                  <wp:docPr id="26" name="Graf 26">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9005E4" w:rsidRPr="009110F7" w14:paraId="2DA9D03B" w14:textId="77777777" w:rsidTr="00C715CC">
        <w:trPr>
          <w:trHeight w:val="170"/>
        </w:trPr>
        <w:tc>
          <w:tcPr>
            <w:tcW w:w="1805" w:type="dxa"/>
            <w:vMerge/>
            <w:shd w:val="clear" w:color="auto" w:fill="auto"/>
            <w:tcMar>
              <w:left w:w="0" w:type="dxa"/>
            </w:tcMar>
          </w:tcPr>
          <w:p w14:paraId="6D90B8F2" w14:textId="77777777" w:rsidR="009005E4" w:rsidRPr="00793D78" w:rsidRDefault="009005E4" w:rsidP="009005E4">
            <w:pPr>
              <w:pStyle w:val="Marginlie"/>
              <w:rPr>
                <w:spacing w:val="0"/>
              </w:rPr>
            </w:pPr>
          </w:p>
        </w:tc>
        <w:tc>
          <w:tcPr>
            <w:tcW w:w="224" w:type="dxa"/>
            <w:vMerge/>
            <w:shd w:val="clear" w:color="auto" w:fill="auto"/>
            <w:tcMar>
              <w:left w:w="0" w:type="dxa"/>
            </w:tcMar>
          </w:tcPr>
          <w:p w14:paraId="64140FD4" w14:textId="77777777" w:rsidR="009005E4" w:rsidRPr="00793D78" w:rsidRDefault="009005E4" w:rsidP="009005E4">
            <w:pPr>
              <w:pStyle w:val="Textpoznpodarou"/>
              <w:jc w:val="both"/>
            </w:pPr>
          </w:p>
        </w:tc>
        <w:tc>
          <w:tcPr>
            <w:tcW w:w="7610" w:type="dxa"/>
            <w:shd w:val="clear" w:color="auto" w:fill="auto"/>
            <w:tcMar>
              <w:left w:w="0" w:type="dxa"/>
            </w:tcMar>
          </w:tcPr>
          <w:p w14:paraId="70B011DA" w14:textId="1FD38432" w:rsidR="009005E4" w:rsidRPr="00793D78" w:rsidRDefault="009005E4" w:rsidP="009005E4">
            <w:pPr>
              <w:rPr>
                <w:sz w:val="14"/>
                <w:szCs w:val="14"/>
              </w:rPr>
            </w:pPr>
            <w:r w:rsidRPr="00793D78">
              <w:rPr>
                <w:sz w:val="14"/>
                <w:szCs w:val="14"/>
              </w:rPr>
              <w:t>Zdroj: ČSÚ</w:t>
            </w:r>
          </w:p>
        </w:tc>
      </w:tr>
      <w:tr w:rsidR="009005E4" w:rsidRPr="009110F7" w14:paraId="41EBF128" w14:textId="77777777" w:rsidTr="00C715CC">
        <w:trPr>
          <w:trHeight w:val="145"/>
        </w:trPr>
        <w:tc>
          <w:tcPr>
            <w:tcW w:w="1805" w:type="dxa"/>
            <w:shd w:val="clear" w:color="auto" w:fill="auto"/>
            <w:tcMar>
              <w:left w:w="0" w:type="dxa"/>
            </w:tcMar>
          </w:tcPr>
          <w:p w14:paraId="66A640F9" w14:textId="13840807" w:rsidR="009005E4" w:rsidRDefault="009005E4" w:rsidP="009005E4">
            <w:pPr>
              <w:pStyle w:val="Marginlie"/>
              <w:rPr>
                <w:spacing w:val="0"/>
              </w:rPr>
            </w:pPr>
            <w:r>
              <w:rPr>
                <w:spacing w:val="0"/>
              </w:rPr>
              <w:t>Meziroční růst spotřebitelských cen v EU ve 4. čtvrtletí zůstal mírný.</w:t>
            </w:r>
          </w:p>
        </w:tc>
        <w:tc>
          <w:tcPr>
            <w:tcW w:w="224" w:type="dxa"/>
            <w:shd w:val="clear" w:color="auto" w:fill="auto"/>
            <w:tcMar>
              <w:left w:w="0" w:type="dxa"/>
            </w:tcMar>
          </w:tcPr>
          <w:p w14:paraId="13176C9F" w14:textId="77777777" w:rsidR="009005E4" w:rsidRPr="00793D78" w:rsidRDefault="009005E4" w:rsidP="009005E4">
            <w:pPr>
              <w:pStyle w:val="Textpoznpodarou1"/>
              <w:jc w:val="both"/>
            </w:pPr>
          </w:p>
        </w:tc>
        <w:tc>
          <w:tcPr>
            <w:tcW w:w="7610" w:type="dxa"/>
            <w:shd w:val="clear" w:color="auto" w:fill="auto"/>
            <w:tcMar>
              <w:left w:w="0" w:type="dxa"/>
            </w:tcMar>
          </w:tcPr>
          <w:p w14:paraId="04AED347" w14:textId="3F1B8E1C" w:rsidR="009005E4" w:rsidRDefault="009005E4" w:rsidP="009005E4">
            <w:r>
              <w:t>Meziroční růst spotřebitelských cen mezi 2. a 3. čtvrtletím 2019 oslabil ve většině zemí EU. Ve 4. kvartálu pak v některých státech dále pokračovalo zpomalování. Celkem se loni spotřebitelské ceny v EU zvýšily o 1,5 % a ve 4. čtvrtletí přírůstek dosáhl 1,3 %. Nejvíce se ceny v roce 2019 zvýšily v Rumunsku (3,9 %), Maďarsku (3,4 %) a na Slovensku (2,8 %). Společným faktorem, který tlačil dynamiku cen vzhůru, byly potraviny a nealkoholické nápoje. V Rumunsku a Maďarsku silně působil také alkohol a tabák. Slovensko se podobně jako Česko potýkalo s výrazným růstem cen bydlení a energií (loni se ceny bydlení a energií v Česku zvýšily nejvíce v celé EU, Slovensko bylo třetí). Spotřebitelské ceny loni vzrostly ve všech zemích Unie, v osmi případech o méně než 1 %. Nejnižší přírůstek měly Portugalsko (0,3 %), Řecko (0,5 %) a Kypr (0,5 %). Ve 4. čtvrtletí bylo pořadí zemí, kde ceny meziročně rostly nejvýrazněji, stejné jako u celoročních výsledků – Rumunsko (3,7 %), Maďarsko (3,5 %), Slovensko (3,1 %). Česko se se 3,0% přírůstkem umístilo hned za nimi. Na jihu Evropy ceny v závěru roku meziročně stagnovaly – v Portugalsku a na Kypru růst dosáhl jen 0,2 %, v Itálii stejně jako v předchozím kvartálu 0,3 %. V Řecku růst dosáhl 0,4 % a ve Španělsku 0,5 %.</w:t>
            </w:r>
          </w:p>
        </w:tc>
      </w:tr>
      <w:tr w:rsidR="009005E4" w:rsidRPr="009110F7" w14:paraId="40796E88" w14:textId="77777777" w:rsidTr="00C715CC">
        <w:trPr>
          <w:trHeight w:val="145"/>
        </w:trPr>
        <w:tc>
          <w:tcPr>
            <w:tcW w:w="1805" w:type="dxa"/>
            <w:shd w:val="clear" w:color="auto" w:fill="auto"/>
            <w:tcMar>
              <w:left w:w="0" w:type="dxa"/>
            </w:tcMar>
          </w:tcPr>
          <w:p w14:paraId="138F6560" w14:textId="4BD2FD8A" w:rsidR="009005E4" w:rsidRDefault="009005E4" w:rsidP="009005E4">
            <w:pPr>
              <w:pStyle w:val="Marginlie"/>
              <w:rPr>
                <w:spacing w:val="0"/>
              </w:rPr>
            </w:pPr>
            <w:r>
              <w:rPr>
                <w:spacing w:val="0"/>
              </w:rPr>
              <w:t>Nabídkové ceny bytů loni rostly výrazněji mimo hlavní město.</w:t>
            </w:r>
          </w:p>
        </w:tc>
        <w:tc>
          <w:tcPr>
            <w:tcW w:w="224" w:type="dxa"/>
            <w:shd w:val="clear" w:color="auto" w:fill="auto"/>
            <w:tcMar>
              <w:left w:w="0" w:type="dxa"/>
            </w:tcMar>
          </w:tcPr>
          <w:p w14:paraId="7F30BF2E" w14:textId="77777777" w:rsidR="009005E4" w:rsidRPr="00793D78" w:rsidRDefault="009005E4" w:rsidP="009005E4">
            <w:pPr>
              <w:pStyle w:val="Textpoznpodarou1"/>
              <w:jc w:val="both"/>
            </w:pPr>
          </w:p>
        </w:tc>
        <w:tc>
          <w:tcPr>
            <w:tcW w:w="7610" w:type="dxa"/>
            <w:shd w:val="clear" w:color="auto" w:fill="auto"/>
            <w:tcMar>
              <w:left w:w="0" w:type="dxa"/>
            </w:tcMar>
          </w:tcPr>
          <w:p w14:paraId="0C234778" w14:textId="040C2D68" w:rsidR="009005E4" w:rsidRDefault="009005E4" w:rsidP="009005E4">
            <w:r>
              <w:t xml:space="preserve">Meziroční růst nabídkových cen bytů loni oslabil v porovnání s předchozími třemi lety. Celkem se nabídkové ceny bytů v ČR zvýšily o 5,9 %, z toho v Praze o 4,8 %. Vyšší </w:t>
            </w:r>
            <w:r>
              <w:lastRenderedPageBreak/>
              <w:t xml:space="preserve">tempo růstu mimo Prahu lze vysvětlit jednak zahrnutím jiných velkých měst (zejména Brna, Ostravy atd.), ale rovněž přelivem poptávky mimo oblast hlavního města. Ve 4. čtvrtletí se nabídkové ceny bytů meziročně zvýšily o 5,5 %, z toho v Praze o 3,0 %. Mimo Prahu zrychlil růst na 8,9 %. Realizované ceny starších bytů se loni zvýšily o 10,1 %, a ačkoli jejich meziroční dynamika během roku zpomalovala, ve 4. čtvrtletí přírůstek dosáhl 9,4 %. Ceny tak rostly více než v roce 2018, kdy výrazně zvolnilo do té doby závratné meziroční tempo. Dynamika realizovaných cen starších bytů v Praze se loni držela pod celorepublikovým průměrem (7,9 % za celý rok, 7,2 % ve 4. čtvrtletí). </w:t>
            </w:r>
          </w:p>
        </w:tc>
      </w:tr>
      <w:tr w:rsidR="009005E4" w:rsidRPr="009110F7" w14:paraId="221CA692" w14:textId="77777777" w:rsidTr="00C715CC">
        <w:trPr>
          <w:trHeight w:val="170"/>
        </w:trPr>
        <w:tc>
          <w:tcPr>
            <w:tcW w:w="1805" w:type="dxa"/>
            <w:vMerge w:val="restart"/>
            <w:shd w:val="clear" w:color="auto" w:fill="auto"/>
            <w:tcMar>
              <w:left w:w="0" w:type="dxa"/>
            </w:tcMar>
          </w:tcPr>
          <w:p w14:paraId="0D922A21" w14:textId="77777777" w:rsidR="009005E4" w:rsidRDefault="009005E4" w:rsidP="009005E4">
            <w:pPr>
              <w:pStyle w:val="Marginlie"/>
              <w:rPr>
                <w:spacing w:val="0"/>
              </w:rPr>
            </w:pPr>
          </w:p>
        </w:tc>
        <w:tc>
          <w:tcPr>
            <w:tcW w:w="224" w:type="dxa"/>
            <w:vMerge w:val="restart"/>
            <w:shd w:val="clear" w:color="auto" w:fill="auto"/>
            <w:tcMar>
              <w:left w:w="0" w:type="dxa"/>
            </w:tcMar>
          </w:tcPr>
          <w:p w14:paraId="3B66FBD8" w14:textId="77777777" w:rsidR="009005E4" w:rsidRPr="00793D78" w:rsidRDefault="009005E4" w:rsidP="009005E4">
            <w:pPr>
              <w:pStyle w:val="Textpoznpodarou1"/>
              <w:jc w:val="both"/>
            </w:pPr>
          </w:p>
        </w:tc>
        <w:tc>
          <w:tcPr>
            <w:tcW w:w="7610" w:type="dxa"/>
            <w:shd w:val="clear" w:color="auto" w:fill="auto"/>
            <w:tcMar>
              <w:left w:w="0" w:type="dxa"/>
            </w:tcMar>
          </w:tcPr>
          <w:p w14:paraId="78D86EB9" w14:textId="130D21E4" w:rsidR="009005E4" w:rsidRDefault="000767F5" w:rsidP="009005E4">
            <w:pPr>
              <w:spacing w:after="0"/>
            </w:pPr>
            <w:r>
              <w:rPr>
                <w:b/>
                <w:sz w:val="18"/>
                <w:szCs w:val="18"/>
                <w:lang w:eastAsia="en-US"/>
              </w:rPr>
              <w:t>Graf č. 10</w:t>
            </w:r>
            <w:r w:rsidR="009005E4" w:rsidRPr="00793D78">
              <w:rPr>
                <w:b/>
                <w:sz w:val="18"/>
                <w:szCs w:val="18"/>
                <w:lang w:eastAsia="en-US"/>
              </w:rPr>
              <w:t xml:space="preserve">  Ceny nemovitostí </w:t>
            </w:r>
            <w:r w:rsidR="009005E4" w:rsidRPr="009067EA">
              <w:rPr>
                <w:sz w:val="18"/>
                <w:szCs w:val="18"/>
                <w:lang w:eastAsia="en-US"/>
              </w:rPr>
              <w:t>(meziroční změna, v %)</w:t>
            </w:r>
          </w:p>
        </w:tc>
      </w:tr>
      <w:tr w:rsidR="009005E4" w:rsidRPr="009110F7" w14:paraId="731BCD14" w14:textId="77777777" w:rsidTr="00E5539A">
        <w:tblPrEx>
          <w:tblCellMar>
            <w:left w:w="70" w:type="dxa"/>
            <w:right w:w="70" w:type="dxa"/>
          </w:tblCellMar>
        </w:tblPrEx>
        <w:trPr>
          <w:trHeight w:val="170"/>
        </w:trPr>
        <w:tc>
          <w:tcPr>
            <w:tcW w:w="1805" w:type="dxa"/>
            <w:vMerge/>
            <w:shd w:val="clear" w:color="auto" w:fill="auto"/>
          </w:tcPr>
          <w:p w14:paraId="402EF027" w14:textId="77777777" w:rsidR="009005E4" w:rsidRDefault="009005E4" w:rsidP="009005E4">
            <w:pPr>
              <w:pStyle w:val="Marginlie"/>
              <w:rPr>
                <w:spacing w:val="0"/>
              </w:rPr>
            </w:pPr>
          </w:p>
        </w:tc>
        <w:tc>
          <w:tcPr>
            <w:tcW w:w="224" w:type="dxa"/>
            <w:vMerge/>
            <w:shd w:val="clear" w:color="auto" w:fill="auto"/>
          </w:tcPr>
          <w:p w14:paraId="63BFDC16" w14:textId="77777777" w:rsidR="009005E4" w:rsidRPr="00793D78" w:rsidRDefault="009005E4" w:rsidP="009005E4">
            <w:pPr>
              <w:pStyle w:val="Textpoznpodarou1"/>
              <w:jc w:val="both"/>
            </w:pPr>
          </w:p>
        </w:tc>
        <w:tc>
          <w:tcPr>
            <w:tcW w:w="7610" w:type="dxa"/>
            <w:shd w:val="clear" w:color="auto" w:fill="auto"/>
          </w:tcPr>
          <w:p w14:paraId="526B229D" w14:textId="5DB5415B" w:rsidR="009005E4" w:rsidRDefault="009005E4" w:rsidP="009005E4">
            <w:r>
              <w:rPr>
                <w:noProof/>
              </w:rPr>
              <w:drawing>
                <wp:inline distT="0" distB="0" distL="0" distR="0" wp14:anchorId="0D993B2B" wp14:editId="4A7FA4CE">
                  <wp:extent cx="4737600" cy="3553200"/>
                  <wp:effectExtent l="0" t="0" r="6350" b="0"/>
                  <wp:docPr id="4" name="Graf 4">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9005E4" w:rsidRPr="009110F7" w14:paraId="471AD821" w14:textId="77777777" w:rsidTr="00C715CC">
        <w:trPr>
          <w:trHeight w:val="170"/>
        </w:trPr>
        <w:tc>
          <w:tcPr>
            <w:tcW w:w="1805" w:type="dxa"/>
            <w:vMerge/>
            <w:shd w:val="clear" w:color="auto" w:fill="auto"/>
            <w:tcMar>
              <w:left w:w="0" w:type="dxa"/>
            </w:tcMar>
          </w:tcPr>
          <w:p w14:paraId="0C9775A0" w14:textId="77777777" w:rsidR="009005E4" w:rsidRDefault="009005E4" w:rsidP="009005E4">
            <w:pPr>
              <w:pStyle w:val="Marginlie"/>
              <w:rPr>
                <w:spacing w:val="0"/>
              </w:rPr>
            </w:pPr>
          </w:p>
        </w:tc>
        <w:tc>
          <w:tcPr>
            <w:tcW w:w="224" w:type="dxa"/>
            <w:vMerge/>
            <w:shd w:val="clear" w:color="auto" w:fill="auto"/>
            <w:tcMar>
              <w:left w:w="0" w:type="dxa"/>
            </w:tcMar>
          </w:tcPr>
          <w:p w14:paraId="29882A42" w14:textId="77777777" w:rsidR="009005E4" w:rsidRPr="00793D78" w:rsidRDefault="009005E4" w:rsidP="009005E4">
            <w:pPr>
              <w:pStyle w:val="Textpoznpodarou1"/>
              <w:jc w:val="both"/>
            </w:pPr>
          </w:p>
        </w:tc>
        <w:tc>
          <w:tcPr>
            <w:tcW w:w="7610" w:type="dxa"/>
            <w:shd w:val="clear" w:color="auto" w:fill="auto"/>
            <w:tcMar>
              <w:left w:w="0" w:type="dxa"/>
            </w:tcMar>
          </w:tcPr>
          <w:p w14:paraId="67C9E31E" w14:textId="0F538720" w:rsidR="009005E4" w:rsidRDefault="009005E4" w:rsidP="009005E4">
            <w:r w:rsidRPr="00793D78">
              <w:rPr>
                <w:sz w:val="14"/>
                <w:szCs w:val="14"/>
              </w:rPr>
              <w:t>Zdroj: ČSÚ</w:t>
            </w:r>
          </w:p>
        </w:tc>
      </w:tr>
      <w:tr w:rsidR="009005E4" w:rsidRPr="009110F7" w14:paraId="6B4E0C32" w14:textId="77777777" w:rsidTr="00C715CC">
        <w:trPr>
          <w:trHeight w:val="145"/>
        </w:trPr>
        <w:tc>
          <w:tcPr>
            <w:tcW w:w="1805" w:type="dxa"/>
            <w:shd w:val="clear" w:color="auto" w:fill="auto"/>
            <w:tcMar>
              <w:left w:w="0" w:type="dxa"/>
            </w:tcMar>
          </w:tcPr>
          <w:p w14:paraId="6BE248D8" w14:textId="74CDE164" w:rsidR="009005E4" w:rsidRPr="00793D78" w:rsidRDefault="009005E4" w:rsidP="009005E4">
            <w:pPr>
              <w:pStyle w:val="Marginlie"/>
              <w:rPr>
                <w:spacing w:val="0"/>
              </w:rPr>
            </w:pPr>
            <w:r>
              <w:rPr>
                <w:spacing w:val="0"/>
              </w:rPr>
              <w:t>Ceny průmyslových výrobců ve 4. čtvrtletí rostly nižším tempem než ve zbytku roku.</w:t>
            </w:r>
          </w:p>
        </w:tc>
        <w:tc>
          <w:tcPr>
            <w:tcW w:w="224" w:type="dxa"/>
            <w:shd w:val="clear" w:color="auto" w:fill="auto"/>
            <w:tcMar>
              <w:left w:w="0" w:type="dxa"/>
            </w:tcMar>
          </w:tcPr>
          <w:p w14:paraId="63118505" w14:textId="77777777" w:rsidR="009005E4" w:rsidRPr="00793D78" w:rsidRDefault="009005E4" w:rsidP="009005E4">
            <w:pPr>
              <w:pStyle w:val="Textpoznpodarou1"/>
              <w:jc w:val="both"/>
            </w:pPr>
          </w:p>
        </w:tc>
        <w:tc>
          <w:tcPr>
            <w:tcW w:w="7610" w:type="dxa"/>
            <w:shd w:val="clear" w:color="auto" w:fill="auto"/>
            <w:tcMar>
              <w:left w:w="0" w:type="dxa"/>
            </w:tcMar>
          </w:tcPr>
          <w:p w14:paraId="32290914" w14:textId="2EAD3135" w:rsidR="009005E4" w:rsidRDefault="009005E4" w:rsidP="009005E4">
            <w:r>
              <w:t>Ceny průmyslových výrobců ve 4. čtvrtletí meziročně vzrostly o 1,3 %. To je výrazně méně než v předchozím kvartálu (2,0 %) a 1. pololetí roku 2019 (3,5 %). Důvodem propadu meziročního tempa byl mimo jiné meziroční pokles cen zpracovatelského průmyslu (–0,1 %), které zejména v 1. pololetí tvořily základ růstu celého indexu. Nejvýrazněji ve směru poklesu působily ceny koksu a rafinovaných ropných výrobků</w:t>
            </w:r>
            <w:r>
              <w:rPr>
                <w:rStyle w:val="Znakapoznpodarou"/>
              </w:rPr>
              <w:footnoteReference w:id="51"/>
            </w:r>
            <w:r>
              <w:t xml:space="preserve">, dále chemické látky a výrobky (pokles o 6,0 %), obecné kovy a kovodělné výrobky </w:t>
            </w:r>
            <w:r>
              <w:br/>
              <w:t xml:space="preserve">(–1,6 %) a dopravní prostředky (–1,0 %). Naopak silně </w:t>
            </w:r>
            <w:proofErr w:type="spellStart"/>
            <w:r>
              <w:t>prorůstově</w:t>
            </w:r>
            <w:proofErr w:type="spellEnd"/>
            <w:r>
              <w:t xml:space="preserve"> působily potravinářské výrobky, nápoje a tabák (meziroční přírůstek 3,7 %) a dále nábytek a ostatní výrobky zpracovatelského průmyslu (4,6 %). Poměrně silný byl i růst cen textilu, oděvů a usní (3,4 %). Meziroční přírůstek cen těžby a dobývání ve 4. čtvrtletí také zvolnil (na 3,7 %). Naopak posílila dynamika cen elektřiny, plynu, páry a klimatizovaného vzduchu (8,3 %).</w:t>
            </w:r>
          </w:p>
        </w:tc>
      </w:tr>
      <w:tr w:rsidR="009005E4" w:rsidRPr="009110F7" w14:paraId="40351871" w14:textId="77777777" w:rsidTr="00C715CC">
        <w:trPr>
          <w:trHeight w:val="145"/>
        </w:trPr>
        <w:tc>
          <w:tcPr>
            <w:tcW w:w="1805" w:type="dxa"/>
            <w:shd w:val="clear" w:color="auto" w:fill="auto"/>
            <w:tcMar>
              <w:left w:w="0" w:type="dxa"/>
            </w:tcMar>
          </w:tcPr>
          <w:p w14:paraId="2C36C264" w14:textId="0EEEEB1B" w:rsidR="009005E4" w:rsidRPr="00793D78" w:rsidRDefault="009005E4" w:rsidP="009005E4">
            <w:pPr>
              <w:pStyle w:val="Marginlie"/>
              <w:rPr>
                <w:spacing w:val="0"/>
              </w:rPr>
            </w:pPr>
            <w:r>
              <w:rPr>
                <w:spacing w:val="0"/>
              </w:rPr>
              <w:t>Ceny průmyslových výrobců byly ovlivněny rostoucími cenami elektřiny.</w:t>
            </w:r>
          </w:p>
        </w:tc>
        <w:tc>
          <w:tcPr>
            <w:tcW w:w="224" w:type="dxa"/>
            <w:shd w:val="clear" w:color="auto" w:fill="auto"/>
            <w:tcMar>
              <w:left w:w="0" w:type="dxa"/>
            </w:tcMar>
          </w:tcPr>
          <w:p w14:paraId="4BCC4347" w14:textId="77777777" w:rsidR="009005E4" w:rsidRPr="00793D78" w:rsidRDefault="009005E4" w:rsidP="009005E4">
            <w:pPr>
              <w:pStyle w:val="Textpoznpodarou1"/>
              <w:jc w:val="both"/>
            </w:pPr>
          </w:p>
        </w:tc>
        <w:tc>
          <w:tcPr>
            <w:tcW w:w="7610" w:type="dxa"/>
            <w:shd w:val="clear" w:color="auto" w:fill="auto"/>
            <w:tcMar>
              <w:left w:w="0" w:type="dxa"/>
            </w:tcMar>
          </w:tcPr>
          <w:p w14:paraId="763DE989" w14:textId="5F715E9F" w:rsidR="009005E4" w:rsidRDefault="009005E4" w:rsidP="009005E4">
            <w:r>
              <w:t xml:space="preserve">V roce 2019 dosáhl přírůstek cen průmyslových výrobců 2,6 %. Šlo o nejvyšší hodnotu od roku 2011. K růstu stejnou měrou přispěly dvě sekce. Tou první byly výrobky a služby zpracovatelského průmyslu, které tvoří výraznou většinu domácí výroby. Jejich ceny se loni zvýšily o 1,5 %. Dalším výrazným hybatelem vývoje indexu cen výrobců byly ceny elektřiny, plynu, páry a klimatizovaného vzduchu, které nižší váhu </w:t>
            </w:r>
            <w:r>
              <w:lastRenderedPageBreak/>
              <w:t>v českém průmyslu nahrazovaly velmi vysokým růstem (8,0 %). Ceny těžby a dobývání loni vzrostly o 6,4 %, hlavně pod vlivem černého a hnědého uhlí a lignitu (8,5 %), ale také kamene, písku a jílu (5,1 %). Ceny elektřiny, plynu, páry a klimatizovaného vzduchu byly zcela ovlivněny prudkým růstem u elektřiny (22,7 %), přitom náklady na samotný přenos a rozvod elektřiny mírně klesly (–1,1 %). O 2,9 % se zvýšily ceny zásobování vodou a služeb souvisejících s odpadními vodami.</w:t>
            </w:r>
          </w:p>
        </w:tc>
      </w:tr>
      <w:tr w:rsidR="009005E4" w:rsidRPr="009110F7" w14:paraId="4F9C0215" w14:textId="77777777" w:rsidTr="00C715CC">
        <w:trPr>
          <w:trHeight w:val="145"/>
        </w:trPr>
        <w:tc>
          <w:tcPr>
            <w:tcW w:w="1805" w:type="dxa"/>
            <w:shd w:val="clear" w:color="auto" w:fill="auto"/>
            <w:tcMar>
              <w:left w:w="0" w:type="dxa"/>
            </w:tcMar>
          </w:tcPr>
          <w:p w14:paraId="4FF781A3" w14:textId="2DC70A08" w:rsidR="009005E4" w:rsidRPr="00793D78" w:rsidRDefault="009005E4" w:rsidP="009005E4">
            <w:pPr>
              <w:pStyle w:val="Marginlie"/>
              <w:rPr>
                <w:spacing w:val="0"/>
              </w:rPr>
            </w:pPr>
            <w:r>
              <w:rPr>
                <w:spacing w:val="0"/>
              </w:rPr>
              <w:lastRenderedPageBreak/>
              <w:t>Potravinářské výrobky byly jednou ze skupin, u kterých ceny rostly nejrychleji.</w:t>
            </w:r>
          </w:p>
        </w:tc>
        <w:tc>
          <w:tcPr>
            <w:tcW w:w="224" w:type="dxa"/>
            <w:shd w:val="clear" w:color="auto" w:fill="auto"/>
            <w:tcMar>
              <w:left w:w="0" w:type="dxa"/>
            </w:tcMar>
          </w:tcPr>
          <w:p w14:paraId="65353B34" w14:textId="77777777" w:rsidR="009005E4" w:rsidRPr="00793D78" w:rsidRDefault="009005E4" w:rsidP="009005E4">
            <w:pPr>
              <w:pStyle w:val="Textpoznpodarou1"/>
              <w:jc w:val="both"/>
            </w:pPr>
          </w:p>
        </w:tc>
        <w:tc>
          <w:tcPr>
            <w:tcW w:w="7610" w:type="dxa"/>
            <w:shd w:val="clear" w:color="auto" w:fill="auto"/>
            <w:tcMar>
              <w:left w:w="0" w:type="dxa"/>
            </w:tcMar>
          </w:tcPr>
          <w:p w14:paraId="462D36CC" w14:textId="5DC8F1A9" w:rsidR="009005E4" w:rsidRDefault="009005E4" w:rsidP="009005E4">
            <w:r>
              <w:t>Mezi výrobky zpracovatelského průmyslu po celý rok výrazně rostly ceny potravinářských výrobků, nápojů a tabáku (celkem o 3,5 %), zejména zpracované a konzervované maso a výrobky z masa (7,0 %), mlýnské a škrobárenské výrobky (6,4 %) a pekařské, cukrářské a jiné moučné výrobky (5,1 %). Poměrně silně se zvýšily ceny textilu, oděvů a usní (3,7 %), a to zejména kvůli oděvům (6,5 %). Dřevo, papír a tisk zdražily jen o 0,7 %. Stagnovaly ceny dřeva a výrobků z něj (0,4 %), klesly ceny papíru a papírových výrobků (–0,4 %). Růst ale zaznamenaly tiskařské a nahrávací služby (2,8 %). Pod vlivem klesajících cen ropy došlo ke snížení u chemických látek a výrobků (o 1,6 %). Ceny základních farmaceutických výrobků se zvýšily o 2,1 %. Pryžové a plastové výrobky a ostatní nekovové materiály zdražily o 2,9 %, přitom však u samotných pryžových a plastových výrobků byl zaznamenán pokles o 0,2 %. Rostly zejména ceny ostatních nekovových minerálních výrobků (6,7 %), především výrobků používaných ve stavebnictví</w:t>
            </w:r>
            <w:r>
              <w:rPr>
                <w:rStyle w:val="Znakapoznpodarou"/>
              </w:rPr>
              <w:footnoteReference w:id="52"/>
            </w:r>
            <w:r>
              <w:t>. Jen mírně rostly ceny obecných kovů a kovodělných výrobků (0,8 %), počítačů, elektronických a optických přístrojů (1,9 %) a stagnovaly ceny elektrických zařízení (0,2 %). Ceny strojů a zařízení se zvýšily o 2,0 %. Jen drobné zvýšení ale zaznamenaly dopravní prostředky (0,2 %). Nábytek a ostatní výrobky zpracovatelského průmyslu celkem zdražily o 4,3 %. Ceny nábytku vzrostly o 1,7 %, ale opravy, údržba a instalace strojů a zařízení o 4,9 %.</w:t>
            </w:r>
          </w:p>
        </w:tc>
      </w:tr>
      <w:tr w:rsidR="009005E4" w:rsidRPr="009110F7" w14:paraId="2EA0DD6B" w14:textId="77777777" w:rsidTr="00C715CC">
        <w:trPr>
          <w:trHeight w:val="170"/>
        </w:trPr>
        <w:tc>
          <w:tcPr>
            <w:tcW w:w="1805" w:type="dxa"/>
            <w:vMerge w:val="restart"/>
            <w:shd w:val="clear" w:color="auto" w:fill="auto"/>
            <w:tcMar>
              <w:left w:w="0" w:type="dxa"/>
            </w:tcMar>
          </w:tcPr>
          <w:p w14:paraId="2F08AE88" w14:textId="77777777" w:rsidR="009005E4" w:rsidRDefault="009005E4" w:rsidP="009005E4">
            <w:pPr>
              <w:pStyle w:val="Marginlie"/>
              <w:rPr>
                <w:spacing w:val="0"/>
              </w:rPr>
            </w:pPr>
          </w:p>
        </w:tc>
        <w:tc>
          <w:tcPr>
            <w:tcW w:w="224" w:type="dxa"/>
            <w:vMerge w:val="restart"/>
            <w:shd w:val="clear" w:color="auto" w:fill="auto"/>
            <w:tcMar>
              <w:left w:w="0" w:type="dxa"/>
            </w:tcMar>
          </w:tcPr>
          <w:p w14:paraId="7B1C5525" w14:textId="77777777" w:rsidR="009005E4" w:rsidRPr="00793D78" w:rsidRDefault="009005E4" w:rsidP="009005E4">
            <w:pPr>
              <w:pStyle w:val="Textpoznpodarou1"/>
              <w:jc w:val="both"/>
              <w:rPr>
                <w:highlight w:val="yellow"/>
              </w:rPr>
            </w:pPr>
          </w:p>
        </w:tc>
        <w:tc>
          <w:tcPr>
            <w:tcW w:w="7610" w:type="dxa"/>
            <w:shd w:val="clear" w:color="auto" w:fill="auto"/>
            <w:tcMar>
              <w:left w:w="0" w:type="dxa"/>
            </w:tcMar>
          </w:tcPr>
          <w:p w14:paraId="08FB600F" w14:textId="07DC349B" w:rsidR="009005E4" w:rsidRPr="00D75AC1" w:rsidRDefault="000767F5" w:rsidP="009005E4">
            <w:pPr>
              <w:spacing w:after="0"/>
              <w:rPr>
                <w:b/>
                <w:szCs w:val="20"/>
              </w:rPr>
            </w:pPr>
            <w:r>
              <w:rPr>
                <w:b/>
                <w:sz w:val="18"/>
                <w:szCs w:val="18"/>
              </w:rPr>
              <w:t>Graf č. 11</w:t>
            </w:r>
            <w:r w:rsidR="009005E4" w:rsidRPr="00793D78">
              <w:rPr>
                <w:b/>
                <w:sz w:val="18"/>
                <w:szCs w:val="18"/>
              </w:rPr>
              <w:t xml:space="preserve">  </w:t>
            </w:r>
            <w:r w:rsidR="009005E4" w:rsidRPr="00793D78">
              <w:rPr>
                <w:b/>
                <w:sz w:val="18"/>
                <w:szCs w:val="18"/>
                <w:lang w:eastAsia="en-US"/>
              </w:rPr>
              <w:t xml:space="preserve">Ceny hlavních skupin průmyslových výrobců </w:t>
            </w:r>
            <w:r w:rsidR="009005E4" w:rsidRPr="009067EA">
              <w:rPr>
                <w:sz w:val="18"/>
                <w:szCs w:val="18"/>
                <w:lang w:eastAsia="en-US"/>
              </w:rPr>
              <w:t>(meziroční změna, v %, podle klasifikace CPA)</w:t>
            </w:r>
          </w:p>
        </w:tc>
      </w:tr>
      <w:tr w:rsidR="009005E4" w:rsidRPr="009110F7" w14:paraId="129684CB" w14:textId="77777777" w:rsidTr="00C715CC">
        <w:tblPrEx>
          <w:tblCellMar>
            <w:left w:w="70" w:type="dxa"/>
            <w:right w:w="70" w:type="dxa"/>
          </w:tblCellMar>
        </w:tblPrEx>
        <w:trPr>
          <w:trHeight w:val="170"/>
        </w:trPr>
        <w:tc>
          <w:tcPr>
            <w:tcW w:w="1805" w:type="dxa"/>
            <w:vMerge/>
            <w:shd w:val="clear" w:color="auto" w:fill="auto"/>
          </w:tcPr>
          <w:p w14:paraId="6C5B0DA9" w14:textId="77777777" w:rsidR="009005E4" w:rsidRPr="00793D78" w:rsidRDefault="009005E4" w:rsidP="009005E4">
            <w:pPr>
              <w:pStyle w:val="Marginlie"/>
              <w:rPr>
                <w:spacing w:val="0"/>
              </w:rPr>
            </w:pPr>
          </w:p>
        </w:tc>
        <w:tc>
          <w:tcPr>
            <w:tcW w:w="224" w:type="dxa"/>
            <w:vMerge/>
            <w:shd w:val="clear" w:color="auto" w:fill="auto"/>
          </w:tcPr>
          <w:p w14:paraId="7C280AA5" w14:textId="77777777" w:rsidR="009005E4" w:rsidRPr="00793D78" w:rsidRDefault="009005E4" w:rsidP="009005E4">
            <w:pPr>
              <w:pStyle w:val="Textpoznpodarou1"/>
              <w:jc w:val="both"/>
            </w:pPr>
          </w:p>
        </w:tc>
        <w:tc>
          <w:tcPr>
            <w:tcW w:w="7610" w:type="dxa"/>
            <w:shd w:val="clear" w:color="auto" w:fill="auto"/>
          </w:tcPr>
          <w:p w14:paraId="272D5EB1" w14:textId="504A4843" w:rsidR="009005E4" w:rsidRPr="00793D78" w:rsidRDefault="009005E4" w:rsidP="009005E4">
            <w:pPr>
              <w:spacing w:after="0"/>
            </w:pPr>
            <w:r>
              <w:rPr>
                <w:noProof/>
              </w:rPr>
              <w:drawing>
                <wp:inline distT="0" distB="0" distL="0" distR="0" wp14:anchorId="4CC30D4D" wp14:editId="71E23071">
                  <wp:extent cx="4737600" cy="3553200"/>
                  <wp:effectExtent l="0" t="0" r="6350" b="0"/>
                  <wp:docPr id="34" name="Graf 34">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9005E4" w:rsidRPr="009110F7" w14:paraId="1C612973" w14:textId="77777777" w:rsidTr="00C715CC">
        <w:trPr>
          <w:trHeight w:val="170"/>
        </w:trPr>
        <w:tc>
          <w:tcPr>
            <w:tcW w:w="1805" w:type="dxa"/>
            <w:vMerge/>
            <w:shd w:val="clear" w:color="auto" w:fill="auto"/>
            <w:tcMar>
              <w:left w:w="0" w:type="dxa"/>
            </w:tcMar>
          </w:tcPr>
          <w:p w14:paraId="33712714" w14:textId="77777777" w:rsidR="009005E4" w:rsidRPr="00793D78" w:rsidRDefault="009005E4" w:rsidP="009005E4">
            <w:pPr>
              <w:pStyle w:val="Marginlie"/>
              <w:rPr>
                <w:spacing w:val="0"/>
              </w:rPr>
            </w:pPr>
          </w:p>
        </w:tc>
        <w:tc>
          <w:tcPr>
            <w:tcW w:w="224" w:type="dxa"/>
            <w:vMerge/>
            <w:shd w:val="clear" w:color="auto" w:fill="auto"/>
            <w:tcMar>
              <w:left w:w="0" w:type="dxa"/>
            </w:tcMar>
          </w:tcPr>
          <w:p w14:paraId="16F5011C" w14:textId="77777777" w:rsidR="009005E4" w:rsidRPr="00793D78" w:rsidRDefault="009005E4" w:rsidP="009005E4">
            <w:pPr>
              <w:pStyle w:val="Textpoznpodarou1"/>
              <w:jc w:val="both"/>
            </w:pPr>
          </w:p>
        </w:tc>
        <w:tc>
          <w:tcPr>
            <w:tcW w:w="7610" w:type="dxa"/>
            <w:shd w:val="clear" w:color="auto" w:fill="auto"/>
            <w:tcMar>
              <w:left w:w="0" w:type="dxa"/>
            </w:tcMar>
          </w:tcPr>
          <w:p w14:paraId="503856A7" w14:textId="1AE31B8B" w:rsidR="009005E4" w:rsidRPr="00793D78" w:rsidRDefault="009005E4" w:rsidP="009005E4">
            <w:r w:rsidRPr="00793D78">
              <w:rPr>
                <w:sz w:val="14"/>
                <w:szCs w:val="14"/>
              </w:rPr>
              <w:t>Zdroj: ČSÚ</w:t>
            </w:r>
          </w:p>
        </w:tc>
      </w:tr>
      <w:tr w:rsidR="009005E4" w:rsidRPr="009110F7" w14:paraId="67DF58B4" w14:textId="77777777" w:rsidTr="00C715CC">
        <w:trPr>
          <w:trHeight w:val="145"/>
        </w:trPr>
        <w:tc>
          <w:tcPr>
            <w:tcW w:w="1805" w:type="dxa"/>
            <w:shd w:val="clear" w:color="auto" w:fill="auto"/>
            <w:tcMar>
              <w:left w:w="0" w:type="dxa"/>
            </w:tcMar>
          </w:tcPr>
          <w:p w14:paraId="567FE004" w14:textId="5E21EF30" w:rsidR="009005E4" w:rsidRDefault="009005E4" w:rsidP="009005E4">
            <w:pPr>
              <w:pStyle w:val="Marginlie"/>
              <w:rPr>
                <w:spacing w:val="0"/>
              </w:rPr>
            </w:pPr>
            <w:r>
              <w:rPr>
                <w:spacing w:val="0"/>
              </w:rPr>
              <w:lastRenderedPageBreak/>
              <w:t>Ceny ropy negativně ovlivňovaly vývoj cen výrobců v EU.</w:t>
            </w:r>
          </w:p>
        </w:tc>
        <w:tc>
          <w:tcPr>
            <w:tcW w:w="224" w:type="dxa"/>
            <w:shd w:val="clear" w:color="auto" w:fill="auto"/>
            <w:tcMar>
              <w:left w:w="0" w:type="dxa"/>
            </w:tcMar>
          </w:tcPr>
          <w:p w14:paraId="02C1DEFC" w14:textId="77777777" w:rsidR="009005E4" w:rsidRPr="00793D78" w:rsidRDefault="009005E4" w:rsidP="009005E4">
            <w:pPr>
              <w:pStyle w:val="Textpoznpodarou1"/>
              <w:jc w:val="both"/>
            </w:pPr>
          </w:p>
        </w:tc>
        <w:tc>
          <w:tcPr>
            <w:tcW w:w="7610" w:type="dxa"/>
            <w:shd w:val="clear" w:color="auto" w:fill="auto"/>
            <w:tcMar>
              <w:left w:w="0" w:type="dxa"/>
            </w:tcMar>
          </w:tcPr>
          <w:p w14:paraId="629421BE" w14:textId="319D8107" w:rsidR="009005E4" w:rsidRDefault="009005E4" w:rsidP="009005E4">
            <w:r>
              <w:t>Ceny průmyslových výrobců v EU se v roce 2019 zvýšily o 0,9 %. Poměrně nízký přírůstek byl způsoben meziročním propadem cen ve 2. pololetí roku, zejména pod vlivem cen ropy, které byly v uvedeném období výrazně pod úrovní předchozího roku. Projevilo se to na loňském propadu cen těžby a dobývání o 2,8 % a dále na cenách ve zpracovatelském průmyslu, které se zvýšily jen o 0,9 %, hlavně kvůli stagnaci ve 2. pololetí. O 2,4 % se loni zvýšily ceny elektřiny, plynu, páry a klimatizovaného vzduchu. Po silných meziročních nárůstech v 1. pololetí se dynamika neudržela a ceny v této sekci se propadaly (na rozdíl od Česka, kde se udržoval velmi silný růst). Ceny výrobců loni nejvýrazněji vzrostly v Rumunsku (5,0 %), Maďarsku (3,9 %) a Bulharsku (3,8 %). Pokles nastal u cen výrobců v Portugalsku (–0,9 %), v Dánsku (–0,6 %) a Španělsku (–0,5 %).</w:t>
            </w:r>
          </w:p>
        </w:tc>
      </w:tr>
      <w:tr w:rsidR="009005E4" w:rsidRPr="009110F7" w14:paraId="6B93A0A8" w14:textId="77777777" w:rsidTr="00C715CC">
        <w:trPr>
          <w:trHeight w:val="145"/>
        </w:trPr>
        <w:tc>
          <w:tcPr>
            <w:tcW w:w="1805" w:type="dxa"/>
            <w:shd w:val="clear" w:color="auto" w:fill="auto"/>
            <w:tcMar>
              <w:left w:w="0" w:type="dxa"/>
            </w:tcMar>
          </w:tcPr>
          <w:p w14:paraId="7E5AEAB2" w14:textId="78F19244" w:rsidR="009005E4" w:rsidRPr="00793D78" w:rsidRDefault="009005E4" w:rsidP="009005E4">
            <w:pPr>
              <w:pStyle w:val="Marginlie"/>
              <w:rPr>
                <w:spacing w:val="0"/>
              </w:rPr>
            </w:pPr>
            <w:r>
              <w:rPr>
                <w:spacing w:val="0"/>
              </w:rPr>
              <w:t>Ceny tržních služeb ovlivňovala vysoká dynamika mzdových nákladů.</w:t>
            </w:r>
          </w:p>
        </w:tc>
        <w:tc>
          <w:tcPr>
            <w:tcW w:w="224" w:type="dxa"/>
            <w:shd w:val="clear" w:color="auto" w:fill="auto"/>
            <w:tcMar>
              <w:left w:w="0" w:type="dxa"/>
            </w:tcMar>
          </w:tcPr>
          <w:p w14:paraId="00EAB1CB" w14:textId="77777777" w:rsidR="009005E4" w:rsidRPr="00793D78" w:rsidRDefault="009005E4" w:rsidP="009005E4">
            <w:pPr>
              <w:pStyle w:val="Textpoznpodarou1"/>
              <w:jc w:val="both"/>
            </w:pPr>
          </w:p>
        </w:tc>
        <w:tc>
          <w:tcPr>
            <w:tcW w:w="7610" w:type="dxa"/>
            <w:shd w:val="clear" w:color="auto" w:fill="auto"/>
            <w:tcMar>
              <w:left w:w="0" w:type="dxa"/>
            </w:tcMar>
          </w:tcPr>
          <w:p w14:paraId="46B3676D" w14:textId="1DC7BAD7" w:rsidR="009005E4" w:rsidRPr="00793D78" w:rsidRDefault="009005E4" w:rsidP="009005E4">
            <w:r>
              <w:t xml:space="preserve">Ceny tržních služeb se ve 4. čtvrtletí meziročně zvýšily o 2,3 %. Jejich dynamika tak mírně zvolnila v porovnání s 1. až 3. čtvrtletím roku. Nejvíce k růstu přispěly ceny služeb v oblasti programování a poradenství (meziroční růst o 4,9 %), dále pozemní a potrubní doprava (2,2 %) a pojištění, zajištění a penzijní financování (5,6 %). Zpomalení celkového růstu bylo způsobeno redukcí tempa u některých důležitých služeb – například cen reklamních služeb a průzkumu trhu (z 5,5 % ve 3. čtvrtletí na 3,6 % ve 4. čtvrtletí) nebo architektonických a inženýrských služeb (z 1,6 % na </w:t>
            </w:r>
            <w:r>
              <w:br/>
              <w:t>–0,2 %). Za celý rok 2019 se ceny tržních služeb zvýšily o 2,6 %, nejvíce od roku 2008. Zrychlení dynamiky bylo spojeno zejména se stále silně rostoucími mzdovými náklady, které se do cen služeb promítaly napříč celou ekonomikou. To je přímo vidět na službách v oblasti zaměstnání, jejichž ceny se loni zvýšily o 9,2 % (zpomalení oproti roku 2018 bylo jen drobné). Nejvíce k celkovému růstu loni přispěly ceny pozemní a potrubní dopravy (vzrostly o 2,4 %, hlavně kvůli cenám železniční nákladní dopravy), dále služby v oblasti programování (4,2 %), pojištění, zajištění a penzijní financování (6,5 %). Výrazný příspěvek měly rovněž reklamní služby a průzkum trhu (4,5 %). Pokles cen se odehrál jen u skladování a podpůrných služeb v dopravě (–1,5 %).</w:t>
            </w:r>
          </w:p>
        </w:tc>
      </w:tr>
      <w:tr w:rsidR="009005E4" w:rsidRPr="009110F7" w14:paraId="58470AB7" w14:textId="77777777" w:rsidTr="00C715CC">
        <w:trPr>
          <w:trHeight w:val="145"/>
        </w:trPr>
        <w:tc>
          <w:tcPr>
            <w:tcW w:w="1805" w:type="dxa"/>
            <w:shd w:val="clear" w:color="auto" w:fill="auto"/>
            <w:tcMar>
              <w:left w:w="0" w:type="dxa"/>
            </w:tcMar>
          </w:tcPr>
          <w:p w14:paraId="19872D18" w14:textId="41A4ACDC" w:rsidR="009005E4" w:rsidRPr="00793D78" w:rsidRDefault="009005E4" w:rsidP="009005E4">
            <w:pPr>
              <w:pStyle w:val="Marginlie"/>
              <w:rPr>
                <w:spacing w:val="0"/>
              </w:rPr>
            </w:pPr>
            <w:r>
              <w:rPr>
                <w:spacing w:val="0"/>
              </w:rPr>
              <w:t>Ceny zemědělských výrobců ve 4. čtvrtletí klesly. Zrychlil růst cen prasat.</w:t>
            </w:r>
          </w:p>
        </w:tc>
        <w:tc>
          <w:tcPr>
            <w:tcW w:w="224" w:type="dxa"/>
            <w:shd w:val="clear" w:color="auto" w:fill="auto"/>
            <w:tcMar>
              <w:left w:w="0" w:type="dxa"/>
            </w:tcMar>
          </w:tcPr>
          <w:p w14:paraId="71D9A019" w14:textId="77777777" w:rsidR="009005E4" w:rsidRPr="00793D78" w:rsidRDefault="009005E4" w:rsidP="009005E4">
            <w:pPr>
              <w:pStyle w:val="Textpoznpodarou1"/>
              <w:jc w:val="both"/>
            </w:pPr>
          </w:p>
        </w:tc>
        <w:tc>
          <w:tcPr>
            <w:tcW w:w="7610" w:type="dxa"/>
            <w:shd w:val="clear" w:color="auto" w:fill="auto"/>
            <w:tcMar>
              <w:left w:w="0" w:type="dxa"/>
            </w:tcMar>
          </w:tcPr>
          <w:p w14:paraId="44DFC9A1" w14:textId="3B46CA8D" w:rsidR="009005E4" w:rsidRPr="00CB64E1" w:rsidRDefault="009005E4" w:rsidP="009005E4">
            <w:pPr>
              <w:rPr>
                <w:spacing w:val="-2"/>
              </w:rPr>
            </w:pPr>
            <w:r>
              <w:rPr>
                <w:spacing w:val="-2"/>
              </w:rPr>
              <w:t>Ceny zemědělských výrobců ve 4. čtvrtletí 2019 meziročně poklesly o 1,6 %. Ceny rostlinné výroby klesly o 5,6 %. Propad nastal u obilovin (–9,5 %), a to napříč všemi druhy (pšenice –10,9 %, ječmen –6,0 %, kukuřice na zrno –9,5 %). Zčásti za to může vysoká srovnávací základna roku 2018, loňská lepší úroda vedla i k poklesu cen na nižší úroveň. Poklesly i ceny průmyslových plodin (–8,7 %), z toho olejnin o 4,5 % (kvůli máku, který zlevnil o 30,9 %) a cukrové řepy o 18,5 %. Růst cen brambor zvolnil na 9,4 %. Po propadu v sezóně 2018 opět zdražilo ovoce (48,3 %), zejména jablka (49,3 %) a hrušky (43,6 %). Ceny živočišné výroby ve 4. čtvrtletí meziročně vzrostly o 5,6 %, zejména kvůli zrychlující dynamice cen prasat (30,9 % ve 4. čtvrtletí). Stagnovaly ceny mléka (0,1 %) a mírně rostly ceny vajec (3,4 %). Za celý rok 2019 se ceny zemědělské výroby zvýšily o 4,9 %. Přírůstku dosáhla rostlinná (5,9 %) i živočišná výroba (3,9 %). U rostlinné výroby dozníval vliv výsledků úrody z roku 2018, které byly horší ve srovnání s předchozími lety. Zdražila většina skupin plodin – obiloviny o 6,4 %, průmyslové plodiny o 1,7 %, krmné plodiny o 2,0 %, zelenina a zahradnické produkty o 6,8 %. Nejmarkantnější nárůst prodělaly ceny brambor (37,3 %), z toho konzumní brambory zdražily o 51,8 % a sadba o 16,5 %. Cenami živočišné výroby hýbala zejména veterinární situace</w:t>
            </w:r>
            <w:r>
              <w:rPr>
                <w:rStyle w:val="Znakapoznpodarou"/>
                <w:spacing w:val="-2"/>
              </w:rPr>
              <w:footnoteReference w:id="53"/>
            </w:r>
            <w:r>
              <w:rPr>
                <w:spacing w:val="-2"/>
              </w:rPr>
              <w:t>, která se promítala do cen prasat a selat (nárůst o 16,2 %). Ceny mléka se zvýšily o 2,7 % a ceny vajec klesly o 6,6 %.</w:t>
            </w:r>
          </w:p>
        </w:tc>
      </w:tr>
      <w:tr w:rsidR="009005E4" w:rsidRPr="009110F7" w14:paraId="27056E5D" w14:textId="77777777" w:rsidTr="00C715CC">
        <w:trPr>
          <w:trHeight w:val="145"/>
        </w:trPr>
        <w:tc>
          <w:tcPr>
            <w:tcW w:w="1805" w:type="dxa"/>
            <w:shd w:val="clear" w:color="auto" w:fill="auto"/>
            <w:tcMar>
              <w:left w:w="0" w:type="dxa"/>
            </w:tcMar>
          </w:tcPr>
          <w:p w14:paraId="3872F788" w14:textId="3D079E1D" w:rsidR="009005E4" w:rsidRPr="00793D78" w:rsidRDefault="009005E4" w:rsidP="009005E4">
            <w:pPr>
              <w:pStyle w:val="Marginlie"/>
              <w:rPr>
                <w:spacing w:val="0"/>
              </w:rPr>
            </w:pPr>
            <w:r>
              <w:rPr>
                <w:spacing w:val="0"/>
              </w:rPr>
              <w:t>Meziroční růst cen vývozu během roku postupně zpomaloval.</w:t>
            </w:r>
          </w:p>
        </w:tc>
        <w:tc>
          <w:tcPr>
            <w:tcW w:w="224" w:type="dxa"/>
            <w:shd w:val="clear" w:color="auto" w:fill="auto"/>
            <w:tcMar>
              <w:left w:w="0" w:type="dxa"/>
            </w:tcMar>
          </w:tcPr>
          <w:p w14:paraId="2D8EE936" w14:textId="77777777" w:rsidR="009005E4" w:rsidRPr="00793D78" w:rsidRDefault="009005E4" w:rsidP="009005E4">
            <w:pPr>
              <w:pStyle w:val="Textpoznpodarou1"/>
              <w:jc w:val="both"/>
            </w:pPr>
          </w:p>
        </w:tc>
        <w:tc>
          <w:tcPr>
            <w:tcW w:w="7610" w:type="dxa"/>
            <w:shd w:val="clear" w:color="auto" w:fill="auto"/>
            <w:tcMar>
              <w:left w:w="0" w:type="dxa"/>
            </w:tcMar>
          </w:tcPr>
          <w:p w14:paraId="5E95770F" w14:textId="6A44EE19" w:rsidR="009005E4" w:rsidRPr="00793D78" w:rsidRDefault="009005E4" w:rsidP="009005E4">
            <w:r>
              <w:t xml:space="preserve">Ceny vývozu loni vzrostly o 0,9 %. Meziroční dynamika ale v průběhu roku postupně zpomalovala a ve 4. čtvrtletí došlo k propadu o 1,4 %. V roce 2019 vzrostly ceny vývozu průmyslového spotřebního zboží (3,4 %), nápojů a tabáku (2,1 %), potravin </w:t>
            </w:r>
            <w:r>
              <w:lastRenderedPageBreak/>
              <w:t>a živých zvířat (1,7 %), strojů a dopravních prostředků (1,2 %) a polotovarů</w:t>
            </w:r>
            <w:r>
              <w:rPr>
                <w:rStyle w:val="Znakapoznpodarou"/>
              </w:rPr>
              <w:footnoteReference w:id="54"/>
            </w:r>
            <w:r>
              <w:t xml:space="preserve"> (0,4 %). Klesly ceny surovin – minerálních paliv (–2,0 %) i ostatních surovin</w:t>
            </w:r>
            <w:r>
              <w:rPr>
                <w:rStyle w:val="Znakapoznpodarou"/>
              </w:rPr>
              <w:footnoteReference w:id="55"/>
            </w:r>
            <w:r>
              <w:t xml:space="preserve"> (–5,6 %) a také chemikálií a příbuzných výrobků (–1,0 %). Ve 4. čtvrtletí se meziročně snižovaly ceny u většiny skupin výrobků. Největší propad zaznamenaly ostatní suroviny (–13,4 %), minerální paliva (–8,5 %) a chemikálie a příbuzné výrobky (–3,5 %). Nejvíce meziročně vzrostly ceny nápojů a tabáku (1,5 %) a průmyslového spotřebního zboží (1,1 %). Stagnovaly ceny strojů a dopravních prostředků (0,1 %).</w:t>
            </w:r>
          </w:p>
        </w:tc>
      </w:tr>
      <w:tr w:rsidR="009005E4" w:rsidRPr="009110F7" w14:paraId="417CA986" w14:textId="77777777" w:rsidTr="00C715CC">
        <w:trPr>
          <w:trHeight w:val="145"/>
        </w:trPr>
        <w:tc>
          <w:tcPr>
            <w:tcW w:w="1805" w:type="dxa"/>
            <w:shd w:val="clear" w:color="auto" w:fill="auto"/>
            <w:tcMar>
              <w:left w:w="0" w:type="dxa"/>
            </w:tcMar>
          </w:tcPr>
          <w:p w14:paraId="1667BF8D" w14:textId="01D96302" w:rsidR="009005E4" w:rsidRPr="00793D78" w:rsidRDefault="009005E4" w:rsidP="009005E4">
            <w:pPr>
              <w:pStyle w:val="Marginlie"/>
              <w:rPr>
                <w:spacing w:val="0"/>
              </w:rPr>
            </w:pPr>
            <w:r>
              <w:rPr>
                <w:spacing w:val="0"/>
              </w:rPr>
              <w:lastRenderedPageBreak/>
              <w:t>Ceny dovozu loni rostly poměrně slabě, a směnné relace tak byly kladné.</w:t>
            </w:r>
          </w:p>
        </w:tc>
        <w:tc>
          <w:tcPr>
            <w:tcW w:w="224" w:type="dxa"/>
            <w:shd w:val="clear" w:color="auto" w:fill="auto"/>
            <w:tcMar>
              <w:left w:w="0" w:type="dxa"/>
            </w:tcMar>
          </w:tcPr>
          <w:p w14:paraId="252C4EEE" w14:textId="77777777" w:rsidR="009005E4" w:rsidRPr="00793D78" w:rsidRDefault="009005E4" w:rsidP="009005E4">
            <w:pPr>
              <w:pStyle w:val="Textpoznpodarou1"/>
              <w:jc w:val="both"/>
            </w:pPr>
          </w:p>
        </w:tc>
        <w:tc>
          <w:tcPr>
            <w:tcW w:w="7610" w:type="dxa"/>
            <w:shd w:val="clear" w:color="auto" w:fill="auto"/>
            <w:tcMar>
              <w:left w:w="0" w:type="dxa"/>
            </w:tcMar>
          </w:tcPr>
          <w:p w14:paraId="2FDCB79C" w14:textId="00D2986B" w:rsidR="009005E4" w:rsidRDefault="009005E4" w:rsidP="009005E4">
            <w:r>
              <w:t xml:space="preserve">Ceny importu loni celkově rovněž vzrostly (0,3 %). Zvýšily se ceny dovozu ostatních surovin (6,9 %), </w:t>
            </w:r>
            <w:r w:rsidR="005A0A03">
              <w:t xml:space="preserve">potravin a </w:t>
            </w:r>
            <w:r>
              <w:t>živých zvířat (2,7 %), strojů a dopravních prostředků (1,6 %) a průmyslového spotřebního zboží (0,2 %). Výrazně loni klesly ceny nápojů a tabáku (–5,2 %) a rovněž minerálních paliv (–4,7 %). Mírně se snížily ceny chemikálií a příbuzných výrobků (–0,9 %) a polotovarů (–0,6 %). V samotném 4. čtvrtletí došlo u cen dovozu k meziročnímu propadu o 1,8 %. Nejsilnější pokles zaznamenala minerální paliva (–11,8 %), nápoje a tabák (–7,7 %) a chemikálie a příbuzné</w:t>
            </w:r>
            <w:r w:rsidR="005A0A03">
              <w:t xml:space="preserve"> </w:t>
            </w:r>
            <w:r>
              <w:t>výrobky</w:t>
            </w:r>
            <w:r w:rsidR="005A0A03">
              <w:t xml:space="preserve"> </w:t>
            </w:r>
            <w:r>
              <w:t xml:space="preserve">(–5,8 %). Poměrně silně rostly ceny dovezených potravin a živých zvířat (5,4 %). Směnné relace byly v roce 2019 celkově kladné (100,6 %). Kladně působily směnné relace obchodu s nápoji a tabákem (107,7 %), průmyslovým spotřebním zbožím (103,2 %), minerálními palivy (102,8 %) a polotovary (101,0 %). Naopak záporné byly směnné relace u ostatních surovin (88,3 %), potravin a živých zvířat (99,0 %), strojů a dopravních prostředků (99,6 %) a chemikálií a příbuzných výrobků (99,9 %). Ve 4. čtvrtletí činily směnné relace 100,4 %. Kladně působily zejména nápoje a tabák (110,0 %), minerální paliva (103,7 %) a chemikálie a příbuzné </w:t>
            </w:r>
            <w:r w:rsidR="005A0A03">
              <w:t>výrobky</w:t>
            </w:r>
            <w:r>
              <w:t xml:space="preserve"> (102,4 %). Záporně ovlivňovaly celkový index zejména směnné relace obchodu s ostatními surovinami (85,5 %).</w:t>
            </w:r>
          </w:p>
        </w:tc>
      </w:tr>
      <w:bookmarkEnd w:id="14"/>
    </w:tbl>
    <w:p w14:paraId="30526BB5" w14:textId="77777777" w:rsidR="00C715CC" w:rsidRDefault="00C715CC">
      <w:pPr>
        <w:spacing w:after="0" w:line="240" w:lineRule="auto"/>
        <w:jc w:val="left"/>
        <w:rPr>
          <w:rFonts w:eastAsia="MS Gothic"/>
          <w:b/>
          <w:bCs/>
          <w:color w:val="71818C"/>
          <w:sz w:val="32"/>
          <w:szCs w:val="28"/>
        </w:rPr>
      </w:pPr>
      <w:r>
        <w:br w:type="page"/>
      </w:r>
    </w:p>
    <w:p w14:paraId="5395AE40" w14:textId="77777777" w:rsidR="00485E82" w:rsidRPr="00B43216" w:rsidRDefault="00485E82" w:rsidP="00485E82">
      <w:pPr>
        <w:pStyle w:val="Nadpis11"/>
      </w:pPr>
      <w:bookmarkStart w:id="16" w:name="_Toc19090679"/>
      <w:bookmarkStart w:id="17" w:name="_Toc532558287"/>
      <w:bookmarkStart w:id="18" w:name="_Toc37403645"/>
      <w:r w:rsidRPr="00B43216">
        <w:lastRenderedPageBreak/>
        <w:t>6. Trh práce</w:t>
      </w:r>
      <w:bookmarkEnd w:id="16"/>
      <w:bookmarkEnd w:id="18"/>
    </w:p>
    <w:tbl>
      <w:tblPr>
        <w:tblW w:w="9664" w:type="dxa"/>
        <w:tblInd w:w="-30" w:type="dxa"/>
        <w:tblCellMar>
          <w:left w:w="0" w:type="dxa"/>
          <w:right w:w="0" w:type="dxa"/>
        </w:tblCellMar>
        <w:tblLook w:val="00A0" w:firstRow="1" w:lastRow="0" w:firstColumn="1" w:lastColumn="0" w:noHBand="0" w:noVBand="0"/>
      </w:tblPr>
      <w:tblGrid>
        <w:gridCol w:w="1792"/>
        <w:gridCol w:w="216"/>
        <w:gridCol w:w="7656"/>
      </w:tblGrid>
      <w:tr w:rsidR="00485E82" w:rsidRPr="00B43216" w14:paraId="1ABB41A2" w14:textId="77777777" w:rsidTr="009F4F6A">
        <w:trPr>
          <w:trHeight w:val="145"/>
        </w:trPr>
        <w:tc>
          <w:tcPr>
            <w:tcW w:w="1792" w:type="dxa"/>
            <w:shd w:val="clear" w:color="auto" w:fill="auto"/>
            <w:tcMar>
              <w:left w:w="0" w:type="dxa"/>
            </w:tcMar>
          </w:tcPr>
          <w:p w14:paraId="304AB6D3" w14:textId="77777777" w:rsidR="00485E82" w:rsidRDefault="00485E82" w:rsidP="00485E82">
            <w:pPr>
              <w:pStyle w:val="Marginlie"/>
            </w:pPr>
            <w:r>
              <w:t>Na trhu práce v ČR se ve druhé polovině roku začaly projevovat první symptomy hospodářského zpomalení. Poptávka po pracovnících však zůstala i přes korekce stále vysoká.</w:t>
            </w:r>
          </w:p>
        </w:tc>
        <w:tc>
          <w:tcPr>
            <w:tcW w:w="216" w:type="dxa"/>
            <w:shd w:val="clear" w:color="auto" w:fill="auto"/>
            <w:tcMar>
              <w:left w:w="0" w:type="dxa"/>
            </w:tcMar>
          </w:tcPr>
          <w:p w14:paraId="3D5493DF" w14:textId="77777777" w:rsidR="00485E82" w:rsidRPr="00B43216" w:rsidRDefault="00485E82" w:rsidP="00485E82">
            <w:pPr>
              <w:pStyle w:val="Textpoznpodarou"/>
              <w:jc w:val="both"/>
              <w:rPr>
                <w:spacing w:val="-4"/>
              </w:rPr>
            </w:pPr>
          </w:p>
        </w:tc>
        <w:tc>
          <w:tcPr>
            <w:tcW w:w="7656" w:type="dxa"/>
            <w:shd w:val="clear" w:color="auto" w:fill="auto"/>
            <w:tcMar>
              <w:left w:w="0" w:type="dxa"/>
            </w:tcMar>
          </w:tcPr>
          <w:p w14:paraId="70B995F8" w14:textId="77777777" w:rsidR="00485E82" w:rsidRPr="00A077CC" w:rsidRDefault="00485E82" w:rsidP="00485E82">
            <w:pPr>
              <w:rPr>
                <w:spacing w:val="-4"/>
              </w:rPr>
            </w:pPr>
            <w:r>
              <w:rPr>
                <w:spacing w:val="-4"/>
              </w:rPr>
              <w:t>Mírné z</w:t>
            </w:r>
            <w:r w:rsidRPr="00A077CC">
              <w:rPr>
                <w:spacing w:val="-4"/>
              </w:rPr>
              <w:t>pomalení hospodářského růstu v Česku, patrné ve druhé polovině roku 2019, se postupně začalo projevovat i</w:t>
            </w:r>
            <w:r>
              <w:rPr>
                <w:spacing w:val="-4"/>
              </w:rPr>
              <w:t> </w:t>
            </w:r>
            <w:r w:rsidRPr="00A077CC">
              <w:rPr>
                <w:spacing w:val="-4"/>
              </w:rPr>
              <w:t>na pracovním trhu. Růst zaměstnanosti se primárně vlivem vývoje v exportních odvětvích zastavil, nepřibývalo již ani volných pracovních míst a</w:t>
            </w:r>
            <w:r>
              <w:rPr>
                <w:spacing w:val="-4"/>
              </w:rPr>
              <w:t> </w:t>
            </w:r>
            <w:r w:rsidRPr="00A077CC">
              <w:rPr>
                <w:spacing w:val="-4"/>
              </w:rPr>
              <w:t xml:space="preserve">počet pracujících cizinců </w:t>
            </w:r>
            <w:r>
              <w:rPr>
                <w:spacing w:val="-4"/>
              </w:rPr>
              <w:t>se na</w:t>
            </w:r>
            <w:r w:rsidRPr="00A077CC">
              <w:rPr>
                <w:spacing w:val="-4"/>
              </w:rPr>
              <w:t> sa</w:t>
            </w:r>
            <w:r>
              <w:rPr>
                <w:spacing w:val="-4"/>
              </w:rPr>
              <w:t xml:space="preserve">mém konci roku </w:t>
            </w:r>
            <w:r w:rsidRPr="00A077CC">
              <w:rPr>
                <w:spacing w:val="-4"/>
              </w:rPr>
              <w:t>po dlouhé době mírně snížil. Ačkoli míra nezaměstnanosti zatím zůstala na rekordně nízkých hodnotách</w:t>
            </w:r>
            <w:r>
              <w:rPr>
                <w:spacing w:val="-4"/>
              </w:rPr>
              <w:t xml:space="preserve">, </w:t>
            </w:r>
            <w:r w:rsidRPr="00A077CC">
              <w:rPr>
                <w:spacing w:val="-4"/>
              </w:rPr>
              <w:t>s minimálními pohyby</w:t>
            </w:r>
            <w:r>
              <w:rPr>
                <w:spacing w:val="-4"/>
              </w:rPr>
              <w:t xml:space="preserve"> během</w:t>
            </w:r>
            <w:r w:rsidRPr="00A077CC">
              <w:rPr>
                <w:spacing w:val="-4"/>
              </w:rPr>
              <w:t xml:space="preserve"> roku</w:t>
            </w:r>
            <w:r>
              <w:rPr>
                <w:spacing w:val="-4"/>
              </w:rPr>
              <w:t xml:space="preserve">, </w:t>
            </w:r>
            <w:r w:rsidRPr="00A077CC">
              <w:rPr>
                <w:spacing w:val="-4"/>
              </w:rPr>
              <w:t xml:space="preserve">napětí </w:t>
            </w:r>
            <w:r>
              <w:rPr>
                <w:spacing w:val="-4"/>
              </w:rPr>
              <w:t>mezi nabídkou a poptávkou na trhu práce lehce</w:t>
            </w:r>
            <w:r w:rsidRPr="00A077CC">
              <w:rPr>
                <w:spacing w:val="-4"/>
              </w:rPr>
              <w:t xml:space="preserve"> polevilo. Odhlédneme</w:t>
            </w:r>
            <w:r>
              <w:rPr>
                <w:spacing w:val="-4"/>
              </w:rPr>
              <w:noBreakHyphen/>
            </w:r>
            <w:r w:rsidRPr="00A077CC">
              <w:rPr>
                <w:spacing w:val="-4"/>
              </w:rPr>
              <w:t>li od situace ve stavebnictví a</w:t>
            </w:r>
            <w:r>
              <w:rPr>
                <w:spacing w:val="-4"/>
              </w:rPr>
              <w:t> </w:t>
            </w:r>
            <w:r w:rsidRPr="00A077CC">
              <w:rPr>
                <w:spacing w:val="-4"/>
              </w:rPr>
              <w:t>obchodu, mezi bariérami růstu podni</w:t>
            </w:r>
            <w:r>
              <w:rPr>
                <w:spacing w:val="-4"/>
              </w:rPr>
              <w:t>ků</w:t>
            </w:r>
            <w:r w:rsidRPr="00A077CC">
              <w:rPr>
                <w:spacing w:val="-4"/>
              </w:rPr>
              <w:t xml:space="preserve"> přestal dominovat nedostatek pracovní síly a</w:t>
            </w:r>
            <w:r>
              <w:rPr>
                <w:spacing w:val="-4"/>
              </w:rPr>
              <w:t> </w:t>
            </w:r>
            <w:r w:rsidRPr="00A077CC">
              <w:rPr>
                <w:spacing w:val="-4"/>
              </w:rPr>
              <w:t>naopak se zvýraznila role nedostatečné poptávky (v průmyslu, ale v menší míře i</w:t>
            </w:r>
            <w:r>
              <w:rPr>
                <w:spacing w:val="-4"/>
              </w:rPr>
              <w:t> </w:t>
            </w:r>
            <w:r w:rsidRPr="00A077CC">
              <w:rPr>
                <w:spacing w:val="-4"/>
              </w:rPr>
              <w:t>ve stavebnictví).</w:t>
            </w:r>
            <w:r>
              <w:rPr>
                <w:spacing w:val="-4"/>
              </w:rPr>
              <w:t xml:space="preserve"> Dynamika průměrných mezd během loňska plynule zvolňovala, na úrovni odvětví byl ale vývoj diferencovaný. Růst reálných zaměstnaneckých výdělků zmírnil citelněji, přesto zůstal srovnatelný s vrcholem konjunktury minulé dekády.</w:t>
            </w:r>
          </w:p>
        </w:tc>
      </w:tr>
      <w:tr w:rsidR="00485E82" w:rsidRPr="00B43216" w14:paraId="15514B5E" w14:textId="77777777" w:rsidTr="009F4F6A">
        <w:trPr>
          <w:trHeight w:val="145"/>
        </w:trPr>
        <w:tc>
          <w:tcPr>
            <w:tcW w:w="1792" w:type="dxa"/>
            <w:shd w:val="clear" w:color="auto" w:fill="auto"/>
            <w:tcMar>
              <w:left w:w="0" w:type="dxa"/>
            </w:tcMar>
          </w:tcPr>
          <w:p w14:paraId="1CD1A51E" w14:textId="77777777" w:rsidR="00485E82" w:rsidRDefault="00485E82" w:rsidP="00485E82">
            <w:pPr>
              <w:pStyle w:val="Marginlie"/>
            </w:pPr>
            <w:r>
              <w:t>Meziroční růst zaměstnanosti se na konci roku zastavil, poprvé po šesti letech. V Německu ani v EU ale dynamika zatím výrazněji nezvolňovala.</w:t>
            </w:r>
          </w:p>
          <w:p w14:paraId="31B82B65" w14:textId="77777777" w:rsidR="00485E82" w:rsidRDefault="00485E82" w:rsidP="00485E82">
            <w:pPr>
              <w:pStyle w:val="Marginlie"/>
            </w:pPr>
          </w:p>
          <w:p w14:paraId="01657DB7" w14:textId="77777777" w:rsidR="00485E82" w:rsidRDefault="00485E82" w:rsidP="00485E82">
            <w:pPr>
              <w:pStyle w:val="Marginlie"/>
            </w:pPr>
          </w:p>
          <w:p w14:paraId="2D94758D" w14:textId="77777777" w:rsidR="00485E82" w:rsidRDefault="00485E82" w:rsidP="00485E82">
            <w:pPr>
              <w:pStyle w:val="Marginlie"/>
            </w:pPr>
          </w:p>
          <w:p w14:paraId="336E722C" w14:textId="77777777" w:rsidR="00485E82" w:rsidRDefault="00485E82" w:rsidP="00485E82">
            <w:pPr>
              <w:pStyle w:val="Marginlie"/>
            </w:pPr>
            <w:r>
              <w:t>Pracovníků v průmyslu ubývalo, růst naopak generovalo stavebnictví a většina odvětví služeb.</w:t>
            </w:r>
          </w:p>
        </w:tc>
        <w:tc>
          <w:tcPr>
            <w:tcW w:w="216" w:type="dxa"/>
            <w:shd w:val="clear" w:color="auto" w:fill="auto"/>
            <w:tcMar>
              <w:left w:w="0" w:type="dxa"/>
            </w:tcMar>
          </w:tcPr>
          <w:p w14:paraId="2F1EE00F" w14:textId="77777777" w:rsidR="00485E82" w:rsidRPr="00B43216" w:rsidRDefault="00485E82" w:rsidP="00485E82">
            <w:pPr>
              <w:pStyle w:val="Textpoznpodarou"/>
              <w:jc w:val="both"/>
              <w:rPr>
                <w:spacing w:val="-4"/>
              </w:rPr>
            </w:pPr>
          </w:p>
        </w:tc>
        <w:tc>
          <w:tcPr>
            <w:tcW w:w="7656" w:type="dxa"/>
            <w:shd w:val="clear" w:color="auto" w:fill="auto"/>
            <w:tcMar>
              <w:left w:w="0" w:type="dxa"/>
            </w:tcMar>
          </w:tcPr>
          <w:p w14:paraId="4E866804" w14:textId="09D51F45" w:rsidR="00485E82" w:rsidRPr="00A077CC" w:rsidRDefault="00485E82" w:rsidP="00485E82">
            <w:pPr>
              <w:rPr>
                <w:spacing w:val="-4"/>
              </w:rPr>
            </w:pPr>
            <w:r w:rsidRPr="00A077CC">
              <w:rPr>
                <w:spacing w:val="-4"/>
              </w:rPr>
              <w:t>Počet všech pracujících</w:t>
            </w:r>
            <w:r w:rsidRPr="00A077CC">
              <w:rPr>
                <w:rStyle w:val="Znakapoznpodarou"/>
                <w:color w:val="0D0D0D" w:themeColor="text1" w:themeTint="F2"/>
                <w:spacing w:val="-4"/>
              </w:rPr>
              <w:footnoteReference w:id="56"/>
            </w:r>
            <w:r w:rsidRPr="00A077CC">
              <w:rPr>
                <w:spacing w:val="-4"/>
              </w:rPr>
              <w:t xml:space="preserve"> vzrostl v</w:t>
            </w:r>
            <w:r>
              <w:rPr>
                <w:spacing w:val="-4"/>
              </w:rPr>
              <w:t> </w:t>
            </w:r>
            <w:r w:rsidRPr="00A077CC">
              <w:rPr>
                <w:spacing w:val="-4"/>
              </w:rPr>
              <w:t>roce 201</w:t>
            </w:r>
            <w:r>
              <w:rPr>
                <w:spacing w:val="-4"/>
              </w:rPr>
              <w:t>9 meziročně o 0,7 %, ve 4. čtvrtletí však</w:t>
            </w:r>
            <w:r w:rsidRPr="00A077CC">
              <w:rPr>
                <w:spacing w:val="-4"/>
              </w:rPr>
              <w:t xml:space="preserve"> jen stagnoval</w:t>
            </w:r>
            <w:r>
              <w:rPr>
                <w:spacing w:val="-4"/>
              </w:rPr>
              <w:t>;</w:t>
            </w:r>
            <w:r w:rsidRPr="00A077CC">
              <w:rPr>
                <w:spacing w:val="-4"/>
              </w:rPr>
              <w:t xml:space="preserve"> ke stejnému jevu došlo naposledy na konci roku 2013. V </w:t>
            </w:r>
            <w:proofErr w:type="spellStart"/>
            <w:r w:rsidRPr="00A077CC">
              <w:rPr>
                <w:spacing w:val="-4"/>
              </w:rPr>
              <w:t>mezikvartálním</w:t>
            </w:r>
            <w:proofErr w:type="spellEnd"/>
            <w:r w:rsidRPr="00A077CC">
              <w:rPr>
                <w:spacing w:val="-4"/>
              </w:rPr>
              <w:t xml:space="preserve"> vyjádření zaměstnanost mírně klesla již podruhé v řadě (–0,</w:t>
            </w:r>
            <w:r>
              <w:rPr>
                <w:spacing w:val="-4"/>
              </w:rPr>
              <w:t>3 %</w:t>
            </w:r>
            <w:r w:rsidRPr="00A077CC">
              <w:rPr>
                <w:spacing w:val="-4"/>
              </w:rPr>
              <w:t>, resp. –0,</w:t>
            </w:r>
            <w:r>
              <w:rPr>
                <w:spacing w:val="-4"/>
              </w:rPr>
              <w:t>2 %</w:t>
            </w:r>
            <w:r w:rsidRPr="00A077CC">
              <w:rPr>
                <w:spacing w:val="-4"/>
              </w:rPr>
              <w:t xml:space="preserve"> ve 3</w:t>
            </w:r>
            <w:r>
              <w:rPr>
                <w:spacing w:val="-4"/>
              </w:rPr>
              <w:t>. čtvrtlet</w:t>
            </w:r>
            <w:r w:rsidRPr="00A077CC">
              <w:rPr>
                <w:spacing w:val="-4"/>
              </w:rPr>
              <w:t>í 2019), v první čtvrtině roku přitom vykázala</w:t>
            </w:r>
            <w:r>
              <w:rPr>
                <w:spacing w:val="-4"/>
              </w:rPr>
              <w:t xml:space="preserve"> svižný růst (0,5 %</w:t>
            </w:r>
            <w:r w:rsidRPr="00A077CC">
              <w:rPr>
                <w:spacing w:val="-4"/>
              </w:rPr>
              <w:t>). Meziroční dynamika zaměstnanosti v ČR poprvé po více než pěti letech výrazněji zaostala za tempy celé EU i</w:t>
            </w:r>
            <w:r>
              <w:rPr>
                <w:spacing w:val="-4"/>
              </w:rPr>
              <w:t> </w:t>
            </w:r>
            <w:r w:rsidRPr="00A077CC">
              <w:rPr>
                <w:spacing w:val="-4"/>
              </w:rPr>
              <w:t>Německa (</w:t>
            </w:r>
            <w:r w:rsidR="00002566">
              <w:rPr>
                <w:spacing w:val="-4"/>
              </w:rPr>
              <w:t>1</w:t>
            </w:r>
            <w:r w:rsidRPr="00A077CC">
              <w:rPr>
                <w:spacing w:val="-4"/>
              </w:rPr>
              <w:t>,</w:t>
            </w:r>
            <w:r w:rsidR="00002566">
              <w:rPr>
                <w:spacing w:val="-4"/>
              </w:rPr>
              <w:t>0</w:t>
            </w:r>
            <w:r>
              <w:rPr>
                <w:spacing w:val="-4"/>
              </w:rPr>
              <w:t> %</w:t>
            </w:r>
            <w:r w:rsidRPr="00A077CC">
              <w:rPr>
                <w:spacing w:val="-4"/>
              </w:rPr>
              <w:t>, resp. 0,7</w:t>
            </w:r>
            <w:r>
              <w:rPr>
                <w:spacing w:val="-4"/>
              </w:rPr>
              <w:t> %</w:t>
            </w:r>
            <w:r w:rsidRPr="00A077CC">
              <w:rPr>
                <w:spacing w:val="-4"/>
              </w:rPr>
              <w:t xml:space="preserve"> ve 4</w:t>
            </w:r>
            <w:r>
              <w:rPr>
                <w:spacing w:val="-4"/>
              </w:rPr>
              <w:t>. čtvrtlet</w:t>
            </w:r>
            <w:r w:rsidRPr="00A077CC">
              <w:rPr>
                <w:spacing w:val="-4"/>
              </w:rPr>
              <w:t xml:space="preserve">í). </w:t>
            </w:r>
            <w:r>
              <w:rPr>
                <w:spacing w:val="-4"/>
              </w:rPr>
              <w:t>Situaci v ČR ovlivnil hlavně</w:t>
            </w:r>
            <w:r w:rsidRPr="00A077CC">
              <w:rPr>
                <w:spacing w:val="-4"/>
              </w:rPr>
              <w:t xml:space="preserve"> vývoj v průmyslu, kde se zaměstnanost redukovala již od poloviny roku</w:t>
            </w:r>
            <w:r w:rsidRPr="00A077CC">
              <w:rPr>
                <w:rStyle w:val="Znakapoznpodarou"/>
                <w:color w:val="0D0D0D" w:themeColor="text1" w:themeTint="F2"/>
                <w:spacing w:val="-4"/>
              </w:rPr>
              <w:footnoteReference w:id="57"/>
            </w:r>
            <w:r w:rsidRPr="00A077CC">
              <w:rPr>
                <w:spacing w:val="-4"/>
              </w:rPr>
              <w:t xml:space="preserve">. Pracovníků </w:t>
            </w:r>
            <w:r>
              <w:rPr>
                <w:spacing w:val="-4"/>
              </w:rPr>
              <w:t xml:space="preserve">loni </w:t>
            </w:r>
            <w:r w:rsidRPr="00A077CC">
              <w:rPr>
                <w:spacing w:val="-4"/>
              </w:rPr>
              <w:t>ubylo i</w:t>
            </w:r>
            <w:r>
              <w:rPr>
                <w:spacing w:val="-4"/>
              </w:rPr>
              <w:t> </w:t>
            </w:r>
            <w:r w:rsidRPr="00A077CC">
              <w:rPr>
                <w:spacing w:val="-4"/>
              </w:rPr>
              <w:t>v primárním sekto</w:t>
            </w:r>
            <w:r>
              <w:rPr>
                <w:spacing w:val="-4"/>
              </w:rPr>
              <w:t>ru. To</w:t>
            </w:r>
            <w:r w:rsidRPr="00A077CC">
              <w:rPr>
                <w:spacing w:val="-4"/>
              </w:rPr>
              <w:t xml:space="preserve"> ve stavebnictví růst v průběhu roku 2019 sílil</w:t>
            </w:r>
            <w:r>
              <w:rPr>
                <w:spacing w:val="-4"/>
              </w:rPr>
              <w:t xml:space="preserve"> (až na 2,4 %, desetileté maximum)</w:t>
            </w:r>
            <w:r w:rsidRPr="00A077CC">
              <w:rPr>
                <w:spacing w:val="-4"/>
              </w:rPr>
              <w:t xml:space="preserve">. </w:t>
            </w:r>
            <w:r>
              <w:rPr>
                <w:spacing w:val="-4"/>
              </w:rPr>
              <w:t>Dařilo se služ</w:t>
            </w:r>
            <w:r w:rsidRPr="00A077CC">
              <w:rPr>
                <w:spacing w:val="-4"/>
              </w:rPr>
              <w:t>b</w:t>
            </w:r>
            <w:r>
              <w:rPr>
                <w:spacing w:val="-4"/>
              </w:rPr>
              <w:t>ám, hlavně</w:t>
            </w:r>
            <w:r w:rsidRPr="00A077CC">
              <w:rPr>
                <w:spacing w:val="-4"/>
              </w:rPr>
              <w:t xml:space="preserve"> inform</w:t>
            </w:r>
            <w:r>
              <w:rPr>
                <w:spacing w:val="-4"/>
              </w:rPr>
              <w:t>ačním a komunikačním činnostem (loni +4,5 %). Počty pracovníků zvyšovaly i </w:t>
            </w:r>
            <w:r w:rsidRPr="00A077CC">
              <w:rPr>
                <w:spacing w:val="-4"/>
              </w:rPr>
              <w:t>aktivity vázané na cestovní ruch. Pracujících přibylo i</w:t>
            </w:r>
            <w:r>
              <w:rPr>
                <w:spacing w:val="-4"/>
              </w:rPr>
              <w:t> </w:t>
            </w:r>
            <w:r w:rsidRPr="00A077CC">
              <w:rPr>
                <w:spacing w:val="-4"/>
              </w:rPr>
              <w:t>v odvětvích s </w:t>
            </w:r>
            <w:r>
              <w:rPr>
                <w:spacing w:val="-4"/>
              </w:rPr>
              <w:t>převahou veřejného sektoru, hlavně díky</w:t>
            </w:r>
            <w:r w:rsidRPr="00A077CC">
              <w:rPr>
                <w:spacing w:val="-4"/>
              </w:rPr>
              <w:t xml:space="preserve"> vzdělá</w:t>
            </w:r>
            <w:r>
              <w:rPr>
                <w:spacing w:val="-4"/>
              </w:rPr>
              <w:t>vání i zdravotní i sociální péči</w:t>
            </w:r>
            <w:r w:rsidRPr="00A077CC">
              <w:rPr>
                <w:spacing w:val="-4"/>
              </w:rPr>
              <w:t>. Odvětvové posuny ve 4</w:t>
            </w:r>
            <w:r>
              <w:rPr>
                <w:spacing w:val="-4"/>
              </w:rPr>
              <w:t>. čtvrtlet</w:t>
            </w:r>
            <w:r w:rsidRPr="00A077CC">
              <w:rPr>
                <w:spacing w:val="-4"/>
              </w:rPr>
              <w:t>í i</w:t>
            </w:r>
            <w:r>
              <w:rPr>
                <w:spacing w:val="-4"/>
              </w:rPr>
              <w:t> </w:t>
            </w:r>
            <w:r w:rsidRPr="00A077CC">
              <w:rPr>
                <w:spacing w:val="-4"/>
              </w:rPr>
              <w:t>po celý loňský rok byly z drtivé většiny ov</w:t>
            </w:r>
            <w:r>
              <w:rPr>
                <w:spacing w:val="-4"/>
              </w:rPr>
              <w:t>livněny zaměstnanci, neboť počet</w:t>
            </w:r>
            <w:r w:rsidRPr="00A077CC">
              <w:rPr>
                <w:spacing w:val="-4"/>
              </w:rPr>
              <w:t xml:space="preserve"> </w:t>
            </w:r>
            <w:proofErr w:type="spellStart"/>
            <w:r w:rsidRPr="00A077CC">
              <w:rPr>
                <w:spacing w:val="-4"/>
              </w:rPr>
              <w:t>sebezaměst</w:t>
            </w:r>
            <w:r>
              <w:rPr>
                <w:spacing w:val="-4"/>
              </w:rPr>
              <w:t>n</w:t>
            </w:r>
            <w:r w:rsidRPr="00A077CC">
              <w:rPr>
                <w:spacing w:val="-4"/>
              </w:rPr>
              <w:t>aných</w:t>
            </w:r>
            <w:proofErr w:type="spellEnd"/>
            <w:r w:rsidRPr="00A077CC">
              <w:rPr>
                <w:spacing w:val="-4"/>
              </w:rPr>
              <w:t xml:space="preserve"> (podnikatelů bez zaměstnanců)</w:t>
            </w:r>
            <w:r>
              <w:rPr>
                <w:spacing w:val="-4"/>
              </w:rPr>
              <w:t xml:space="preserve"> se výrazněji neměnil</w:t>
            </w:r>
            <w:r w:rsidRPr="00A077CC">
              <w:rPr>
                <w:rStyle w:val="Znakapoznpodarou"/>
                <w:color w:val="0D0D0D" w:themeColor="text1" w:themeTint="F2"/>
                <w:spacing w:val="-4"/>
              </w:rPr>
              <w:footnoteReference w:id="58"/>
            </w:r>
            <w:r w:rsidRPr="00A077CC">
              <w:rPr>
                <w:spacing w:val="-4"/>
              </w:rPr>
              <w:t>.</w:t>
            </w:r>
          </w:p>
        </w:tc>
      </w:tr>
      <w:tr w:rsidR="00485E82" w:rsidRPr="00B43216" w14:paraId="1982105A" w14:textId="77777777" w:rsidTr="009F4F6A">
        <w:trPr>
          <w:trHeight w:val="145"/>
        </w:trPr>
        <w:tc>
          <w:tcPr>
            <w:tcW w:w="1792" w:type="dxa"/>
            <w:shd w:val="clear" w:color="auto" w:fill="auto"/>
            <w:tcMar>
              <w:left w:w="0" w:type="dxa"/>
            </w:tcMar>
          </w:tcPr>
          <w:p w14:paraId="6AC51223" w14:textId="5BF10C1E" w:rsidR="00485E82" w:rsidRPr="002C1110" w:rsidRDefault="00485E82" w:rsidP="00485E82">
            <w:pPr>
              <w:pStyle w:val="Marginlie"/>
            </w:pPr>
            <w:r w:rsidRPr="002C1110">
              <w:t xml:space="preserve">Krátkodobá očekávání v oblasti zaměstnanosti </w:t>
            </w:r>
            <w:r w:rsidR="002C1110">
              <w:t xml:space="preserve">na přelomu let 2019 a 2020 </w:t>
            </w:r>
            <w:r w:rsidRPr="002C1110">
              <w:t>zůstáva</w:t>
            </w:r>
            <w:r w:rsidR="002C1110">
              <w:t>la</w:t>
            </w:r>
            <w:r w:rsidRPr="002C1110">
              <w:t xml:space="preserve"> pozitivní v obchodu i stavebnictví.</w:t>
            </w:r>
          </w:p>
        </w:tc>
        <w:tc>
          <w:tcPr>
            <w:tcW w:w="216" w:type="dxa"/>
            <w:shd w:val="clear" w:color="auto" w:fill="auto"/>
            <w:tcMar>
              <w:left w:w="0" w:type="dxa"/>
            </w:tcMar>
          </w:tcPr>
          <w:p w14:paraId="2555C360" w14:textId="77777777" w:rsidR="00485E82" w:rsidRPr="00B43216" w:rsidRDefault="00485E82" w:rsidP="00485E82">
            <w:pPr>
              <w:pStyle w:val="Textpoznpodarou"/>
              <w:jc w:val="both"/>
              <w:rPr>
                <w:spacing w:val="-4"/>
              </w:rPr>
            </w:pPr>
          </w:p>
        </w:tc>
        <w:tc>
          <w:tcPr>
            <w:tcW w:w="7656" w:type="dxa"/>
            <w:shd w:val="clear" w:color="auto" w:fill="auto"/>
            <w:tcMar>
              <w:left w:w="0" w:type="dxa"/>
            </w:tcMar>
          </w:tcPr>
          <w:p w14:paraId="6634FAB0" w14:textId="77777777" w:rsidR="00485E82" w:rsidRPr="00A077CC" w:rsidRDefault="00485E82" w:rsidP="00485E82">
            <w:pPr>
              <w:rPr>
                <w:spacing w:val="-4"/>
              </w:rPr>
            </w:pPr>
            <w:r w:rsidRPr="00A077CC">
              <w:rPr>
                <w:spacing w:val="-4"/>
              </w:rPr>
              <w:t>Krátkodobá očekávání v oblasti zaměstnanosti, vyjadřovaná podniky v</w:t>
            </w:r>
            <w:r>
              <w:rPr>
                <w:spacing w:val="-4"/>
              </w:rPr>
              <w:t> </w:t>
            </w:r>
            <w:r w:rsidRPr="00A077CC">
              <w:rPr>
                <w:spacing w:val="-4"/>
              </w:rPr>
              <w:t>konjunkturálních šetřeních</w:t>
            </w:r>
            <w:r w:rsidRPr="00A077CC">
              <w:rPr>
                <w:rStyle w:val="Znakapoznpodarou"/>
                <w:color w:val="0D0D0D" w:themeColor="text1" w:themeTint="F2"/>
                <w:spacing w:val="-4"/>
              </w:rPr>
              <w:footnoteReference w:id="59"/>
            </w:r>
            <w:r w:rsidRPr="00A077CC">
              <w:rPr>
                <w:spacing w:val="-4"/>
              </w:rPr>
              <w:t>, zůstávala i</w:t>
            </w:r>
            <w:r>
              <w:rPr>
                <w:spacing w:val="-4"/>
              </w:rPr>
              <w:t> </w:t>
            </w:r>
            <w:r w:rsidRPr="00A077CC">
              <w:rPr>
                <w:spacing w:val="-4"/>
              </w:rPr>
              <w:t xml:space="preserve">na přelomu </w:t>
            </w:r>
            <w:r>
              <w:rPr>
                <w:spacing w:val="-4"/>
              </w:rPr>
              <w:t>let</w:t>
            </w:r>
            <w:r w:rsidRPr="00A077CC">
              <w:rPr>
                <w:spacing w:val="-4"/>
              </w:rPr>
              <w:t xml:space="preserve"> 2019 a</w:t>
            </w:r>
            <w:r>
              <w:rPr>
                <w:spacing w:val="-4"/>
              </w:rPr>
              <w:t> </w:t>
            </w:r>
            <w:r w:rsidRPr="00A077CC">
              <w:rPr>
                <w:spacing w:val="-4"/>
              </w:rPr>
              <w:t>2020 pozitivní v odvětví obchodu a</w:t>
            </w:r>
            <w:r>
              <w:rPr>
                <w:spacing w:val="-4"/>
              </w:rPr>
              <w:t> </w:t>
            </w:r>
            <w:r w:rsidRPr="00A077CC">
              <w:rPr>
                <w:spacing w:val="-4"/>
              </w:rPr>
              <w:t>ve stavebnictví. Mírná redukce zaměstnanosti byla naopak očekávána v</w:t>
            </w:r>
            <w:r>
              <w:rPr>
                <w:spacing w:val="-4"/>
              </w:rPr>
              <w:t> </w:t>
            </w:r>
            <w:r w:rsidRPr="00A077CC">
              <w:rPr>
                <w:spacing w:val="-4"/>
              </w:rPr>
              <w:t>průmyslu (vlivem vývoje ve 4</w:t>
            </w:r>
            <w:r>
              <w:rPr>
                <w:spacing w:val="-4"/>
              </w:rPr>
              <w:t>. čtvrtlet</w:t>
            </w:r>
            <w:r w:rsidRPr="00A077CC">
              <w:rPr>
                <w:spacing w:val="-4"/>
              </w:rPr>
              <w:t>í) a</w:t>
            </w:r>
            <w:r>
              <w:rPr>
                <w:spacing w:val="-4"/>
              </w:rPr>
              <w:t> </w:t>
            </w:r>
            <w:r w:rsidRPr="00A077CC">
              <w:rPr>
                <w:spacing w:val="-4"/>
              </w:rPr>
              <w:t>ve vybraných odvětvích tržních služeb (již více než rok). V rámci těchto váhově výz</w:t>
            </w:r>
            <w:r>
              <w:rPr>
                <w:spacing w:val="-4"/>
              </w:rPr>
              <w:t>namných odvětví byla však</w:t>
            </w:r>
            <w:r w:rsidRPr="00A077CC">
              <w:rPr>
                <w:spacing w:val="-4"/>
              </w:rPr>
              <w:t xml:space="preserve"> situace poměrně různorodá</w:t>
            </w:r>
            <w:r w:rsidRPr="00A077CC">
              <w:rPr>
                <w:rStyle w:val="Znakapoznpodarou"/>
                <w:color w:val="0D0D0D" w:themeColor="text1" w:themeTint="F2"/>
                <w:spacing w:val="-4"/>
              </w:rPr>
              <w:footnoteReference w:id="60"/>
            </w:r>
            <w:r w:rsidRPr="00A077CC">
              <w:rPr>
                <w:spacing w:val="-4"/>
              </w:rPr>
              <w:t>.</w:t>
            </w:r>
          </w:p>
        </w:tc>
      </w:tr>
      <w:tr w:rsidR="00485E82" w:rsidRPr="00B43216" w14:paraId="5EF04EAB" w14:textId="77777777" w:rsidTr="009F4F6A">
        <w:trPr>
          <w:trHeight w:val="145"/>
        </w:trPr>
        <w:tc>
          <w:tcPr>
            <w:tcW w:w="1792" w:type="dxa"/>
            <w:shd w:val="clear" w:color="auto" w:fill="auto"/>
            <w:tcMar>
              <w:left w:w="0" w:type="dxa"/>
            </w:tcMar>
          </w:tcPr>
          <w:p w14:paraId="2DB9FB14" w14:textId="77777777" w:rsidR="00485E82" w:rsidRDefault="00485E82" w:rsidP="00485E82">
            <w:pPr>
              <w:pStyle w:val="Marginlie"/>
            </w:pPr>
            <w:r>
              <w:t>Počet pracujících cizinců v ČR evidovaných úřady práce se zvyšoval hlavně v 1. polovině roku 2019. Za celý rok rostl polovičním tempem než v letech 2017 i 2018.</w:t>
            </w:r>
          </w:p>
        </w:tc>
        <w:tc>
          <w:tcPr>
            <w:tcW w:w="216" w:type="dxa"/>
            <w:shd w:val="clear" w:color="auto" w:fill="auto"/>
            <w:tcMar>
              <w:left w:w="0" w:type="dxa"/>
            </w:tcMar>
          </w:tcPr>
          <w:p w14:paraId="52E1F273" w14:textId="77777777" w:rsidR="00485E82" w:rsidRPr="00B43216" w:rsidRDefault="00485E82" w:rsidP="00485E82">
            <w:pPr>
              <w:pStyle w:val="Textpoznpodarou"/>
              <w:jc w:val="both"/>
              <w:rPr>
                <w:spacing w:val="-4"/>
              </w:rPr>
            </w:pPr>
          </w:p>
        </w:tc>
        <w:tc>
          <w:tcPr>
            <w:tcW w:w="7656" w:type="dxa"/>
            <w:shd w:val="clear" w:color="auto" w:fill="auto"/>
            <w:tcMar>
              <w:left w:w="0" w:type="dxa"/>
            </w:tcMar>
          </w:tcPr>
          <w:p w14:paraId="411F0ADB" w14:textId="77777777" w:rsidR="00485E82" w:rsidRPr="00A077CC" w:rsidRDefault="00485E82" w:rsidP="00485E82">
            <w:pPr>
              <w:rPr>
                <w:spacing w:val="-4"/>
              </w:rPr>
            </w:pPr>
            <w:r>
              <w:rPr>
                <w:spacing w:val="-4"/>
              </w:rPr>
              <w:t>Byť</w:t>
            </w:r>
            <w:r w:rsidRPr="00A077CC">
              <w:rPr>
                <w:spacing w:val="-4"/>
              </w:rPr>
              <w:t xml:space="preserve"> faktor nedostatku pracovní síly jako barié</w:t>
            </w:r>
            <w:r>
              <w:rPr>
                <w:spacing w:val="-4"/>
              </w:rPr>
              <w:t>ry růstu podniků během loňska</w:t>
            </w:r>
            <w:r w:rsidRPr="00A077CC">
              <w:rPr>
                <w:spacing w:val="-4"/>
              </w:rPr>
              <w:t xml:space="preserve"> postupně oslaboval, jeho role zůstala i</w:t>
            </w:r>
            <w:r>
              <w:rPr>
                <w:spacing w:val="-4"/>
              </w:rPr>
              <w:t> </w:t>
            </w:r>
            <w:r w:rsidRPr="00A077CC">
              <w:rPr>
                <w:spacing w:val="-4"/>
              </w:rPr>
              <w:t>na počátku roku 2020 nezanedbatelná (48</w:t>
            </w:r>
            <w:r>
              <w:rPr>
                <w:spacing w:val="-4"/>
              </w:rPr>
              <w:t> %</w:t>
            </w:r>
            <w:r w:rsidRPr="00A077CC">
              <w:rPr>
                <w:spacing w:val="-4"/>
              </w:rPr>
              <w:t xml:space="preserve"> ve stavebnictví</w:t>
            </w:r>
            <w:r>
              <w:rPr>
                <w:spacing w:val="-4"/>
              </w:rPr>
              <w:t>,</w:t>
            </w:r>
            <w:r w:rsidRPr="00A077CC">
              <w:rPr>
                <w:spacing w:val="-4"/>
              </w:rPr>
              <w:t xml:space="preserve"> 28</w:t>
            </w:r>
            <w:r>
              <w:rPr>
                <w:spacing w:val="-4"/>
              </w:rPr>
              <w:t> %</w:t>
            </w:r>
            <w:r w:rsidRPr="00A077CC">
              <w:rPr>
                <w:spacing w:val="-4"/>
              </w:rPr>
              <w:t xml:space="preserve"> v průmyslu, 20</w:t>
            </w:r>
            <w:r>
              <w:rPr>
                <w:spacing w:val="-4"/>
              </w:rPr>
              <w:t> %</w:t>
            </w:r>
            <w:r w:rsidRPr="00A077CC">
              <w:rPr>
                <w:spacing w:val="-4"/>
              </w:rPr>
              <w:t xml:space="preserve"> v terciárním sektoru – mimo obchod a</w:t>
            </w:r>
            <w:r>
              <w:rPr>
                <w:spacing w:val="-4"/>
              </w:rPr>
              <w:t> </w:t>
            </w:r>
            <w:r w:rsidRPr="00A077CC">
              <w:rPr>
                <w:spacing w:val="-4"/>
              </w:rPr>
              <w:t>veřejné služby).</w:t>
            </w:r>
            <w:r>
              <w:rPr>
                <w:spacing w:val="-4"/>
              </w:rPr>
              <w:t xml:space="preserve"> Při faktickém vyčerpání volných zdrojů pracovních sil z tuzemska</w:t>
            </w:r>
            <w:r w:rsidRPr="00A077CC">
              <w:rPr>
                <w:spacing w:val="-4"/>
              </w:rPr>
              <w:t xml:space="preserve"> </w:t>
            </w:r>
            <w:r>
              <w:rPr>
                <w:spacing w:val="-4"/>
              </w:rPr>
              <w:t>pokračoval příliv pracovní síly ze zahraničí. Počet cizinců na zaměstnaneckých pozicích činil na konci roku dle údajů MPSV 622 tis., meziroční přírůstek byl ale loni oproti letům 2017 i 2018 zhruba jen poloviční (+53 tis.)</w:t>
            </w:r>
            <w:r w:rsidRPr="00A077CC">
              <w:rPr>
                <w:rStyle w:val="Znakapoznpodarou"/>
                <w:color w:val="0D0D0D" w:themeColor="text1" w:themeTint="F2"/>
                <w:spacing w:val="-4"/>
              </w:rPr>
              <w:footnoteReference w:id="61"/>
            </w:r>
            <w:r>
              <w:rPr>
                <w:spacing w:val="-4"/>
              </w:rPr>
              <w:t xml:space="preserve">. Zhoršená situace průmyslu v druhé polovině roku se projevila oslabením </w:t>
            </w:r>
            <w:r>
              <w:rPr>
                <w:spacing w:val="-4"/>
              </w:rPr>
              <w:lastRenderedPageBreak/>
              <w:t>poptávky po pracovnících – počty osob s platným pracovním povolením klesly během prosince z 57 na 31 tis., především vlivem redukce u občanů Ukrajiny</w:t>
            </w:r>
            <w:r w:rsidRPr="00A077CC">
              <w:rPr>
                <w:rStyle w:val="Znakapoznpodarou"/>
                <w:color w:val="0D0D0D" w:themeColor="text1" w:themeTint="F2"/>
                <w:spacing w:val="-4"/>
              </w:rPr>
              <w:footnoteReference w:id="62"/>
            </w:r>
            <w:r>
              <w:rPr>
                <w:spacing w:val="-4"/>
              </w:rPr>
              <w:t>.</w:t>
            </w:r>
          </w:p>
        </w:tc>
      </w:tr>
      <w:tr w:rsidR="00485E82" w:rsidRPr="00B43216" w14:paraId="3215D63F" w14:textId="77777777" w:rsidTr="009F4F6A">
        <w:trPr>
          <w:trHeight w:val="145"/>
        </w:trPr>
        <w:tc>
          <w:tcPr>
            <w:tcW w:w="1792" w:type="dxa"/>
            <w:shd w:val="clear" w:color="auto" w:fill="auto"/>
            <w:tcMar>
              <w:left w:w="0" w:type="dxa"/>
            </w:tcMar>
          </w:tcPr>
          <w:p w14:paraId="4406F187" w14:textId="77777777" w:rsidR="00485E82" w:rsidRDefault="00485E82" w:rsidP="00485E82">
            <w:pPr>
              <w:pStyle w:val="Marginlie"/>
            </w:pPr>
            <w:r>
              <w:lastRenderedPageBreak/>
              <w:t>Míra zaměstnanosti osob v produktivním věku v roce 2019 stagnovala. V kontextu EU však stále patřila k výrazně nadprůměrným, zejména zásluhou mužů.</w:t>
            </w:r>
          </w:p>
        </w:tc>
        <w:tc>
          <w:tcPr>
            <w:tcW w:w="216" w:type="dxa"/>
            <w:shd w:val="clear" w:color="auto" w:fill="auto"/>
            <w:tcMar>
              <w:left w:w="0" w:type="dxa"/>
            </w:tcMar>
          </w:tcPr>
          <w:p w14:paraId="596CA81A" w14:textId="77777777" w:rsidR="00485E82" w:rsidRPr="00B43216" w:rsidRDefault="00485E82" w:rsidP="00485E82">
            <w:pPr>
              <w:pStyle w:val="Textpoznpodarou"/>
              <w:jc w:val="both"/>
              <w:rPr>
                <w:spacing w:val="-4"/>
              </w:rPr>
            </w:pPr>
          </w:p>
        </w:tc>
        <w:tc>
          <w:tcPr>
            <w:tcW w:w="7656" w:type="dxa"/>
            <w:shd w:val="clear" w:color="auto" w:fill="auto"/>
            <w:tcMar>
              <w:left w:w="0" w:type="dxa"/>
            </w:tcMar>
          </w:tcPr>
          <w:p w14:paraId="3879C20A" w14:textId="22C91185" w:rsidR="00485E82" w:rsidRDefault="00485E82" w:rsidP="00485E82">
            <w:pPr>
              <w:rPr>
                <w:spacing w:val="-2"/>
              </w:rPr>
            </w:pPr>
            <w:r>
              <w:rPr>
                <w:spacing w:val="-2"/>
              </w:rPr>
              <w:t>Míra zaměstnanosti osob ve věku 15 až 64 let dosahovala (dle sezónně očištěných údajů z VŠPS) ve 4. čtvrtletí 2019 u mužů 82,1 %, u žen 68,2 %. Její dlouhodobý růst byl na konci roku 2018 přerušen (od té doby zaměstnanost stagnovala). Pozitivně působila vyšší ekonomická aktivita na sklonku i po ukončení produktivního věku (vlivem silné poptávky po pracovnících, zejména ve službách, i prodlužování zákonného důchodového věku), jakož i pokračující zahraniční pracovní migrace. Míra</w:t>
            </w:r>
            <w:r w:rsidRPr="00474D62">
              <w:rPr>
                <w:spacing w:val="-2"/>
              </w:rPr>
              <w:t xml:space="preserve"> </w:t>
            </w:r>
            <w:r>
              <w:rPr>
                <w:spacing w:val="-2"/>
              </w:rPr>
              <w:t>zaměstnanosti v ČR</w:t>
            </w:r>
            <w:r w:rsidRPr="00474D62">
              <w:rPr>
                <w:spacing w:val="-2"/>
              </w:rPr>
              <w:t xml:space="preserve"> zůstává v evropském kontextu</w:t>
            </w:r>
            <w:r>
              <w:rPr>
                <w:spacing w:val="-2"/>
              </w:rPr>
              <w:t xml:space="preserve"> výrazně nadprůměrná, především díky mužům, jejichž postavení převyšo</w:t>
            </w:r>
            <w:r w:rsidR="00002566">
              <w:rPr>
                <w:spacing w:val="-2"/>
              </w:rPr>
              <w:t>valy v EU pouze Nizozemsko (82,3 %) a Malta (83,4</w:t>
            </w:r>
            <w:r>
              <w:rPr>
                <w:spacing w:val="-2"/>
              </w:rPr>
              <w:t> %). Zaměstnanost žen byla v Česku rovněž nadprům</w:t>
            </w:r>
            <w:r w:rsidR="00002566">
              <w:rPr>
                <w:spacing w:val="-2"/>
              </w:rPr>
              <w:t>ěrná (o 3,9 p. b. vyšší než v Unii</w:t>
            </w:r>
            <w:r>
              <w:rPr>
                <w:spacing w:val="-2"/>
              </w:rPr>
              <w:t>), avšak zřetelně pod úrovní</w:t>
            </w:r>
            <w:r w:rsidR="00002566">
              <w:rPr>
                <w:spacing w:val="-2"/>
              </w:rPr>
              <w:t xml:space="preserve"> nejlépe postaveného Švédska (75,2</w:t>
            </w:r>
            <w:r>
              <w:rPr>
                <w:spacing w:val="-2"/>
              </w:rPr>
              <w:t> %), ale i pobaltských států (71</w:t>
            </w:r>
            <w:r w:rsidRPr="00A077CC">
              <w:rPr>
                <w:spacing w:val="-4"/>
              </w:rPr>
              <w:t>–</w:t>
            </w:r>
            <w:r>
              <w:rPr>
                <w:spacing w:val="-2"/>
              </w:rPr>
              <w:t>73 %).</w:t>
            </w:r>
          </w:p>
        </w:tc>
      </w:tr>
      <w:tr w:rsidR="00485E82" w:rsidRPr="00B43216" w14:paraId="451AC423" w14:textId="77777777" w:rsidTr="009F4F6A">
        <w:trPr>
          <w:trHeight w:val="98"/>
        </w:trPr>
        <w:tc>
          <w:tcPr>
            <w:tcW w:w="1792" w:type="dxa"/>
            <w:vMerge w:val="restart"/>
            <w:shd w:val="clear" w:color="auto" w:fill="auto"/>
            <w:tcMar>
              <w:left w:w="0" w:type="dxa"/>
            </w:tcMar>
          </w:tcPr>
          <w:p w14:paraId="0AC8F5D9" w14:textId="77777777" w:rsidR="00485E82" w:rsidRPr="00B43216" w:rsidRDefault="00485E82" w:rsidP="00485E82">
            <w:pPr>
              <w:pStyle w:val="Marginlie"/>
            </w:pPr>
          </w:p>
        </w:tc>
        <w:tc>
          <w:tcPr>
            <w:tcW w:w="216" w:type="dxa"/>
            <w:vMerge w:val="restart"/>
            <w:shd w:val="clear" w:color="auto" w:fill="auto"/>
            <w:tcMar>
              <w:left w:w="0" w:type="dxa"/>
            </w:tcMar>
          </w:tcPr>
          <w:p w14:paraId="5A8C39D5" w14:textId="77777777" w:rsidR="00485E82" w:rsidRPr="00B43216" w:rsidRDefault="00485E82" w:rsidP="00485E82">
            <w:pPr>
              <w:pStyle w:val="Textpoznpodarou"/>
              <w:jc w:val="both"/>
              <w:rPr>
                <w:spacing w:val="-4"/>
              </w:rPr>
            </w:pPr>
          </w:p>
        </w:tc>
        <w:tc>
          <w:tcPr>
            <w:tcW w:w="7656" w:type="dxa"/>
            <w:shd w:val="clear" w:color="auto" w:fill="auto"/>
            <w:tcMar>
              <w:left w:w="0" w:type="dxa"/>
            </w:tcMar>
          </w:tcPr>
          <w:p w14:paraId="50937C77" w14:textId="452ED4D4" w:rsidR="00485E82" w:rsidRPr="0068569E" w:rsidRDefault="000767F5" w:rsidP="00485E82">
            <w:pPr>
              <w:spacing w:after="40" w:line="240" w:lineRule="auto"/>
              <w:rPr>
                <w:b/>
                <w:bCs/>
                <w:spacing w:val="-2"/>
              </w:rPr>
            </w:pPr>
            <w:r>
              <w:rPr>
                <w:rFonts w:cs="Arial"/>
                <w:b/>
                <w:bCs/>
                <w:color w:val="000000"/>
                <w:szCs w:val="20"/>
              </w:rPr>
              <w:t>Graf č. 12</w:t>
            </w:r>
            <w:r w:rsidR="00485E82" w:rsidRPr="0068569E">
              <w:rPr>
                <w:rFonts w:cs="Arial"/>
                <w:b/>
                <w:bCs/>
                <w:color w:val="000000"/>
                <w:sz w:val="18"/>
                <w:szCs w:val="18"/>
              </w:rPr>
              <w:t xml:space="preserve">  </w:t>
            </w:r>
            <w:r w:rsidR="00485E82" w:rsidRPr="0068569E">
              <w:rPr>
                <w:b/>
                <w:bCs/>
                <w:lang w:eastAsia="en-US"/>
              </w:rPr>
              <w:t xml:space="preserve">Celková zaměstnanost </w:t>
            </w:r>
            <w:r w:rsidR="00485E82" w:rsidRPr="0068569E">
              <w:rPr>
                <w:lang w:eastAsia="en-US"/>
              </w:rPr>
              <w:t>(</w:t>
            </w:r>
            <w:r w:rsidR="00485E82" w:rsidRPr="0068569E">
              <w:rPr>
                <w:spacing w:val="-2"/>
              </w:rPr>
              <w:t>meziročně v %)</w:t>
            </w:r>
            <w:r w:rsidR="00485E82" w:rsidRPr="0068569E">
              <w:rPr>
                <w:b/>
                <w:bCs/>
                <w:spacing w:val="-2"/>
              </w:rPr>
              <w:t xml:space="preserve">, příspěvky hlavních odvětví k meziroční změně zaměstnanosti </w:t>
            </w:r>
            <w:r w:rsidR="00485E82" w:rsidRPr="0068569E">
              <w:rPr>
                <w:spacing w:val="-2"/>
              </w:rPr>
              <w:t>(v p. b.)</w:t>
            </w:r>
            <w:r w:rsidR="00485E82" w:rsidRPr="0068569E">
              <w:rPr>
                <w:b/>
                <w:bCs/>
                <w:spacing w:val="-2"/>
              </w:rPr>
              <w:t xml:space="preserve"> a očekávání vývoje zaměstnanosti v následujícím čtvrtletí </w:t>
            </w:r>
            <w:r w:rsidR="00485E82" w:rsidRPr="0068569E">
              <w:rPr>
                <w:spacing w:val="-2"/>
              </w:rPr>
              <w:t>(saldo v p. b., sezónně očištěno)</w:t>
            </w:r>
          </w:p>
        </w:tc>
      </w:tr>
      <w:tr w:rsidR="00485E82" w:rsidRPr="00B43216" w14:paraId="09B1120C" w14:textId="77777777" w:rsidTr="009F4F6A">
        <w:tblPrEx>
          <w:tblCellMar>
            <w:left w:w="70" w:type="dxa"/>
            <w:right w:w="70" w:type="dxa"/>
          </w:tblCellMar>
        </w:tblPrEx>
        <w:trPr>
          <w:trHeight w:val="96"/>
        </w:trPr>
        <w:tc>
          <w:tcPr>
            <w:tcW w:w="1792" w:type="dxa"/>
            <w:vMerge/>
            <w:shd w:val="clear" w:color="auto" w:fill="auto"/>
          </w:tcPr>
          <w:p w14:paraId="2EE34390" w14:textId="77777777" w:rsidR="00485E82" w:rsidRPr="00B43216" w:rsidRDefault="00485E82" w:rsidP="00485E82">
            <w:pPr>
              <w:pStyle w:val="Marginlie"/>
            </w:pPr>
          </w:p>
        </w:tc>
        <w:tc>
          <w:tcPr>
            <w:tcW w:w="216" w:type="dxa"/>
            <w:vMerge/>
            <w:shd w:val="clear" w:color="auto" w:fill="auto"/>
          </w:tcPr>
          <w:p w14:paraId="5FA3C4C6" w14:textId="77777777" w:rsidR="00485E82" w:rsidRPr="00B43216" w:rsidRDefault="00485E82" w:rsidP="00485E82">
            <w:pPr>
              <w:pStyle w:val="Textpoznpodarou"/>
              <w:jc w:val="both"/>
              <w:rPr>
                <w:spacing w:val="-4"/>
              </w:rPr>
            </w:pPr>
          </w:p>
        </w:tc>
        <w:tc>
          <w:tcPr>
            <w:tcW w:w="7656" w:type="dxa"/>
            <w:shd w:val="clear" w:color="auto" w:fill="auto"/>
          </w:tcPr>
          <w:p w14:paraId="28C0DB7D" w14:textId="77777777" w:rsidR="00485E82" w:rsidRPr="00B43216" w:rsidRDefault="00485E82" w:rsidP="00485E82">
            <w:pPr>
              <w:spacing w:after="40" w:line="240" w:lineRule="auto"/>
              <w:rPr>
                <w:spacing w:val="-2"/>
              </w:rPr>
            </w:pPr>
            <w:r>
              <w:rPr>
                <w:noProof/>
              </w:rPr>
              <w:drawing>
                <wp:inline distT="0" distB="0" distL="0" distR="0" wp14:anchorId="5D79ACC0" wp14:editId="1FE523FC">
                  <wp:extent cx="4741545" cy="3328416"/>
                  <wp:effectExtent l="0" t="0" r="1905" b="5715"/>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485E82" w:rsidRPr="00B43216" w14:paraId="0C212CF7" w14:textId="77777777" w:rsidTr="009F4F6A">
        <w:trPr>
          <w:trHeight w:val="96"/>
        </w:trPr>
        <w:tc>
          <w:tcPr>
            <w:tcW w:w="1792" w:type="dxa"/>
            <w:vMerge/>
            <w:shd w:val="clear" w:color="auto" w:fill="auto"/>
            <w:tcMar>
              <w:left w:w="0" w:type="dxa"/>
            </w:tcMar>
          </w:tcPr>
          <w:p w14:paraId="690DFC59" w14:textId="77777777" w:rsidR="00485E82" w:rsidRPr="00B43216" w:rsidRDefault="00485E82" w:rsidP="00485E82">
            <w:pPr>
              <w:pStyle w:val="Marginlie"/>
            </w:pPr>
          </w:p>
        </w:tc>
        <w:tc>
          <w:tcPr>
            <w:tcW w:w="216" w:type="dxa"/>
            <w:vMerge/>
            <w:shd w:val="clear" w:color="auto" w:fill="auto"/>
            <w:tcMar>
              <w:left w:w="0" w:type="dxa"/>
            </w:tcMar>
          </w:tcPr>
          <w:p w14:paraId="5896BFB1" w14:textId="77777777" w:rsidR="00485E82" w:rsidRPr="00B43216" w:rsidRDefault="00485E82" w:rsidP="00485E82">
            <w:pPr>
              <w:pStyle w:val="Textpoznpodarou"/>
              <w:jc w:val="both"/>
              <w:rPr>
                <w:spacing w:val="-4"/>
              </w:rPr>
            </w:pPr>
          </w:p>
        </w:tc>
        <w:tc>
          <w:tcPr>
            <w:tcW w:w="7656" w:type="dxa"/>
            <w:shd w:val="clear" w:color="auto" w:fill="auto"/>
            <w:tcMar>
              <w:left w:w="0" w:type="dxa"/>
            </w:tcMar>
          </w:tcPr>
          <w:p w14:paraId="2A44CF94" w14:textId="77777777" w:rsidR="00485E82" w:rsidRDefault="00485E82" w:rsidP="00485E82">
            <w:pPr>
              <w:spacing w:after="0" w:line="240" w:lineRule="auto"/>
              <w:rPr>
                <w:rFonts w:cs="Arial"/>
                <w:sz w:val="14"/>
                <w:szCs w:val="14"/>
              </w:rPr>
            </w:pPr>
            <w:r>
              <w:rPr>
                <w:rFonts w:cs="Arial"/>
                <w:sz w:val="14"/>
                <w:szCs w:val="14"/>
              </w:rPr>
              <w:t>*</w:t>
            </w:r>
            <w:r w:rsidRPr="00862F17">
              <w:rPr>
                <w:rFonts w:cs="Arial"/>
                <w:sz w:val="14"/>
                <w:szCs w:val="14"/>
              </w:rPr>
              <w:t>Těžba a</w:t>
            </w:r>
            <w:r>
              <w:rPr>
                <w:rFonts w:cs="Arial"/>
                <w:sz w:val="14"/>
                <w:szCs w:val="14"/>
              </w:rPr>
              <w:t> </w:t>
            </w:r>
            <w:r w:rsidRPr="00862F17">
              <w:rPr>
                <w:rFonts w:cs="Arial"/>
                <w:sz w:val="14"/>
                <w:szCs w:val="14"/>
              </w:rPr>
              <w:t>energetika, Peněžnictví a</w:t>
            </w:r>
            <w:r>
              <w:rPr>
                <w:rFonts w:cs="Arial"/>
                <w:sz w:val="14"/>
                <w:szCs w:val="14"/>
              </w:rPr>
              <w:t> </w:t>
            </w:r>
            <w:r w:rsidRPr="00862F17">
              <w:rPr>
                <w:rFonts w:cs="Arial"/>
                <w:sz w:val="14"/>
                <w:szCs w:val="14"/>
              </w:rPr>
              <w:t>pojišťovnictví, Činnosti v</w:t>
            </w:r>
            <w:r>
              <w:rPr>
                <w:rFonts w:cs="Arial"/>
                <w:sz w:val="14"/>
                <w:szCs w:val="14"/>
              </w:rPr>
              <w:t> </w:t>
            </w:r>
            <w:r w:rsidRPr="00862F17">
              <w:rPr>
                <w:rFonts w:cs="Arial"/>
                <w:sz w:val="14"/>
                <w:szCs w:val="14"/>
              </w:rPr>
              <w:t>oblasti nemovitostí, Kulturní, zábavní a</w:t>
            </w:r>
            <w:r w:rsidRPr="00D47653">
              <w:rPr>
                <w:sz w:val="14"/>
                <w:szCs w:val="14"/>
              </w:rPr>
              <w:t> </w:t>
            </w:r>
            <w:r w:rsidRPr="00862F17">
              <w:rPr>
                <w:rFonts w:cs="Arial"/>
                <w:sz w:val="14"/>
                <w:szCs w:val="14"/>
              </w:rPr>
              <w:t>rekreační činnosti</w:t>
            </w:r>
            <w:r>
              <w:rPr>
                <w:rFonts w:cs="Arial"/>
                <w:sz w:val="14"/>
                <w:szCs w:val="14"/>
              </w:rPr>
              <w:t>.</w:t>
            </w:r>
          </w:p>
          <w:p w14:paraId="2CDC3849" w14:textId="77777777" w:rsidR="00485E82" w:rsidRDefault="00485E82" w:rsidP="00485E82">
            <w:pPr>
              <w:spacing w:after="0" w:line="240" w:lineRule="auto"/>
              <w:rPr>
                <w:rFonts w:cs="Arial"/>
                <w:sz w:val="14"/>
                <w:szCs w:val="14"/>
              </w:rPr>
            </w:pPr>
            <w:r>
              <w:rPr>
                <w:rFonts w:cs="Arial"/>
                <w:sz w:val="14"/>
                <w:szCs w:val="14"/>
              </w:rPr>
              <w:t xml:space="preserve">Poznámka: Saldo </w:t>
            </w:r>
            <w:r>
              <w:rPr>
                <w:rFonts w:cs="Arial"/>
                <w:color w:val="0D0D0D" w:themeColor="text1" w:themeTint="F2"/>
                <w:sz w:val="14"/>
                <w:szCs w:val="14"/>
              </w:rPr>
              <w:t>očekávání vyjadřuje rozdíl v p. b. mezi kategoriemi (růst vs. pokles zaměstnanosti v následujícím čtvrtletí)</w:t>
            </w:r>
          </w:p>
          <w:p w14:paraId="176801FE" w14:textId="77777777" w:rsidR="00485E82" w:rsidRPr="00047CE0" w:rsidRDefault="00485E82" w:rsidP="00485E82">
            <w:pPr>
              <w:spacing w:after="200" w:line="240" w:lineRule="auto"/>
              <w:rPr>
                <w:rFonts w:cs="Arial"/>
                <w:sz w:val="14"/>
                <w:szCs w:val="14"/>
              </w:rPr>
            </w:pPr>
            <w:r w:rsidRPr="00862F17">
              <w:rPr>
                <w:rFonts w:cs="Arial"/>
                <w:sz w:val="14"/>
                <w:szCs w:val="14"/>
              </w:rPr>
              <w:t>Zdroj: ČSÚ (národní účty</w:t>
            </w:r>
            <w:r>
              <w:rPr>
                <w:rFonts w:cs="Arial"/>
                <w:sz w:val="14"/>
                <w:szCs w:val="14"/>
              </w:rPr>
              <w:t>, konjunkturální průzkumy)</w:t>
            </w:r>
          </w:p>
        </w:tc>
      </w:tr>
      <w:tr w:rsidR="00485E82" w:rsidRPr="00B43216" w14:paraId="649B0D48" w14:textId="77777777" w:rsidTr="009F4F6A">
        <w:trPr>
          <w:trHeight w:val="145"/>
        </w:trPr>
        <w:tc>
          <w:tcPr>
            <w:tcW w:w="1792" w:type="dxa"/>
            <w:shd w:val="clear" w:color="auto" w:fill="auto"/>
            <w:tcMar>
              <w:left w:w="0" w:type="dxa"/>
            </w:tcMar>
          </w:tcPr>
          <w:p w14:paraId="6FC6C257" w14:textId="77777777" w:rsidR="00485E82" w:rsidRDefault="00485E82" w:rsidP="00485E82">
            <w:pPr>
              <w:pStyle w:val="Marginlie"/>
            </w:pPr>
            <w:r>
              <w:t>Míra nezaměstnanosti i počet dlouhodobě nezaměstnaných během roku 2019 stagnovaly.</w:t>
            </w:r>
          </w:p>
          <w:p w14:paraId="371A6FCE" w14:textId="77777777" w:rsidR="00485E82" w:rsidRDefault="00485E82" w:rsidP="00485E82">
            <w:pPr>
              <w:pStyle w:val="Marginlie"/>
            </w:pPr>
            <w:r>
              <w:t>Obavy domácností z růstu nezaměstnanosti naopak mírně rostly.</w:t>
            </w:r>
          </w:p>
          <w:p w14:paraId="0C3FF068" w14:textId="77777777" w:rsidR="00485E82" w:rsidRDefault="00485E82" w:rsidP="00485E82">
            <w:pPr>
              <w:pStyle w:val="Marginlie"/>
            </w:pPr>
          </w:p>
          <w:p w14:paraId="0BF66C99" w14:textId="77777777" w:rsidR="00485E82" w:rsidRDefault="00485E82" w:rsidP="00485E82">
            <w:pPr>
              <w:pStyle w:val="Marginlie"/>
            </w:pPr>
          </w:p>
          <w:p w14:paraId="07B0E082" w14:textId="77777777" w:rsidR="00485E82" w:rsidRDefault="00485E82" w:rsidP="00485E82">
            <w:pPr>
              <w:pStyle w:val="Marginlie"/>
            </w:pPr>
          </w:p>
          <w:p w14:paraId="27A1942D" w14:textId="77777777" w:rsidR="00485E82" w:rsidRDefault="00485E82" w:rsidP="00485E82">
            <w:pPr>
              <w:pStyle w:val="Marginlie"/>
            </w:pPr>
          </w:p>
          <w:p w14:paraId="7CBE379E" w14:textId="77777777" w:rsidR="00485E82" w:rsidRDefault="00485E82" w:rsidP="00485E82">
            <w:pPr>
              <w:pStyle w:val="Marginlie"/>
            </w:pPr>
          </w:p>
          <w:p w14:paraId="2868AE39" w14:textId="77777777" w:rsidR="00485E82" w:rsidRDefault="00485E82" w:rsidP="00485E82">
            <w:pPr>
              <w:pStyle w:val="Marginlie"/>
            </w:pPr>
            <w:r>
              <w:lastRenderedPageBreak/>
              <w:t>Úřady práce nabízely v červnu rekordní počet volných pracovních míst. V druhé polovině roku došlo jen k nepatrnému snížení.</w:t>
            </w:r>
          </w:p>
          <w:p w14:paraId="52F08411" w14:textId="77777777" w:rsidR="00485E82" w:rsidRDefault="00485E82" w:rsidP="00485E82">
            <w:pPr>
              <w:pStyle w:val="Marginlie"/>
            </w:pPr>
          </w:p>
          <w:p w14:paraId="70076554" w14:textId="77777777" w:rsidR="00485E82" w:rsidRDefault="00485E82" w:rsidP="00485E82">
            <w:pPr>
              <w:pStyle w:val="Marginlie"/>
            </w:pPr>
          </w:p>
          <w:p w14:paraId="66C72998" w14:textId="77777777" w:rsidR="00485E82" w:rsidRDefault="00485E82" w:rsidP="00485E82">
            <w:pPr>
              <w:pStyle w:val="Marginlie"/>
            </w:pPr>
          </w:p>
          <w:p w14:paraId="0193A395" w14:textId="77777777" w:rsidR="00485E82" w:rsidRDefault="00485E82" w:rsidP="00485E82">
            <w:pPr>
              <w:pStyle w:val="Marginlie"/>
            </w:pPr>
            <w:r>
              <w:t>Převis počtu uchazečů o práci nad volnými místy byl registrován jen ve třetině okresů ČR.</w:t>
            </w:r>
          </w:p>
        </w:tc>
        <w:tc>
          <w:tcPr>
            <w:tcW w:w="216" w:type="dxa"/>
            <w:shd w:val="clear" w:color="auto" w:fill="auto"/>
            <w:tcMar>
              <w:left w:w="0" w:type="dxa"/>
            </w:tcMar>
          </w:tcPr>
          <w:p w14:paraId="17F74C2B" w14:textId="77777777" w:rsidR="00485E82" w:rsidRPr="00B43216" w:rsidRDefault="00485E82" w:rsidP="00485E82">
            <w:pPr>
              <w:pStyle w:val="Textpoznpodarou"/>
              <w:jc w:val="both"/>
              <w:rPr>
                <w:spacing w:val="-4"/>
              </w:rPr>
            </w:pPr>
          </w:p>
        </w:tc>
        <w:tc>
          <w:tcPr>
            <w:tcW w:w="7656" w:type="dxa"/>
            <w:shd w:val="clear" w:color="auto" w:fill="auto"/>
            <w:tcMar>
              <w:left w:w="0" w:type="dxa"/>
            </w:tcMar>
          </w:tcPr>
          <w:p w14:paraId="0531DA94" w14:textId="77777777" w:rsidR="00485E82" w:rsidRPr="00C007D7" w:rsidRDefault="00485E82" w:rsidP="00485E82">
            <w:pPr>
              <w:spacing w:after="200"/>
              <w:rPr>
                <w:spacing w:val="-4"/>
              </w:rPr>
            </w:pPr>
            <w:r w:rsidRPr="00191C35">
              <w:rPr>
                <w:spacing w:val="-3"/>
              </w:rPr>
              <w:t>Obecná míra nezaměstnanosti</w:t>
            </w:r>
            <w:r w:rsidRPr="00191C35">
              <w:rPr>
                <w:rStyle w:val="Znakapoznpodarou"/>
                <w:color w:val="0D0D0D" w:themeColor="text1" w:themeTint="F2"/>
                <w:spacing w:val="-2"/>
              </w:rPr>
              <w:footnoteReference w:id="63"/>
            </w:r>
            <w:r w:rsidRPr="00191C35">
              <w:rPr>
                <w:spacing w:val="-3"/>
              </w:rPr>
              <w:t xml:space="preserve"> doznala během </w:t>
            </w:r>
            <w:r>
              <w:rPr>
                <w:spacing w:val="-3"/>
              </w:rPr>
              <w:t xml:space="preserve">loňského </w:t>
            </w:r>
            <w:r w:rsidRPr="00191C35">
              <w:rPr>
                <w:spacing w:val="-3"/>
              </w:rPr>
              <w:t xml:space="preserve">roku jen minimálních změn. </w:t>
            </w:r>
            <w:r>
              <w:rPr>
                <w:spacing w:val="-3"/>
              </w:rPr>
              <w:t xml:space="preserve">V prosinci 2019 čítala 1,8 % u mužů a 2,3 % v případě žen. Podíl osob nezaměstnaných déle než rok mírně fluktuoval (okolo 30 %) a nacházel se blízko historických minim v éře samostatné ČR (podobně jako celková nezaměstnanost či počet ekonomicky neaktivních osob chtějících pracovat). Tyto údaje lehce kontrastovaly se zvyšujícími se obavami domácností z růstu nezaměstnanosti vyjádřenými v konjunkturálních šetřeních (nelze ovšem vyloučit, že domácnosti citlivěji reagovaly i na zhoršující se ekonomický vývoj eurozóny). Jedním z důvodů, proč se mírné zpomalení ekonomiky v Česku doposud na „tvrdých“ údajích o nezaměstnanosti neprojevilo, je fakt, že </w:t>
            </w:r>
            <w:r>
              <w:rPr>
                <w:spacing w:val="-2"/>
              </w:rPr>
              <w:t xml:space="preserve">část osob, které přišly o své zaměstnání, již nemusela usilovat o návrat na tuzemský pracovní trh (pracující senioři, popř. cizinci, jimž v Česku končí pracovní povolení). Proti zvyšování nezaměstnanosti </w:t>
            </w:r>
            <w:r>
              <w:rPr>
                <w:spacing w:val="-2"/>
              </w:rPr>
              <w:lastRenderedPageBreak/>
              <w:t>v posledních letech působí i demografické vlivy (přirozený odchod populačně silných kohort narozených v 50. letech se prolínal s nástupem historicky nejslabších kohort z konce 90. let minulého století) a také to, že poptávka po pracovnících zůstávala stále vysoká.</w:t>
            </w:r>
            <w:r>
              <w:rPr>
                <w:spacing w:val="-4"/>
              </w:rPr>
              <w:t xml:space="preserve"> V červnu 2019 disponovaly úřady práce (ÚP) v ČR historicky nejvyšší nabídkou volných míst (351 tis.), na konci roku jich bylo 341 tis. (meziročně o 5 % více). I během loňského roku rostl hlavně počet nejméně kvalifikovaných míst vyžadujících pouze základní vzdělání (+28 tis.), cílících primárně na zahraniční pracovníky. Míst pro vyučené ubylo </w:t>
            </w:r>
            <w:r>
              <w:rPr>
                <w:spacing w:val="-4"/>
              </w:rPr>
              <w:br/>
              <w:t>(–11 tis.) a nabídka pozic s vyššími kvalifikačními nároky, tvořících jen desetinu všech míst, stagnovala. Již třetina všech volných míst v ČR byla v nabídce ÚP déle než rok. Na jedno místo připadalo na konci loňského roku 0,6 uchazeče. Převis uchazečů nad nabízenými místy hlásila třetina okresů (více než 3 uchazeče na místo jen Karviná, Jeseník a Sokolov).</w:t>
            </w:r>
          </w:p>
        </w:tc>
      </w:tr>
      <w:tr w:rsidR="00485E82" w:rsidRPr="00B43216" w14:paraId="269D496D" w14:textId="77777777" w:rsidTr="009F4F6A">
        <w:trPr>
          <w:trHeight w:val="155"/>
        </w:trPr>
        <w:tc>
          <w:tcPr>
            <w:tcW w:w="1792" w:type="dxa"/>
            <w:vMerge w:val="restart"/>
            <w:shd w:val="clear" w:color="auto" w:fill="auto"/>
            <w:tcMar>
              <w:left w:w="0" w:type="dxa"/>
            </w:tcMar>
          </w:tcPr>
          <w:p w14:paraId="2B597D7A" w14:textId="77777777" w:rsidR="00485E82" w:rsidRPr="00B43216" w:rsidRDefault="00485E82" w:rsidP="00485E82">
            <w:pPr>
              <w:pStyle w:val="Marginlie"/>
              <w:rPr>
                <w:spacing w:val="-4"/>
              </w:rPr>
            </w:pPr>
          </w:p>
        </w:tc>
        <w:tc>
          <w:tcPr>
            <w:tcW w:w="216" w:type="dxa"/>
            <w:vMerge w:val="restart"/>
            <w:shd w:val="clear" w:color="auto" w:fill="auto"/>
            <w:tcMar>
              <w:left w:w="0" w:type="dxa"/>
            </w:tcMar>
          </w:tcPr>
          <w:p w14:paraId="232F8C49" w14:textId="77777777" w:rsidR="00485E82" w:rsidRPr="00B43216" w:rsidRDefault="00485E82" w:rsidP="00485E82">
            <w:pPr>
              <w:pStyle w:val="Textpoznpodarou"/>
              <w:jc w:val="both"/>
              <w:rPr>
                <w:spacing w:val="-4"/>
              </w:rPr>
            </w:pPr>
          </w:p>
        </w:tc>
        <w:tc>
          <w:tcPr>
            <w:tcW w:w="7656" w:type="dxa"/>
            <w:shd w:val="clear" w:color="auto" w:fill="auto"/>
            <w:tcMar>
              <w:left w:w="0" w:type="dxa"/>
            </w:tcMar>
          </w:tcPr>
          <w:p w14:paraId="722593A0" w14:textId="6A3CA904" w:rsidR="00485E82" w:rsidRPr="00767F30" w:rsidRDefault="000767F5" w:rsidP="00485E82">
            <w:pPr>
              <w:spacing w:after="0"/>
              <w:rPr>
                <w:b/>
                <w:spacing w:val="-3"/>
              </w:rPr>
            </w:pPr>
            <w:r>
              <w:rPr>
                <w:b/>
                <w:spacing w:val="-3"/>
              </w:rPr>
              <w:t>Graf č. 13</w:t>
            </w:r>
            <w:r w:rsidR="00485E82" w:rsidRPr="00767F30">
              <w:rPr>
                <w:b/>
                <w:spacing w:val="-3"/>
              </w:rPr>
              <w:t xml:space="preserve">  </w:t>
            </w:r>
            <w:r w:rsidR="00485E82" w:rsidRPr="00767F30">
              <w:rPr>
                <w:rFonts w:cs="Arial"/>
                <w:b/>
                <w:spacing w:val="-3"/>
              </w:rPr>
              <w:t xml:space="preserve">Obecná míra nezaměstnanosti </w:t>
            </w:r>
            <w:r w:rsidR="00485E82" w:rsidRPr="00767F30">
              <w:rPr>
                <w:rFonts w:cs="Arial"/>
                <w:bCs/>
                <w:spacing w:val="-3"/>
              </w:rPr>
              <w:t>(v %)</w:t>
            </w:r>
            <w:r w:rsidR="00485E82" w:rsidRPr="00767F30">
              <w:rPr>
                <w:rFonts w:cs="Arial"/>
                <w:b/>
                <w:spacing w:val="-3"/>
              </w:rPr>
              <w:t xml:space="preserve">, podíl dlouhodobě nezaměstnaných </w:t>
            </w:r>
            <w:r w:rsidR="00485E82" w:rsidRPr="00767F30">
              <w:rPr>
                <w:rFonts w:cs="Arial"/>
                <w:bCs/>
                <w:spacing w:val="-3"/>
              </w:rPr>
              <w:t>(v %)</w:t>
            </w:r>
            <w:r w:rsidR="00485E82" w:rsidRPr="00767F30">
              <w:rPr>
                <w:rFonts w:cs="Arial"/>
                <w:b/>
                <w:spacing w:val="-3"/>
              </w:rPr>
              <w:t xml:space="preserve">, ekonomicky neaktivní chtějící pracovat </w:t>
            </w:r>
            <w:r w:rsidR="00485E82" w:rsidRPr="00767F30">
              <w:rPr>
                <w:rFonts w:cs="Arial"/>
                <w:bCs/>
                <w:spacing w:val="-3"/>
              </w:rPr>
              <w:t>(v tis.)</w:t>
            </w:r>
            <w:r w:rsidR="00485E82" w:rsidRPr="00767F30">
              <w:rPr>
                <w:rFonts w:cs="Arial"/>
                <w:b/>
                <w:spacing w:val="-3"/>
              </w:rPr>
              <w:t xml:space="preserve"> a podíl obyvatel obávajících se růstu nezaměstnanosti </w:t>
            </w:r>
            <w:r w:rsidR="00485E82" w:rsidRPr="00767F30">
              <w:rPr>
                <w:rFonts w:cs="Arial"/>
                <w:bCs/>
                <w:spacing w:val="-3"/>
              </w:rPr>
              <w:t>(v %)</w:t>
            </w:r>
          </w:p>
        </w:tc>
      </w:tr>
      <w:tr w:rsidR="00485E82" w:rsidRPr="00B43216" w14:paraId="6B12F14E" w14:textId="77777777" w:rsidTr="009F4F6A">
        <w:tblPrEx>
          <w:tblCellMar>
            <w:left w:w="70" w:type="dxa"/>
            <w:right w:w="70" w:type="dxa"/>
          </w:tblCellMar>
        </w:tblPrEx>
        <w:trPr>
          <w:trHeight w:val="155"/>
        </w:trPr>
        <w:tc>
          <w:tcPr>
            <w:tcW w:w="1792" w:type="dxa"/>
            <w:vMerge/>
            <w:shd w:val="clear" w:color="auto" w:fill="auto"/>
          </w:tcPr>
          <w:p w14:paraId="7B16AE70" w14:textId="77777777" w:rsidR="00485E82" w:rsidRPr="00B43216" w:rsidRDefault="00485E82" w:rsidP="00485E82">
            <w:pPr>
              <w:pStyle w:val="Marginlie"/>
              <w:rPr>
                <w:spacing w:val="-4"/>
              </w:rPr>
            </w:pPr>
          </w:p>
        </w:tc>
        <w:tc>
          <w:tcPr>
            <w:tcW w:w="216" w:type="dxa"/>
            <w:vMerge/>
            <w:shd w:val="clear" w:color="auto" w:fill="auto"/>
          </w:tcPr>
          <w:p w14:paraId="302F08B5" w14:textId="77777777" w:rsidR="00485E82" w:rsidRPr="00B43216" w:rsidRDefault="00485E82" w:rsidP="00485E82">
            <w:pPr>
              <w:pStyle w:val="Textpoznpodarou"/>
              <w:jc w:val="both"/>
              <w:rPr>
                <w:spacing w:val="-4"/>
              </w:rPr>
            </w:pPr>
          </w:p>
        </w:tc>
        <w:tc>
          <w:tcPr>
            <w:tcW w:w="7656" w:type="dxa"/>
            <w:shd w:val="clear" w:color="auto" w:fill="auto"/>
          </w:tcPr>
          <w:p w14:paraId="176DD1B6" w14:textId="77777777" w:rsidR="00485E82" w:rsidRPr="00B43216" w:rsidRDefault="00485E82" w:rsidP="00485E82">
            <w:pPr>
              <w:spacing w:after="0"/>
              <w:rPr>
                <w:spacing w:val="-4"/>
              </w:rPr>
            </w:pPr>
            <w:r>
              <w:rPr>
                <w:noProof/>
              </w:rPr>
              <w:drawing>
                <wp:inline distT="0" distB="0" distL="0" distR="0" wp14:anchorId="34A2330B" wp14:editId="4D8D0530">
                  <wp:extent cx="4715510" cy="3141497"/>
                  <wp:effectExtent l="0" t="0" r="8890" b="1905"/>
                  <wp:docPr id="29" name="Graf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485E82" w:rsidRPr="00B43216" w14:paraId="51CDDAC9" w14:textId="77777777" w:rsidTr="009F4F6A">
        <w:trPr>
          <w:trHeight w:val="933"/>
        </w:trPr>
        <w:tc>
          <w:tcPr>
            <w:tcW w:w="1792" w:type="dxa"/>
            <w:vMerge/>
            <w:shd w:val="clear" w:color="auto" w:fill="auto"/>
            <w:tcMar>
              <w:left w:w="0" w:type="dxa"/>
            </w:tcMar>
          </w:tcPr>
          <w:p w14:paraId="50C03465" w14:textId="77777777" w:rsidR="00485E82" w:rsidRPr="00B43216" w:rsidRDefault="00485E82" w:rsidP="00485E82">
            <w:pPr>
              <w:pStyle w:val="Marginlie"/>
              <w:rPr>
                <w:spacing w:val="-4"/>
              </w:rPr>
            </w:pPr>
          </w:p>
        </w:tc>
        <w:tc>
          <w:tcPr>
            <w:tcW w:w="216" w:type="dxa"/>
            <w:vMerge/>
            <w:shd w:val="clear" w:color="auto" w:fill="auto"/>
            <w:tcMar>
              <w:left w:w="0" w:type="dxa"/>
            </w:tcMar>
          </w:tcPr>
          <w:p w14:paraId="78A6F8A7" w14:textId="77777777" w:rsidR="00485E82" w:rsidRPr="00B43216" w:rsidRDefault="00485E82" w:rsidP="00485E82">
            <w:pPr>
              <w:pStyle w:val="Textpoznpodarou"/>
              <w:jc w:val="both"/>
              <w:rPr>
                <w:spacing w:val="-4"/>
              </w:rPr>
            </w:pPr>
          </w:p>
        </w:tc>
        <w:tc>
          <w:tcPr>
            <w:tcW w:w="7656" w:type="dxa"/>
            <w:shd w:val="clear" w:color="auto" w:fill="auto"/>
            <w:tcMar>
              <w:left w:w="0" w:type="dxa"/>
            </w:tcMar>
          </w:tcPr>
          <w:p w14:paraId="389E2970" w14:textId="77777777" w:rsidR="00485E82" w:rsidRDefault="00485E82" w:rsidP="00485E82">
            <w:pPr>
              <w:spacing w:after="0" w:line="240" w:lineRule="auto"/>
              <w:rPr>
                <w:rFonts w:cs="Arial"/>
                <w:color w:val="0D0D0D" w:themeColor="text1" w:themeTint="F2"/>
                <w:sz w:val="14"/>
                <w:szCs w:val="14"/>
              </w:rPr>
            </w:pPr>
            <w:r>
              <w:rPr>
                <w:rFonts w:cs="Arial"/>
                <w:color w:val="0D0D0D" w:themeColor="text1" w:themeTint="F2"/>
                <w:sz w:val="14"/>
                <w:szCs w:val="14"/>
              </w:rPr>
              <w:t>Pozn.: Údaje o míře nezaměstnanosti jsou po sezónním očištění, ostatní ukazatele nikoliv.</w:t>
            </w:r>
          </w:p>
          <w:p w14:paraId="26A87073" w14:textId="77777777" w:rsidR="00485E82" w:rsidRDefault="00485E82" w:rsidP="00485E82">
            <w:pPr>
              <w:spacing w:after="0" w:line="240" w:lineRule="auto"/>
              <w:rPr>
                <w:rFonts w:cs="Arial"/>
                <w:color w:val="0D0D0D" w:themeColor="text1" w:themeTint="F2"/>
                <w:sz w:val="14"/>
                <w:szCs w:val="14"/>
              </w:rPr>
            </w:pPr>
            <w:r>
              <w:rPr>
                <w:rFonts w:cs="Arial"/>
                <w:bCs/>
                <w:color w:val="0D0D0D" w:themeColor="text1" w:themeTint="F2"/>
                <w:sz w:val="14"/>
                <w:szCs w:val="14"/>
              </w:rPr>
              <w:t>*</w:t>
            </w:r>
            <w:r w:rsidRPr="00FF12EF">
              <w:rPr>
                <w:rFonts w:cs="Arial"/>
                <w:bCs/>
                <w:color w:val="0D0D0D" w:themeColor="text1" w:themeTint="F2"/>
                <w:sz w:val="14"/>
                <w:szCs w:val="14"/>
              </w:rPr>
              <w:t>Jde o</w:t>
            </w:r>
            <w:r>
              <w:rPr>
                <w:rFonts w:cs="Arial"/>
                <w:bCs/>
                <w:color w:val="0D0D0D" w:themeColor="text1" w:themeTint="F2"/>
                <w:sz w:val="14"/>
                <w:szCs w:val="14"/>
              </w:rPr>
              <w:t> </w:t>
            </w:r>
            <w:r w:rsidRPr="00FF12EF">
              <w:rPr>
                <w:rFonts w:cs="Arial"/>
                <w:bCs/>
                <w:color w:val="0D0D0D" w:themeColor="text1" w:themeTint="F2"/>
                <w:sz w:val="14"/>
                <w:szCs w:val="14"/>
              </w:rPr>
              <w:t>osoby, které nepr</w:t>
            </w:r>
            <w:r>
              <w:rPr>
                <w:rFonts w:cs="Arial"/>
                <w:bCs/>
                <w:color w:val="0D0D0D" w:themeColor="text1" w:themeTint="F2"/>
                <w:sz w:val="14"/>
                <w:szCs w:val="14"/>
              </w:rPr>
              <w:t>acují, aktivně práci nehledají</w:t>
            </w:r>
            <w:r w:rsidRPr="00FF12EF">
              <w:rPr>
                <w:rFonts w:cs="Arial"/>
                <w:bCs/>
                <w:color w:val="0D0D0D" w:themeColor="text1" w:themeTint="F2"/>
                <w:sz w:val="14"/>
                <w:szCs w:val="14"/>
              </w:rPr>
              <w:t>,</w:t>
            </w:r>
            <w:r w:rsidRPr="00FF12EF">
              <w:rPr>
                <w:rFonts w:cs="Arial"/>
                <w:color w:val="0D0D0D" w:themeColor="text1" w:themeTint="F2"/>
                <w:sz w:val="14"/>
                <w:szCs w:val="14"/>
              </w:rPr>
              <w:t xml:space="preserve"> ale přitom </w:t>
            </w:r>
            <w:r>
              <w:rPr>
                <w:rFonts w:cs="Arial"/>
                <w:color w:val="0D0D0D" w:themeColor="text1" w:themeTint="F2"/>
                <w:sz w:val="14"/>
                <w:szCs w:val="14"/>
              </w:rPr>
              <w:t>uvádějí, že by chtěly pracovat.</w:t>
            </w:r>
          </w:p>
          <w:p w14:paraId="26EEBF8D" w14:textId="77777777" w:rsidR="00485E82" w:rsidRPr="00CD1140" w:rsidRDefault="00485E82" w:rsidP="00485E82">
            <w:pPr>
              <w:spacing w:after="0" w:line="240" w:lineRule="auto"/>
              <w:rPr>
                <w:rFonts w:cs="Arial"/>
                <w:color w:val="0D0D0D" w:themeColor="text1" w:themeTint="F2"/>
                <w:spacing w:val="-2"/>
                <w:sz w:val="14"/>
                <w:szCs w:val="14"/>
              </w:rPr>
            </w:pPr>
            <w:r w:rsidRPr="00CD1140">
              <w:rPr>
                <w:rFonts w:cs="Arial"/>
                <w:color w:val="0D0D0D" w:themeColor="text1" w:themeTint="F2"/>
                <w:spacing w:val="-2"/>
                <w:sz w:val="14"/>
                <w:szCs w:val="14"/>
              </w:rPr>
              <w:t>**Očekávání v příštích 12</w:t>
            </w:r>
            <w:r>
              <w:rPr>
                <w:rFonts w:cs="Arial"/>
                <w:color w:val="0D0D0D" w:themeColor="text1" w:themeTint="F2"/>
                <w:spacing w:val="-2"/>
                <w:sz w:val="14"/>
                <w:szCs w:val="14"/>
              </w:rPr>
              <w:t> </w:t>
            </w:r>
            <w:r w:rsidRPr="00CD1140">
              <w:rPr>
                <w:rFonts w:cs="Arial"/>
                <w:color w:val="0D0D0D" w:themeColor="text1" w:themeTint="F2"/>
                <w:spacing w:val="-2"/>
                <w:sz w:val="14"/>
                <w:szCs w:val="14"/>
              </w:rPr>
              <w:t>měsících (u</w:t>
            </w:r>
            <w:r>
              <w:rPr>
                <w:rFonts w:cs="Arial"/>
                <w:color w:val="0D0D0D" w:themeColor="text1" w:themeTint="F2"/>
                <w:spacing w:val="-2"/>
                <w:sz w:val="14"/>
                <w:szCs w:val="14"/>
              </w:rPr>
              <w:t> </w:t>
            </w:r>
            <w:r w:rsidRPr="00CD1140">
              <w:rPr>
                <w:rFonts w:cs="Arial"/>
                <w:color w:val="0D0D0D" w:themeColor="text1" w:themeTint="F2"/>
                <w:spacing w:val="-2"/>
                <w:sz w:val="14"/>
                <w:szCs w:val="14"/>
              </w:rPr>
              <w:t>spotřebitelů). Vyjadřuje rozdíl v p.</w:t>
            </w:r>
            <w:r>
              <w:rPr>
                <w:rFonts w:cs="Arial"/>
                <w:color w:val="0D0D0D" w:themeColor="text1" w:themeTint="F2"/>
                <w:spacing w:val="-2"/>
                <w:sz w:val="14"/>
                <w:szCs w:val="14"/>
              </w:rPr>
              <w:t> </w:t>
            </w:r>
            <w:r w:rsidRPr="00CD1140">
              <w:rPr>
                <w:rFonts w:cs="Arial"/>
                <w:color w:val="0D0D0D" w:themeColor="text1" w:themeTint="F2"/>
                <w:spacing w:val="-2"/>
                <w:sz w:val="14"/>
                <w:szCs w:val="14"/>
              </w:rPr>
              <w:t>b. mezi kategoriemi (růst vs. pokles nezaměstnanosti)</w:t>
            </w:r>
            <w:r>
              <w:rPr>
                <w:rFonts w:cs="Arial"/>
                <w:color w:val="0D0D0D" w:themeColor="text1" w:themeTint="F2"/>
                <w:spacing w:val="-2"/>
                <w:sz w:val="14"/>
                <w:szCs w:val="14"/>
              </w:rPr>
              <w:t>.</w:t>
            </w:r>
          </w:p>
          <w:p w14:paraId="30373A8C" w14:textId="77777777" w:rsidR="00485E82" w:rsidRPr="002A01E3" w:rsidRDefault="00485E82" w:rsidP="00485E82">
            <w:pPr>
              <w:spacing w:after="0" w:line="240" w:lineRule="auto"/>
              <w:rPr>
                <w:rFonts w:cs="Arial"/>
                <w:color w:val="0D0D0D" w:themeColor="text1" w:themeTint="F2"/>
                <w:sz w:val="14"/>
                <w:szCs w:val="14"/>
              </w:rPr>
            </w:pPr>
            <w:r>
              <w:rPr>
                <w:rFonts w:cs="Arial"/>
                <w:color w:val="0D0D0D" w:themeColor="text1" w:themeTint="F2"/>
                <w:sz w:val="14"/>
                <w:szCs w:val="14"/>
              </w:rPr>
              <w:t>Zdroj: ČSÚ (VŠPS, konjunkturální průzkumy)</w:t>
            </w:r>
          </w:p>
        </w:tc>
      </w:tr>
      <w:tr w:rsidR="00485E82" w:rsidRPr="00191C35" w14:paraId="7431375C" w14:textId="77777777" w:rsidTr="009F4F6A">
        <w:trPr>
          <w:trHeight w:val="145"/>
        </w:trPr>
        <w:tc>
          <w:tcPr>
            <w:tcW w:w="1792" w:type="dxa"/>
            <w:shd w:val="clear" w:color="auto" w:fill="auto"/>
            <w:tcMar>
              <w:left w:w="0" w:type="dxa"/>
            </w:tcMar>
          </w:tcPr>
          <w:p w14:paraId="614F2743" w14:textId="77777777" w:rsidR="00485E82" w:rsidRDefault="00485E82" w:rsidP="00485E82">
            <w:pPr>
              <w:pStyle w:val="Marginlie"/>
            </w:pPr>
            <w:r>
              <w:t>Tempo růstu průměrných mezd loni oproti roku 2018 mírně zvolnilo, přesto patřilo za poslední dekádu k nejvyšším.</w:t>
            </w:r>
          </w:p>
          <w:p w14:paraId="34A211CD" w14:textId="77777777" w:rsidR="00485E82" w:rsidRDefault="00485E82" w:rsidP="00485E82">
            <w:pPr>
              <w:pStyle w:val="Marginlie"/>
            </w:pPr>
          </w:p>
          <w:p w14:paraId="4891C4DB" w14:textId="77777777" w:rsidR="00485E82" w:rsidRDefault="00485E82" w:rsidP="00485E82">
            <w:pPr>
              <w:pStyle w:val="Marginlie"/>
            </w:pPr>
          </w:p>
          <w:p w14:paraId="1B39E82B" w14:textId="77777777" w:rsidR="00485E82" w:rsidRDefault="00485E82" w:rsidP="00485E82">
            <w:pPr>
              <w:pStyle w:val="Marginlie"/>
            </w:pPr>
          </w:p>
          <w:p w14:paraId="178C6E99" w14:textId="77777777" w:rsidR="00485E82" w:rsidRDefault="00485E82" w:rsidP="00485E82">
            <w:pPr>
              <w:pStyle w:val="Marginlie"/>
            </w:pPr>
          </w:p>
          <w:p w14:paraId="017BA72C" w14:textId="77777777" w:rsidR="00485E82" w:rsidRDefault="00485E82" w:rsidP="00485E82">
            <w:pPr>
              <w:pStyle w:val="Marginlie"/>
            </w:pPr>
          </w:p>
          <w:p w14:paraId="7FC8F050" w14:textId="77777777" w:rsidR="00485E82" w:rsidRDefault="00485E82" w:rsidP="00485E82">
            <w:pPr>
              <w:pStyle w:val="Marginlie"/>
            </w:pPr>
            <w:r>
              <w:t>V průběhu loňského roku nabývaly na významu faktory snižující prostor pro dynamický mzdový růst.</w:t>
            </w:r>
          </w:p>
        </w:tc>
        <w:tc>
          <w:tcPr>
            <w:tcW w:w="216" w:type="dxa"/>
            <w:shd w:val="clear" w:color="auto" w:fill="auto"/>
            <w:tcMar>
              <w:left w:w="0" w:type="dxa"/>
            </w:tcMar>
          </w:tcPr>
          <w:p w14:paraId="5AB82925" w14:textId="77777777" w:rsidR="00485E82" w:rsidRPr="00B43216" w:rsidRDefault="00485E82" w:rsidP="00485E82">
            <w:pPr>
              <w:pStyle w:val="Textpoznpodarou"/>
              <w:jc w:val="both"/>
              <w:rPr>
                <w:spacing w:val="-4"/>
              </w:rPr>
            </w:pPr>
          </w:p>
        </w:tc>
        <w:tc>
          <w:tcPr>
            <w:tcW w:w="7656" w:type="dxa"/>
            <w:shd w:val="clear" w:color="auto" w:fill="auto"/>
            <w:tcMar>
              <w:left w:w="0" w:type="dxa"/>
            </w:tcMar>
          </w:tcPr>
          <w:p w14:paraId="660F4E06" w14:textId="77777777" w:rsidR="00485E82" w:rsidRPr="00191C35" w:rsidRDefault="00485E82" w:rsidP="00485E82">
            <w:pPr>
              <w:spacing w:after="200"/>
              <w:rPr>
                <w:spacing w:val="-3"/>
              </w:rPr>
            </w:pPr>
            <w:r w:rsidRPr="003B6B9D">
              <w:rPr>
                <w:spacing w:val="-4"/>
              </w:rPr>
              <w:t xml:space="preserve">Průměrná hrubá nominální měsíční mzda zaměstnance vzrostla </w:t>
            </w:r>
            <w:r>
              <w:rPr>
                <w:spacing w:val="-4"/>
              </w:rPr>
              <w:t>(dle podnikových statistik) v roce 2019 o 7,1 % (na 34 125 korun). Jednalo se o druhé nejvyšší meziroční tempo za posledních jedenáct let (po roce 2018: +7,5 %). Během loňského roku ovšem dynamika průměrných výdělků postupně mírně slábla (v 1. čtvrtletí +7,5 %, ve 4. čtvrtletí +6,7 %</w:t>
            </w:r>
            <w:r w:rsidRPr="00191C35">
              <w:rPr>
                <w:rStyle w:val="Znakapoznpodarou"/>
                <w:color w:val="0D0D0D" w:themeColor="text1" w:themeTint="F2"/>
                <w:spacing w:val="-2"/>
              </w:rPr>
              <w:footnoteReference w:id="64"/>
            </w:r>
            <w:r>
              <w:rPr>
                <w:spacing w:val="-4"/>
              </w:rPr>
              <w:t>). Zvolňování bylo patrné ve většině tržních odvětví (v klíčových oborech – zpracovatelském průmyslu a obchodu, ale i ve stavebnictví). Relativně svižnou mzdovou dynamiku pomáhala udržovat – obdobně jako v letech 2017 i 2018 – vysoká poptávka po pracovnících ve většině odvětví, velmi nízká nezaměstnanost i postupně se vyčerpávající rezervoár tuzemské pracovní síly z řad ekonomicky neaktivních. V opačném směru působila mírně klesající (byť stále vysoká) ziskovost podniků související vedle nákladových tlaků (mzdy, energie) rovněž s oslabením zahraniční poptávky po průmyslových produktech. Navíc v některých „</w:t>
            </w:r>
            <w:proofErr w:type="spellStart"/>
            <w:r>
              <w:rPr>
                <w:spacing w:val="-4"/>
              </w:rPr>
              <w:t>nízkovýdělkových</w:t>
            </w:r>
            <w:proofErr w:type="spellEnd"/>
            <w:r>
              <w:rPr>
                <w:spacing w:val="-4"/>
              </w:rPr>
              <w:t>“ odvětvích (např. v oblasti cestovního ruchu) tlumila vyšší růst výdělků rostoucí nabídka pracovníků z ekonomicky méně vyspělých států.</w:t>
            </w:r>
          </w:p>
        </w:tc>
      </w:tr>
      <w:tr w:rsidR="00485E82" w:rsidRPr="00191C35" w14:paraId="288EC5C5" w14:textId="77777777" w:rsidTr="009F4F6A">
        <w:trPr>
          <w:trHeight w:val="145"/>
        </w:trPr>
        <w:tc>
          <w:tcPr>
            <w:tcW w:w="1792" w:type="dxa"/>
            <w:shd w:val="clear" w:color="auto" w:fill="auto"/>
            <w:tcMar>
              <w:left w:w="0" w:type="dxa"/>
            </w:tcMar>
          </w:tcPr>
          <w:p w14:paraId="1F25B5F1" w14:textId="77777777" w:rsidR="00485E82" w:rsidRDefault="00485E82" w:rsidP="00485E82">
            <w:pPr>
              <w:pStyle w:val="Marginlie"/>
            </w:pPr>
            <w:r>
              <w:lastRenderedPageBreak/>
              <w:t>Již druhým rokem v řadě vzrostly relativně nejvíce průměrné výdělky ve vzdělávání.</w:t>
            </w:r>
          </w:p>
          <w:p w14:paraId="04C19939" w14:textId="77777777" w:rsidR="00485E82" w:rsidRDefault="00485E82" w:rsidP="00485E82">
            <w:pPr>
              <w:pStyle w:val="Marginlie"/>
            </w:pPr>
          </w:p>
          <w:p w14:paraId="121FDBCD" w14:textId="77777777" w:rsidR="00485E82" w:rsidRDefault="00485E82" w:rsidP="00485E82">
            <w:pPr>
              <w:pStyle w:val="Marginlie"/>
            </w:pPr>
          </w:p>
          <w:p w14:paraId="6B4014DF" w14:textId="77777777" w:rsidR="00485E82" w:rsidRDefault="00485E82" w:rsidP="00485E82">
            <w:pPr>
              <w:pStyle w:val="Marginlie"/>
            </w:pPr>
          </w:p>
          <w:p w14:paraId="146DA135" w14:textId="77777777" w:rsidR="00485E82" w:rsidRDefault="00485E82" w:rsidP="00485E82">
            <w:pPr>
              <w:pStyle w:val="Marginlie"/>
            </w:pPr>
          </w:p>
          <w:p w14:paraId="4CCE1AD6" w14:textId="77777777" w:rsidR="00485E82" w:rsidRDefault="00485E82" w:rsidP="00485E82">
            <w:pPr>
              <w:pStyle w:val="Marginlie"/>
            </w:pPr>
            <w:r>
              <w:t>V průmyslu, obchodu či stavebnictví se mzdy navyšovaly podprůměrným tempem. Projevovalo se zpomalování během roku.</w:t>
            </w:r>
          </w:p>
          <w:p w14:paraId="19E86082" w14:textId="77777777" w:rsidR="00485E82" w:rsidRDefault="00485E82" w:rsidP="00485E82">
            <w:pPr>
              <w:pStyle w:val="Marginlie"/>
            </w:pPr>
          </w:p>
          <w:p w14:paraId="02CB09C3" w14:textId="77777777" w:rsidR="00485E82" w:rsidRDefault="00485E82" w:rsidP="00485E82">
            <w:pPr>
              <w:pStyle w:val="Marginlie"/>
            </w:pPr>
          </w:p>
          <w:p w14:paraId="42422999" w14:textId="77777777" w:rsidR="00485E82" w:rsidRDefault="00485E82" w:rsidP="00485E82">
            <w:pPr>
              <w:pStyle w:val="Marginlie"/>
            </w:pPr>
          </w:p>
          <w:p w14:paraId="7F42AF6B" w14:textId="77777777" w:rsidR="00485E82" w:rsidRDefault="00485E82" w:rsidP="00485E82">
            <w:pPr>
              <w:pStyle w:val="Marginlie"/>
            </w:pPr>
          </w:p>
          <w:p w14:paraId="3C508EBD" w14:textId="77777777" w:rsidR="00485E82" w:rsidRDefault="00485E82" w:rsidP="00485E82">
            <w:pPr>
              <w:pStyle w:val="Marginlie"/>
            </w:pPr>
            <w:r>
              <w:t>Celková mzdová diferenciace se již nesnižovala, neboť se projevila akcelerace výdělků ve finančnictví i jejich slabší růst v odvětvích vázaných na cestovní ruch.</w:t>
            </w:r>
          </w:p>
        </w:tc>
        <w:tc>
          <w:tcPr>
            <w:tcW w:w="216" w:type="dxa"/>
            <w:shd w:val="clear" w:color="auto" w:fill="auto"/>
            <w:tcMar>
              <w:left w:w="0" w:type="dxa"/>
            </w:tcMar>
          </w:tcPr>
          <w:p w14:paraId="7980ADAA" w14:textId="77777777" w:rsidR="00485E82" w:rsidRPr="00B43216" w:rsidRDefault="00485E82" w:rsidP="00485E82">
            <w:pPr>
              <w:pStyle w:val="Textpoznpodarou"/>
              <w:jc w:val="both"/>
              <w:rPr>
                <w:spacing w:val="-4"/>
              </w:rPr>
            </w:pPr>
          </w:p>
        </w:tc>
        <w:tc>
          <w:tcPr>
            <w:tcW w:w="7656" w:type="dxa"/>
            <w:shd w:val="clear" w:color="auto" w:fill="auto"/>
            <w:tcMar>
              <w:left w:w="0" w:type="dxa"/>
            </w:tcMar>
          </w:tcPr>
          <w:p w14:paraId="58935E20" w14:textId="5B1DC769" w:rsidR="00485E82" w:rsidRPr="00191C35" w:rsidRDefault="00485E82" w:rsidP="00485E82">
            <w:pPr>
              <w:spacing w:after="200"/>
              <w:rPr>
                <w:spacing w:val="-3"/>
              </w:rPr>
            </w:pPr>
            <w:r>
              <w:rPr>
                <w:spacing w:val="-3"/>
              </w:rPr>
              <w:t>Různá odolnost odvětví vůči výkyvům zahraniční poptávky spolu se selektivnějším přístupem k navýšení odměňování ve veřejném sektoru (zejména u pracovníků ve vzdělávání) se loni odrazily ve větší meziodvětvové diferenciaci růstu mezd. Nejrychleji rostly průměrné výdělky ve vzdělávání, a to již druhým rokem v řadě (+12,5 %, v roce 2018 +10,7 %). Jejich celoroční výše loni překonala úroveň národního hospodářství (o 3,5 %, poprvé od roku 2009)</w:t>
            </w:r>
            <w:r w:rsidRPr="00191C35">
              <w:rPr>
                <w:rStyle w:val="Znakapoznpodarou"/>
                <w:color w:val="0D0D0D" w:themeColor="text1" w:themeTint="F2"/>
                <w:spacing w:val="-2"/>
              </w:rPr>
              <w:footnoteReference w:id="65"/>
            </w:r>
            <w:r>
              <w:rPr>
                <w:spacing w:val="-3"/>
              </w:rPr>
              <w:t>. O desetinu vzrostly výdělky v k</w:t>
            </w:r>
            <w:r w:rsidRPr="00F00956">
              <w:rPr>
                <w:spacing w:val="-3"/>
              </w:rPr>
              <w:t>ulturní</w:t>
            </w:r>
            <w:r>
              <w:rPr>
                <w:spacing w:val="-3"/>
              </w:rPr>
              <w:t>ch</w:t>
            </w:r>
            <w:r w:rsidRPr="00F00956">
              <w:rPr>
                <w:spacing w:val="-3"/>
              </w:rPr>
              <w:t>, zábavní</w:t>
            </w:r>
            <w:r>
              <w:rPr>
                <w:spacing w:val="-3"/>
              </w:rPr>
              <w:t>ch</w:t>
            </w:r>
            <w:r w:rsidRPr="00F00956">
              <w:rPr>
                <w:spacing w:val="-3"/>
              </w:rPr>
              <w:t xml:space="preserve"> a</w:t>
            </w:r>
            <w:r>
              <w:rPr>
                <w:spacing w:val="-3"/>
              </w:rPr>
              <w:t> </w:t>
            </w:r>
            <w:r w:rsidRPr="00F00956">
              <w:rPr>
                <w:spacing w:val="-3"/>
              </w:rPr>
              <w:t>rekreační</w:t>
            </w:r>
            <w:r>
              <w:rPr>
                <w:spacing w:val="-3"/>
              </w:rPr>
              <w:t>ch činnostech, tempo z roku 2018 loni fakticky udrželo i odvětví zdravotní a sociální péče (+8,5 %). Z tržních služeb si loni absolutně (4 471 korun), avšak i relativně nejvíce polepšilo peněžnictví a pojišťovnictví (+8,2 %, nejvyšší celoroční tempo po roce 2002)</w:t>
            </w:r>
            <w:r w:rsidRPr="00191C35">
              <w:rPr>
                <w:rStyle w:val="Znakapoznpodarou"/>
                <w:color w:val="0D0D0D" w:themeColor="text1" w:themeTint="F2"/>
                <w:spacing w:val="-2"/>
              </w:rPr>
              <w:footnoteReference w:id="66"/>
            </w:r>
            <w:r>
              <w:rPr>
                <w:spacing w:val="-3"/>
              </w:rPr>
              <w:t>. Naopak nej</w:t>
            </w:r>
            <w:r w:rsidR="007A7033">
              <w:rPr>
                <w:spacing w:val="-3"/>
              </w:rPr>
              <w:t>niž</w:t>
            </w:r>
            <w:r>
              <w:rPr>
                <w:spacing w:val="-3"/>
              </w:rPr>
              <w:t xml:space="preserve">ší tempo v rámci </w:t>
            </w:r>
            <w:r w:rsidR="007A7033">
              <w:rPr>
                <w:spacing w:val="-3"/>
              </w:rPr>
              <w:t xml:space="preserve">sektoru </w:t>
            </w:r>
            <w:r>
              <w:rPr>
                <w:spacing w:val="-3"/>
              </w:rPr>
              <w:t>služeb vykázaly p</w:t>
            </w:r>
            <w:r w:rsidRPr="002115F8">
              <w:rPr>
                <w:spacing w:val="-3"/>
              </w:rPr>
              <w:t>rofesní, vědecké a</w:t>
            </w:r>
            <w:r>
              <w:rPr>
                <w:spacing w:val="-3"/>
              </w:rPr>
              <w:t> </w:t>
            </w:r>
            <w:r w:rsidRPr="002115F8">
              <w:rPr>
                <w:spacing w:val="-3"/>
              </w:rPr>
              <w:t>technické činnosti</w:t>
            </w:r>
            <w:r>
              <w:rPr>
                <w:spacing w:val="-3"/>
              </w:rPr>
              <w:t xml:space="preserve"> (+5,0 %), i tak zde ale mzdová úroveň převyšovala celou ekonomiku o pětinu. Slabší růst zaznamenalo i vlivem citelného zvolnění na konci roku nosné odvětví obchodu (6,4 %). I přes svižné navyšování minimální mzdy rostly loni výdělky v ubytování, stravování a pohostinství o podprůměrných 6,6 % a zůstaly v celoročním úhrnu těsně pod 20tisícovou hranicí (pouze na třetině úrovně finančního sektoru či oblasti IT). Ve zpracovatelském průmyslu mzdy posílily o rovných 6 %. Tempo i úroveň mezd tak zůstaly lehce pod hladinou celé ekonomiky, stejně jako v roce 2018. Skromnější mzdový růst byl loni navzdory posílení produkce i zakázek typický pro stavebnictví (+6,1 %). </w:t>
            </w:r>
            <w:r>
              <w:rPr>
                <w:spacing w:val="-4"/>
              </w:rPr>
              <w:t>Celková mzdová diferenciace v ekonomice se loni n</w:t>
            </w:r>
            <w:r w:rsidRPr="004A4EC6">
              <w:rPr>
                <w:spacing w:val="-4"/>
              </w:rPr>
              <w:t>a rozdíl o</w:t>
            </w:r>
            <w:r>
              <w:rPr>
                <w:spacing w:val="-4"/>
              </w:rPr>
              <w:t>d</w:t>
            </w:r>
            <w:r w:rsidRPr="004A4EC6">
              <w:rPr>
                <w:spacing w:val="-4"/>
              </w:rPr>
              <w:t xml:space="preserve"> předchozích tří let</w:t>
            </w:r>
            <w:r>
              <w:rPr>
                <w:spacing w:val="-4"/>
              </w:rPr>
              <w:t xml:space="preserve"> již patrně nesnižovala. Mzdový medián vzrostl o 6,9 %. Již čtvrtým rokem se zvyšoval svižněji u žen než u mužů (i</w:t>
            </w:r>
            <w:r>
              <w:rPr>
                <w:spacing w:val="-3"/>
              </w:rPr>
              <w:t> </w:t>
            </w:r>
            <w:r>
              <w:rPr>
                <w:spacing w:val="-4"/>
              </w:rPr>
              <w:t>vlivem posilování mezd ve vzdělávání). Přestože meziroční růst kupní síly mezd se zejména působením sílící inflace mírně snižoval (až na 3,6 % ve 4.</w:t>
            </w:r>
            <w:r>
              <w:rPr>
                <w:spacing w:val="-3"/>
              </w:rPr>
              <w:t> </w:t>
            </w:r>
            <w:r>
              <w:rPr>
                <w:spacing w:val="-4"/>
              </w:rPr>
              <w:t>čtvrtletí 2019, nejméně za bezmála tři roky), v úhrnu od počátku loňského roku čítal 4,2</w:t>
            </w:r>
            <w:r>
              <w:rPr>
                <w:spacing w:val="-3"/>
              </w:rPr>
              <w:t> </w:t>
            </w:r>
            <w:r>
              <w:rPr>
                <w:spacing w:val="-4"/>
              </w:rPr>
              <w:t>%, což stále znamenalo druhé nejvyšší tempo za posledních dvanáct let.</w:t>
            </w:r>
          </w:p>
        </w:tc>
      </w:tr>
      <w:tr w:rsidR="00485E82" w:rsidRPr="00F32B6E" w14:paraId="0B655BCF" w14:textId="77777777" w:rsidTr="009F4F6A">
        <w:trPr>
          <w:trHeight w:val="145"/>
        </w:trPr>
        <w:tc>
          <w:tcPr>
            <w:tcW w:w="1792" w:type="dxa"/>
            <w:shd w:val="clear" w:color="auto" w:fill="auto"/>
            <w:tcMar>
              <w:left w:w="0" w:type="dxa"/>
            </w:tcMar>
          </w:tcPr>
          <w:p w14:paraId="0845EFBC" w14:textId="77777777" w:rsidR="00485E82" w:rsidRPr="00F32B6E" w:rsidRDefault="00485E82" w:rsidP="00485E82">
            <w:pPr>
              <w:pStyle w:val="Marginlie"/>
            </w:pPr>
          </w:p>
        </w:tc>
        <w:tc>
          <w:tcPr>
            <w:tcW w:w="216" w:type="dxa"/>
            <w:shd w:val="clear" w:color="auto" w:fill="auto"/>
            <w:tcMar>
              <w:left w:w="0" w:type="dxa"/>
            </w:tcMar>
          </w:tcPr>
          <w:p w14:paraId="7E0AB89D" w14:textId="77777777" w:rsidR="00485E82" w:rsidRPr="00F32B6E" w:rsidRDefault="00485E82" w:rsidP="00485E82">
            <w:pPr>
              <w:pStyle w:val="Textpoznpodarou"/>
              <w:jc w:val="both"/>
              <w:rPr>
                <w:rFonts w:eastAsia="Times New Roman"/>
                <w:spacing w:val="-2"/>
                <w:sz w:val="16"/>
                <w:szCs w:val="16"/>
              </w:rPr>
            </w:pPr>
          </w:p>
        </w:tc>
        <w:tc>
          <w:tcPr>
            <w:tcW w:w="7656" w:type="dxa"/>
            <w:shd w:val="clear" w:color="auto" w:fill="auto"/>
            <w:tcMar>
              <w:left w:w="0" w:type="dxa"/>
            </w:tcMar>
          </w:tcPr>
          <w:p w14:paraId="7C595D83" w14:textId="2EA1A03D" w:rsidR="00485E82" w:rsidRPr="00F32B6E" w:rsidRDefault="00485E82" w:rsidP="00485E82">
            <w:pPr>
              <w:spacing w:after="0"/>
              <w:rPr>
                <w:spacing w:val="-2"/>
                <w:sz w:val="16"/>
                <w:szCs w:val="16"/>
              </w:rPr>
            </w:pPr>
            <w:r w:rsidRPr="00AB0365">
              <w:rPr>
                <w:b/>
                <w:spacing w:val="-2"/>
              </w:rPr>
              <w:t xml:space="preserve">Graf </w:t>
            </w:r>
            <w:r>
              <w:rPr>
                <w:b/>
                <w:spacing w:val="-2"/>
              </w:rPr>
              <w:t>č. </w:t>
            </w:r>
            <w:r w:rsidR="000767F5">
              <w:rPr>
                <w:b/>
                <w:spacing w:val="-2"/>
              </w:rPr>
              <w:t>14</w:t>
            </w:r>
            <w:r>
              <w:rPr>
                <w:b/>
                <w:spacing w:val="-2"/>
              </w:rPr>
              <w:t xml:space="preserve">  Průměrná</w:t>
            </w:r>
            <w:r w:rsidRPr="00AB0365">
              <w:rPr>
                <w:b/>
                <w:spacing w:val="-2"/>
              </w:rPr>
              <w:t xml:space="preserve"> nominální a</w:t>
            </w:r>
            <w:r>
              <w:rPr>
                <w:b/>
                <w:spacing w:val="-2"/>
              </w:rPr>
              <w:t> </w:t>
            </w:r>
            <w:r w:rsidRPr="00AB0365">
              <w:rPr>
                <w:b/>
                <w:spacing w:val="-2"/>
              </w:rPr>
              <w:t>re</w:t>
            </w:r>
            <w:r>
              <w:rPr>
                <w:b/>
                <w:spacing w:val="-2"/>
              </w:rPr>
              <w:t>álná mzda, produktivita práce</w:t>
            </w:r>
            <w:r w:rsidRPr="00AB0365">
              <w:rPr>
                <w:spacing w:val="-2"/>
              </w:rPr>
              <w:t xml:space="preserve"> (meziročně, v %)</w:t>
            </w:r>
          </w:p>
        </w:tc>
      </w:tr>
      <w:tr w:rsidR="00485E82" w:rsidRPr="00F32B6E" w14:paraId="589C39D5" w14:textId="77777777" w:rsidTr="009F4F6A">
        <w:tblPrEx>
          <w:tblCellMar>
            <w:left w:w="70" w:type="dxa"/>
            <w:right w:w="70" w:type="dxa"/>
          </w:tblCellMar>
        </w:tblPrEx>
        <w:trPr>
          <w:trHeight w:val="145"/>
        </w:trPr>
        <w:tc>
          <w:tcPr>
            <w:tcW w:w="1792" w:type="dxa"/>
            <w:shd w:val="clear" w:color="auto" w:fill="auto"/>
          </w:tcPr>
          <w:p w14:paraId="4A7FD95C" w14:textId="77777777" w:rsidR="00485E82" w:rsidRPr="00F32B6E" w:rsidRDefault="00485E82" w:rsidP="00485E82">
            <w:pPr>
              <w:pStyle w:val="Marginlie"/>
            </w:pPr>
          </w:p>
        </w:tc>
        <w:tc>
          <w:tcPr>
            <w:tcW w:w="216" w:type="dxa"/>
            <w:shd w:val="clear" w:color="auto" w:fill="auto"/>
          </w:tcPr>
          <w:p w14:paraId="25C26B00" w14:textId="77777777" w:rsidR="00485E82" w:rsidRPr="00F32B6E" w:rsidRDefault="00485E82" w:rsidP="00485E82">
            <w:pPr>
              <w:pStyle w:val="Textpoznpodarou"/>
              <w:jc w:val="both"/>
              <w:rPr>
                <w:rFonts w:eastAsia="Times New Roman"/>
                <w:spacing w:val="-2"/>
                <w:sz w:val="16"/>
                <w:szCs w:val="16"/>
              </w:rPr>
            </w:pPr>
          </w:p>
        </w:tc>
        <w:tc>
          <w:tcPr>
            <w:tcW w:w="7656" w:type="dxa"/>
            <w:shd w:val="clear" w:color="auto" w:fill="auto"/>
          </w:tcPr>
          <w:p w14:paraId="2E8FAAE7" w14:textId="77777777" w:rsidR="00485E82" w:rsidRPr="00F32B6E" w:rsidRDefault="00485E82" w:rsidP="00485E82">
            <w:pPr>
              <w:spacing w:after="0"/>
              <w:rPr>
                <w:spacing w:val="-2"/>
                <w:sz w:val="16"/>
                <w:szCs w:val="16"/>
              </w:rPr>
            </w:pPr>
            <w:r>
              <w:rPr>
                <w:noProof/>
              </w:rPr>
              <w:drawing>
                <wp:inline distT="0" distB="0" distL="0" distR="0" wp14:anchorId="360CD443" wp14:editId="2537CF4E">
                  <wp:extent cx="4737100" cy="3430829"/>
                  <wp:effectExtent l="0" t="0" r="6350" b="0"/>
                  <wp:docPr id="33" name="Graf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485E82" w:rsidRPr="00F32B6E" w14:paraId="4936FC4B" w14:textId="77777777" w:rsidTr="009F4F6A">
        <w:trPr>
          <w:trHeight w:val="145"/>
        </w:trPr>
        <w:tc>
          <w:tcPr>
            <w:tcW w:w="1792" w:type="dxa"/>
            <w:shd w:val="clear" w:color="auto" w:fill="auto"/>
            <w:tcMar>
              <w:left w:w="0" w:type="dxa"/>
            </w:tcMar>
          </w:tcPr>
          <w:p w14:paraId="7C637904" w14:textId="77777777" w:rsidR="00485E82" w:rsidRPr="00F32B6E" w:rsidRDefault="00485E82" w:rsidP="00485E82">
            <w:pPr>
              <w:pStyle w:val="Marginlie"/>
            </w:pPr>
          </w:p>
        </w:tc>
        <w:tc>
          <w:tcPr>
            <w:tcW w:w="216" w:type="dxa"/>
            <w:shd w:val="clear" w:color="auto" w:fill="auto"/>
            <w:tcMar>
              <w:left w:w="0" w:type="dxa"/>
            </w:tcMar>
          </w:tcPr>
          <w:p w14:paraId="0F268A17" w14:textId="77777777" w:rsidR="00485E82" w:rsidRPr="00F32B6E" w:rsidRDefault="00485E82" w:rsidP="00485E82">
            <w:pPr>
              <w:pStyle w:val="Textpoznpodarou"/>
              <w:jc w:val="both"/>
              <w:rPr>
                <w:rFonts w:eastAsia="Times New Roman"/>
                <w:spacing w:val="-2"/>
                <w:sz w:val="16"/>
                <w:szCs w:val="16"/>
              </w:rPr>
            </w:pPr>
          </w:p>
        </w:tc>
        <w:tc>
          <w:tcPr>
            <w:tcW w:w="7656" w:type="dxa"/>
            <w:shd w:val="clear" w:color="auto" w:fill="auto"/>
            <w:tcMar>
              <w:left w:w="0" w:type="dxa"/>
            </w:tcMar>
          </w:tcPr>
          <w:p w14:paraId="548C3CBE" w14:textId="77777777" w:rsidR="00485E82" w:rsidRDefault="00485E82" w:rsidP="00485E82">
            <w:pPr>
              <w:spacing w:after="0"/>
              <w:rPr>
                <w:spacing w:val="-3"/>
                <w:sz w:val="14"/>
                <w:szCs w:val="14"/>
              </w:rPr>
            </w:pPr>
            <w:r>
              <w:rPr>
                <w:spacing w:val="-3"/>
                <w:sz w:val="14"/>
                <w:szCs w:val="14"/>
              </w:rPr>
              <w:t>*</w:t>
            </w:r>
            <w:r w:rsidRPr="00AB5C0C">
              <w:rPr>
                <w:rFonts w:cs="Arial"/>
                <w:spacing w:val="-3"/>
                <w:sz w:val="14"/>
                <w:szCs w:val="14"/>
              </w:rPr>
              <w:t xml:space="preserve"> </w:t>
            </w:r>
            <w:r>
              <w:rPr>
                <w:rFonts w:cs="Arial"/>
                <w:spacing w:val="-3"/>
                <w:sz w:val="14"/>
                <w:szCs w:val="14"/>
              </w:rPr>
              <w:t>Zahrnuje odvětví: Veřejná</w:t>
            </w:r>
            <w:r w:rsidRPr="00AB5C0C">
              <w:rPr>
                <w:rFonts w:cs="Arial"/>
                <w:spacing w:val="-3"/>
                <w:sz w:val="14"/>
                <w:szCs w:val="14"/>
              </w:rPr>
              <w:t xml:space="preserve"> správa, obrana, soc. zabezpečení; Vzdělávání; Zdravotní a</w:t>
            </w:r>
            <w:r>
              <w:rPr>
                <w:rFonts w:cs="Arial"/>
                <w:spacing w:val="-3"/>
                <w:sz w:val="14"/>
                <w:szCs w:val="14"/>
              </w:rPr>
              <w:t> </w:t>
            </w:r>
            <w:r w:rsidRPr="00AB5C0C">
              <w:rPr>
                <w:rFonts w:cs="Arial"/>
                <w:spacing w:val="-3"/>
                <w:sz w:val="14"/>
                <w:szCs w:val="14"/>
              </w:rPr>
              <w:t>soc.</w:t>
            </w:r>
            <w:r>
              <w:rPr>
                <w:rFonts w:cs="Arial"/>
                <w:spacing w:val="-3"/>
                <w:sz w:val="14"/>
                <w:szCs w:val="14"/>
              </w:rPr>
              <w:t xml:space="preserve"> péče; Kulturní, zábavní</w:t>
            </w:r>
            <w:r w:rsidRPr="00AB5C0C">
              <w:rPr>
                <w:rFonts w:cs="Arial"/>
                <w:spacing w:val="-3"/>
                <w:sz w:val="14"/>
                <w:szCs w:val="14"/>
              </w:rPr>
              <w:t xml:space="preserve"> a</w:t>
            </w:r>
            <w:r>
              <w:rPr>
                <w:rFonts w:cs="Arial"/>
                <w:spacing w:val="-3"/>
                <w:sz w:val="14"/>
                <w:szCs w:val="14"/>
              </w:rPr>
              <w:t> </w:t>
            </w:r>
            <w:r w:rsidRPr="00AB5C0C">
              <w:rPr>
                <w:rFonts w:cs="Arial"/>
                <w:spacing w:val="-3"/>
                <w:sz w:val="14"/>
                <w:szCs w:val="14"/>
              </w:rPr>
              <w:t>r</w:t>
            </w:r>
            <w:r>
              <w:rPr>
                <w:rFonts w:cs="Arial"/>
                <w:spacing w:val="-3"/>
                <w:sz w:val="14"/>
                <w:szCs w:val="14"/>
              </w:rPr>
              <w:t>ekreační</w:t>
            </w:r>
            <w:r w:rsidRPr="00AB5C0C">
              <w:rPr>
                <w:rFonts w:cs="Arial"/>
                <w:spacing w:val="-3"/>
                <w:sz w:val="14"/>
                <w:szCs w:val="14"/>
              </w:rPr>
              <w:t xml:space="preserve"> </w:t>
            </w:r>
            <w:r>
              <w:rPr>
                <w:rFonts w:cs="Arial"/>
                <w:spacing w:val="-3"/>
                <w:sz w:val="14"/>
                <w:szCs w:val="14"/>
              </w:rPr>
              <w:t>č</w:t>
            </w:r>
            <w:r w:rsidRPr="00AB5C0C">
              <w:rPr>
                <w:rFonts w:cs="Arial"/>
                <w:spacing w:val="-3"/>
                <w:sz w:val="14"/>
                <w:szCs w:val="14"/>
              </w:rPr>
              <w:t>in</w:t>
            </w:r>
            <w:r>
              <w:rPr>
                <w:rFonts w:cs="Arial"/>
                <w:spacing w:val="-3"/>
                <w:sz w:val="14"/>
                <w:szCs w:val="14"/>
              </w:rPr>
              <w:t xml:space="preserve">nosti.    </w:t>
            </w:r>
            <w:r w:rsidRPr="00990B08">
              <w:rPr>
                <w:spacing w:val="-3"/>
                <w:sz w:val="14"/>
                <w:szCs w:val="14"/>
              </w:rPr>
              <w:t>*</w:t>
            </w:r>
            <w:r>
              <w:rPr>
                <w:spacing w:val="-3"/>
                <w:sz w:val="14"/>
                <w:szCs w:val="14"/>
              </w:rPr>
              <w:t>*</w:t>
            </w:r>
            <w:r w:rsidRPr="00990B08">
              <w:rPr>
                <w:spacing w:val="-3"/>
                <w:sz w:val="14"/>
                <w:szCs w:val="14"/>
              </w:rPr>
              <w:t>Podíl sezónně neočištěného HDP a</w:t>
            </w:r>
            <w:r>
              <w:rPr>
                <w:spacing w:val="-3"/>
                <w:sz w:val="14"/>
                <w:szCs w:val="14"/>
              </w:rPr>
              <w:t> </w:t>
            </w:r>
            <w:r w:rsidRPr="00990B08">
              <w:rPr>
                <w:spacing w:val="-3"/>
                <w:sz w:val="14"/>
                <w:szCs w:val="14"/>
              </w:rPr>
              <w:t>zaměstnanosti (v</w:t>
            </w:r>
            <w:r>
              <w:rPr>
                <w:spacing w:val="-3"/>
                <w:sz w:val="14"/>
                <w:szCs w:val="14"/>
              </w:rPr>
              <w:t> </w:t>
            </w:r>
            <w:r w:rsidRPr="00990B08">
              <w:rPr>
                <w:spacing w:val="-3"/>
                <w:sz w:val="14"/>
                <w:szCs w:val="14"/>
              </w:rPr>
              <w:t>pojetí národ</w:t>
            </w:r>
            <w:r>
              <w:rPr>
                <w:spacing w:val="-3"/>
                <w:sz w:val="14"/>
                <w:szCs w:val="14"/>
              </w:rPr>
              <w:t>ních účtů).</w:t>
            </w:r>
          </w:p>
          <w:p w14:paraId="23031B31" w14:textId="77777777" w:rsidR="00485E82" w:rsidRPr="00F32B6E" w:rsidRDefault="00485E82" w:rsidP="00485E82">
            <w:pPr>
              <w:spacing w:after="0"/>
              <w:rPr>
                <w:spacing w:val="-2"/>
                <w:sz w:val="16"/>
                <w:szCs w:val="16"/>
              </w:rPr>
            </w:pPr>
            <w:r w:rsidRPr="00990B08">
              <w:rPr>
                <w:spacing w:val="-3"/>
                <w:sz w:val="14"/>
                <w:szCs w:val="14"/>
              </w:rPr>
              <w:t>Zdroj:</w:t>
            </w:r>
            <w:r w:rsidRPr="00862F17">
              <w:rPr>
                <w:rFonts w:cs="Arial"/>
                <w:sz w:val="14"/>
                <w:szCs w:val="14"/>
              </w:rPr>
              <w:t xml:space="preserve"> ČSÚ (národní účty</w:t>
            </w:r>
            <w:r>
              <w:rPr>
                <w:rFonts w:cs="Arial"/>
                <w:sz w:val="14"/>
                <w:szCs w:val="14"/>
              </w:rPr>
              <w:t>)</w:t>
            </w:r>
          </w:p>
        </w:tc>
      </w:tr>
    </w:tbl>
    <w:p w14:paraId="3A42DEA1" w14:textId="5F9B86AA" w:rsidR="00C715CC" w:rsidRPr="009110F7" w:rsidRDefault="00C715CC" w:rsidP="00C715CC">
      <w:pPr>
        <w:pStyle w:val="Nadpis11"/>
      </w:pPr>
      <w:bookmarkStart w:id="19" w:name="_Toc37403646"/>
      <w:r w:rsidRPr="009110F7">
        <w:lastRenderedPageBreak/>
        <w:t>7. Měnové podmínky</w:t>
      </w:r>
      <w:bookmarkEnd w:id="17"/>
      <w:bookmarkEnd w:id="19"/>
    </w:p>
    <w:tbl>
      <w:tblPr>
        <w:tblW w:w="9641" w:type="dxa"/>
        <w:tblInd w:w="-15" w:type="dxa"/>
        <w:tblCellMar>
          <w:left w:w="0" w:type="dxa"/>
          <w:right w:w="0" w:type="dxa"/>
        </w:tblCellMar>
        <w:tblLook w:val="00A0" w:firstRow="1" w:lastRow="0" w:firstColumn="1" w:lastColumn="0" w:noHBand="0" w:noVBand="0"/>
      </w:tblPr>
      <w:tblGrid>
        <w:gridCol w:w="1802"/>
        <w:gridCol w:w="229"/>
        <w:gridCol w:w="7610"/>
      </w:tblGrid>
      <w:tr w:rsidR="00DB5E3A" w:rsidRPr="00E66062" w14:paraId="4E439744" w14:textId="77777777" w:rsidTr="00A1053B">
        <w:trPr>
          <w:trHeight w:val="145"/>
        </w:trPr>
        <w:tc>
          <w:tcPr>
            <w:tcW w:w="1802" w:type="dxa"/>
            <w:shd w:val="clear" w:color="auto" w:fill="auto"/>
            <w:tcMar>
              <w:left w:w="0" w:type="dxa"/>
            </w:tcMar>
          </w:tcPr>
          <w:p w14:paraId="75C10766" w14:textId="77777777" w:rsidR="00DB5E3A" w:rsidRDefault="00DB5E3A" w:rsidP="00A1053B">
            <w:pPr>
              <w:pStyle w:val="Marginlie"/>
            </w:pPr>
            <w:proofErr w:type="spellStart"/>
            <w:r>
              <w:t>Měnověpolitické</w:t>
            </w:r>
            <w:proofErr w:type="spellEnd"/>
            <w:r>
              <w:t xml:space="preserve"> úrokové sazby se loni měnily jen jednou.</w:t>
            </w:r>
          </w:p>
        </w:tc>
        <w:tc>
          <w:tcPr>
            <w:tcW w:w="229" w:type="dxa"/>
            <w:shd w:val="clear" w:color="auto" w:fill="auto"/>
            <w:tcMar>
              <w:left w:w="0" w:type="dxa"/>
            </w:tcMar>
          </w:tcPr>
          <w:p w14:paraId="0945DAC8" w14:textId="77777777" w:rsidR="00DB5E3A" w:rsidRDefault="00DB5E3A" w:rsidP="00A1053B">
            <w:pPr>
              <w:pStyle w:val="Textpoznpodarou"/>
              <w:jc w:val="both"/>
              <w:rPr>
                <w:spacing w:val="-4"/>
              </w:rPr>
            </w:pPr>
          </w:p>
        </w:tc>
        <w:tc>
          <w:tcPr>
            <w:tcW w:w="7610" w:type="dxa"/>
            <w:shd w:val="clear" w:color="auto" w:fill="auto"/>
            <w:tcMar>
              <w:left w:w="0" w:type="dxa"/>
            </w:tcMar>
          </w:tcPr>
          <w:p w14:paraId="57E6D9EF" w14:textId="6D76D728" w:rsidR="00DB5E3A" w:rsidRPr="00E66062" w:rsidRDefault="00DB5E3A" w:rsidP="00A1053B">
            <w:pPr>
              <w:rPr>
                <w:spacing w:val="-2"/>
              </w:rPr>
            </w:pPr>
            <w:r>
              <w:rPr>
                <w:spacing w:val="-2"/>
              </w:rPr>
              <w:t xml:space="preserve">Nastavení základních </w:t>
            </w:r>
            <w:proofErr w:type="spellStart"/>
            <w:r>
              <w:rPr>
                <w:spacing w:val="-2"/>
              </w:rPr>
              <w:t>měnověpolitických</w:t>
            </w:r>
            <w:proofErr w:type="spellEnd"/>
            <w:r>
              <w:rPr>
                <w:spacing w:val="-2"/>
              </w:rPr>
              <w:t xml:space="preserve"> sazeb ČNB se loni měnilo jen jednou, a to v květnu. Až do konce roku tak </w:t>
            </w:r>
            <w:proofErr w:type="spellStart"/>
            <w:r>
              <w:rPr>
                <w:spacing w:val="-2"/>
              </w:rPr>
              <w:t>repo</w:t>
            </w:r>
            <w:proofErr w:type="spellEnd"/>
            <w:r>
              <w:rPr>
                <w:spacing w:val="-2"/>
              </w:rPr>
              <w:t xml:space="preserve"> sazba činila 2 %, diskontní sazba 1 % a lombardní sazba 3 %. Směnný kurz koruny vůči euru se po celý rok pohyboval v pásmu mezi 25,40 a 25,90 koruny za euro</w:t>
            </w:r>
            <w:r>
              <w:rPr>
                <w:rStyle w:val="Znakapoznpodarou"/>
                <w:spacing w:val="-2"/>
              </w:rPr>
              <w:footnoteReference w:id="67"/>
            </w:r>
            <w:r>
              <w:rPr>
                <w:spacing w:val="-2"/>
              </w:rPr>
              <w:t>. Průměrná hodnota kurzu dosahovala 25,68 koruny v 1.</w:t>
            </w:r>
            <w:r w:rsidR="006B27C7">
              <w:rPr>
                <w:spacing w:val="-2"/>
              </w:rPr>
              <w:t> </w:t>
            </w:r>
            <w:r>
              <w:rPr>
                <w:spacing w:val="-2"/>
              </w:rPr>
              <w:t>a 2. čtvrtletí, 25,74 koruny ve 3. čtvrtletí a 25,58 koruny ve 4. čtvrtletí. Meziroční ani mezičtvrtletní pohyb kurzu tak nebyl příliš výrazný. Kurz koruny vůči dolaru měl v 1. až 3. čtvrtletí tendenci oslabovat (výjimkou bylo krátké posílení v průběhu června, průměrný kurz činil 22,61, 22,86 a 23,15 koruny v 1., 2. a 3. čtvrtletí). Ve 4. kvartálu kurz mírně posiloval (průměr 23,11 koruny za dolar). Ve srovnání s rokem 2018 byl kurz vůči dolaru výrazně slabší (roční průměr v roce 2018 činil 21,74 CZK/USD, loni to bylo 22,93 CZK/USD).</w:t>
            </w:r>
          </w:p>
        </w:tc>
      </w:tr>
      <w:tr w:rsidR="00DB5E3A" w:rsidRPr="00E66062" w14:paraId="0FF5EFB9" w14:textId="77777777" w:rsidTr="00A1053B">
        <w:trPr>
          <w:trHeight w:val="145"/>
        </w:trPr>
        <w:tc>
          <w:tcPr>
            <w:tcW w:w="1802" w:type="dxa"/>
            <w:shd w:val="clear" w:color="auto" w:fill="auto"/>
            <w:tcMar>
              <w:left w:w="0" w:type="dxa"/>
            </w:tcMar>
          </w:tcPr>
          <w:p w14:paraId="120EE5B2" w14:textId="77777777" w:rsidR="00DB5E3A" w:rsidRDefault="00DB5E3A" w:rsidP="00A1053B">
            <w:pPr>
              <w:pStyle w:val="Marginlie"/>
            </w:pPr>
            <w:r>
              <w:t>Výnosy vládních dluhopisů od září rostly.</w:t>
            </w:r>
          </w:p>
        </w:tc>
        <w:tc>
          <w:tcPr>
            <w:tcW w:w="229" w:type="dxa"/>
            <w:shd w:val="clear" w:color="auto" w:fill="auto"/>
            <w:tcMar>
              <w:left w:w="0" w:type="dxa"/>
            </w:tcMar>
          </w:tcPr>
          <w:p w14:paraId="608E96E8" w14:textId="77777777" w:rsidR="00DB5E3A" w:rsidRDefault="00DB5E3A" w:rsidP="00A1053B">
            <w:pPr>
              <w:pStyle w:val="Textpoznpodarou"/>
              <w:jc w:val="both"/>
              <w:rPr>
                <w:spacing w:val="-4"/>
              </w:rPr>
            </w:pPr>
          </w:p>
        </w:tc>
        <w:tc>
          <w:tcPr>
            <w:tcW w:w="7610" w:type="dxa"/>
            <w:shd w:val="clear" w:color="auto" w:fill="auto"/>
            <w:tcMar>
              <w:left w:w="0" w:type="dxa"/>
            </w:tcMar>
          </w:tcPr>
          <w:p w14:paraId="594039CA" w14:textId="77777777" w:rsidR="00DB5E3A" w:rsidRPr="00E66062" w:rsidRDefault="00DB5E3A" w:rsidP="00A1053B">
            <w:pPr>
              <w:rPr>
                <w:spacing w:val="-1"/>
              </w:rPr>
            </w:pPr>
            <w:r>
              <w:rPr>
                <w:spacing w:val="-1"/>
              </w:rPr>
              <w:t xml:space="preserve">Mezibankovní úrokové sazby v podstatě kopírují vývoj těch </w:t>
            </w:r>
            <w:proofErr w:type="spellStart"/>
            <w:r>
              <w:rPr>
                <w:spacing w:val="-1"/>
              </w:rPr>
              <w:t>měnověpolitických</w:t>
            </w:r>
            <w:proofErr w:type="spellEnd"/>
            <w:r>
              <w:rPr>
                <w:spacing w:val="-1"/>
              </w:rPr>
              <w:t>, takže úroková sazba PRIBOR (všechny druhy) se po květnovém navýšení dále příliš neměnila. Ke konci roku dosahovala tříměsíční sazba PRIBOR 2,18 %. Zajímavěji se loni vyvíjely výnosy vládních dluhopisů. Průměrné sazby u všech splatností dluhopisů (krátkodobá, střednědobá a dlouhodobá) od ledna do května mírně fluktuovaly (okolo 1,65 % u krátkodobých, 1,60 % u střednědobých a 1,80 % u dlouhodobých), ale výrazněji se neměnily. V průběhu června až srpna ale výnosy výrazně poklesly (v srpnu se průměry dostaly u všech typů dluhopisů pod 1 %). Až do konce roku pak výnosy na vládních dluhopisech rostly a k 31. 12. dosahovaly 1,36 % u krátkodobých, 1,31 % u střednědobých a 1,51 % u dlouhodobých dluhopisů.</w:t>
            </w:r>
          </w:p>
        </w:tc>
      </w:tr>
      <w:tr w:rsidR="00DB5E3A" w:rsidRPr="00E66062" w14:paraId="0C9E40A8" w14:textId="77777777" w:rsidTr="00A1053B">
        <w:trPr>
          <w:trHeight w:val="145"/>
        </w:trPr>
        <w:tc>
          <w:tcPr>
            <w:tcW w:w="1802" w:type="dxa"/>
            <w:shd w:val="clear" w:color="auto" w:fill="auto"/>
            <w:tcMar>
              <w:left w:w="0" w:type="dxa"/>
            </w:tcMar>
          </w:tcPr>
          <w:p w14:paraId="68FA50EA" w14:textId="77777777" w:rsidR="00DB5E3A" w:rsidRDefault="00DB5E3A" w:rsidP="00A1053B">
            <w:pPr>
              <w:pStyle w:val="Marginlie"/>
            </w:pPr>
            <w:r>
              <w:t>Úročení vkladů s dohodnutou splatností se loni zvyšovalo, což k nim přilákalo poměrně velký objem finančních prostředků.</w:t>
            </w:r>
          </w:p>
        </w:tc>
        <w:tc>
          <w:tcPr>
            <w:tcW w:w="229" w:type="dxa"/>
            <w:shd w:val="clear" w:color="auto" w:fill="auto"/>
            <w:tcMar>
              <w:left w:w="0" w:type="dxa"/>
            </w:tcMar>
          </w:tcPr>
          <w:p w14:paraId="65FF1080" w14:textId="77777777" w:rsidR="00DB5E3A" w:rsidRDefault="00DB5E3A" w:rsidP="00A1053B">
            <w:pPr>
              <w:pStyle w:val="Textpoznpodarou"/>
              <w:jc w:val="both"/>
              <w:rPr>
                <w:spacing w:val="-4"/>
              </w:rPr>
            </w:pPr>
          </w:p>
        </w:tc>
        <w:tc>
          <w:tcPr>
            <w:tcW w:w="7610" w:type="dxa"/>
            <w:shd w:val="clear" w:color="auto" w:fill="auto"/>
            <w:tcMar>
              <w:left w:w="0" w:type="dxa"/>
            </w:tcMar>
          </w:tcPr>
          <w:p w14:paraId="0528E322" w14:textId="77777777" w:rsidR="00DB5E3A" w:rsidRPr="00E66062" w:rsidRDefault="00DB5E3A" w:rsidP="00A1053B">
            <w:pPr>
              <w:rPr>
                <w:spacing w:val="-3"/>
              </w:rPr>
            </w:pPr>
            <w:r>
              <w:rPr>
                <w:spacing w:val="-3"/>
              </w:rPr>
              <w:t>Ačkoli úročení běžných účtů pro domácnosti zůstávalo na stejné (téměř nulové) hladině po celý rok, u vkladů s dohodnutou splatností se průměrné sazby v průběhu roku měnily. Výraznější posun vzhůru bylo možné zachytit již ve 2. pololetí roku 2018 a loňské 1. až 3. čtvrtletí na tento vývoj navázalo. Od ledna do září 2019 se průměrná úroková sazba na vkladech s dohodnutou splatností zvýšila o 0,25 p. b. na 1,6 %. Ve 4. čtvrtletí ale úrokové sazby poklesly (k 31. 12. činil průměr 1,52 %). Nefinanční podniky měly loni na běžných účtech mírně lepší podmínky než domácnosti – během 1. pololetí 2019 průměrná úroková sazba stoupla na 0,22 % a pak se na této úrovni držela až do konce roku (0,21 % k 31. 12.). Průměrné úročení vkladů s dohodnutou splatností pro nefinanční podniky se vyvíjelo stejně jako u domácností – rostlo během 1. až 3. čtvrtletí a mírně kleslo ve 4. kvartálu (k 31. 12. činilo 1,52 %). Popsaný vývoj úrokových sazeb měl vliv také na strukturu peněžní zásoby. Její meziroční růst v letech 2018 a 2019 výrazně zmírnil, a to hlavně pod vlivem oběživa a jednodenních vkladů. Prudce ale rostl objem prostředků ve formě vkladů s dohodnutou splatností (během roku 2019 se zvýšil o 128,7 mld. korun, 59,2 %).</w:t>
            </w:r>
          </w:p>
        </w:tc>
      </w:tr>
      <w:tr w:rsidR="00DB5E3A" w14:paraId="7EB3C412" w14:textId="77777777" w:rsidTr="00A1053B">
        <w:trPr>
          <w:trHeight w:val="145"/>
        </w:trPr>
        <w:tc>
          <w:tcPr>
            <w:tcW w:w="1802" w:type="dxa"/>
            <w:shd w:val="clear" w:color="auto" w:fill="auto"/>
            <w:tcMar>
              <w:left w:w="0" w:type="dxa"/>
            </w:tcMar>
          </w:tcPr>
          <w:p w14:paraId="2E233470" w14:textId="77777777" w:rsidR="00DB5E3A" w:rsidRDefault="00DB5E3A" w:rsidP="00A1053B">
            <w:pPr>
              <w:pStyle w:val="Marginlie"/>
            </w:pPr>
            <w:r>
              <w:t>Loni zpomaloval meziroční růst objemu úvěrů poskytnutých domácnostem na bydlení.</w:t>
            </w:r>
          </w:p>
        </w:tc>
        <w:tc>
          <w:tcPr>
            <w:tcW w:w="229" w:type="dxa"/>
            <w:shd w:val="clear" w:color="auto" w:fill="auto"/>
            <w:tcMar>
              <w:left w:w="0" w:type="dxa"/>
            </w:tcMar>
          </w:tcPr>
          <w:p w14:paraId="179F8A80" w14:textId="77777777" w:rsidR="00DB5E3A" w:rsidRDefault="00DB5E3A" w:rsidP="00A1053B">
            <w:pPr>
              <w:pStyle w:val="Textpoznpodarou"/>
              <w:jc w:val="both"/>
              <w:rPr>
                <w:spacing w:val="-4"/>
              </w:rPr>
            </w:pPr>
          </w:p>
        </w:tc>
        <w:tc>
          <w:tcPr>
            <w:tcW w:w="7610" w:type="dxa"/>
            <w:shd w:val="clear" w:color="auto" w:fill="auto"/>
            <w:tcMar>
              <w:left w:w="0" w:type="dxa"/>
            </w:tcMar>
          </w:tcPr>
          <w:p w14:paraId="5E9113DC" w14:textId="77777777" w:rsidR="00DB5E3A" w:rsidRDefault="00DB5E3A" w:rsidP="00A1053B">
            <w:r>
              <w:t xml:space="preserve">Úroveň úrokových sazeb úvěrů pro domácnosti během loňského roku klesala. Snížil se průměrný úrok úvěrů na spotřebu (k 31. 12. činil 8,28 %, meziročně poklesl o 0,35 p. b.). Ještě výrazněji klesalo průměrné úročení úvěrů na nákup bytové nemovitosti. V 1. čtvrtletí sice sazba drobně vzrostla (na 2,97 % k 31. 3.), během následujících čtvrtletí ale došlo k propadu až na 2,49 % ke konci roku 2019. Popsaný pokles probíhal u všech druhů fixace sazby. Meziroční růst objemu spotřebitelských úvěrů v závěru loňského roku zrychlil na 8,9 % a k 31. 12. činil objem poskytnutých úvěrů 234,4 mld. korun (meziroční navýšení o 19,1 mld.). Od začátku roku postupně zpomaloval meziroční růst objemu úvěrů na bydlení. Ve 4. čtvrtletí se jejich objem zvýšil o 6,7 % (poprvé od 2. čtvrtletí 2015 tempo kleslo pod 7 %). Počty nových hypotečních smluv loni dosáhl 154,2 tisíce a meziročně se tak propadl o 29,3 tisíce. Celkové </w:t>
            </w:r>
            <w:r>
              <w:lastRenderedPageBreak/>
              <w:t>zadlužení domácností ke konci roku 2019 činilo 1 816,4 mld. korun a meziročně se zvýšilo o 103,3 mld. korun (6,0 %). Většinu z tohoto nárůstu tvořilo zadlužení kvůli bydlení (82,1 mld.).</w:t>
            </w:r>
          </w:p>
        </w:tc>
      </w:tr>
      <w:tr w:rsidR="00DB5E3A" w14:paraId="796A0D81" w14:textId="77777777" w:rsidTr="00A1053B">
        <w:trPr>
          <w:trHeight w:val="145"/>
        </w:trPr>
        <w:tc>
          <w:tcPr>
            <w:tcW w:w="1802" w:type="dxa"/>
            <w:shd w:val="clear" w:color="auto" w:fill="auto"/>
            <w:tcMar>
              <w:left w:w="0" w:type="dxa"/>
            </w:tcMar>
          </w:tcPr>
          <w:p w14:paraId="5175EEFC" w14:textId="77777777" w:rsidR="00DB5E3A" w:rsidRDefault="00DB5E3A" w:rsidP="00A1053B">
            <w:pPr>
              <w:pStyle w:val="Marginlie"/>
            </w:pPr>
            <w:r>
              <w:lastRenderedPageBreak/>
              <w:t>Velkou část úvěrů poskytnutých nefinančním podnikům tvořily půjčky v zahraničních měnách.</w:t>
            </w:r>
          </w:p>
        </w:tc>
        <w:tc>
          <w:tcPr>
            <w:tcW w:w="229" w:type="dxa"/>
            <w:shd w:val="clear" w:color="auto" w:fill="auto"/>
            <w:tcMar>
              <w:left w:w="0" w:type="dxa"/>
            </w:tcMar>
          </w:tcPr>
          <w:p w14:paraId="345E0A8C" w14:textId="77777777" w:rsidR="00DB5E3A" w:rsidRDefault="00DB5E3A" w:rsidP="00A1053B">
            <w:pPr>
              <w:pStyle w:val="Textpoznpodarou"/>
              <w:jc w:val="both"/>
              <w:rPr>
                <w:spacing w:val="-4"/>
              </w:rPr>
            </w:pPr>
          </w:p>
        </w:tc>
        <w:tc>
          <w:tcPr>
            <w:tcW w:w="7610" w:type="dxa"/>
            <w:shd w:val="clear" w:color="auto" w:fill="auto"/>
            <w:tcMar>
              <w:left w:w="0" w:type="dxa"/>
            </w:tcMar>
          </w:tcPr>
          <w:p w14:paraId="16C75DE6" w14:textId="77777777" w:rsidR="00DB5E3A" w:rsidRDefault="00DB5E3A" w:rsidP="00A1053B">
            <w:r>
              <w:t>Podmínky úvěrů pro nefinanční podniky se v roce 2019 měnily v závislosti na objemu poskytnutých prostředků. U kategorie úvěrů do 7,5 milionu korun průměrný úrok rostl v 1. čtvrtletí na 4,33 % a ve 3. čtvrtletí na 4,42 %, ale v závěru roku došlo k poklesu na 4,11 %. U střední kategorie úvěrů (7,5–30 mil. korun) sazby po celý rok kolísaly (3,32 %, 3,45 % a 3,39 % ke konci 1., 2. a 3. čtvrtletí) a v závěru roku se zvýšily na 3,53 %. Úročení úvěrů nad 30 milionů se loni pohybovalo nejméně – pouze v řádu setin p. b. – a k 31. 12. činilo 3,76 %. Po poměrně silném meziročním přírůstku v 1. čtvrtletí (6,2 %) se tempo růstu objemu úvěrů a pohledávek nefinančních podniků zmírnilo. Stav k 31. 12. byl meziročně o 3,7 % vyšší. Navyšoval se objem střednědobých (5,8 %) a dlouhodobých úvěrů (5,0 %). Standardem se stalo úvěrové financování v cizích měnách. To k 31. 12. tvořilo 33,3 % všech úvěrů a pohledávek a meziroční přírůstek celkového objemu úvěrů (39,7 mld. korun) byl z naprosté většiny tvořen právě těmi denominovanými v cizí měně (37,2 mld.). V loňském roce se v některých odvětvích výrazně propadlo meziroční tempo růstu objemu úvěrů. Důvodem ale byla mimo jiné vysoká srovnávací základna roku 2018</w:t>
            </w:r>
            <w:r>
              <w:rPr>
                <w:rStyle w:val="Znakapoznpodarou"/>
              </w:rPr>
              <w:footnoteReference w:id="68"/>
            </w:r>
            <w:r>
              <w:t>. Objem poskytnutých úvěrů se k 31. 12. meziročně snížil v dopravě a skladování (–9,5 %, nárůst v roce 2018 dosáhl 14,0 %), ubytování, stravování a pohostinství (–5,5 %, 15,4 % v roce 2018) nebo informačních a komunikačních činnostech (–5,1 %, 15,4 % v roce 2018). Jen mírný byl přírůstek úvěrů ve zpracovatelském průmyslu (1,6 %). Navzdory zpomalení ve srovnání s předchozím rokem se příznivý vývoj situace v odvětví odrážel na přírůstku úvěrů poskytnutých ve stavebnictví (8,8 %). Poměrně solidně rostl objem půjček také u činností v oblasti nemovitostí (7,5 %).</w:t>
            </w:r>
          </w:p>
        </w:tc>
      </w:tr>
      <w:tr w:rsidR="00DB5E3A" w14:paraId="50317E57" w14:textId="77777777" w:rsidTr="00A1053B">
        <w:trPr>
          <w:trHeight w:val="304"/>
        </w:trPr>
        <w:tc>
          <w:tcPr>
            <w:tcW w:w="1802" w:type="dxa"/>
            <w:vMerge w:val="restart"/>
            <w:shd w:val="clear" w:color="auto" w:fill="auto"/>
            <w:tcMar>
              <w:left w:w="0" w:type="dxa"/>
            </w:tcMar>
          </w:tcPr>
          <w:p w14:paraId="7494FC9B" w14:textId="77777777" w:rsidR="00DB5E3A" w:rsidRDefault="00DB5E3A" w:rsidP="00A1053B">
            <w:pPr>
              <w:pStyle w:val="Marginlie"/>
            </w:pPr>
          </w:p>
        </w:tc>
        <w:tc>
          <w:tcPr>
            <w:tcW w:w="229" w:type="dxa"/>
            <w:vMerge w:val="restart"/>
            <w:shd w:val="clear" w:color="auto" w:fill="auto"/>
            <w:tcMar>
              <w:left w:w="0" w:type="dxa"/>
            </w:tcMar>
          </w:tcPr>
          <w:p w14:paraId="12ABB222" w14:textId="77777777" w:rsidR="00DB5E3A" w:rsidRDefault="00DB5E3A" w:rsidP="00A1053B">
            <w:pPr>
              <w:pStyle w:val="Textpoznpodarou"/>
              <w:jc w:val="both"/>
              <w:rPr>
                <w:spacing w:val="-4"/>
              </w:rPr>
            </w:pPr>
          </w:p>
        </w:tc>
        <w:tc>
          <w:tcPr>
            <w:tcW w:w="7610" w:type="dxa"/>
            <w:shd w:val="clear" w:color="auto" w:fill="auto"/>
            <w:tcMar>
              <w:left w:w="0" w:type="dxa"/>
            </w:tcMar>
          </w:tcPr>
          <w:p w14:paraId="5FDD8483" w14:textId="04F4EA73" w:rsidR="00DB5E3A" w:rsidRDefault="000767F5" w:rsidP="00A1053B">
            <w:pPr>
              <w:spacing w:after="0"/>
            </w:pPr>
            <w:r>
              <w:rPr>
                <w:rFonts w:cs="Arial"/>
                <w:b/>
                <w:bCs/>
                <w:color w:val="000000"/>
                <w:sz w:val="18"/>
                <w:szCs w:val="18"/>
              </w:rPr>
              <w:t>Graf č. 15</w:t>
            </w:r>
            <w:r w:rsidR="00DB5E3A" w:rsidRPr="00631BC9">
              <w:rPr>
                <w:rFonts w:cs="Arial"/>
                <w:b/>
                <w:bCs/>
                <w:color w:val="000000"/>
                <w:sz w:val="18"/>
                <w:szCs w:val="18"/>
              </w:rPr>
              <w:t xml:space="preserve">  </w:t>
            </w:r>
            <w:r w:rsidR="00DB5E3A">
              <w:rPr>
                <w:b/>
                <w:spacing w:val="-4"/>
                <w:sz w:val="18"/>
                <w:szCs w:val="18"/>
              </w:rPr>
              <w:t xml:space="preserve">Tržní úrokové sazby </w:t>
            </w:r>
            <w:r w:rsidR="00DB5E3A" w:rsidRPr="00AB2A66">
              <w:rPr>
                <w:bCs/>
                <w:spacing w:val="-4"/>
                <w:sz w:val="18"/>
                <w:szCs w:val="18"/>
              </w:rPr>
              <w:t>(v %)</w:t>
            </w:r>
          </w:p>
        </w:tc>
      </w:tr>
      <w:tr w:rsidR="00DB5E3A" w:rsidRPr="009110F7" w14:paraId="184CF3EF" w14:textId="77777777" w:rsidTr="00A1053B">
        <w:tblPrEx>
          <w:tblCellMar>
            <w:left w:w="70" w:type="dxa"/>
            <w:right w:w="70" w:type="dxa"/>
          </w:tblCellMar>
        </w:tblPrEx>
        <w:trPr>
          <w:trHeight w:val="170"/>
        </w:trPr>
        <w:tc>
          <w:tcPr>
            <w:tcW w:w="1802" w:type="dxa"/>
            <w:vMerge/>
            <w:shd w:val="clear" w:color="auto" w:fill="auto"/>
          </w:tcPr>
          <w:p w14:paraId="15C8A6E6" w14:textId="77777777" w:rsidR="00DB5E3A" w:rsidRPr="009110F7" w:rsidRDefault="00DB5E3A" w:rsidP="00A1053B">
            <w:pPr>
              <w:pStyle w:val="Marginlie"/>
            </w:pPr>
          </w:p>
        </w:tc>
        <w:tc>
          <w:tcPr>
            <w:tcW w:w="229" w:type="dxa"/>
            <w:vMerge/>
            <w:shd w:val="clear" w:color="auto" w:fill="auto"/>
          </w:tcPr>
          <w:p w14:paraId="4DB7907C" w14:textId="77777777" w:rsidR="00DB5E3A" w:rsidRPr="009110F7" w:rsidRDefault="00DB5E3A" w:rsidP="00A1053B">
            <w:pPr>
              <w:pStyle w:val="Textpoznpodarou"/>
              <w:jc w:val="both"/>
              <w:rPr>
                <w:spacing w:val="-4"/>
              </w:rPr>
            </w:pPr>
          </w:p>
        </w:tc>
        <w:tc>
          <w:tcPr>
            <w:tcW w:w="7610" w:type="dxa"/>
            <w:shd w:val="clear" w:color="auto" w:fill="auto"/>
          </w:tcPr>
          <w:p w14:paraId="162EB11A" w14:textId="77777777" w:rsidR="00DB5E3A" w:rsidRPr="009110F7" w:rsidRDefault="00DB5E3A" w:rsidP="00A1053B">
            <w:pPr>
              <w:spacing w:after="0"/>
              <w:rPr>
                <w:sz w:val="14"/>
                <w:szCs w:val="14"/>
              </w:rPr>
            </w:pPr>
            <w:r>
              <w:rPr>
                <w:noProof/>
              </w:rPr>
              <w:drawing>
                <wp:inline distT="0" distB="0" distL="0" distR="0" wp14:anchorId="6A80FFFE" wp14:editId="71E9992C">
                  <wp:extent cx="4737600" cy="3553200"/>
                  <wp:effectExtent l="0" t="0" r="6350" b="0"/>
                  <wp:docPr id="36" name="Graf 36">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DB5E3A" w:rsidRPr="009110F7" w14:paraId="129B4A60" w14:textId="77777777" w:rsidTr="00A1053B">
        <w:trPr>
          <w:trHeight w:val="170"/>
        </w:trPr>
        <w:tc>
          <w:tcPr>
            <w:tcW w:w="1802" w:type="dxa"/>
            <w:vMerge/>
            <w:shd w:val="clear" w:color="auto" w:fill="auto"/>
            <w:tcMar>
              <w:left w:w="0" w:type="dxa"/>
            </w:tcMar>
          </w:tcPr>
          <w:p w14:paraId="5B36E839" w14:textId="77777777" w:rsidR="00DB5E3A" w:rsidRPr="009110F7" w:rsidRDefault="00DB5E3A" w:rsidP="00A1053B">
            <w:pPr>
              <w:pStyle w:val="Marginlie"/>
            </w:pPr>
          </w:p>
        </w:tc>
        <w:tc>
          <w:tcPr>
            <w:tcW w:w="229" w:type="dxa"/>
            <w:vMerge/>
            <w:shd w:val="clear" w:color="auto" w:fill="auto"/>
            <w:tcMar>
              <w:left w:w="0" w:type="dxa"/>
            </w:tcMar>
          </w:tcPr>
          <w:p w14:paraId="6477A8B9" w14:textId="77777777" w:rsidR="00DB5E3A" w:rsidRPr="009110F7" w:rsidRDefault="00DB5E3A" w:rsidP="00A1053B">
            <w:pPr>
              <w:pStyle w:val="Textpoznpodarou"/>
              <w:jc w:val="both"/>
              <w:rPr>
                <w:spacing w:val="-4"/>
              </w:rPr>
            </w:pPr>
          </w:p>
        </w:tc>
        <w:tc>
          <w:tcPr>
            <w:tcW w:w="7610" w:type="dxa"/>
            <w:shd w:val="clear" w:color="auto" w:fill="auto"/>
            <w:tcMar>
              <w:left w:w="0" w:type="dxa"/>
            </w:tcMar>
          </w:tcPr>
          <w:p w14:paraId="5D90AF20" w14:textId="77777777" w:rsidR="00DB5E3A" w:rsidRPr="009110F7" w:rsidRDefault="00DB5E3A" w:rsidP="00A1053B">
            <w:pPr>
              <w:spacing w:after="0"/>
              <w:rPr>
                <w:sz w:val="14"/>
                <w:szCs w:val="14"/>
              </w:rPr>
            </w:pPr>
            <w:r>
              <w:rPr>
                <w:sz w:val="14"/>
                <w:szCs w:val="14"/>
              </w:rPr>
              <w:t>Zdroj: ČNB</w:t>
            </w:r>
          </w:p>
        </w:tc>
      </w:tr>
    </w:tbl>
    <w:p w14:paraId="67590406" w14:textId="77777777" w:rsidR="0067514E" w:rsidRDefault="0067514E" w:rsidP="0067514E">
      <w:pPr>
        <w:pStyle w:val="Nadpis11"/>
      </w:pPr>
      <w:bookmarkStart w:id="20" w:name="_Toc26865023"/>
      <w:bookmarkStart w:id="21" w:name="_Toc37403647"/>
      <w:r w:rsidRPr="009110F7">
        <w:lastRenderedPageBreak/>
        <w:t>8</w:t>
      </w:r>
      <w:r>
        <w:t>. </w:t>
      </w:r>
      <w:r w:rsidRPr="009110F7">
        <w:t>Státní rozpočet</w:t>
      </w:r>
      <w:bookmarkEnd w:id="21"/>
    </w:p>
    <w:tbl>
      <w:tblPr>
        <w:tblW w:w="9669" w:type="dxa"/>
        <w:tblInd w:w="-20" w:type="dxa"/>
        <w:tblCellMar>
          <w:left w:w="0" w:type="dxa"/>
          <w:right w:w="0" w:type="dxa"/>
        </w:tblCellMar>
        <w:tblLook w:val="00A0" w:firstRow="1" w:lastRow="0" w:firstColumn="1" w:lastColumn="0" w:noHBand="0" w:noVBand="0"/>
      </w:tblPr>
      <w:tblGrid>
        <w:gridCol w:w="1732"/>
        <w:gridCol w:w="217"/>
        <w:gridCol w:w="7720"/>
      </w:tblGrid>
      <w:tr w:rsidR="0067514E" w:rsidRPr="003C07E6" w14:paraId="294B2488" w14:textId="77777777" w:rsidTr="008D1E0A">
        <w:trPr>
          <w:trHeight w:val="145"/>
        </w:trPr>
        <w:tc>
          <w:tcPr>
            <w:tcW w:w="1732" w:type="dxa"/>
            <w:shd w:val="clear" w:color="auto" w:fill="auto"/>
            <w:tcMar>
              <w:left w:w="0" w:type="dxa"/>
            </w:tcMar>
          </w:tcPr>
          <w:p w14:paraId="5CFC4A7F" w14:textId="77777777" w:rsidR="0067514E" w:rsidRDefault="0067514E" w:rsidP="008D1E0A">
            <w:pPr>
              <w:pStyle w:val="Marginlie"/>
            </w:pPr>
            <w:r>
              <w:t>Hospodaření státního rozpočtu se loni vrátilo k deficitu. Jeho saldo bylo nejhorší za poslední čtyři roky, ale lepší než za konjunktury minulé dekády.</w:t>
            </w:r>
          </w:p>
        </w:tc>
        <w:tc>
          <w:tcPr>
            <w:tcW w:w="217" w:type="dxa"/>
            <w:shd w:val="clear" w:color="auto" w:fill="auto"/>
            <w:tcMar>
              <w:left w:w="0" w:type="dxa"/>
            </w:tcMar>
          </w:tcPr>
          <w:p w14:paraId="55C2CEB1" w14:textId="77777777" w:rsidR="0067514E" w:rsidRDefault="0067514E" w:rsidP="008D1E0A">
            <w:pPr>
              <w:pStyle w:val="Textpoznpodarou"/>
              <w:jc w:val="both"/>
              <w:rPr>
                <w:spacing w:val="-4"/>
              </w:rPr>
            </w:pPr>
          </w:p>
        </w:tc>
        <w:tc>
          <w:tcPr>
            <w:tcW w:w="7720" w:type="dxa"/>
            <w:shd w:val="clear" w:color="auto" w:fill="auto"/>
            <w:tcMar>
              <w:left w:w="0" w:type="dxa"/>
            </w:tcMar>
          </w:tcPr>
          <w:p w14:paraId="2D802D00" w14:textId="77777777" w:rsidR="0067514E" w:rsidRPr="0067514E" w:rsidRDefault="0067514E" w:rsidP="008D1E0A">
            <w:pPr>
              <w:spacing w:after="220"/>
              <w:rPr>
                <w:spacing w:val="-6"/>
              </w:rPr>
            </w:pPr>
            <w:r w:rsidRPr="0067514E">
              <w:rPr>
                <w:spacing w:val="-6"/>
              </w:rPr>
              <w:t>V roce 2019 zaznamenal státní rozpočet (SR)</w:t>
            </w:r>
            <w:r w:rsidRPr="0067514E">
              <w:rPr>
                <w:rStyle w:val="Znakapoznpodarou"/>
                <w:spacing w:val="-6"/>
              </w:rPr>
              <w:footnoteReference w:id="69"/>
            </w:r>
            <w:r w:rsidRPr="0067514E">
              <w:rPr>
                <w:spacing w:val="-6"/>
              </w:rPr>
              <w:t xml:space="preserve"> schodek 28,5 mld. korun a docílil tak nejslabšího výsledku za poslední čtyři roky. Hloubka deficitu byla ale současně ve srovnání s průměrem za konjunkturní období minulé dekády (2003 až 2007) výrazně nižší (o 56 mld.). Za poklesem salda oproti roku 2018 (o 31,5 mld.) stály loni především svižný růst běžných i investičních výdajů a dále i mírné zpomalení dynamiky výběru některých váhově významných daní vlivem zvolnění hospodářského růstu. V menší míře působila také bilance toků ve vztahu k rozpočtu EU</w:t>
            </w:r>
            <w:r w:rsidRPr="0067514E">
              <w:rPr>
                <w:rStyle w:val="Znakapoznpodarou"/>
                <w:spacing w:val="-6"/>
              </w:rPr>
              <w:footnoteReference w:id="70"/>
            </w:r>
            <w:r w:rsidRPr="0067514E">
              <w:rPr>
                <w:spacing w:val="-6"/>
              </w:rPr>
              <w:t>.</w:t>
            </w:r>
          </w:p>
        </w:tc>
      </w:tr>
      <w:tr w:rsidR="0067514E" w:rsidRPr="003C07E6" w14:paraId="148CA1C0" w14:textId="77777777" w:rsidTr="008D1E0A">
        <w:trPr>
          <w:trHeight w:val="145"/>
        </w:trPr>
        <w:tc>
          <w:tcPr>
            <w:tcW w:w="1732" w:type="dxa"/>
            <w:shd w:val="clear" w:color="auto" w:fill="auto"/>
            <w:tcMar>
              <w:left w:w="0" w:type="dxa"/>
            </w:tcMar>
          </w:tcPr>
          <w:p w14:paraId="42C52C7B" w14:textId="77777777" w:rsidR="0067514E" w:rsidRDefault="0067514E" w:rsidP="008D1E0A">
            <w:pPr>
              <w:pStyle w:val="Marginlie"/>
            </w:pPr>
            <w:r>
              <w:t>Růst celkových příjmů SR táhly hlavně nedaňové a kapitálové příjmy. V souhrnném daňovém inkasu včetně pojistného se postupně projevoval vliv zpomalování růstu ekonomiky.</w:t>
            </w:r>
          </w:p>
        </w:tc>
        <w:tc>
          <w:tcPr>
            <w:tcW w:w="217" w:type="dxa"/>
            <w:shd w:val="clear" w:color="auto" w:fill="auto"/>
            <w:tcMar>
              <w:left w:w="0" w:type="dxa"/>
            </w:tcMar>
          </w:tcPr>
          <w:p w14:paraId="21483191" w14:textId="77777777" w:rsidR="0067514E" w:rsidRDefault="0067514E" w:rsidP="008D1E0A">
            <w:pPr>
              <w:pStyle w:val="Textpoznpodarou"/>
              <w:jc w:val="both"/>
              <w:rPr>
                <w:spacing w:val="-4"/>
              </w:rPr>
            </w:pPr>
          </w:p>
        </w:tc>
        <w:tc>
          <w:tcPr>
            <w:tcW w:w="7720" w:type="dxa"/>
            <w:shd w:val="clear" w:color="auto" w:fill="auto"/>
            <w:tcMar>
              <w:left w:w="0" w:type="dxa"/>
            </w:tcMar>
          </w:tcPr>
          <w:p w14:paraId="69A25B12" w14:textId="1C529D87" w:rsidR="0067514E" w:rsidRPr="0067514E" w:rsidRDefault="0067514E" w:rsidP="008D1E0A">
            <w:pPr>
              <w:spacing w:after="220"/>
              <w:rPr>
                <w:spacing w:val="-6"/>
              </w:rPr>
            </w:pPr>
            <w:r w:rsidRPr="0067514E">
              <w:rPr>
                <w:spacing w:val="-6"/>
              </w:rPr>
              <w:t>Meziroční růst příjmů SR (o 8,5 %, resp. 119,3 mld. korun) byl loni z více než třetiny saturován vyššími nedaňovými a kapitálovými příjmy a transfery, u nichž se projevil silnější příliv prostředků z rozpočtu EU (+6,7 mld. korun), plánovaný jednorázový převod z privatizačního účtu (18,0 mld.) i vyšší příjmy z prodeje emisních povolenek. Třetinou přispěl k vyšším celkovým rozpočtovým příjmům i výběr pojistného na sociální zabezpečení (+7,5 %), jen nepatrně menší roli měly daňové příjmy (+4,9 %). Výběr obou těchto položek ale mírně zaostal za rozpočtovým očekáváním, neboť zejména ve druhé polovině roku se projevil vliv zpomalení růstu ekonomiky. Na úrovni všech veřejných rozpočtů vzrostlo loni daňové inkaso (bez pojistného) nejslabším tempem za poslední čtyři roky (meziročně o 5,4 %, v samotném 2. pololetí o 5,0 %).</w:t>
            </w:r>
          </w:p>
        </w:tc>
      </w:tr>
      <w:tr w:rsidR="0067514E" w:rsidRPr="003C07E6" w14:paraId="61B071FE" w14:textId="77777777" w:rsidTr="008D1E0A">
        <w:trPr>
          <w:trHeight w:val="145"/>
        </w:trPr>
        <w:tc>
          <w:tcPr>
            <w:tcW w:w="1732" w:type="dxa"/>
            <w:shd w:val="clear" w:color="auto" w:fill="auto"/>
            <w:tcMar>
              <w:left w:w="0" w:type="dxa"/>
            </w:tcMar>
          </w:tcPr>
          <w:p w14:paraId="7225FEEA" w14:textId="77777777" w:rsidR="0067514E" w:rsidRDefault="0067514E" w:rsidP="008D1E0A">
            <w:pPr>
              <w:pStyle w:val="Marginlie"/>
            </w:pPr>
            <w:r>
              <w:t>Tempo růstu celostátního inkasa DPH loni oproti rokům 2017 i 2018 citelně zvolnilo a zůstalo i za rozpočtovým očekáváním.</w:t>
            </w:r>
          </w:p>
        </w:tc>
        <w:tc>
          <w:tcPr>
            <w:tcW w:w="217" w:type="dxa"/>
            <w:shd w:val="clear" w:color="auto" w:fill="auto"/>
            <w:tcMar>
              <w:left w:w="0" w:type="dxa"/>
            </w:tcMar>
          </w:tcPr>
          <w:p w14:paraId="36B151BE" w14:textId="77777777" w:rsidR="0067514E" w:rsidRDefault="0067514E" w:rsidP="008D1E0A">
            <w:pPr>
              <w:pStyle w:val="Textpoznpodarou"/>
              <w:jc w:val="both"/>
              <w:rPr>
                <w:spacing w:val="-4"/>
              </w:rPr>
            </w:pPr>
          </w:p>
        </w:tc>
        <w:tc>
          <w:tcPr>
            <w:tcW w:w="7720" w:type="dxa"/>
            <w:shd w:val="clear" w:color="auto" w:fill="auto"/>
            <w:tcMar>
              <w:left w:w="0" w:type="dxa"/>
            </w:tcMar>
          </w:tcPr>
          <w:p w14:paraId="4B99ADE1" w14:textId="77777777" w:rsidR="0067514E" w:rsidRPr="0067514E" w:rsidRDefault="0067514E" w:rsidP="008D1E0A">
            <w:pPr>
              <w:spacing w:after="220"/>
              <w:rPr>
                <w:spacing w:val="-6"/>
              </w:rPr>
            </w:pPr>
            <w:r w:rsidRPr="0067514E">
              <w:rPr>
                <w:spacing w:val="-6"/>
              </w:rPr>
              <w:t>Příjem SR z váhově nejvýznamnější daně – DPH – vzrostl loni o 4,4 % a podobně jako v roce 2018 nebylo rozpočtové očekávání naplněno. Z celostátního inkasa, ve kterém je eliminován vliv změn v rozpočtovém určení daně, plyne, že růstové tempo výběru DPH loni klesalo již druhým rokem v řadě a rovněž zaostávalo za dynamikou růstu nominálních výdajů na konečnou spotřebu domácností i vládních institucí.</w:t>
            </w:r>
          </w:p>
        </w:tc>
      </w:tr>
      <w:tr w:rsidR="0067514E" w:rsidRPr="003C07E6" w14:paraId="68F0270E" w14:textId="77777777" w:rsidTr="008D1E0A">
        <w:trPr>
          <w:trHeight w:val="145"/>
        </w:trPr>
        <w:tc>
          <w:tcPr>
            <w:tcW w:w="1732" w:type="dxa"/>
            <w:shd w:val="clear" w:color="auto" w:fill="auto"/>
            <w:tcMar>
              <w:left w:w="0" w:type="dxa"/>
            </w:tcMar>
          </w:tcPr>
          <w:p w14:paraId="491214A2" w14:textId="77777777" w:rsidR="0067514E" w:rsidRDefault="0067514E" w:rsidP="008D1E0A">
            <w:pPr>
              <w:pStyle w:val="Marginlie"/>
            </w:pPr>
            <w:r>
              <w:t>Nižší inkaso spotřební daně z tabákových výrobků bylo z velké části kompenzováno vyšším výběrem daně z minerálních olejů.</w:t>
            </w:r>
          </w:p>
        </w:tc>
        <w:tc>
          <w:tcPr>
            <w:tcW w:w="217" w:type="dxa"/>
            <w:shd w:val="clear" w:color="auto" w:fill="auto"/>
            <w:tcMar>
              <w:left w:w="0" w:type="dxa"/>
            </w:tcMar>
          </w:tcPr>
          <w:p w14:paraId="55AE7240" w14:textId="77777777" w:rsidR="0067514E" w:rsidRDefault="0067514E" w:rsidP="008D1E0A">
            <w:pPr>
              <w:pStyle w:val="Textpoznpodarou"/>
              <w:jc w:val="both"/>
              <w:rPr>
                <w:spacing w:val="-4"/>
              </w:rPr>
            </w:pPr>
          </w:p>
        </w:tc>
        <w:tc>
          <w:tcPr>
            <w:tcW w:w="7720" w:type="dxa"/>
            <w:shd w:val="clear" w:color="auto" w:fill="auto"/>
            <w:tcMar>
              <w:left w:w="0" w:type="dxa"/>
            </w:tcMar>
          </w:tcPr>
          <w:p w14:paraId="2061F491" w14:textId="77777777" w:rsidR="0067514E" w:rsidRPr="0067514E" w:rsidRDefault="0067514E" w:rsidP="008D1E0A">
            <w:pPr>
              <w:spacing w:after="220"/>
              <w:rPr>
                <w:spacing w:val="-6"/>
              </w:rPr>
            </w:pPr>
            <w:r w:rsidRPr="0067514E">
              <w:rPr>
                <w:spacing w:val="-6"/>
              </w:rPr>
              <w:t>Výběr všech spotřebních daní se v souladu s rozpočtovým očekáváním v roce 2019 meziročně velmi mírně snížil (o 0,2 %). Tento pokles byl téměř výhradně ovlivněn slabším inkasem daně z tabákových výrobků (–4,9 %), jejíž výběr kromě výkyvů vlivem předzásobení ovlivnil negativně zejména fakt, že</w:t>
            </w:r>
            <w:r w:rsidRPr="0067514E">
              <w:rPr>
                <w:iCs/>
                <w:spacing w:val="-6"/>
              </w:rPr>
              <w:t xml:space="preserve"> loni poprvé od roku 2011 nedošlo ke </w:t>
            </w:r>
            <w:r w:rsidRPr="0067514E">
              <w:rPr>
                <w:spacing w:val="-6"/>
              </w:rPr>
              <w:t>zvyšování sazby této daně. Výběr objemově nejvýznamnější spotřební daně – z minerálních olejů – vzrostl o 2,7 %. Projevily se vyšší přepravní výkony hlavně v osobní dopravě, což vyústilo ve vyšší spotřebu motorové nafty, benzínu a zejména leteckého petroleje</w:t>
            </w:r>
            <w:r w:rsidRPr="0067514E">
              <w:rPr>
                <w:rStyle w:val="Znakapoznpodarou"/>
                <w:spacing w:val="-6"/>
              </w:rPr>
              <w:footnoteReference w:id="71"/>
            </w:r>
            <w:r w:rsidRPr="0067514E">
              <w:rPr>
                <w:spacing w:val="-6"/>
              </w:rPr>
              <w:t>.</w:t>
            </w:r>
          </w:p>
        </w:tc>
      </w:tr>
      <w:tr w:rsidR="0067514E" w:rsidRPr="003C07E6" w14:paraId="5543DF28" w14:textId="77777777" w:rsidTr="008D1E0A">
        <w:trPr>
          <w:trHeight w:val="145"/>
        </w:trPr>
        <w:tc>
          <w:tcPr>
            <w:tcW w:w="1732" w:type="dxa"/>
            <w:shd w:val="clear" w:color="auto" w:fill="auto"/>
            <w:tcMar>
              <w:left w:w="0" w:type="dxa"/>
            </w:tcMar>
          </w:tcPr>
          <w:p w14:paraId="60172FC2" w14:textId="77777777" w:rsidR="0067514E" w:rsidRDefault="0067514E" w:rsidP="008D1E0A">
            <w:pPr>
              <w:pStyle w:val="Marginlie"/>
            </w:pPr>
            <w:r>
              <w:t>Dynamika výběru daně z příjmů fyzických osob ze závislé činnosti i přes mírné zvolnění dále rostla dvojciferným tempem.</w:t>
            </w:r>
          </w:p>
          <w:p w14:paraId="748FFFFD" w14:textId="77777777" w:rsidR="0067514E" w:rsidRDefault="0067514E" w:rsidP="008D1E0A">
            <w:pPr>
              <w:pStyle w:val="Marginlie"/>
            </w:pPr>
          </w:p>
          <w:p w14:paraId="535C76EF" w14:textId="77777777" w:rsidR="0067514E" w:rsidRDefault="0067514E" w:rsidP="008D1E0A">
            <w:pPr>
              <w:pStyle w:val="Marginlie"/>
            </w:pPr>
          </w:p>
          <w:p w14:paraId="1D4B8991" w14:textId="77777777" w:rsidR="0067514E" w:rsidRDefault="0067514E" w:rsidP="008D1E0A">
            <w:pPr>
              <w:pStyle w:val="Marginlie"/>
            </w:pPr>
          </w:p>
          <w:p w14:paraId="75E931E0" w14:textId="77777777" w:rsidR="0067514E" w:rsidRDefault="0067514E" w:rsidP="008D1E0A">
            <w:pPr>
              <w:pStyle w:val="Marginlie"/>
            </w:pPr>
            <w:r>
              <w:t>Objem inkasa korporátní daně poprvé překonal úroveň z vrcholu konjunktury minulé dekády.</w:t>
            </w:r>
          </w:p>
          <w:p w14:paraId="0E2B530B" w14:textId="77777777" w:rsidR="0067514E" w:rsidRDefault="0067514E" w:rsidP="008D1E0A">
            <w:pPr>
              <w:pStyle w:val="Marginlie"/>
            </w:pPr>
          </w:p>
        </w:tc>
        <w:tc>
          <w:tcPr>
            <w:tcW w:w="217" w:type="dxa"/>
            <w:shd w:val="clear" w:color="auto" w:fill="auto"/>
            <w:tcMar>
              <w:left w:w="0" w:type="dxa"/>
            </w:tcMar>
          </w:tcPr>
          <w:p w14:paraId="2F1D796E" w14:textId="77777777" w:rsidR="0067514E" w:rsidRDefault="0067514E" w:rsidP="008D1E0A">
            <w:pPr>
              <w:pStyle w:val="Textpoznpodarou"/>
              <w:jc w:val="both"/>
              <w:rPr>
                <w:spacing w:val="-4"/>
              </w:rPr>
            </w:pPr>
          </w:p>
        </w:tc>
        <w:tc>
          <w:tcPr>
            <w:tcW w:w="7720" w:type="dxa"/>
            <w:shd w:val="clear" w:color="auto" w:fill="auto"/>
            <w:tcMar>
              <w:left w:w="0" w:type="dxa"/>
            </w:tcMar>
          </w:tcPr>
          <w:p w14:paraId="18C83FCA" w14:textId="77777777" w:rsidR="0067514E" w:rsidRPr="0067514E" w:rsidRDefault="0067514E" w:rsidP="008D1E0A">
            <w:pPr>
              <w:spacing w:after="0"/>
              <w:rPr>
                <w:rFonts w:cs="Arial"/>
                <w:color w:val="000000" w:themeColor="text1"/>
                <w:spacing w:val="-6"/>
              </w:rPr>
            </w:pPr>
            <w:r w:rsidRPr="0067514E">
              <w:rPr>
                <w:spacing w:val="-6"/>
              </w:rPr>
              <w:t xml:space="preserve">Růst inkasa přímých daní byl již třetím rokem v řadě nejvíce tažen </w:t>
            </w:r>
            <w:r w:rsidRPr="0067514E">
              <w:rPr>
                <w:rFonts w:cs="Arial"/>
                <w:color w:val="000000" w:themeColor="text1"/>
                <w:spacing w:val="-6"/>
              </w:rPr>
              <w:t xml:space="preserve">daní z příjmů fyzických osob ze závislé činnosti. Její výběr na úrovni všech veřejných rozpočtů vzrostl loni meziročně o 11,7 % (v letech 2017 i 2018 se ale tempa pohybovala mezi 13 a 15 %). Toto zpomalení souvisí se slabší dynamikou zaměstnanosti i mírným zvolněním růstu průměrných mezd, které byly patrné především ve druhé polovině loňského roku. Svižný dvojciferný růst vykázaly v roce 2019 i další přímé daně – u fyzických osob z přiznání či z kapitálových výnosů. Projevovala se zde nadále silná domácí poptávka související především s vyšší kupní silou domácností. </w:t>
            </w:r>
            <w:r w:rsidRPr="0067514E">
              <w:rPr>
                <w:rFonts w:cs="Arial"/>
                <w:spacing w:val="-6"/>
              </w:rPr>
              <w:t>Celostátní inkaso korporátní daně po slabší dynamice v letech 2017 i 2018, ovlivněné hlavně sílícími mzdovými náklady, loni vzrostlo meziročně o 5,1 %. Objem inkasa v absolutní výši poprvé překonal předkrizovou úroveň (rok 2008)</w:t>
            </w:r>
            <w:r w:rsidRPr="0067514E">
              <w:rPr>
                <w:rStyle w:val="Znakapoznpodarou"/>
                <w:spacing w:val="-6"/>
              </w:rPr>
              <w:footnoteReference w:id="72"/>
            </w:r>
            <w:r w:rsidRPr="0067514E">
              <w:rPr>
                <w:rFonts w:cs="Arial"/>
                <w:spacing w:val="-6"/>
              </w:rPr>
              <w:t>. I přesto zůstalo loňské inkaso mírně za rozpočtovým očekáváním, obdobně jako u celkové daně z příjmů fyzických osob.</w:t>
            </w:r>
          </w:p>
        </w:tc>
      </w:tr>
      <w:tr w:rsidR="0067514E" w:rsidRPr="00F704D2" w14:paraId="3755558B" w14:textId="77777777" w:rsidTr="008D1E0A">
        <w:trPr>
          <w:trHeight w:val="170"/>
        </w:trPr>
        <w:tc>
          <w:tcPr>
            <w:tcW w:w="1732" w:type="dxa"/>
            <w:vMerge w:val="restart"/>
            <w:shd w:val="clear" w:color="auto" w:fill="auto"/>
            <w:tcMar>
              <w:left w:w="0" w:type="dxa"/>
            </w:tcMar>
          </w:tcPr>
          <w:p w14:paraId="27D4D2E8" w14:textId="77777777" w:rsidR="0067514E" w:rsidRDefault="0067514E" w:rsidP="008D1E0A">
            <w:pPr>
              <w:pStyle w:val="Marginlie"/>
            </w:pPr>
          </w:p>
        </w:tc>
        <w:tc>
          <w:tcPr>
            <w:tcW w:w="217" w:type="dxa"/>
            <w:vMerge w:val="restart"/>
            <w:shd w:val="clear" w:color="auto" w:fill="auto"/>
            <w:tcMar>
              <w:left w:w="0" w:type="dxa"/>
            </w:tcMar>
          </w:tcPr>
          <w:p w14:paraId="2AABCBCD" w14:textId="77777777" w:rsidR="0067514E" w:rsidRDefault="0067514E" w:rsidP="008D1E0A">
            <w:pPr>
              <w:pStyle w:val="Textpoznpodarou"/>
              <w:jc w:val="both"/>
              <w:rPr>
                <w:spacing w:val="-4"/>
              </w:rPr>
            </w:pPr>
          </w:p>
        </w:tc>
        <w:tc>
          <w:tcPr>
            <w:tcW w:w="7720" w:type="dxa"/>
            <w:shd w:val="clear" w:color="auto" w:fill="auto"/>
            <w:tcMar>
              <w:left w:w="0" w:type="dxa"/>
            </w:tcMar>
          </w:tcPr>
          <w:p w14:paraId="1BB62FD2" w14:textId="77777777" w:rsidR="0067514E" w:rsidRPr="0067514E" w:rsidRDefault="0067514E" w:rsidP="008D1E0A">
            <w:pPr>
              <w:spacing w:after="0" w:line="240" w:lineRule="auto"/>
              <w:rPr>
                <w:rFonts w:cs="Arial"/>
                <w:bCs/>
                <w:spacing w:val="-6"/>
              </w:rPr>
            </w:pPr>
            <w:r w:rsidRPr="003474B6">
              <w:rPr>
                <w:rFonts w:cs="Arial"/>
                <w:b/>
                <w:bCs/>
                <w:color w:val="000000"/>
                <w:spacing w:val="-2"/>
                <w:szCs w:val="20"/>
              </w:rPr>
              <w:t>Graf č. 16</w:t>
            </w:r>
            <w:r w:rsidRPr="003474B6">
              <w:rPr>
                <w:rFonts w:cs="Arial"/>
                <w:b/>
                <w:bCs/>
                <w:color w:val="000000"/>
                <w:spacing w:val="-2"/>
                <w:sz w:val="18"/>
                <w:szCs w:val="18"/>
              </w:rPr>
              <w:t xml:space="preserve">  </w:t>
            </w:r>
            <w:r w:rsidRPr="003474B6">
              <w:rPr>
                <w:rFonts w:cs="Arial"/>
                <w:b/>
                <w:bCs/>
                <w:spacing w:val="-2"/>
              </w:rPr>
              <w:t xml:space="preserve">Celostátní inkasa vybraných daňových příjmů </w:t>
            </w:r>
            <w:r w:rsidRPr="003474B6">
              <w:rPr>
                <w:rFonts w:cs="Arial"/>
                <w:bCs/>
                <w:spacing w:val="-2"/>
              </w:rPr>
              <w:t>(</w:t>
            </w:r>
            <w:r w:rsidRPr="003474B6">
              <w:rPr>
                <w:spacing w:val="-2"/>
              </w:rPr>
              <w:t>meziročně</w:t>
            </w:r>
            <w:r w:rsidRPr="003474B6">
              <w:rPr>
                <w:bCs/>
                <w:spacing w:val="-2"/>
              </w:rPr>
              <w:t xml:space="preserve"> v %)</w:t>
            </w:r>
            <w:r w:rsidRPr="003474B6">
              <w:rPr>
                <w:bCs/>
                <w:spacing w:val="-2"/>
              </w:rPr>
              <w:br/>
            </w:r>
            <w:r w:rsidRPr="003474B6">
              <w:rPr>
                <w:rFonts w:cs="Arial"/>
                <w:b/>
                <w:bCs/>
                <w:spacing w:val="-2"/>
              </w:rPr>
              <w:t>a saldo státního rozpočtu</w:t>
            </w:r>
            <w:r w:rsidRPr="0067514E">
              <w:rPr>
                <w:spacing w:val="-6"/>
              </w:rPr>
              <w:t xml:space="preserve"> </w:t>
            </w:r>
            <w:r w:rsidRPr="0067514E">
              <w:rPr>
                <w:rFonts w:cs="Arial"/>
                <w:bCs/>
                <w:spacing w:val="-6"/>
              </w:rPr>
              <w:t>(v mld. korun, roční kumulace)</w:t>
            </w:r>
          </w:p>
        </w:tc>
      </w:tr>
      <w:tr w:rsidR="0067514E" w14:paraId="12AD28E4" w14:textId="77777777" w:rsidTr="008D1E0A">
        <w:tblPrEx>
          <w:tblCellMar>
            <w:left w:w="70" w:type="dxa"/>
            <w:right w:w="70" w:type="dxa"/>
          </w:tblCellMar>
        </w:tblPrEx>
        <w:trPr>
          <w:trHeight w:val="170"/>
        </w:trPr>
        <w:tc>
          <w:tcPr>
            <w:tcW w:w="1732" w:type="dxa"/>
            <w:vMerge/>
            <w:shd w:val="clear" w:color="auto" w:fill="auto"/>
          </w:tcPr>
          <w:p w14:paraId="5FBF8F8F" w14:textId="77777777" w:rsidR="0067514E" w:rsidRDefault="0067514E" w:rsidP="008D1E0A">
            <w:pPr>
              <w:pStyle w:val="Marginlie"/>
            </w:pPr>
          </w:p>
        </w:tc>
        <w:tc>
          <w:tcPr>
            <w:tcW w:w="217" w:type="dxa"/>
            <w:vMerge/>
            <w:shd w:val="clear" w:color="auto" w:fill="auto"/>
          </w:tcPr>
          <w:p w14:paraId="52F34786" w14:textId="77777777" w:rsidR="0067514E" w:rsidRDefault="0067514E" w:rsidP="008D1E0A">
            <w:pPr>
              <w:pStyle w:val="Textpoznpodarou"/>
              <w:jc w:val="both"/>
              <w:rPr>
                <w:spacing w:val="-4"/>
              </w:rPr>
            </w:pPr>
          </w:p>
        </w:tc>
        <w:tc>
          <w:tcPr>
            <w:tcW w:w="7720" w:type="dxa"/>
            <w:shd w:val="clear" w:color="auto" w:fill="auto"/>
          </w:tcPr>
          <w:p w14:paraId="5A0BD311" w14:textId="77777777" w:rsidR="0067514E" w:rsidRPr="0067514E" w:rsidRDefault="0067514E" w:rsidP="008D1E0A">
            <w:pPr>
              <w:spacing w:after="0"/>
              <w:rPr>
                <w:spacing w:val="-6"/>
              </w:rPr>
            </w:pPr>
            <w:r w:rsidRPr="0067514E">
              <w:rPr>
                <w:noProof/>
                <w:spacing w:val="-6"/>
              </w:rPr>
              <w:drawing>
                <wp:inline distT="0" distB="0" distL="0" distR="0" wp14:anchorId="1F436E1F" wp14:editId="78E460B8">
                  <wp:extent cx="4773930" cy="3323230"/>
                  <wp:effectExtent l="0" t="0" r="762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67514E" w:rsidRPr="007B3A78" w14:paraId="2411803B" w14:textId="77777777" w:rsidTr="008D1E0A">
        <w:trPr>
          <w:trHeight w:val="170"/>
        </w:trPr>
        <w:tc>
          <w:tcPr>
            <w:tcW w:w="1732" w:type="dxa"/>
            <w:vMerge/>
            <w:shd w:val="clear" w:color="auto" w:fill="auto"/>
            <w:tcMar>
              <w:left w:w="0" w:type="dxa"/>
            </w:tcMar>
          </w:tcPr>
          <w:p w14:paraId="18067405" w14:textId="77777777" w:rsidR="0067514E" w:rsidRDefault="0067514E" w:rsidP="008D1E0A">
            <w:pPr>
              <w:pStyle w:val="Marginlie"/>
            </w:pPr>
          </w:p>
        </w:tc>
        <w:tc>
          <w:tcPr>
            <w:tcW w:w="217" w:type="dxa"/>
            <w:vMerge/>
            <w:shd w:val="clear" w:color="auto" w:fill="auto"/>
            <w:tcMar>
              <w:left w:w="0" w:type="dxa"/>
            </w:tcMar>
          </w:tcPr>
          <w:p w14:paraId="4A9D9857" w14:textId="77777777" w:rsidR="0067514E" w:rsidRDefault="0067514E" w:rsidP="008D1E0A">
            <w:pPr>
              <w:pStyle w:val="Textpoznpodarou"/>
              <w:jc w:val="both"/>
              <w:rPr>
                <w:spacing w:val="-4"/>
              </w:rPr>
            </w:pPr>
          </w:p>
        </w:tc>
        <w:tc>
          <w:tcPr>
            <w:tcW w:w="7720" w:type="dxa"/>
            <w:shd w:val="clear" w:color="auto" w:fill="auto"/>
            <w:tcMar>
              <w:left w:w="0" w:type="dxa"/>
            </w:tcMar>
          </w:tcPr>
          <w:p w14:paraId="1AEA281C" w14:textId="77777777" w:rsidR="0067514E" w:rsidRPr="0067514E" w:rsidRDefault="0067514E" w:rsidP="008D1E0A">
            <w:pPr>
              <w:spacing w:after="200" w:line="240" w:lineRule="auto"/>
              <w:jc w:val="left"/>
              <w:rPr>
                <w:rFonts w:cs="Arial"/>
                <w:spacing w:val="-6"/>
                <w:sz w:val="14"/>
                <w:szCs w:val="14"/>
              </w:rPr>
            </w:pPr>
            <w:r w:rsidRPr="0067514E">
              <w:rPr>
                <w:spacing w:val="-6"/>
                <w:sz w:val="14"/>
                <w:szCs w:val="14"/>
              </w:rPr>
              <w:t>Zdroj: MF ČR</w:t>
            </w:r>
          </w:p>
        </w:tc>
      </w:tr>
      <w:tr w:rsidR="0067514E" w:rsidRPr="008266F0" w14:paraId="3DCFB2E2" w14:textId="77777777" w:rsidTr="008D1E0A">
        <w:trPr>
          <w:trHeight w:val="145"/>
        </w:trPr>
        <w:tc>
          <w:tcPr>
            <w:tcW w:w="1732" w:type="dxa"/>
            <w:shd w:val="clear" w:color="auto" w:fill="auto"/>
            <w:tcMar>
              <w:left w:w="0" w:type="dxa"/>
            </w:tcMar>
          </w:tcPr>
          <w:p w14:paraId="4E712AE7" w14:textId="77777777" w:rsidR="0067514E" w:rsidRDefault="0067514E" w:rsidP="008D1E0A">
            <w:pPr>
              <w:pStyle w:val="Marginlie"/>
            </w:pPr>
            <w:r>
              <w:t>Růstové tempo výdajů SR se dále zvyšovalo a vyšplhalo na 10,8 %.</w:t>
            </w:r>
          </w:p>
          <w:p w14:paraId="6687C718" w14:textId="77777777" w:rsidR="0067514E" w:rsidRDefault="0067514E" w:rsidP="008D1E0A">
            <w:pPr>
              <w:pStyle w:val="Marginlie"/>
            </w:pPr>
          </w:p>
          <w:p w14:paraId="01EDC222" w14:textId="77777777" w:rsidR="0067514E" w:rsidRDefault="0067514E" w:rsidP="008D1E0A">
            <w:pPr>
              <w:pStyle w:val="Marginlie"/>
            </w:pPr>
          </w:p>
          <w:p w14:paraId="193D40BC" w14:textId="77777777" w:rsidR="0067514E" w:rsidRDefault="0067514E" w:rsidP="008D1E0A">
            <w:pPr>
              <w:pStyle w:val="Marginlie"/>
            </w:pPr>
          </w:p>
          <w:p w14:paraId="5DE9307C" w14:textId="77777777" w:rsidR="0067514E" w:rsidRDefault="0067514E" w:rsidP="008D1E0A">
            <w:pPr>
              <w:pStyle w:val="Marginlie"/>
            </w:pPr>
          </w:p>
          <w:p w14:paraId="55F5DAC4" w14:textId="77777777" w:rsidR="0067514E" w:rsidRDefault="0067514E" w:rsidP="008D1E0A">
            <w:pPr>
              <w:pStyle w:val="Marginlie"/>
            </w:pPr>
            <w:r>
              <w:t>Objem kapitálových výdajů vzrostl o pětinu, především zásluhou investic na projekty bez účasti EU.</w:t>
            </w:r>
          </w:p>
        </w:tc>
        <w:tc>
          <w:tcPr>
            <w:tcW w:w="217" w:type="dxa"/>
            <w:shd w:val="clear" w:color="auto" w:fill="auto"/>
            <w:tcMar>
              <w:left w:w="0" w:type="dxa"/>
            </w:tcMar>
          </w:tcPr>
          <w:p w14:paraId="53D66340" w14:textId="77777777" w:rsidR="0067514E" w:rsidRDefault="0067514E" w:rsidP="008D1E0A">
            <w:pPr>
              <w:pStyle w:val="Textpoznpodarou"/>
              <w:jc w:val="both"/>
              <w:rPr>
                <w:spacing w:val="-4"/>
              </w:rPr>
            </w:pPr>
          </w:p>
        </w:tc>
        <w:tc>
          <w:tcPr>
            <w:tcW w:w="7720" w:type="dxa"/>
            <w:shd w:val="clear" w:color="auto" w:fill="auto"/>
            <w:tcMar>
              <w:left w:w="0" w:type="dxa"/>
            </w:tcMar>
          </w:tcPr>
          <w:p w14:paraId="62AA641E" w14:textId="77777777" w:rsidR="0067514E" w:rsidRPr="0067514E" w:rsidRDefault="0067514E" w:rsidP="008D1E0A">
            <w:pPr>
              <w:spacing w:after="220"/>
              <w:rPr>
                <w:spacing w:val="-6"/>
              </w:rPr>
            </w:pPr>
            <w:r w:rsidRPr="0067514E">
              <w:rPr>
                <w:spacing w:val="-6"/>
              </w:rPr>
              <w:t>Tempo růstu celkových výdajů SR se zvyšovalo již třetím rokem v řadě a v roce 2019 vystoupalo na 10,8 %</w:t>
            </w:r>
            <w:r w:rsidRPr="0067514E">
              <w:rPr>
                <w:rStyle w:val="Znakapoznpodarou"/>
                <w:spacing w:val="-6"/>
              </w:rPr>
              <w:footnoteReference w:id="73"/>
            </w:r>
            <w:r w:rsidRPr="0067514E">
              <w:rPr>
                <w:spacing w:val="-6"/>
              </w:rPr>
              <w:t>, což bylo maximum za poslední dvě dekády. Podobně jako v roce 2018 přispěly loni k růstu jak běžné (+128 mld. korun), tak kapitálové výdaje (+23 mld.). Posílení investic (o 19,6 %) z více než poloviny souviselo s vyššími transfery státnímu fondu dopravní infrastruktury. Polovina všech investic SR směřovala na společné projekty ČR a EU (68,5 mld. korun)</w:t>
            </w:r>
            <w:r w:rsidRPr="0067514E">
              <w:rPr>
                <w:rStyle w:val="Znakapoznpodarou"/>
                <w:spacing w:val="-6"/>
              </w:rPr>
              <w:footnoteReference w:id="74"/>
            </w:r>
            <w:r w:rsidRPr="0067514E">
              <w:rPr>
                <w:spacing w:val="-6"/>
              </w:rPr>
              <w:t>. Jejich meziroční růst byl relativně mírný (+8,5 %), neboť k citelnému zrychlení čerpání eurofondů došlo již během roku 2018. Naopak skoro o třetinu loni posílily investice realizované bez účasti prostředků EU a finančních mechanismů (na 70,8 mld. korun), i přesto za rozpočtovým očekáváním (na rozdíl od „evropských investic“) mírně zaostaly. Podíl investic na všech výdajích SR mírně vzrostl na 9,0 % a dosáhl čtyřletého maxima. Nicméně v letech 2006 až 2011 se jejich váha pohybovala mezi 10 a 12 %.</w:t>
            </w:r>
          </w:p>
        </w:tc>
      </w:tr>
      <w:tr w:rsidR="0067514E" w:rsidRPr="002102B2" w14:paraId="73055C41" w14:textId="77777777" w:rsidTr="008D1E0A">
        <w:trPr>
          <w:trHeight w:val="145"/>
        </w:trPr>
        <w:tc>
          <w:tcPr>
            <w:tcW w:w="1732" w:type="dxa"/>
            <w:shd w:val="clear" w:color="auto" w:fill="auto"/>
            <w:tcMar>
              <w:left w:w="0" w:type="dxa"/>
            </w:tcMar>
          </w:tcPr>
          <w:p w14:paraId="640E55BA" w14:textId="77777777" w:rsidR="0067514E" w:rsidRDefault="0067514E" w:rsidP="008D1E0A">
            <w:pPr>
              <w:pStyle w:val="Marginlie"/>
            </w:pPr>
            <w:r>
              <w:t>Běžné výdaje byly stimulovány vyššími výdaji na sociální dávky i platy zaměstnanců rozpočtové sféry. Opačně působily výdaje na neinvestiční nákupy a na státní dluh.</w:t>
            </w:r>
          </w:p>
        </w:tc>
        <w:tc>
          <w:tcPr>
            <w:tcW w:w="217" w:type="dxa"/>
            <w:shd w:val="clear" w:color="auto" w:fill="auto"/>
            <w:tcMar>
              <w:left w:w="0" w:type="dxa"/>
            </w:tcMar>
          </w:tcPr>
          <w:p w14:paraId="14FBA14E" w14:textId="77777777" w:rsidR="0067514E" w:rsidRDefault="0067514E" w:rsidP="008D1E0A">
            <w:pPr>
              <w:pStyle w:val="Textpoznpodarou"/>
              <w:jc w:val="both"/>
              <w:rPr>
                <w:spacing w:val="-4"/>
              </w:rPr>
            </w:pPr>
          </w:p>
        </w:tc>
        <w:tc>
          <w:tcPr>
            <w:tcW w:w="7720" w:type="dxa"/>
            <w:shd w:val="clear" w:color="auto" w:fill="auto"/>
            <w:tcMar>
              <w:left w:w="0" w:type="dxa"/>
            </w:tcMar>
          </w:tcPr>
          <w:p w14:paraId="1467F3EC" w14:textId="32918EA0" w:rsidR="0067514E" w:rsidRPr="0067514E" w:rsidRDefault="0067514E" w:rsidP="008D1E0A">
            <w:pPr>
              <w:spacing w:after="200"/>
              <w:rPr>
                <w:rFonts w:cs="Arial"/>
                <w:color w:val="0D0D0D" w:themeColor="text1" w:themeTint="F2"/>
                <w:spacing w:val="-6"/>
              </w:rPr>
            </w:pPr>
            <w:r w:rsidRPr="0067514E">
              <w:rPr>
                <w:color w:val="0D0D0D" w:themeColor="text1" w:themeTint="F2"/>
                <w:spacing w:val="-6"/>
              </w:rPr>
              <w:t>Běžné výdaje SR posílily loni meziročně o desetinu. Stály za tím tradičně hlavně vyšší výdaje na sociální dávky (+8,2 %, resp. +46 mld. korun). Koupěschopnost domácností stimulovalo i posílení výdajů na regionální školství (+20 mld.)</w:t>
            </w:r>
            <w:r w:rsidR="008B3690">
              <w:rPr>
                <w:color w:val="0D0D0D" w:themeColor="text1" w:themeTint="F2"/>
                <w:spacing w:val="-6"/>
              </w:rPr>
              <w:t>, zejména na platy pracovníků</w:t>
            </w:r>
            <w:r w:rsidRPr="0067514E">
              <w:rPr>
                <w:rStyle w:val="Znakapoznpodarou"/>
                <w:color w:val="0D0D0D" w:themeColor="text1" w:themeTint="F2"/>
                <w:spacing w:val="-6"/>
              </w:rPr>
              <w:footnoteReference w:id="75"/>
            </w:r>
            <w:r w:rsidR="008B3690" w:rsidRPr="003474B6">
              <w:rPr>
                <w:rStyle w:val="Znakapoznpodarou"/>
                <w:color w:val="0D0D0D" w:themeColor="text1" w:themeTint="F2"/>
                <w:spacing w:val="-6"/>
                <w:vertAlign w:val="baseline"/>
              </w:rPr>
              <w:t xml:space="preserve">. </w:t>
            </w:r>
            <w:r w:rsidR="008B3690">
              <w:rPr>
                <w:color w:val="0D0D0D" w:themeColor="text1" w:themeTint="F2"/>
                <w:spacing w:val="-6"/>
              </w:rPr>
              <w:t>Podobně působily</w:t>
            </w:r>
            <w:r w:rsidR="008B3690" w:rsidRPr="0067514E">
              <w:rPr>
                <w:color w:val="0D0D0D" w:themeColor="text1" w:themeTint="F2"/>
                <w:spacing w:val="-6"/>
              </w:rPr>
              <w:t xml:space="preserve"> </w:t>
            </w:r>
            <w:r w:rsidR="008B3690">
              <w:rPr>
                <w:color w:val="0D0D0D" w:themeColor="text1" w:themeTint="F2"/>
                <w:spacing w:val="-6"/>
              </w:rPr>
              <w:t>i vyšší</w:t>
            </w:r>
            <w:r w:rsidRPr="0067514E">
              <w:rPr>
                <w:color w:val="0D0D0D" w:themeColor="text1" w:themeTint="F2"/>
                <w:spacing w:val="-6"/>
              </w:rPr>
              <w:t xml:space="preserve"> výdaj</w:t>
            </w:r>
            <w:r w:rsidR="008B3690">
              <w:rPr>
                <w:color w:val="0D0D0D" w:themeColor="text1" w:themeTint="F2"/>
                <w:spacing w:val="-6"/>
              </w:rPr>
              <w:t>e</w:t>
            </w:r>
            <w:r w:rsidRPr="0067514E">
              <w:rPr>
                <w:color w:val="0D0D0D" w:themeColor="text1" w:themeTint="F2"/>
                <w:spacing w:val="-6"/>
              </w:rPr>
              <w:t xml:space="preserve"> na platy na úrovni organizačních složek státu</w:t>
            </w:r>
            <w:r w:rsidRPr="0067514E">
              <w:rPr>
                <w:rFonts w:cs="Arial"/>
                <w:color w:val="0D0D0D" w:themeColor="text1" w:themeTint="F2"/>
                <w:spacing w:val="-6"/>
              </w:rPr>
              <w:t xml:space="preserve"> (+7,1 %, resp. +10</w:t>
            </w:r>
            <w:r w:rsidRPr="0067514E">
              <w:rPr>
                <w:color w:val="0D0D0D" w:themeColor="text1" w:themeTint="F2"/>
                <w:spacing w:val="-6"/>
              </w:rPr>
              <w:t> </w:t>
            </w:r>
            <w:r w:rsidRPr="0067514E">
              <w:rPr>
                <w:rFonts w:cs="Arial"/>
                <w:color w:val="0D0D0D" w:themeColor="text1" w:themeTint="F2"/>
                <w:spacing w:val="-6"/>
              </w:rPr>
              <w:t>mld.). Dvojciferný růst vykázaly transfery státním fondům (zejména do oblasti zemědělství a dopravy), neziskovým a podobným organizacím. Naopak o 3 % se snížily prostředky na neinvestiční nákupy a související výdaje (nákup služeb, materiálu, vody, energií aj.), shodným tempem klesly i čisté výdaje na státní dluh (na 39,6 mld. korun)</w:t>
            </w:r>
            <w:r w:rsidRPr="0067514E">
              <w:rPr>
                <w:rStyle w:val="Znakapoznpodarou"/>
                <w:color w:val="0D0D0D" w:themeColor="text1" w:themeTint="F2"/>
                <w:spacing w:val="-6"/>
              </w:rPr>
              <w:footnoteReference w:id="76"/>
            </w:r>
            <w:r w:rsidRPr="0067514E">
              <w:rPr>
                <w:rFonts w:cs="Arial"/>
                <w:color w:val="0D0D0D" w:themeColor="text1" w:themeTint="F2"/>
                <w:spacing w:val="-6"/>
              </w:rPr>
              <w:t>.</w:t>
            </w:r>
          </w:p>
        </w:tc>
      </w:tr>
      <w:tr w:rsidR="0067514E" w:rsidRPr="008266F0" w14:paraId="11730DDD" w14:textId="77777777" w:rsidTr="008D1E0A">
        <w:trPr>
          <w:trHeight w:val="145"/>
        </w:trPr>
        <w:tc>
          <w:tcPr>
            <w:tcW w:w="1732" w:type="dxa"/>
            <w:shd w:val="clear" w:color="auto" w:fill="auto"/>
            <w:tcMar>
              <w:left w:w="0" w:type="dxa"/>
            </w:tcMar>
          </w:tcPr>
          <w:p w14:paraId="2FB11A4F" w14:textId="77777777" w:rsidR="0067514E" w:rsidRDefault="0067514E" w:rsidP="008D1E0A">
            <w:pPr>
              <w:pStyle w:val="Marginlie"/>
            </w:pPr>
            <w:r>
              <w:t xml:space="preserve">Tempo růstu výdajů na dávky důchodového pojištění vzrostlo nejvíce po roce 2009. I tak se váha všech sociálních </w:t>
            </w:r>
            <w:r>
              <w:lastRenderedPageBreak/>
              <w:t>dávek na výdajích SR snížila.</w:t>
            </w:r>
          </w:p>
          <w:p w14:paraId="384B035E" w14:textId="77777777" w:rsidR="0067514E" w:rsidRDefault="0067514E" w:rsidP="008D1E0A">
            <w:pPr>
              <w:pStyle w:val="Marginlie"/>
            </w:pPr>
          </w:p>
          <w:p w14:paraId="30CD0F9B" w14:textId="77777777" w:rsidR="0067514E" w:rsidRDefault="0067514E" w:rsidP="008D1E0A">
            <w:pPr>
              <w:pStyle w:val="Marginlie"/>
            </w:pPr>
            <w:r>
              <w:t>Tempo růstu výběru pojistného na důchody poprvé po roce 2013 meziročně kleslo. Saldo důchodového účtu setrvalo v mírném přebytku druhým rokem v řadě.</w:t>
            </w:r>
          </w:p>
        </w:tc>
        <w:tc>
          <w:tcPr>
            <w:tcW w:w="217" w:type="dxa"/>
            <w:shd w:val="clear" w:color="auto" w:fill="auto"/>
            <w:tcMar>
              <w:left w:w="0" w:type="dxa"/>
            </w:tcMar>
          </w:tcPr>
          <w:p w14:paraId="45DC7AB6" w14:textId="77777777" w:rsidR="0067514E" w:rsidRDefault="0067514E" w:rsidP="008D1E0A">
            <w:pPr>
              <w:pStyle w:val="Textpoznpodarou"/>
              <w:jc w:val="both"/>
              <w:rPr>
                <w:spacing w:val="-4"/>
              </w:rPr>
            </w:pPr>
          </w:p>
        </w:tc>
        <w:tc>
          <w:tcPr>
            <w:tcW w:w="7720" w:type="dxa"/>
            <w:shd w:val="clear" w:color="auto" w:fill="auto"/>
            <w:tcMar>
              <w:left w:w="0" w:type="dxa"/>
            </w:tcMar>
          </w:tcPr>
          <w:p w14:paraId="365C63F2" w14:textId="77777777" w:rsidR="0067514E" w:rsidRPr="0067514E" w:rsidRDefault="0067514E" w:rsidP="008D1E0A">
            <w:pPr>
              <w:spacing w:after="220"/>
              <w:rPr>
                <w:spacing w:val="-6"/>
              </w:rPr>
            </w:pPr>
            <w:r w:rsidRPr="0067514E">
              <w:rPr>
                <w:spacing w:val="-6"/>
              </w:rPr>
              <w:t xml:space="preserve">Podíl výdajů SR směřujících na všechny sociální dávky klesal třetím rokem v řadě. Loni činil 38,8 % (v roce 2016 42,1 %). Téměř čtyři pětiny těchto výdajů byly alokovány na důchody. </w:t>
            </w:r>
            <w:r w:rsidRPr="0067514E">
              <w:rPr>
                <w:rFonts w:cs="Arial"/>
                <w:color w:val="0D0D0D" w:themeColor="text1" w:themeTint="F2"/>
                <w:spacing w:val="-6"/>
              </w:rPr>
              <w:t xml:space="preserve">Jejich růstové tempo se loni oproti roku 2018 téměř zdvojnásobilo (na 8,7 %), vyšší bylo naposledy dosaženo v roce 2009. Při stagnaci celkového počtu osob pobírajících důchod </w:t>
            </w:r>
            <w:r w:rsidRPr="0067514E">
              <w:rPr>
                <w:rFonts w:cs="Arial"/>
                <w:color w:val="0D0D0D" w:themeColor="text1" w:themeTint="F2"/>
                <w:spacing w:val="-6"/>
              </w:rPr>
              <w:lastRenderedPageBreak/>
              <w:t>(včetně starobních důchodců) se plně projevil vliv zákonných úprav</w:t>
            </w:r>
            <w:r w:rsidRPr="0067514E">
              <w:rPr>
                <w:rStyle w:val="Znakapoznpodarou"/>
                <w:spacing w:val="-6"/>
              </w:rPr>
              <w:footnoteReference w:id="77"/>
            </w:r>
            <w:r w:rsidRPr="0067514E">
              <w:rPr>
                <w:rFonts w:cs="Arial"/>
                <w:color w:val="0D0D0D" w:themeColor="text1" w:themeTint="F2"/>
                <w:spacing w:val="-6"/>
              </w:rPr>
              <w:t>. Nadále velmi příznivá situace na pracovním trhu vedla mimo jiné k růstu ekonomické aktivity lidí na sklonku produktivního věku i seniorů. To se pozitivně projevilo také růstem příjmů plynoucích do systému důchodového pojištění či nižším využíváním předčasných odchodů do starobního důchodu</w:t>
            </w:r>
            <w:r w:rsidRPr="0067514E">
              <w:rPr>
                <w:rStyle w:val="Znakapoznpodarou"/>
                <w:color w:val="0D0D0D" w:themeColor="text1" w:themeTint="F2"/>
                <w:spacing w:val="-6"/>
              </w:rPr>
              <w:footnoteReference w:id="78"/>
            </w:r>
            <w:r w:rsidRPr="0067514E">
              <w:rPr>
                <w:rFonts w:cs="Arial"/>
                <w:color w:val="0D0D0D" w:themeColor="text1" w:themeTint="F2"/>
                <w:spacing w:val="-6"/>
              </w:rPr>
              <w:t>. Přesto tempo meziročního růstu vybraného pojistného na důchody loni poprvé po roce 2013 meziročně zvolnilo (na 7,8 %, z 10,1 % v roce 2018). To odpovídalo citelnějšímu zpomalení růstu zaměstnanosti v ekonomice i mírnému zvolnění dynamiky průměrných mezd. Saldo důchodového účtu</w:t>
            </w:r>
            <w:r w:rsidRPr="0067514E">
              <w:rPr>
                <w:rStyle w:val="Znakapoznpodarou"/>
                <w:color w:val="0D0D0D" w:themeColor="text1" w:themeTint="F2"/>
                <w:spacing w:val="-6"/>
              </w:rPr>
              <w:footnoteReference w:id="79"/>
            </w:r>
            <w:r w:rsidRPr="0067514E">
              <w:rPr>
                <w:rFonts w:cs="Arial"/>
                <w:color w:val="0D0D0D" w:themeColor="text1" w:themeTint="F2"/>
                <w:spacing w:val="-6"/>
              </w:rPr>
              <w:t xml:space="preserve"> v roce 2019 se tak meziročně velmi mírně zhoršilo a zůstalo již druhým rokem v řadě kladné (+16,4 mld. korun).</w:t>
            </w:r>
          </w:p>
        </w:tc>
      </w:tr>
      <w:tr w:rsidR="0067514E" w:rsidRPr="00F704D2" w14:paraId="5B748151" w14:textId="77777777" w:rsidTr="008D1E0A">
        <w:trPr>
          <w:trHeight w:val="170"/>
        </w:trPr>
        <w:tc>
          <w:tcPr>
            <w:tcW w:w="1732" w:type="dxa"/>
            <w:vMerge w:val="restart"/>
            <w:shd w:val="clear" w:color="auto" w:fill="auto"/>
            <w:tcMar>
              <w:left w:w="0" w:type="dxa"/>
            </w:tcMar>
          </w:tcPr>
          <w:p w14:paraId="05E78DB0" w14:textId="77777777" w:rsidR="0067514E" w:rsidRDefault="0067514E" w:rsidP="008D1E0A">
            <w:pPr>
              <w:pStyle w:val="Marginlie"/>
            </w:pPr>
          </w:p>
        </w:tc>
        <w:tc>
          <w:tcPr>
            <w:tcW w:w="217" w:type="dxa"/>
            <w:vMerge w:val="restart"/>
            <w:shd w:val="clear" w:color="auto" w:fill="auto"/>
            <w:tcMar>
              <w:left w:w="0" w:type="dxa"/>
            </w:tcMar>
          </w:tcPr>
          <w:p w14:paraId="1F334778" w14:textId="77777777" w:rsidR="0067514E" w:rsidRDefault="0067514E" w:rsidP="008D1E0A">
            <w:pPr>
              <w:pStyle w:val="Textpoznpodarou"/>
              <w:jc w:val="both"/>
              <w:rPr>
                <w:spacing w:val="-4"/>
              </w:rPr>
            </w:pPr>
          </w:p>
        </w:tc>
        <w:tc>
          <w:tcPr>
            <w:tcW w:w="7720" w:type="dxa"/>
            <w:shd w:val="clear" w:color="auto" w:fill="auto"/>
            <w:tcMar>
              <w:left w:w="0" w:type="dxa"/>
            </w:tcMar>
          </w:tcPr>
          <w:p w14:paraId="0D4998B8" w14:textId="77777777" w:rsidR="0067514E" w:rsidRPr="0067514E" w:rsidRDefault="0067514E" w:rsidP="008D1E0A">
            <w:pPr>
              <w:spacing w:after="40" w:line="240" w:lineRule="auto"/>
              <w:jc w:val="left"/>
              <w:rPr>
                <w:rFonts w:cs="Arial"/>
                <w:bCs/>
                <w:spacing w:val="-6"/>
              </w:rPr>
            </w:pPr>
            <w:r w:rsidRPr="0067514E">
              <w:rPr>
                <w:b/>
                <w:spacing w:val="-6"/>
              </w:rPr>
              <w:t xml:space="preserve">Graf č. 17  </w:t>
            </w:r>
            <w:r w:rsidRPr="0067514E">
              <w:rPr>
                <w:rFonts w:cs="Arial"/>
                <w:b/>
                <w:bCs/>
                <w:spacing w:val="-6"/>
              </w:rPr>
              <w:t>Vybrané výdaje státního rozpočtu</w:t>
            </w:r>
            <w:r w:rsidRPr="0067514E">
              <w:rPr>
                <w:rFonts w:cs="Arial"/>
                <w:bCs/>
                <w:spacing w:val="-6"/>
              </w:rPr>
              <w:t xml:space="preserve"> (v mld. korun, roční kumulace)</w:t>
            </w:r>
          </w:p>
        </w:tc>
      </w:tr>
      <w:tr w:rsidR="0067514E" w14:paraId="55A41467" w14:textId="77777777" w:rsidTr="008D1E0A">
        <w:tblPrEx>
          <w:tblCellMar>
            <w:left w:w="70" w:type="dxa"/>
            <w:right w:w="70" w:type="dxa"/>
          </w:tblCellMar>
        </w:tblPrEx>
        <w:trPr>
          <w:trHeight w:val="170"/>
        </w:trPr>
        <w:tc>
          <w:tcPr>
            <w:tcW w:w="1732" w:type="dxa"/>
            <w:vMerge/>
            <w:shd w:val="clear" w:color="auto" w:fill="auto"/>
          </w:tcPr>
          <w:p w14:paraId="1F91DC4A" w14:textId="77777777" w:rsidR="0067514E" w:rsidRDefault="0067514E" w:rsidP="008D1E0A">
            <w:pPr>
              <w:pStyle w:val="Marginlie"/>
            </w:pPr>
          </w:p>
        </w:tc>
        <w:tc>
          <w:tcPr>
            <w:tcW w:w="217" w:type="dxa"/>
            <w:vMerge/>
            <w:shd w:val="clear" w:color="auto" w:fill="auto"/>
          </w:tcPr>
          <w:p w14:paraId="39BCD0E2" w14:textId="77777777" w:rsidR="0067514E" w:rsidRDefault="0067514E" w:rsidP="008D1E0A">
            <w:pPr>
              <w:pStyle w:val="Textpoznpodarou"/>
              <w:jc w:val="both"/>
              <w:rPr>
                <w:spacing w:val="-4"/>
              </w:rPr>
            </w:pPr>
          </w:p>
        </w:tc>
        <w:tc>
          <w:tcPr>
            <w:tcW w:w="7720" w:type="dxa"/>
            <w:shd w:val="clear" w:color="auto" w:fill="auto"/>
          </w:tcPr>
          <w:p w14:paraId="1BA64B51" w14:textId="77777777" w:rsidR="0067514E" w:rsidRPr="0067514E" w:rsidRDefault="0067514E" w:rsidP="008D1E0A">
            <w:pPr>
              <w:spacing w:after="0"/>
              <w:rPr>
                <w:spacing w:val="-6"/>
              </w:rPr>
            </w:pPr>
            <w:r w:rsidRPr="0067514E">
              <w:rPr>
                <w:noProof/>
                <w:spacing w:val="-6"/>
              </w:rPr>
              <w:drawing>
                <wp:inline distT="0" distB="0" distL="0" distR="0" wp14:anchorId="6C5F5B4B" wp14:editId="213E2E2E">
                  <wp:extent cx="4751705" cy="3160166"/>
                  <wp:effectExtent l="0" t="0" r="0" b="254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67514E" w:rsidRPr="00343AC1" w14:paraId="3208D8B7" w14:textId="77777777" w:rsidTr="008D1E0A">
        <w:trPr>
          <w:trHeight w:val="170"/>
        </w:trPr>
        <w:tc>
          <w:tcPr>
            <w:tcW w:w="1732" w:type="dxa"/>
            <w:vMerge/>
            <w:shd w:val="clear" w:color="auto" w:fill="auto"/>
            <w:tcMar>
              <w:left w:w="0" w:type="dxa"/>
            </w:tcMar>
          </w:tcPr>
          <w:p w14:paraId="12AF932E" w14:textId="77777777" w:rsidR="0067514E" w:rsidRDefault="0067514E" w:rsidP="008D1E0A">
            <w:pPr>
              <w:pStyle w:val="Marginlie"/>
            </w:pPr>
          </w:p>
        </w:tc>
        <w:tc>
          <w:tcPr>
            <w:tcW w:w="217" w:type="dxa"/>
            <w:vMerge/>
            <w:shd w:val="clear" w:color="auto" w:fill="auto"/>
            <w:tcMar>
              <w:left w:w="0" w:type="dxa"/>
            </w:tcMar>
          </w:tcPr>
          <w:p w14:paraId="74AE046E" w14:textId="77777777" w:rsidR="0067514E" w:rsidRDefault="0067514E" w:rsidP="008D1E0A">
            <w:pPr>
              <w:pStyle w:val="Textpoznpodarou"/>
              <w:jc w:val="both"/>
              <w:rPr>
                <w:spacing w:val="-4"/>
              </w:rPr>
            </w:pPr>
          </w:p>
        </w:tc>
        <w:tc>
          <w:tcPr>
            <w:tcW w:w="7720" w:type="dxa"/>
            <w:shd w:val="clear" w:color="auto" w:fill="auto"/>
            <w:tcMar>
              <w:left w:w="0" w:type="dxa"/>
            </w:tcMar>
          </w:tcPr>
          <w:p w14:paraId="52ECDD0E" w14:textId="77777777" w:rsidR="0067514E" w:rsidRPr="0067514E" w:rsidRDefault="0067514E" w:rsidP="008D1E0A">
            <w:pPr>
              <w:pStyle w:val="Textpoznpodarou"/>
              <w:rPr>
                <w:spacing w:val="-6"/>
                <w:sz w:val="14"/>
                <w:szCs w:val="14"/>
              </w:rPr>
            </w:pPr>
            <w:r w:rsidRPr="0067514E">
              <w:rPr>
                <w:spacing w:val="-6"/>
                <w:sz w:val="14"/>
                <w:szCs w:val="14"/>
              </w:rPr>
              <w:t>*Pokrývá výdaje na platy v ústředních orgánech státní správy. Nezahrnuje např. mzdové výdaje na regionální školství.</w:t>
            </w:r>
          </w:p>
          <w:p w14:paraId="63E94DE8" w14:textId="77777777" w:rsidR="0067514E" w:rsidRPr="0067514E" w:rsidRDefault="0067514E" w:rsidP="008D1E0A">
            <w:pPr>
              <w:pStyle w:val="Textpoznpodarou"/>
              <w:rPr>
                <w:spacing w:val="-6"/>
                <w:sz w:val="14"/>
                <w:szCs w:val="14"/>
              </w:rPr>
            </w:pPr>
            <w:r w:rsidRPr="0067514E">
              <w:rPr>
                <w:spacing w:val="-6"/>
                <w:sz w:val="14"/>
                <w:szCs w:val="14"/>
              </w:rPr>
              <w:t>**Zahrnuje i dávky pěstounské péče.    ***Zahrnuje dávky pomoci v hmotné nouzi, dávky osobám se zdravotním postižením, příspěvek na péči dle zákona o sociálních službách.    ****Obsahuje zejména výdaje na nákup služeb, materiálu, energií či ostatních služeb (např. výdaje na opravy a udržování).    *****Odpovídá saldu rozpočtové kapitoly Státní dluh.</w:t>
            </w:r>
          </w:p>
          <w:p w14:paraId="085EA5BC" w14:textId="77777777" w:rsidR="0067514E" w:rsidRPr="0067514E" w:rsidRDefault="0067514E" w:rsidP="008D1E0A">
            <w:pPr>
              <w:spacing w:after="220" w:line="240" w:lineRule="auto"/>
              <w:rPr>
                <w:rFonts w:cs="Arial"/>
                <w:color w:val="0D0D0D" w:themeColor="text1" w:themeTint="F2"/>
                <w:spacing w:val="-6"/>
                <w:sz w:val="14"/>
                <w:szCs w:val="14"/>
              </w:rPr>
            </w:pPr>
            <w:r w:rsidRPr="0067514E">
              <w:rPr>
                <w:spacing w:val="-6"/>
                <w:sz w:val="14"/>
                <w:szCs w:val="14"/>
              </w:rPr>
              <w:t>Zdroj: MF ČR, MPSV</w:t>
            </w:r>
          </w:p>
        </w:tc>
      </w:tr>
      <w:tr w:rsidR="0067514E" w:rsidRPr="004F63A0" w14:paraId="4FDF979C" w14:textId="77777777" w:rsidTr="008D1E0A">
        <w:trPr>
          <w:trHeight w:val="145"/>
        </w:trPr>
        <w:tc>
          <w:tcPr>
            <w:tcW w:w="1732" w:type="dxa"/>
            <w:shd w:val="clear" w:color="auto" w:fill="auto"/>
            <w:tcMar>
              <w:left w:w="0" w:type="dxa"/>
            </w:tcMar>
          </w:tcPr>
          <w:p w14:paraId="186EBFE5" w14:textId="77777777" w:rsidR="0067514E" w:rsidRPr="007D6AF8" w:rsidRDefault="0067514E" w:rsidP="008D1E0A">
            <w:pPr>
              <w:pStyle w:val="Marginlie"/>
            </w:pPr>
            <w:r>
              <w:t>K růstu nedůchodových sociálních dávek přispělo hlavně vyšší čerpání dávek nemocenského pojištění a také posílení výdajů pro občany se zdravotním postižením.</w:t>
            </w:r>
          </w:p>
        </w:tc>
        <w:tc>
          <w:tcPr>
            <w:tcW w:w="217" w:type="dxa"/>
            <w:shd w:val="clear" w:color="auto" w:fill="auto"/>
            <w:tcMar>
              <w:left w:w="0" w:type="dxa"/>
            </w:tcMar>
          </w:tcPr>
          <w:p w14:paraId="6BC47EBE" w14:textId="77777777" w:rsidR="0067514E" w:rsidRDefault="0067514E" w:rsidP="008D1E0A">
            <w:pPr>
              <w:pStyle w:val="Textpoznpodarou"/>
              <w:jc w:val="both"/>
              <w:rPr>
                <w:spacing w:val="-4"/>
              </w:rPr>
            </w:pPr>
          </w:p>
        </w:tc>
        <w:tc>
          <w:tcPr>
            <w:tcW w:w="7720" w:type="dxa"/>
            <w:shd w:val="clear" w:color="auto" w:fill="auto"/>
            <w:tcMar>
              <w:left w:w="0" w:type="dxa"/>
            </w:tcMar>
          </w:tcPr>
          <w:p w14:paraId="6C3F34F5" w14:textId="15195729" w:rsidR="0067514E" w:rsidRPr="0067514E" w:rsidRDefault="0067514E" w:rsidP="0067514E">
            <w:pPr>
              <w:pStyle w:val="Textpoznpodarou"/>
              <w:spacing w:line="276" w:lineRule="auto"/>
              <w:jc w:val="both"/>
              <w:rPr>
                <w:spacing w:val="-6"/>
              </w:rPr>
            </w:pPr>
            <w:r w:rsidRPr="0067514E">
              <w:rPr>
                <w:spacing w:val="-6"/>
              </w:rPr>
              <w:t>Růst výdajů na ostatní sociální dávky (mimo důchody) loni zrychlil druhým rokem v řadě a docílil šestiletého maxima (+6,4 %). Vyšší výdaje státu souvisely z drtivé části s dávkami nemocenského pojištění (+14,5 %</w:t>
            </w:r>
            <w:r w:rsidRPr="0067514E">
              <w:rPr>
                <w:rStyle w:val="Znakapoznpodarou"/>
                <w:color w:val="0D0D0D" w:themeColor="text1" w:themeTint="F2"/>
                <w:spacing w:val="-6"/>
              </w:rPr>
              <w:footnoteReference w:id="80"/>
            </w:r>
            <w:r w:rsidRPr="0067514E">
              <w:rPr>
                <w:spacing w:val="-6"/>
              </w:rPr>
              <w:t xml:space="preserve">, za posledních osm let se čerpání zdvojnásobilo) a též s dávkami pro zdravotně postižené včetně příspěvků na péči (meziročně vyššími o osminu, za šest let o polovinu). O 3,3 % naopak klesly výdaje na státní sociální podporu, od konce poslední recese tyto výdaje dosud spíše stagnovaly. Z dílčích dávek státní sociální podpory loni posílila jen </w:t>
            </w:r>
            <w:r w:rsidR="008B3690">
              <w:rPr>
                <w:spacing w:val="-6"/>
              </w:rPr>
              <w:t>objem</w:t>
            </w:r>
            <w:r w:rsidRPr="0067514E">
              <w:rPr>
                <w:spacing w:val="-6"/>
              </w:rPr>
              <w:t>ově výrazně okrajová podpora pěstounské péče. Klesl jak objem veškerých příjmově testovaných dávek, např. přídavků na děti či příspěvků na bydlení (o 10 %, resp. 8 %), tak váhově dominantních rodičovských příspěvků (</w:t>
            </w:r>
            <w:r w:rsidRPr="0067514E">
              <w:rPr>
                <w:rFonts w:cs="Arial"/>
                <w:color w:val="0D0D0D" w:themeColor="text1" w:themeTint="F2"/>
                <w:spacing w:val="-6"/>
              </w:rPr>
              <w:t>o 2</w:t>
            </w:r>
            <w:r w:rsidRPr="0067514E">
              <w:rPr>
                <w:spacing w:val="-6"/>
              </w:rPr>
              <w:t> %). Vlivem zlepšené finanční situace domácností se snižoval i objem dávek v hmotné nouzi (meziročně o 18 %, za pět let o 61 %). Po pěti letech se loni zastavil pokles výdajů na podporu v nezaměstnanosti (+8,0 %). Projevil se efekt růstu průměrné výše podpory (díky nedávné mzdové akceleraci v ekonomice), počet nezaměstnaných s nárokem na podporu ale meziročně stagnoval.</w:t>
            </w:r>
          </w:p>
        </w:tc>
      </w:tr>
      <w:tr w:rsidR="0067514E" w:rsidRPr="004F63A0" w14:paraId="0B984676" w14:textId="77777777" w:rsidTr="008D1E0A">
        <w:trPr>
          <w:trHeight w:val="145"/>
        </w:trPr>
        <w:tc>
          <w:tcPr>
            <w:tcW w:w="1732" w:type="dxa"/>
            <w:shd w:val="clear" w:color="auto" w:fill="auto"/>
            <w:tcMar>
              <w:left w:w="0" w:type="dxa"/>
            </w:tcMar>
          </w:tcPr>
          <w:p w14:paraId="4FC81835" w14:textId="77777777" w:rsidR="0067514E" w:rsidRDefault="0067514E" w:rsidP="008D1E0A">
            <w:pPr>
              <w:pStyle w:val="Marginlie"/>
            </w:pPr>
            <w:r>
              <w:rPr>
                <w:spacing w:val="-3"/>
              </w:rPr>
              <w:lastRenderedPageBreak/>
              <w:t>Výše dluhu zůstává stabilizovaná již sedmým rokem. Dominantním dluhovým nástrojem zůstávají střednědobé a</w:t>
            </w:r>
            <w:r>
              <w:t> </w:t>
            </w:r>
            <w:r>
              <w:rPr>
                <w:spacing w:val="-3"/>
              </w:rPr>
              <w:t>dlouhodobé státní dluhopisy emitované na domácím trhu.</w:t>
            </w:r>
          </w:p>
        </w:tc>
        <w:tc>
          <w:tcPr>
            <w:tcW w:w="217" w:type="dxa"/>
            <w:shd w:val="clear" w:color="auto" w:fill="auto"/>
            <w:tcMar>
              <w:left w:w="0" w:type="dxa"/>
            </w:tcMar>
          </w:tcPr>
          <w:p w14:paraId="4A558F9B" w14:textId="77777777" w:rsidR="0067514E" w:rsidRDefault="0067514E" w:rsidP="008D1E0A">
            <w:pPr>
              <w:pStyle w:val="Textpoznpodarou"/>
              <w:jc w:val="both"/>
              <w:rPr>
                <w:spacing w:val="-4"/>
              </w:rPr>
            </w:pPr>
          </w:p>
        </w:tc>
        <w:tc>
          <w:tcPr>
            <w:tcW w:w="7720" w:type="dxa"/>
            <w:shd w:val="clear" w:color="auto" w:fill="auto"/>
            <w:tcMar>
              <w:left w:w="0" w:type="dxa"/>
            </w:tcMar>
          </w:tcPr>
          <w:p w14:paraId="4F730BCB" w14:textId="77777777" w:rsidR="0067514E" w:rsidRPr="0067514E" w:rsidRDefault="0067514E" w:rsidP="008D1E0A">
            <w:pPr>
              <w:pStyle w:val="Textpoznpodarou"/>
              <w:spacing w:after="200" w:line="276" w:lineRule="auto"/>
              <w:jc w:val="both"/>
              <w:rPr>
                <w:spacing w:val="-6"/>
              </w:rPr>
            </w:pPr>
            <w:r w:rsidRPr="0067514E">
              <w:rPr>
                <w:spacing w:val="-6"/>
              </w:rPr>
              <w:t>Na konci roku 2019 dosahoval státní dluh 1 640 mld. korun, meziročně se navýšil jen mírně (o 1,1 %). Výše dluhu zůstává stabilizovaná již sedmým rokem. V posledních čtyřech letech se opakuje určitý sezónní průběh – hodnota dluhu stoupá na počátku roku a v jeho druhé polovině dochází vlivem splátek k postupné redukci. Stát loni realizoval své výpůjční operace jen na domácím trhu</w:t>
            </w:r>
            <w:r w:rsidRPr="0067514E">
              <w:rPr>
                <w:rStyle w:val="Znakapoznpodarou"/>
                <w:color w:val="000000" w:themeColor="text1"/>
                <w:spacing w:val="-6"/>
              </w:rPr>
              <w:footnoteReference w:id="81"/>
            </w:r>
            <w:r w:rsidRPr="0067514E">
              <w:rPr>
                <w:spacing w:val="-6"/>
              </w:rPr>
              <w:t>, což se odrazilo v dalším poklesu korunové hodnoty zahraničního dluhu (o 13,9 %). Ten se na celkovém státním dluhu podílel 12,4 %, nejméně od konce roku 2004. Více než šest sedmin celkového dluhu tvořily střednědobé a dlouhodobé státní dluhopisy (vydané na domácím trhu). Klíčovým držitelem korunových státních dluhopisů zůstávají finanční instituce – s mírnou převahou pojišťovacích společností a penzijních fondů (29,5 %) nad ostatními subjekty tvořenými hlavně bankami a investičními fondy (25,2 %). Nerezidenti drželi 40,5 % dluhu, jejich váha na rozdíl od předchozích let zůstala během roku stabilní. Váha domácností díky nové nabídce produktu občanům (Dluhopis Republiky) posílila, ve srovnání se státy EU však byla stále podprůměrná (1,1 %).</w:t>
            </w:r>
          </w:p>
        </w:tc>
      </w:tr>
      <w:tr w:rsidR="0067514E" w:rsidRPr="004F63A0" w14:paraId="6A01443E" w14:textId="77777777" w:rsidTr="008D1E0A">
        <w:trPr>
          <w:trHeight w:val="145"/>
        </w:trPr>
        <w:tc>
          <w:tcPr>
            <w:tcW w:w="1732" w:type="dxa"/>
            <w:shd w:val="clear" w:color="auto" w:fill="auto"/>
            <w:tcMar>
              <w:left w:w="0" w:type="dxa"/>
            </w:tcMar>
          </w:tcPr>
          <w:p w14:paraId="6BD3DCEE" w14:textId="77777777" w:rsidR="0067514E" w:rsidRDefault="0067514E" w:rsidP="008D1E0A">
            <w:pPr>
              <w:pStyle w:val="Marginlie"/>
            </w:pPr>
            <w:r>
              <w:t>Míra zadlužení sektoru vládních institucí klesla na desetileté minimum.</w:t>
            </w:r>
          </w:p>
          <w:p w14:paraId="39CF7BEA" w14:textId="77777777" w:rsidR="0067514E" w:rsidRDefault="0067514E" w:rsidP="008D1E0A">
            <w:pPr>
              <w:pStyle w:val="Marginlie"/>
            </w:pPr>
          </w:p>
          <w:p w14:paraId="67D197BF" w14:textId="77777777" w:rsidR="0067514E" w:rsidRDefault="0067514E" w:rsidP="008D1E0A">
            <w:pPr>
              <w:pStyle w:val="Marginlie"/>
            </w:pPr>
          </w:p>
          <w:p w14:paraId="6EB76F1F" w14:textId="77777777" w:rsidR="0067514E" w:rsidRDefault="0067514E" w:rsidP="008D1E0A">
            <w:pPr>
              <w:pStyle w:val="Marginlie"/>
            </w:pPr>
          </w:p>
          <w:p w14:paraId="0E2EF851" w14:textId="77777777" w:rsidR="0067514E" w:rsidRDefault="0067514E" w:rsidP="008D1E0A">
            <w:pPr>
              <w:pStyle w:val="Marginlie"/>
            </w:pPr>
            <w:r w:rsidRPr="007D6AF8">
              <w:t>Saldo hospodaření zůstalo čtvrtým rokem v řadě klad</w:t>
            </w:r>
            <w:r>
              <w:t>né, výše přebytku se ale tenčila.</w:t>
            </w:r>
          </w:p>
          <w:p w14:paraId="3AF8FF3D" w14:textId="77777777" w:rsidR="0067514E" w:rsidRDefault="0067514E" w:rsidP="008D1E0A">
            <w:pPr>
              <w:pStyle w:val="Marginlie"/>
            </w:pPr>
          </w:p>
          <w:p w14:paraId="7D648965" w14:textId="77777777" w:rsidR="0067514E" w:rsidRDefault="0067514E" w:rsidP="008D1E0A">
            <w:pPr>
              <w:pStyle w:val="Marginlie"/>
            </w:pPr>
          </w:p>
          <w:p w14:paraId="14F7D76A" w14:textId="77777777" w:rsidR="0067514E" w:rsidRDefault="0067514E" w:rsidP="008D1E0A">
            <w:pPr>
              <w:pStyle w:val="Marginlie"/>
            </w:pPr>
          </w:p>
          <w:p w14:paraId="030FAA65" w14:textId="77777777" w:rsidR="0067514E" w:rsidRDefault="0067514E" w:rsidP="008D1E0A">
            <w:pPr>
              <w:pStyle w:val="Marginlie"/>
            </w:pPr>
            <w:r>
              <w:t>Zvolnění růstu ekonomiky během roku 2019 se promítlo i do dynamiky některých významných daňových příjmů.</w:t>
            </w:r>
          </w:p>
        </w:tc>
        <w:tc>
          <w:tcPr>
            <w:tcW w:w="217" w:type="dxa"/>
            <w:shd w:val="clear" w:color="auto" w:fill="auto"/>
            <w:tcMar>
              <w:left w:w="0" w:type="dxa"/>
            </w:tcMar>
          </w:tcPr>
          <w:p w14:paraId="0B08909A" w14:textId="77777777" w:rsidR="0067514E" w:rsidRDefault="0067514E" w:rsidP="008D1E0A">
            <w:pPr>
              <w:pStyle w:val="Textpoznpodarou"/>
              <w:jc w:val="both"/>
              <w:rPr>
                <w:spacing w:val="-4"/>
              </w:rPr>
            </w:pPr>
          </w:p>
        </w:tc>
        <w:tc>
          <w:tcPr>
            <w:tcW w:w="7720" w:type="dxa"/>
            <w:shd w:val="clear" w:color="auto" w:fill="auto"/>
            <w:tcMar>
              <w:left w:w="0" w:type="dxa"/>
            </w:tcMar>
          </w:tcPr>
          <w:p w14:paraId="62A0285B" w14:textId="6226DC2B" w:rsidR="0067514E" w:rsidRPr="0067514E" w:rsidRDefault="008B3690" w:rsidP="008D1E0A">
            <w:pPr>
              <w:pStyle w:val="Textpoznpodarou"/>
              <w:spacing w:line="276" w:lineRule="auto"/>
              <w:jc w:val="both"/>
              <w:rPr>
                <w:rFonts w:cs="Arial"/>
                <w:color w:val="0D0D0D" w:themeColor="text1" w:themeTint="F2"/>
                <w:spacing w:val="-6"/>
              </w:rPr>
            </w:pPr>
            <w:r>
              <w:rPr>
                <w:rFonts w:cs="Arial"/>
                <w:color w:val="0D0D0D" w:themeColor="text1" w:themeTint="F2"/>
                <w:spacing w:val="-6"/>
              </w:rPr>
              <w:t>D</w:t>
            </w:r>
            <w:r w:rsidRPr="0067514E">
              <w:rPr>
                <w:rFonts w:cs="Arial"/>
                <w:color w:val="0D0D0D" w:themeColor="text1" w:themeTint="F2"/>
                <w:spacing w:val="-6"/>
              </w:rPr>
              <w:t xml:space="preserve">luh </w:t>
            </w:r>
            <w:r>
              <w:rPr>
                <w:rFonts w:cs="Arial"/>
                <w:color w:val="0D0D0D" w:themeColor="text1" w:themeTint="F2"/>
                <w:spacing w:val="-6"/>
              </w:rPr>
              <w:t xml:space="preserve">celého </w:t>
            </w:r>
            <w:r w:rsidRPr="0067514E">
              <w:rPr>
                <w:rFonts w:cs="Arial"/>
                <w:color w:val="0D0D0D" w:themeColor="text1" w:themeTint="F2"/>
                <w:spacing w:val="-6"/>
              </w:rPr>
              <w:t xml:space="preserve">sektoru vládních institucí </w:t>
            </w:r>
            <w:r>
              <w:rPr>
                <w:rFonts w:cs="Arial"/>
                <w:color w:val="0D0D0D" w:themeColor="text1" w:themeTint="F2"/>
                <w:spacing w:val="-6"/>
              </w:rPr>
              <w:t xml:space="preserve">(zahrnujícího vedle ústředních </w:t>
            </w:r>
            <w:proofErr w:type="gramStart"/>
            <w:r>
              <w:rPr>
                <w:rFonts w:cs="Arial"/>
                <w:color w:val="0D0D0D" w:themeColor="text1" w:themeTint="F2"/>
                <w:spacing w:val="-6"/>
              </w:rPr>
              <w:t>i  místní</w:t>
            </w:r>
            <w:proofErr w:type="gramEnd"/>
            <w:r>
              <w:rPr>
                <w:rFonts w:cs="Arial"/>
                <w:color w:val="0D0D0D" w:themeColor="text1" w:themeTint="F2"/>
                <w:spacing w:val="-6"/>
              </w:rPr>
              <w:t xml:space="preserve"> vládní instituce či zdravotní pojišťovny) čítal dle údajů ČSÚ na</w:t>
            </w:r>
            <w:r w:rsidR="0067514E" w:rsidRPr="0067514E">
              <w:rPr>
                <w:rFonts w:cs="Arial"/>
                <w:color w:val="0D0D0D" w:themeColor="text1" w:themeTint="F2"/>
                <w:spacing w:val="-6"/>
              </w:rPr>
              <w:t xml:space="preserve"> konci roku </w:t>
            </w:r>
            <w:r>
              <w:rPr>
                <w:rFonts w:cs="Arial"/>
                <w:color w:val="0D0D0D" w:themeColor="text1" w:themeTint="F2"/>
                <w:spacing w:val="-6"/>
              </w:rPr>
              <w:t>2019</w:t>
            </w:r>
            <w:r w:rsidR="0067514E" w:rsidRPr="0067514E">
              <w:rPr>
                <w:rFonts w:cs="Arial"/>
                <w:color w:val="0D0D0D" w:themeColor="text1" w:themeTint="F2"/>
                <w:spacing w:val="-6"/>
              </w:rPr>
              <w:t xml:space="preserve"> </w:t>
            </w:r>
            <w:r>
              <w:rPr>
                <w:rFonts w:cs="Arial"/>
                <w:color w:val="0D0D0D" w:themeColor="text1" w:themeTint="F2"/>
                <w:spacing w:val="-6"/>
              </w:rPr>
              <w:t xml:space="preserve">výše </w:t>
            </w:r>
            <w:r w:rsidR="0067514E" w:rsidRPr="0067514E">
              <w:rPr>
                <w:rFonts w:cs="Arial"/>
                <w:color w:val="0D0D0D" w:themeColor="text1" w:themeTint="F2"/>
                <w:spacing w:val="-6"/>
              </w:rPr>
              <w:t xml:space="preserve">1 740 mld. korun a míra zadlužení </w:t>
            </w:r>
            <w:r>
              <w:rPr>
                <w:rFonts w:cs="Arial"/>
                <w:color w:val="0D0D0D" w:themeColor="text1" w:themeTint="F2"/>
                <w:spacing w:val="-6"/>
              </w:rPr>
              <w:t>činila</w:t>
            </w:r>
            <w:r w:rsidR="0067514E" w:rsidRPr="0067514E">
              <w:rPr>
                <w:rFonts w:cs="Arial"/>
                <w:color w:val="0D0D0D" w:themeColor="text1" w:themeTint="F2"/>
                <w:spacing w:val="-6"/>
              </w:rPr>
              <w:t xml:space="preserve"> 30,8 % HDP (desetileté minimum). Ta se za posledních šest let snížila o 14,1 p. b., v samotném roce 2019 pak o 1,8 p. b. (výhradně vlivem rostoucího nominálního HDP, neboť absolutní výše dluhu vzrostla o 5,8 mld. korun). Saldo hospodaření sektoru vládních institucí činilo loni 15,4 mld. korun, resp. +0,3 % HDP. Přebytku bylo dosaženo již počtvrté v řadě, ve srovnání s rokem 2018 byla ale loni jeho výše jen třetinová. Projevilo se primárně zhoršení u ústředních vládních institucí, kde saldo kleslo o 40,7 mld. korun (na </w:t>
            </w:r>
            <w:r w:rsidR="0067514E" w:rsidRPr="0067514E">
              <w:rPr>
                <w:spacing w:val="-6"/>
              </w:rPr>
              <w:t>–</w:t>
            </w:r>
            <w:r w:rsidR="0067514E" w:rsidRPr="0067514E">
              <w:rPr>
                <w:rFonts w:cs="Arial"/>
                <w:color w:val="0D0D0D" w:themeColor="text1" w:themeTint="F2"/>
                <w:spacing w:val="-6"/>
              </w:rPr>
              <w:t>31,7 mld., čtyřleté minimum). Zdravotní pojišťovny snížily přebytek hospodaření meziročně o třetinu, naopak místní vládní instituce (tvořené především kraji a obcemi) svůj kladný výsledek o polovinu vylepšily (na 36,0 mld.). Pozitivní bylo, že přebytku na místní úrovni bylo dosaženo při souběžném růstu investic</w:t>
            </w:r>
            <w:r w:rsidR="0067514E" w:rsidRPr="0067514E">
              <w:rPr>
                <w:rStyle w:val="Znakapoznpodarou"/>
                <w:color w:val="000000" w:themeColor="text1"/>
                <w:spacing w:val="-6"/>
              </w:rPr>
              <w:footnoteReference w:id="82"/>
            </w:r>
            <w:r w:rsidR="0067514E" w:rsidRPr="0067514E">
              <w:rPr>
                <w:rFonts w:cs="Arial"/>
                <w:color w:val="0D0D0D" w:themeColor="text1" w:themeTint="F2"/>
                <w:spacing w:val="-6"/>
              </w:rPr>
              <w:t xml:space="preserve">. Zpomalení ekonomického růstu během roku 2019 se na fiskální úrovni projevilo oslabením dynamiky daňových příjmů (zejména běžných daní z důchodů a sociálních příspěvků). To vyústilo ve zhoršující se saldo hospodaření celého sektoru vládních institucí – zatímco v 1. čtvrtletí dosáhlo po sezónním očištění +1,0 % HDP, na konci roku kleslo na </w:t>
            </w:r>
            <w:r w:rsidR="0067514E" w:rsidRPr="0067514E">
              <w:rPr>
                <w:spacing w:val="-6"/>
              </w:rPr>
              <w:t>–0,3 % a zaznamenalo první schodek za posledních pět let.</w:t>
            </w:r>
          </w:p>
          <w:p w14:paraId="353915AC" w14:textId="77777777" w:rsidR="0067514E" w:rsidRPr="0067514E" w:rsidRDefault="0067514E" w:rsidP="008D1E0A">
            <w:pPr>
              <w:pStyle w:val="Textpoznpodarou"/>
              <w:spacing w:line="276" w:lineRule="auto"/>
              <w:jc w:val="both"/>
              <w:rPr>
                <w:rFonts w:cs="Arial"/>
                <w:color w:val="0D0D0D" w:themeColor="text1" w:themeTint="F2"/>
                <w:spacing w:val="-6"/>
              </w:rPr>
            </w:pPr>
          </w:p>
        </w:tc>
      </w:tr>
      <w:tr w:rsidR="0067514E" w:rsidRPr="004F63A0" w14:paraId="6DD1A8BE" w14:textId="77777777" w:rsidTr="008D1E0A">
        <w:trPr>
          <w:trHeight w:val="145"/>
        </w:trPr>
        <w:tc>
          <w:tcPr>
            <w:tcW w:w="1732" w:type="dxa"/>
            <w:shd w:val="clear" w:color="auto" w:fill="auto"/>
            <w:tcMar>
              <w:left w:w="0" w:type="dxa"/>
            </w:tcMar>
          </w:tcPr>
          <w:p w14:paraId="4DA3F9C8" w14:textId="77777777" w:rsidR="0067514E" w:rsidRDefault="0067514E" w:rsidP="008D1E0A">
            <w:pPr>
              <w:pStyle w:val="Marginlie"/>
            </w:pPr>
            <w:r>
              <w:t>Česko drželo pozici čtvrté relativně nejméně zadlužené ekonomiky EU.</w:t>
            </w:r>
          </w:p>
          <w:p w14:paraId="26B23FC8" w14:textId="77777777" w:rsidR="0067514E" w:rsidRDefault="0067514E" w:rsidP="008D1E0A">
            <w:pPr>
              <w:pStyle w:val="Marginlie"/>
            </w:pPr>
          </w:p>
          <w:p w14:paraId="1F459222" w14:textId="77777777" w:rsidR="0067514E" w:rsidRDefault="0067514E" w:rsidP="008D1E0A">
            <w:pPr>
              <w:pStyle w:val="Marginlie"/>
            </w:pPr>
          </w:p>
          <w:p w14:paraId="4B03D7DA" w14:textId="77777777" w:rsidR="0067514E" w:rsidRDefault="0067514E" w:rsidP="008D1E0A">
            <w:pPr>
              <w:pStyle w:val="Marginlie"/>
            </w:pPr>
          </w:p>
          <w:p w14:paraId="6D7C9431" w14:textId="77777777" w:rsidR="0067514E" w:rsidRDefault="0067514E" w:rsidP="008D1E0A">
            <w:pPr>
              <w:pStyle w:val="Marginlie"/>
            </w:pPr>
          </w:p>
          <w:p w14:paraId="5F4E1F60" w14:textId="77777777" w:rsidR="0067514E" w:rsidRDefault="0067514E" w:rsidP="008D1E0A">
            <w:pPr>
              <w:pStyle w:val="Marginlie"/>
            </w:pPr>
            <w:r>
              <w:t>Po roce 2014 je v EU patrný pozvolný trend snižování míry zadlužení. Stav v nejpostiženějších ekonomikách se ale příliš nezlepšoval.</w:t>
            </w:r>
          </w:p>
        </w:tc>
        <w:tc>
          <w:tcPr>
            <w:tcW w:w="217" w:type="dxa"/>
            <w:shd w:val="clear" w:color="auto" w:fill="auto"/>
            <w:tcMar>
              <w:left w:w="0" w:type="dxa"/>
            </w:tcMar>
          </w:tcPr>
          <w:p w14:paraId="53167E37" w14:textId="77777777" w:rsidR="0067514E" w:rsidRDefault="0067514E" w:rsidP="008D1E0A">
            <w:pPr>
              <w:pStyle w:val="Textpoznpodarou"/>
              <w:jc w:val="both"/>
              <w:rPr>
                <w:spacing w:val="-4"/>
              </w:rPr>
            </w:pPr>
          </w:p>
        </w:tc>
        <w:tc>
          <w:tcPr>
            <w:tcW w:w="7720" w:type="dxa"/>
            <w:shd w:val="clear" w:color="auto" w:fill="auto"/>
            <w:tcMar>
              <w:left w:w="0" w:type="dxa"/>
            </w:tcMar>
          </w:tcPr>
          <w:p w14:paraId="20F4E3BE" w14:textId="33DD2E38" w:rsidR="0067514E" w:rsidRPr="0067514E" w:rsidRDefault="0067514E">
            <w:pPr>
              <w:pStyle w:val="Textpoznpodarou"/>
              <w:spacing w:line="276" w:lineRule="auto"/>
              <w:jc w:val="both"/>
              <w:rPr>
                <w:spacing w:val="-6"/>
              </w:rPr>
            </w:pPr>
            <w:r w:rsidRPr="0067514E">
              <w:rPr>
                <w:spacing w:val="-6"/>
              </w:rPr>
              <w:t xml:space="preserve">Dluh celého sektoru vládních institucí činil </w:t>
            </w:r>
            <w:r w:rsidRPr="0067514E">
              <w:rPr>
                <w:color w:val="000000" w:themeColor="text1"/>
                <w:spacing w:val="-6"/>
              </w:rPr>
              <w:t xml:space="preserve">dle aktuálních dat </w:t>
            </w:r>
            <w:r w:rsidRPr="0067514E">
              <w:rPr>
                <w:spacing w:val="-6"/>
              </w:rPr>
              <w:t xml:space="preserve">na konci </w:t>
            </w:r>
            <w:r w:rsidRPr="0067514E">
              <w:rPr>
                <w:color w:val="000000" w:themeColor="text1"/>
                <w:spacing w:val="-6"/>
              </w:rPr>
              <w:t>3. čtvrtletí 2019</w:t>
            </w:r>
            <w:r w:rsidR="007A7033" w:rsidRPr="0067514E">
              <w:rPr>
                <w:rStyle w:val="Znakapoznpodarou"/>
                <w:color w:val="000000" w:themeColor="text1"/>
                <w:spacing w:val="-6"/>
              </w:rPr>
              <w:footnoteReference w:id="83"/>
            </w:r>
            <w:r w:rsidRPr="0067514E">
              <w:rPr>
                <w:color w:val="000000" w:themeColor="text1"/>
                <w:spacing w:val="-6"/>
              </w:rPr>
              <w:t xml:space="preserve"> v ČR 32,0 % HDP. Česko tak zaujímalo pozici </w:t>
            </w:r>
            <w:r w:rsidRPr="0067514E">
              <w:rPr>
                <w:rFonts w:cs="Arial"/>
                <w:color w:val="0D0D0D" w:themeColor="text1" w:themeTint="F2"/>
                <w:spacing w:val="-6"/>
              </w:rPr>
              <w:t>čtvrté relativně nejméně zadlužené země EU </w:t>
            </w:r>
            <w:r w:rsidRPr="0067514E">
              <w:rPr>
                <w:spacing w:val="-6"/>
              </w:rPr>
              <w:t>–</w:t>
            </w:r>
            <w:r w:rsidRPr="0067514E">
              <w:rPr>
                <w:rFonts w:cs="Arial"/>
                <w:color w:val="0D0D0D" w:themeColor="text1" w:themeTint="F2"/>
                <w:spacing w:val="-6"/>
              </w:rPr>
              <w:t xml:space="preserve"> s</w:t>
            </w:r>
            <w:r w:rsidRPr="0067514E">
              <w:rPr>
                <w:color w:val="000000" w:themeColor="text1"/>
                <w:spacing w:val="-6"/>
              </w:rPr>
              <w:t xml:space="preserve"> větším </w:t>
            </w:r>
            <w:r w:rsidRPr="0067514E">
              <w:rPr>
                <w:rFonts w:cs="Arial"/>
                <w:color w:val="0D0D0D" w:themeColor="text1" w:themeTint="F2"/>
                <w:spacing w:val="-6"/>
              </w:rPr>
              <w:t>odstupem za Estonskem (9,2 %), Lucemburskem (20,2 %) a</w:t>
            </w:r>
            <w:r w:rsidRPr="0067514E">
              <w:rPr>
                <w:color w:val="000000" w:themeColor="text1"/>
                <w:spacing w:val="-6"/>
              </w:rPr>
              <w:t> </w:t>
            </w:r>
            <w:r w:rsidRPr="0067514E">
              <w:rPr>
                <w:rFonts w:cs="Arial"/>
                <w:color w:val="0D0D0D" w:themeColor="text1" w:themeTint="F2"/>
                <w:spacing w:val="-6"/>
              </w:rPr>
              <w:t>Bulharskem (20,6 %) a současně s minimálním předstihem před dalšími pěti státy (Dánskem, Švédskem, Rumunskem, Litvou a Lotyšskem). Výhradně vlivem růstu nominálníh</w:t>
            </w:r>
            <w:r w:rsidR="00A24DEB">
              <w:rPr>
                <w:rFonts w:cs="Arial"/>
                <w:color w:val="0D0D0D" w:themeColor="text1" w:themeTint="F2"/>
                <w:spacing w:val="-6"/>
              </w:rPr>
              <w:t>o HDP klesla míra zadlužení v Česku</w:t>
            </w:r>
            <w:r w:rsidRPr="0067514E">
              <w:rPr>
                <w:rFonts w:cs="Arial"/>
                <w:color w:val="0D0D0D" w:themeColor="text1" w:themeTint="F2"/>
                <w:spacing w:val="-6"/>
              </w:rPr>
              <w:t xml:space="preserve"> meziročně o 1,9 p. b., více než v eurozóně (</w:t>
            </w:r>
            <w:r w:rsidRPr="0067514E">
              <w:rPr>
                <w:spacing w:val="-6"/>
              </w:rPr>
              <w:t>–</w:t>
            </w:r>
            <w:r w:rsidR="00A24DEB">
              <w:rPr>
                <w:rFonts w:cs="Arial"/>
                <w:color w:val="0D0D0D" w:themeColor="text1" w:themeTint="F2"/>
                <w:spacing w:val="-6"/>
              </w:rPr>
              <w:t xml:space="preserve">1,0) jakož i v </w:t>
            </w:r>
            <w:r w:rsidRPr="0067514E">
              <w:rPr>
                <w:rFonts w:cs="Arial"/>
                <w:color w:val="0D0D0D" w:themeColor="text1" w:themeTint="F2"/>
                <w:spacing w:val="-6"/>
              </w:rPr>
              <w:t>EU (</w:t>
            </w:r>
            <w:r w:rsidRPr="0067514E">
              <w:rPr>
                <w:spacing w:val="-6"/>
              </w:rPr>
              <w:t>–</w:t>
            </w:r>
            <w:r w:rsidR="00A24DEB">
              <w:rPr>
                <w:rFonts w:cs="Arial"/>
                <w:color w:val="0D0D0D" w:themeColor="text1" w:themeTint="F2"/>
                <w:spacing w:val="-6"/>
              </w:rPr>
              <w:t>1,3</w:t>
            </w:r>
            <w:r w:rsidRPr="0067514E">
              <w:rPr>
                <w:rFonts w:cs="Arial"/>
                <w:color w:val="0D0D0D" w:themeColor="text1" w:themeTint="F2"/>
                <w:spacing w:val="-6"/>
              </w:rPr>
              <w:t>).</w:t>
            </w:r>
            <w:r w:rsidRPr="0067514E">
              <w:rPr>
                <w:spacing w:val="-6"/>
              </w:rPr>
              <w:t xml:space="preserve"> </w:t>
            </w:r>
            <w:r w:rsidRPr="0067514E">
              <w:rPr>
                <w:rFonts w:cs="Arial"/>
                <w:color w:val="0D0D0D" w:themeColor="text1" w:themeTint="F2"/>
                <w:spacing w:val="-6"/>
              </w:rPr>
              <w:t>Míra zadluženosti klesala v EU i v eurozóně již pátým rokem v řadě, tempo redukce se ale navzdory dlouhodobějšímu hospodářskému růstu nedařilo zrychlovat. To souvisí hlavně s tím, že sektor vládních institucí v zemích EU vykazoval stále negativní saldo hospodaření, jež se v posledních čtvrtletích již nesnižovalo</w:t>
            </w:r>
            <w:r w:rsidRPr="0067514E">
              <w:rPr>
                <w:rStyle w:val="Znakapoznpodarou"/>
                <w:color w:val="000000" w:themeColor="text1"/>
                <w:spacing w:val="-6"/>
              </w:rPr>
              <w:footnoteReference w:id="84"/>
            </w:r>
            <w:r w:rsidRPr="0067514E">
              <w:rPr>
                <w:rFonts w:cs="Arial"/>
                <w:color w:val="0D0D0D" w:themeColor="text1" w:themeTint="F2"/>
                <w:spacing w:val="-6"/>
              </w:rPr>
              <w:t xml:space="preserve">. Míra zadluženosti se ve </w:t>
            </w:r>
            <w:r w:rsidR="008B3690">
              <w:rPr>
                <w:rFonts w:cs="Arial"/>
                <w:color w:val="0D0D0D" w:themeColor="text1" w:themeTint="F2"/>
                <w:spacing w:val="-6"/>
              </w:rPr>
              <w:t>3</w:t>
            </w:r>
            <w:r w:rsidRPr="0067514E">
              <w:rPr>
                <w:rFonts w:cs="Arial"/>
                <w:color w:val="0D0D0D" w:themeColor="text1" w:themeTint="F2"/>
                <w:spacing w:val="-6"/>
              </w:rPr>
              <w:t xml:space="preserve">. čtvrtletí </w:t>
            </w:r>
            <w:r w:rsidR="008B3690">
              <w:rPr>
                <w:rFonts w:cs="Arial"/>
                <w:color w:val="0D0D0D" w:themeColor="text1" w:themeTint="F2"/>
                <w:spacing w:val="-6"/>
              </w:rPr>
              <w:t xml:space="preserve">2019 </w:t>
            </w:r>
            <w:r w:rsidRPr="0067514E">
              <w:rPr>
                <w:rFonts w:cs="Arial"/>
                <w:color w:val="0D0D0D" w:themeColor="text1" w:themeTint="F2"/>
                <w:spacing w:val="-6"/>
              </w:rPr>
              <w:t>meziročně sníži</w:t>
            </w:r>
            <w:r w:rsidR="0044279E">
              <w:rPr>
                <w:rFonts w:cs="Arial"/>
                <w:color w:val="0D0D0D" w:themeColor="text1" w:themeTint="F2"/>
                <w:spacing w:val="-6"/>
              </w:rPr>
              <w:t>la ve třech čtvrtinách států</w:t>
            </w:r>
            <w:r w:rsidRPr="0067514E">
              <w:rPr>
                <w:rFonts w:cs="Arial"/>
                <w:color w:val="0D0D0D" w:themeColor="text1" w:themeTint="F2"/>
                <w:spacing w:val="-6"/>
              </w:rPr>
              <w:t xml:space="preserve"> Unie, k mírnému nárůstu ale došlo mj. i v některých vysoce zadlužených ekonomikách (v Itálii na 137,3 % HDP a ve Francii na 100,5 %). Zadlužení pod 60 % HDP vykázala necelá polovina členů eurozóny, z toho z jádrových zemí (EU15) jen Lucembursko, Nizozemsko a Finsko. </w:t>
            </w:r>
            <w:r w:rsidRPr="0067514E">
              <w:rPr>
                <w:rFonts w:cs="Arial"/>
                <w:bCs/>
                <w:iCs/>
                <w:color w:val="0D0D0D" w:themeColor="text1" w:themeTint="F2"/>
                <w:spacing w:val="-6"/>
              </w:rPr>
              <w:t>Snížit svou míru zadluženosti pod úroveň minima z</w:t>
            </w:r>
            <w:r w:rsidRPr="0067514E">
              <w:rPr>
                <w:rFonts w:cs="Arial"/>
                <w:color w:val="0D0D0D" w:themeColor="text1" w:themeTint="F2"/>
                <w:spacing w:val="-6"/>
              </w:rPr>
              <w:t> </w:t>
            </w:r>
            <w:r w:rsidRPr="0067514E">
              <w:rPr>
                <w:rFonts w:cs="Arial"/>
                <w:bCs/>
                <w:iCs/>
                <w:color w:val="0D0D0D" w:themeColor="text1" w:themeTint="F2"/>
                <w:spacing w:val="-6"/>
              </w:rPr>
              <w:t>konjunkturního období 2006 až 2008 se dosud podařilo jen Německu a Maltě. Této úrovni se dále těsně blížilo již jen Švédsko, ČR ji stále překonávala o více než 5 p. b.</w:t>
            </w:r>
          </w:p>
        </w:tc>
      </w:tr>
      <w:bookmarkEnd w:id="20"/>
    </w:tbl>
    <w:p w14:paraId="400EECF4" w14:textId="1D3BCF3A" w:rsidR="00965797" w:rsidRPr="00485E82" w:rsidRDefault="00965797" w:rsidP="0067514E">
      <w:pPr>
        <w:pStyle w:val="Nadpis11"/>
        <w:rPr>
          <w:b w:val="0"/>
          <w:sz w:val="2"/>
          <w:szCs w:val="2"/>
          <w:highlight w:val="yellow"/>
        </w:rPr>
      </w:pPr>
    </w:p>
    <w:sectPr w:rsidR="00965797" w:rsidRPr="00485E82" w:rsidSect="00A03B10">
      <w:headerReference w:type="even" r:id="rId26"/>
      <w:headerReference w:type="default" r:id="rId27"/>
      <w:footerReference w:type="even" r:id="rId28"/>
      <w:footerReference w:type="default" r:id="rId29"/>
      <w:pgSz w:w="11906" w:h="16838" w:code="9"/>
      <w:pgMar w:top="1134" w:right="1134" w:bottom="1418" w:left="1134" w:header="680"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D2585" w14:textId="77777777" w:rsidR="00C831E7" w:rsidRDefault="00C831E7" w:rsidP="00E71A58">
      <w:r>
        <w:separator/>
      </w:r>
    </w:p>
  </w:endnote>
  <w:endnote w:type="continuationSeparator" w:id="0">
    <w:p w14:paraId="62146C34" w14:textId="77777777" w:rsidR="00C831E7" w:rsidRDefault="00C831E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51A0D" w14:textId="68C31C39" w:rsidR="003474B6" w:rsidRPr="00932443" w:rsidRDefault="003474B6" w:rsidP="00A418BC">
    <w:pPr>
      <w:pStyle w:val="Zpat"/>
      <w:rPr>
        <w:szCs w:val="16"/>
      </w:rPr>
    </w:pPr>
    <w:r>
      <w:rPr>
        <w:szCs w:val="16"/>
        <w:lang w:eastAsia="cs-CZ"/>
      </w:rPr>
      <w:drawing>
        <wp:anchor distT="0" distB="0" distL="114300" distR="114300" simplePos="0" relativeHeight="251667968" behindDoc="0" locked="0" layoutInCell="1" allowOverlap="1" wp14:anchorId="71F0B6E3" wp14:editId="3AA519D4">
          <wp:simplePos x="0" y="0"/>
          <wp:positionH relativeFrom="column">
            <wp:align>right</wp:align>
          </wp:positionH>
          <wp:positionV relativeFrom="paragraph">
            <wp:posOffset>-64770</wp:posOffset>
          </wp:positionV>
          <wp:extent cx="428625" cy="201295"/>
          <wp:effectExtent l="0" t="0" r="3175" b="1905"/>
          <wp:wrapNone/>
          <wp:docPr id="4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Pr>
        <w:szCs w:val="16"/>
      </w:rPr>
      <w:t>22</w:t>
    </w:r>
    <w:r w:rsidRPr="00932443">
      <w:rPr>
        <w:szCs w:val="16"/>
      </w:rPr>
      <w:fldChar w:fldCharType="end"/>
    </w:r>
    <w:r w:rsidRPr="00932443">
      <w:rPr>
        <w:szCs w:val="16"/>
      </w:rPr>
      <w:tab/>
    </w:r>
    <w:r>
      <w:rPr>
        <w:szCs w:val="16"/>
      </w:rPr>
      <w:t>Rok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17E4B" w14:textId="540E6951" w:rsidR="003474B6" w:rsidRPr="00932443" w:rsidRDefault="003474B6" w:rsidP="00FA6CB6">
    <w:pPr>
      <w:pStyle w:val="Zpat"/>
      <w:rPr>
        <w:szCs w:val="16"/>
      </w:rPr>
    </w:pPr>
    <w:r w:rsidRPr="00FA6CB6">
      <w:rPr>
        <w:szCs w:val="16"/>
      </w:rPr>
      <w:tab/>
    </w:r>
    <w:r>
      <w:rPr>
        <w:szCs w:val="16"/>
      </w:rPr>
      <w:t xml:space="preserve">Rok </w:t>
    </w:r>
    <w:r>
      <w:rPr>
        <w:szCs w:val="16"/>
        <w:lang w:eastAsia="cs-CZ"/>
      </w:rPr>
      <w:drawing>
        <wp:anchor distT="0" distB="0" distL="114300" distR="114300" simplePos="0" relativeHeight="251658752" behindDoc="0" locked="0" layoutInCell="1" allowOverlap="1" wp14:anchorId="6ADC9B20" wp14:editId="2C3814E9">
          <wp:simplePos x="0" y="0"/>
          <wp:positionH relativeFrom="column">
            <wp:align>left</wp:align>
          </wp:positionH>
          <wp:positionV relativeFrom="paragraph">
            <wp:posOffset>-122555</wp:posOffset>
          </wp:positionV>
          <wp:extent cx="510540" cy="272415"/>
          <wp:effectExtent l="0" t="0" r="0" b="6985"/>
          <wp:wrapNone/>
          <wp:docPr id="45"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2</w:t>
    </w:r>
    <w:r>
      <w:t>019</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Pr>
        <w:rStyle w:val="ZpatChar"/>
        <w:szCs w:val="16"/>
      </w:rPr>
      <w:t>23</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9B6B6" w14:textId="77777777" w:rsidR="00C831E7" w:rsidRDefault="00C831E7" w:rsidP="00A21B4D">
      <w:pPr>
        <w:spacing w:after="0"/>
      </w:pPr>
      <w:r>
        <w:separator/>
      </w:r>
    </w:p>
  </w:footnote>
  <w:footnote w:type="continuationSeparator" w:id="0">
    <w:p w14:paraId="0072FE5B" w14:textId="77777777" w:rsidR="00C831E7" w:rsidRDefault="00C831E7" w:rsidP="00E71A58">
      <w:r>
        <w:continuationSeparator/>
      </w:r>
    </w:p>
  </w:footnote>
  <w:footnote w:id="1">
    <w:p w14:paraId="2D1E23C5" w14:textId="77777777" w:rsidR="003474B6" w:rsidRDefault="003474B6" w:rsidP="00925615">
      <w:pPr>
        <w:pStyle w:val="Textpoznpodarou"/>
        <w:rPr>
          <w:spacing w:val="-2"/>
          <w:sz w:val="16"/>
          <w:szCs w:val="16"/>
        </w:rPr>
      </w:pPr>
      <w:r>
        <w:rPr>
          <w:rStyle w:val="Znakapoznpodarou"/>
          <w:spacing w:val="-2"/>
          <w:szCs w:val="16"/>
        </w:rPr>
        <w:footnoteRef/>
      </w:r>
      <w:r>
        <w:rPr>
          <w:spacing w:val="-2"/>
          <w:sz w:val="16"/>
          <w:szCs w:val="16"/>
        </w:rPr>
        <w:t xml:space="preserve"> Data o HDP, hrubé přidané hodnotě a jejich složkách jsou vyjádřena ve stálých cenách a v očištění o sezónní a kalendářní vlivy.</w:t>
      </w:r>
    </w:p>
  </w:footnote>
  <w:footnote w:id="2">
    <w:p w14:paraId="784F029F" w14:textId="77777777" w:rsidR="003474B6" w:rsidRDefault="003474B6" w:rsidP="00925615">
      <w:pPr>
        <w:pStyle w:val="Textpoznpodarou"/>
        <w:rPr>
          <w:sz w:val="16"/>
          <w:szCs w:val="16"/>
        </w:rPr>
      </w:pPr>
      <w:r>
        <w:rPr>
          <w:rStyle w:val="Znakapoznpodarou"/>
          <w:szCs w:val="16"/>
        </w:rPr>
        <w:footnoteRef/>
      </w:r>
      <w:r>
        <w:rPr>
          <w:sz w:val="16"/>
          <w:szCs w:val="16"/>
        </w:rPr>
        <w:t xml:space="preserve"> V pojetí národních účtů.</w:t>
      </w:r>
    </w:p>
  </w:footnote>
  <w:footnote w:id="3">
    <w:p w14:paraId="0A248799" w14:textId="77777777" w:rsidR="003474B6" w:rsidRDefault="003474B6" w:rsidP="00925615">
      <w:pPr>
        <w:pStyle w:val="Textpoznpodarou"/>
        <w:jc w:val="both"/>
        <w:rPr>
          <w:sz w:val="16"/>
          <w:szCs w:val="16"/>
        </w:rPr>
      </w:pPr>
      <w:r>
        <w:rPr>
          <w:rStyle w:val="Znakapoznpodarou"/>
          <w:spacing w:val="-2"/>
          <w:szCs w:val="16"/>
        </w:rPr>
        <w:footnoteRef/>
      </w:r>
      <w:r>
        <w:rPr>
          <w:spacing w:val="-2"/>
          <w:sz w:val="16"/>
          <w:szCs w:val="16"/>
        </w:rPr>
        <w:t xml:space="preserve"> Údaje o zaměstnanosti jsou uvedeny v pojetí národních účtů a očištěny o sezónní vlivy.</w:t>
      </w:r>
    </w:p>
  </w:footnote>
  <w:footnote w:id="4">
    <w:p w14:paraId="6EF37F6C" w14:textId="77777777" w:rsidR="003474B6" w:rsidRPr="00EF1EE3" w:rsidRDefault="003474B6" w:rsidP="00C715CC">
      <w:pPr>
        <w:pStyle w:val="Textpoznpodarou"/>
        <w:rPr>
          <w:sz w:val="16"/>
          <w:szCs w:val="16"/>
        </w:rPr>
      </w:pPr>
      <w:r w:rsidRPr="00EF1EE3">
        <w:rPr>
          <w:rStyle w:val="Znakapoznpodarou"/>
          <w:sz w:val="16"/>
          <w:szCs w:val="16"/>
        </w:rPr>
        <w:footnoteRef/>
      </w:r>
      <w:r w:rsidRPr="00EF1EE3">
        <w:rPr>
          <w:sz w:val="16"/>
          <w:szCs w:val="16"/>
        </w:rPr>
        <w:t xml:space="preserve"> </w:t>
      </w:r>
      <w:r>
        <w:rPr>
          <w:sz w:val="16"/>
          <w:szCs w:val="16"/>
        </w:rPr>
        <w:t>Vývoj</w:t>
      </w:r>
      <w:r w:rsidRPr="00EF1EE3">
        <w:rPr>
          <w:sz w:val="16"/>
          <w:szCs w:val="16"/>
        </w:rPr>
        <w:t xml:space="preserve"> HDP, hrubé přidané hodnot</w:t>
      </w:r>
      <w:r>
        <w:rPr>
          <w:sz w:val="16"/>
          <w:szCs w:val="16"/>
        </w:rPr>
        <w:t>y</w:t>
      </w:r>
      <w:r w:rsidRPr="00EF1EE3">
        <w:rPr>
          <w:sz w:val="16"/>
          <w:szCs w:val="16"/>
        </w:rPr>
        <w:t xml:space="preserve"> a</w:t>
      </w:r>
      <w:r>
        <w:rPr>
          <w:sz w:val="16"/>
          <w:szCs w:val="16"/>
        </w:rPr>
        <w:t> </w:t>
      </w:r>
      <w:r w:rsidRPr="00EF1EE3">
        <w:rPr>
          <w:sz w:val="16"/>
          <w:szCs w:val="16"/>
        </w:rPr>
        <w:t>jejich slož</w:t>
      </w:r>
      <w:r>
        <w:rPr>
          <w:sz w:val="16"/>
          <w:szCs w:val="16"/>
        </w:rPr>
        <w:t>e</w:t>
      </w:r>
      <w:r w:rsidRPr="00EF1EE3">
        <w:rPr>
          <w:sz w:val="16"/>
          <w:szCs w:val="16"/>
        </w:rPr>
        <w:t xml:space="preserve">k </w:t>
      </w:r>
      <w:r>
        <w:rPr>
          <w:sz w:val="16"/>
          <w:szCs w:val="16"/>
        </w:rPr>
        <w:t xml:space="preserve">je </w:t>
      </w:r>
      <w:r w:rsidRPr="00EF1EE3">
        <w:rPr>
          <w:sz w:val="16"/>
          <w:szCs w:val="16"/>
        </w:rPr>
        <w:t>vyjádřen</w:t>
      </w:r>
      <w:r>
        <w:rPr>
          <w:sz w:val="16"/>
          <w:szCs w:val="16"/>
        </w:rPr>
        <w:t xml:space="preserve"> prostřednictvím objemových indexů (tj. očištěn o vliv cen)</w:t>
      </w:r>
      <w:r w:rsidRPr="00EF1EE3">
        <w:rPr>
          <w:sz w:val="16"/>
          <w:szCs w:val="16"/>
        </w:rPr>
        <w:t xml:space="preserve"> a</w:t>
      </w:r>
      <w:r>
        <w:rPr>
          <w:sz w:val="16"/>
          <w:szCs w:val="16"/>
        </w:rPr>
        <w:t xml:space="preserve"> po </w:t>
      </w:r>
      <w:r w:rsidRPr="00EF1EE3">
        <w:rPr>
          <w:sz w:val="16"/>
          <w:szCs w:val="16"/>
        </w:rPr>
        <w:t>očištění o</w:t>
      </w:r>
      <w:r>
        <w:rPr>
          <w:sz w:val="16"/>
          <w:szCs w:val="16"/>
        </w:rPr>
        <w:t> </w:t>
      </w:r>
      <w:r w:rsidRPr="00EF1EE3">
        <w:rPr>
          <w:sz w:val="16"/>
          <w:szCs w:val="16"/>
        </w:rPr>
        <w:t>sezónní a kalendářn</w:t>
      </w:r>
      <w:r>
        <w:rPr>
          <w:sz w:val="16"/>
          <w:szCs w:val="16"/>
        </w:rPr>
        <w:t>í vlivy. Údaje jsou platné k 31. 3. 2020</w:t>
      </w:r>
      <w:r w:rsidRPr="00EF1EE3">
        <w:rPr>
          <w:sz w:val="16"/>
          <w:szCs w:val="16"/>
        </w:rPr>
        <w:t>.</w:t>
      </w:r>
    </w:p>
  </w:footnote>
  <w:footnote w:id="5">
    <w:p w14:paraId="0E6C4926" w14:textId="77777777" w:rsidR="003474B6" w:rsidRPr="009C6EA8" w:rsidRDefault="003474B6" w:rsidP="00C715CC">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6">
    <w:p w14:paraId="78AC3DE2" w14:textId="77777777" w:rsidR="003474B6" w:rsidRDefault="003474B6" w:rsidP="00C715CC">
      <w:pPr>
        <w:pStyle w:val="Textpoznpodarou"/>
      </w:pPr>
      <w:r w:rsidRPr="009C6EA8">
        <w:rPr>
          <w:rStyle w:val="Znakapoznpodarou"/>
          <w:sz w:val="16"/>
          <w:szCs w:val="16"/>
        </w:rPr>
        <w:footnoteRef/>
      </w:r>
      <w:r w:rsidRPr="009C6EA8">
        <w:rPr>
          <w:sz w:val="16"/>
          <w:szCs w:val="16"/>
        </w:rPr>
        <w:t xml:space="preserve"> </w:t>
      </w:r>
      <w:r>
        <w:rPr>
          <w:sz w:val="16"/>
          <w:szCs w:val="16"/>
        </w:rPr>
        <w:t>Zaměstnanost v</w:t>
      </w:r>
      <w:r w:rsidRPr="009C6EA8">
        <w:rPr>
          <w:sz w:val="16"/>
          <w:szCs w:val="16"/>
        </w:rPr>
        <w:t xml:space="preserve"> pojetí národních účtů, </w:t>
      </w:r>
      <w:r>
        <w:rPr>
          <w:sz w:val="16"/>
          <w:szCs w:val="16"/>
        </w:rPr>
        <w:t xml:space="preserve">údaj je </w:t>
      </w:r>
      <w:r w:rsidRPr="009C6EA8">
        <w:rPr>
          <w:sz w:val="16"/>
          <w:szCs w:val="16"/>
        </w:rPr>
        <w:t>sezónně očištěn</w:t>
      </w:r>
      <w:r w:rsidRPr="00004BA8">
        <w:rPr>
          <w:sz w:val="16"/>
        </w:rPr>
        <w:t>.</w:t>
      </w:r>
    </w:p>
  </w:footnote>
  <w:footnote w:id="7">
    <w:p w14:paraId="02CF0523" w14:textId="77777777" w:rsidR="003474B6" w:rsidRPr="009C6EA8" w:rsidRDefault="003474B6" w:rsidP="00C715CC">
      <w:pPr>
        <w:pStyle w:val="Textpoznpodarou"/>
        <w:rPr>
          <w:sz w:val="16"/>
          <w:szCs w:val="16"/>
        </w:rPr>
      </w:pPr>
      <w:r w:rsidRPr="009C6EA8">
        <w:rPr>
          <w:rStyle w:val="Znakapoznpodarou"/>
          <w:sz w:val="16"/>
          <w:szCs w:val="16"/>
        </w:rPr>
        <w:footnoteRef/>
      </w:r>
      <w:r w:rsidRPr="009C6EA8">
        <w:rPr>
          <w:sz w:val="16"/>
          <w:szCs w:val="16"/>
        </w:rPr>
        <w:t xml:space="preserve"> Do reálného vyjádření převedeno s využitím deflátoru výdajů na konečnou spotřebu domácností.</w:t>
      </w:r>
    </w:p>
  </w:footnote>
  <w:footnote w:id="8">
    <w:p w14:paraId="5B04C7D6" w14:textId="77777777" w:rsidR="003474B6" w:rsidRPr="001553B8" w:rsidRDefault="003474B6" w:rsidP="008A6AA5">
      <w:pPr>
        <w:autoSpaceDE w:val="0"/>
        <w:autoSpaceDN w:val="0"/>
        <w:adjustRightInd w:val="0"/>
        <w:spacing w:after="0" w:line="240" w:lineRule="auto"/>
        <w:jc w:val="left"/>
        <w:rPr>
          <w:rFonts w:cs="Arial"/>
          <w:sz w:val="16"/>
          <w:szCs w:val="16"/>
        </w:rPr>
      </w:pPr>
      <w:r w:rsidRPr="001553B8">
        <w:rPr>
          <w:rStyle w:val="Znakapoznpodarou"/>
          <w:rFonts w:cs="Arial"/>
          <w:sz w:val="16"/>
          <w:szCs w:val="16"/>
        </w:rPr>
        <w:footnoteRef/>
      </w:r>
      <w:r w:rsidRPr="001553B8">
        <w:rPr>
          <w:rFonts w:cs="Arial"/>
          <w:sz w:val="16"/>
          <w:szCs w:val="16"/>
        </w:rPr>
        <w:t xml:space="preserve"> </w:t>
      </w:r>
      <w:r w:rsidRPr="001553B8">
        <w:rPr>
          <w:rFonts w:eastAsia="Calibri" w:cs="Arial"/>
          <w:bCs/>
          <w:iCs/>
          <w:sz w:val="16"/>
          <w:szCs w:val="16"/>
          <w:lang w:eastAsia="en-US"/>
        </w:rPr>
        <w:t xml:space="preserve">Míra zisku nefinančních podniků </w:t>
      </w:r>
      <w:r w:rsidRPr="001553B8">
        <w:rPr>
          <w:rFonts w:eastAsia="Calibri" w:cs="Arial"/>
          <w:iCs/>
          <w:sz w:val="16"/>
          <w:szCs w:val="16"/>
          <w:lang w:eastAsia="en-US"/>
        </w:rPr>
        <w:t>je definována jako podíl hrubého provozního přebytku k</w:t>
      </w:r>
      <w:r>
        <w:rPr>
          <w:rFonts w:eastAsia="Calibri" w:cs="Arial"/>
          <w:iCs/>
          <w:sz w:val="16"/>
          <w:szCs w:val="16"/>
          <w:lang w:eastAsia="en-US"/>
        </w:rPr>
        <w:t> </w:t>
      </w:r>
      <w:r w:rsidRPr="001553B8">
        <w:rPr>
          <w:rFonts w:eastAsia="Calibri" w:cs="Arial"/>
          <w:iCs/>
          <w:sz w:val="16"/>
          <w:szCs w:val="16"/>
          <w:lang w:eastAsia="en-US"/>
        </w:rPr>
        <w:t>hrubé přidané</w:t>
      </w:r>
      <w:r>
        <w:rPr>
          <w:rFonts w:eastAsia="Calibri" w:cs="Arial"/>
          <w:iCs/>
          <w:sz w:val="16"/>
          <w:szCs w:val="16"/>
          <w:lang w:eastAsia="en-US"/>
        </w:rPr>
        <w:t xml:space="preserve"> </w:t>
      </w:r>
      <w:r w:rsidRPr="001553B8">
        <w:rPr>
          <w:rFonts w:eastAsia="Calibri" w:cs="Arial"/>
          <w:iCs/>
          <w:sz w:val="16"/>
          <w:szCs w:val="16"/>
          <w:lang w:eastAsia="en-US"/>
        </w:rPr>
        <w:t>hodnotě (B.2g/B.1g). Tento ukazatel reprezentuje ziskovost výrobních faktorů z</w:t>
      </w:r>
      <w:r>
        <w:rPr>
          <w:rFonts w:eastAsia="Calibri" w:cs="Arial"/>
          <w:iCs/>
          <w:sz w:val="16"/>
          <w:szCs w:val="16"/>
          <w:lang w:eastAsia="en-US"/>
        </w:rPr>
        <w:t> </w:t>
      </w:r>
      <w:r w:rsidRPr="001553B8">
        <w:rPr>
          <w:rFonts w:eastAsia="Calibri" w:cs="Arial"/>
          <w:iCs/>
          <w:sz w:val="16"/>
          <w:szCs w:val="16"/>
          <w:lang w:eastAsia="en-US"/>
        </w:rPr>
        <w:t>výrobního procesu.</w:t>
      </w:r>
    </w:p>
  </w:footnote>
  <w:footnote w:id="9">
    <w:p w14:paraId="39B307D1" w14:textId="77777777" w:rsidR="003474B6" w:rsidRPr="00771972" w:rsidRDefault="003474B6" w:rsidP="0098157D">
      <w:pPr>
        <w:pStyle w:val="Textpoznpodarou"/>
        <w:rPr>
          <w:sz w:val="16"/>
          <w:szCs w:val="16"/>
        </w:rPr>
      </w:pPr>
      <w:r w:rsidRPr="00771972">
        <w:rPr>
          <w:rStyle w:val="Znakapoznpodarou"/>
          <w:sz w:val="16"/>
          <w:szCs w:val="16"/>
        </w:rPr>
        <w:footnoteRef/>
      </w:r>
      <w:r w:rsidRPr="00771972">
        <w:rPr>
          <w:sz w:val="16"/>
          <w:szCs w:val="16"/>
        </w:rPr>
        <w:t xml:space="preserve"> Veřejná správa a</w:t>
      </w:r>
      <w:r>
        <w:rPr>
          <w:sz w:val="16"/>
          <w:szCs w:val="16"/>
        </w:rPr>
        <w:t> </w:t>
      </w:r>
      <w:r w:rsidRPr="00771972">
        <w:rPr>
          <w:sz w:val="16"/>
          <w:szCs w:val="16"/>
        </w:rPr>
        <w:t>obrana, vzdělávání, zdravotní a</w:t>
      </w:r>
      <w:r>
        <w:rPr>
          <w:sz w:val="16"/>
          <w:szCs w:val="16"/>
        </w:rPr>
        <w:t> </w:t>
      </w:r>
      <w:r w:rsidRPr="00771972">
        <w:rPr>
          <w:sz w:val="16"/>
          <w:szCs w:val="16"/>
        </w:rPr>
        <w:t>sociální péče.</w:t>
      </w:r>
    </w:p>
  </w:footnote>
  <w:footnote w:id="10">
    <w:p w14:paraId="58CDFF52" w14:textId="77777777" w:rsidR="003474B6" w:rsidRPr="00954992" w:rsidRDefault="003474B6" w:rsidP="00C715CC">
      <w:pPr>
        <w:pStyle w:val="Textpoznpodarou"/>
        <w:rPr>
          <w:sz w:val="16"/>
          <w:szCs w:val="16"/>
        </w:rPr>
      </w:pPr>
      <w:r w:rsidRPr="00954992">
        <w:rPr>
          <w:rStyle w:val="Znakapoznpodarou"/>
          <w:sz w:val="16"/>
          <w:szCs w:val="16"/>
        </w:rPr>
        <w:footnoteRef/>
      </w:r>
      <w:r w:rsidRPr="00954992">
        <w:rPr>
          <w:sz w:val="16"/>
          <w:szCs w:val="16"/>
        </w:rPr>
        <w:t xml:space="preserve"> Údaje o</w:t>
      </w:r>
      <w:r>
        <w:rPr>
          <w:sz w:val="16"/>
          <w:szCs w:val="16"/>
        </w:rPr>
        <w:t> </w:t>
      </w:r>
      <w:r w:rsidRPr="00954992">
        <w:rPr>
          <w:sz w:val="16"/>
          <w:szCs w:val="16"/>
        </w:rPr>
        <w:t>spotřebě dle trvanlivosti jsou v domácím pojetí a</w:t>
      </w:r>
      <w:r>
        <w:rPr>
          <w:sz w:val="16"/>
          <w:szCs w:val="16"/>
        </w:rPr>
        <w:t> </w:t>
      </w:r>
      <w:r w:rsidRPr="00954992">
        <w:rPr>
          <w:sz w:val="16"/>
          <w:szCs w:val="16"/>
        </w:rPr>
        <w:t>bez sezónního očištění.</w:t>
      </w:r>
    </w:p>
  </w:footnote>
  <w:footnote w:id="11">
    <w:p w14:paraId="17B89A4F" w14:textId="77777777" w:rsidR="003474B6" w:rsidRPr="003D6F54" w:rsidRDefault="003474B6" w:rsidP="00C715CC">
      <w:pPr>
        <w:autoSpaceDE w:val="0"/>
        <w:autoSpaceDN w:val="0"/>
        <w:adjustRightInd w:val="0"/>
        <w:spacing w:after="0" w:line="240" w:lineRule="auto"/>
        <w:jc w:val="left"/>
        <w:rPr>
          <w:rFonts w:cs="Arial"/>
          <w:sz w:val="16"/>
          <w:szCs w:val="16"/>
        </w:rPr>
      </w:pPr>
      <w:r w:rsidRPr="003D6F54">
        <w:rPr>
          <w:rStyle w:val="Znakapoznpodarou"/>
          <w:rFonts w:cs="Arial"/>
          <w:sz w:val="16"/>
          <w:szCs w:val="16"/>
        </w:rPr>
        <w:footnoteRef/>
      </w:r>
      <w:r w:rsidRPr="003D6F54">
        <w:rPr>
          <w:rFonts w:cs="Arial"/>
          <w:sz w:val="16"/>
          <w:szCs w:val="16"/>
        </w:rPr>
        <w:t xml:space="preserve"> </w:t>
      </w:r>
      <w:r w:rsidRPr="003D6F54">
        <w:rPr>
          <w:rFonts w:eastAsia="Calibri" w:cs="Arial"/>
          <w:bCs/>
          <w:iCs/>
          <w:sz w:val="16"/>
          <w:szCs w:val="16"/>
          <w:lang w:eastAsia="en-US"/>
        </w:rPr>
        <w:t xml:space="preserve">Míra úspor domácností </w:t>
      </w:r>
      <w:r w:rsidRPr="003D6F54">
        <w:rPr>
          <w:rFonts w:eastAsia="Calibri" w:cs="Arial"/>
          <w:iCs/>
          <w:sz w:val="16"/>
          <w:szCs w:val="16"/>
          <w:lang w:eastAsia="en-US"/>
        </w:rPr>
        <w:t>je definována jako podíl hrubých úspor a</w:t>
      </w:r>
      <w:r>
        <w:rPr>
          <w:rFonts w:eastAsia="Calibri" w:cs="Arial"/>
          <w:iCs/>
          <w:sz w:val="16"/>
          <w:szCs w:val="16"/>
          <w:lang w:eastAsia="en-US"/>
        </w:rPr>
        <w:t> </w:t>
      </w:r>
      <w:r w:rsidRPr="003D6F54">
        <w:rPr>
          <w:rFonts w:eastAsia="Calibri" w:cs="Arial"/>
          <w:iCs/>
          <w:sz w:val="16"/>
          <w:szCs w:val="16"/>
          <w:lang w:eastAsia="en-US"/>
        </w:rPr>
        <w:t>hrubého disponibilního důchodu</w:t>
      </w:r>
      <w:r>
        <w:rPr>
          <w:rFonts w:eastAsia="Calibri" w:cs="Arial"/>
          <w:iCs/>
          <w:sz w:val="16"/>
          <w:szCs w:val="16"/>
          <w:lang w:eastAsia="en-US"/>
        </w:rPr>
        <w:t xml:space="preserve"> </w:t>
      </w:r>
      <w:r w:rsidRPr="003D6F54">
        <w:rPr>
          <w:rFonts w:eastAsia="Calibri" w:cs="Arial"/>
          <w:iCs/>
          <w:sz w:val="16"/>
          <w:szCs w:val="16"/>
          <w:lang w:eastAsia="en-US"/>
        </w:rPr>
        <w:t>se zahrnutím úpravy o</w:t>
      </w:r>
      <w:r>
        <w:rPr>
          <w:rFonts w:eastAsia="Calibri" w:cs="Arial"/>
          <w:iCs/>
          <w:sz w:val="16"/>
          <w:szCs w:val="16"/>
          <w:lang w:eastAsia="en-US"/>
        </w:rPr>
        <w:t> </w:t>
      </w:r>
      <w:r w:rsidRPr="003D6F54">
        <w:rPr>
          <w:rFonts w:eastAsia="Calibri" w:cs="Arial"/>
          <w:iCs/>
          <w:sz w:val="16"/>
          <w:szCs w:val="16"/>
          <w:lang w:eastAsia="en-US"/>
        </w:rPr>
        <w:t>čistý podíl domácností na rezervách penzijních fondů (B.8g/(B.6g+D.8)). Hrubé úspory</w:t>
      </w:r>
      <w:r>
        <w:rPr>
          <w:rFonts w:eastAsia="Calibri" w:cs="Arial"/>
          <w:iCs/>
          <w:sz w:val="16"/>
          <w:szCs w:val="16"/>
          <w:lang w:eastAsia="en-US"/>
        </w:rPr>
        <w:t xml:space="preserve"> </w:t>
      </w:r>
      <w:r w:rsidRPr="003D6F54">
        <w:rPr>
          <w:rFonts w:eastAsia="Calibri" w:cs="Arial"/>
          <w:iCs/>
          <w:sz w:val="16"/>
          <w:szCs w:val="16"/>
          <w:lang w:eastAsia="en-US"/>
        </w:rPr>
        <w:t>představují část hrubého disponibilního důchodu, který nebyl spotřebován ve formě výdajů na konečnou</w:t>
      </w:r>
      <w:r>
        <w:rPr>
          <w:rFonts w:eastAsia="Calibri" w:cs="Arial"/>
          <w:iCs/>
          <w:sz w:val="16"/>
          <w:szCs w:val="16"/>
          <w:lang w:eastAsia="en-US"/>
        </w:rPr>
        <w:t xml:space="preserve"> </w:t>
      </w:r>
      <w:r w:rsidRPr="003D6F54">
        <w:rPr>
          <w:rFonts w:eastAsia="Calibri" w:cs="Arial"/>
          <w:iCs/>
          <w:sz w:val="16"/>
          <w:szCs w:val="16"/>
          <w:lang w:eastAsia="en-US"/>
        </w:rPr>
        <w:t>spotřebu.</w:t>
      </w:r>
    </w:p>
  </w:footnote>
  <w:footnote w:id="12">
    <w:p w14:paraId="200494AE" w14:textId="77777777" w:rsidR="003474B6" w:rsidRPr="001003BB" w:rsidRDefault="003474B6" w:rsidP="003060E9">
      <w:pPr>
        <w:autoSpaceDE w:val="0"/>
        <w:autoSpaceDN w:val="0"/>
        <w:adjustRightInd w:val="0"/>
        <w:spacing w:after="0" w:line="240" w:lineRule="auto"/>
        <w:jc w:val="left"/>
        <w:rPr>
          <w:rFonts w:cs="Arial"/>
          <w:sz w:val="16"/>
          <w:szCs w:val="16"/>
        </w:rPr>
      </w:pPr>
      <w:r w:rsidRPr="001003BB">
        <w:rPr>
          <w:rStyle w:val="Znakapoznpodarou"/>
          <w:rFonts w:cs="Arial"/>
          <w:sz w:val="16"/>
          <w:szCs w:val="16"/>
        </w:rPr>
        <w:footnoteRef/>
      </w:r>
      <w:r w:rsidRPr="001003BB">
        <w:rPr>
          <w:rFonts w:cs="Arial"/>
          <w:sz w:val="16"/>
          <w:szCs w:val="16"/>
        </w:rPr>
        <w:t xml:space="preserve"> </w:t>
      </w:r>
      <w:r w:rsidRPr="001003BB">
        <w:rPr>
          <w:rFonts w:eastAsia="Calibri" w:cs="Arial"/>
          <w:bCs/>
          <w:iCs/>
          <w:sz w:val="16"/>
          <w:szCs w:val="16"/>
          <w:lang w:eastAsia="en-US"/>
        </w:rPr>
        <w:t>Průměrný měsíční příjem domácností na osobu v</w:t>
      </w:r>
      <w:r>
        <w:rPr>
          <w:rFonts w:eastAsia="Calibri" w:cs="Arial"/>
          <w:bCs/>
          <w:iCs/>
          <w:sz w:val="16"/>
          <w:szCs w:val="16"/>
          <w:lang w:eastAsia="en-US"/>
        </w:rPr>
        <w:t> </w:t>
      </w:r>
      <w:r w:rsidRPr="001003BB">
        <w:rPr>
          <w:rFonts w:eastAsia="Calibri" w:cs="Arial"/>
          <w:bCs/>
          <w:iCs/>
          <w:sz w:val="16"/>
          <w:szCs w:val="16"/>
          <w:lang w:eastAsia="en-US"/>
        </w:rPr>
        <w:t xml:space="preserve">nominálním vyjádření </w:t>
      </w:r>
      <w:r w:rsidRPr="001003BB">
        <w:rPr>
          <w:rFonts w:eastAsia="Calibri" w:cs="Arial"/>
          <w:iCs/>
          <w:sz w:val="16"/>
          <w:szCs w:val="16"/>
          <w:lang w:eastAsia="en-US"/>
        </w:rPr>
        <w:t>je definován jako podíl</w:t>
      </w:r>
      <w:r>
        <w:rPr>
          <w:rFonts w:eastAsia="Calibri" w:cs="Arial"/>
          <w:iCs/>
          <w:sz w:val="16"/>
          <w:szCs w:val="16"/>
          <w:lang w:eastAsia="en-US"/>
        </w:rPr>
        <w:t xml:space="preserve"> </w:t>
      </w:r>
      <w:r w:rsidRPr="001003BB">
        <w:rPr>
          <w:rFonts w:eastAsia="Calibri" w:cs="Arial"/>
          <w:iCs/>
          <w:sz w:val="16"/>
          <w:szCs w:val="16"/>
          <w:lang w:eastAsia="en-US"/>
        </w:rPr>
        <w:t>upraveného disponibilního důchodu domácností a</w:t>
      </w:r>
      <w:r>
        <w:rPr>
          <w:rFonts w:eastAsia="Calibri" w:cs="Arial"/>
          <w:iCs/>
          <w:sz w:val="16"/>
          <w:szCs w:val="16"/>
          <w:lang w:eastAsia="en-US"/>
        </w:rPr>
        <w:t> </w:t>
      </w:r>
      <w:r w:rsidRPr="001003BB">
        <w:rPr>
          <w:rFonts w:eastAsia="Calibri" w:cs="Arial"/>
          <w:iCs/>
          <w:sz w:val="16"/>
          <w:szCs w:val="16"/>
          <w:lang w:eastAsia="en-US"/>
        </w:rPr>
        <w:t>středního stavu obyvatelstva.</w:t>
      </w:r>
    </w:p>
  </w:footnote>
  <w:footnote w:id="13">
    <w:p w14:paraId="6AC891BA" w14:textId="77777777" w:rsidR="003474B6" w:rsidRPr="001003BB" w:rsidRDefault="003474B6" w:rsidP="003060E9">
      <w:pPr>
        <w:autoSpaceDE w:val="0"/>
        <w:autoSpaceDN w:val="0"/>
        <w:adjustRightInd w:val="0"/>
        <w:spacing w:after="0" w:line="240" w:lineRule="auto"/>
        <w:jc w:val="left"/>
        <w:rPr>
          <w:rFonts w:cs="Arial"/>
          <w:sz w:val="16"/>
          <w:szCs w:val="16"/>
        </w:rPr>
      </w:pPr>
      <w:r w:rsidRPr="001003BB">
        <w:rPr>
          <w:rStyle w:val="Znakapoznpodarou"/>
          <w:rFonts w:cs="Arial"/>
          <w:sz w:val="16"/>
          <w:szCs w:val="16"/>
        </w:rPr>
        <w:footnoteRef/>
      </w:r>
      <w:r w:rsidRPr="001003BB">
        <w:rPr>
          <w:rFonts w:cs="Arial"/>
          <w:sz w:val="16"/>
          <w:szCs w:val="16"/>
        </w:rPr>
        <w:t xml:space="preserve"> </w:t>
      </w:r>
      <w:r w:rsidRPr="001003BB">
        <w:rPr>
          <w:rFonts w:eastAsia="Calibri" w:cs="Arial"/>
          <w:iCs/>
          <w:sz w:val="16"/>
          <w:szCs w:val="16"/>
          <w:lang w:eastAsia="en-US"/>
        </w:rPr>
        <w:t xml:space="preserve">Naturální sociální transfery (D.63) zahrnují </w:t>
      </w:r>
      <w:r>
        <w:rPr>
          <w:rFonts w:eastAsia="Calibri" w:cs="Arial"/>
          <w:iCs/>
          <w:sz w:val="16"/>
          <w:szCs w:val="16"/>
          <w:lang w:eastAsia="en-US"/>
        </w:rPr>
        <w:t xml:space="preserve">hodnotu individuálních služeb a zboží poskytnutých vládními institucemi a neziskovými institucemi sloužícími domácnostem (NISD) a také </w:t>
      </w:r>
      <w:r w:rsidRPr="001003BB">
        <w:rPr>
          <w:rFonts w:eastAsia="Calibri" w:cs="Arial"/>
          <w:iCs/>
          <w:sz w:val="16"/>
          <w:szCs w:val="16"/>
          <w:lang w:eastAsia="en-US"/>
        </w:rPr>
        <w:t>věcné dávky</w:t>
      </w:r>
      <w:r>
        <w:rPr>
          <w:rFonts w:eastAsia="Calibri" w:cs="Arial"/>
          <w:iCs/>
          <w:sz w:val="16"/>
          <w:szCs w:val="16"/>
          <w:lang w:eastAsia="en-US"/>
        </w:rPr>
        <w:t xml:space="preserve"> </w:t>
      </w:r>
      <w:r w:rsidRPr="001003BB">
        <w:rPr>
          <w:rFonts w:eastAsia="Calibri" w:cs="Arial"/>
          <w:iCs/>
          <w:sz w:val="16"/>
          <w:szCs w:val="16"/>
          <w:lang w:eastAsia="en-US"/>
        </w:rPr>
        <w:t>poskytované obcemi (včetně refundací schválených výdajů</w:t>
      </w:r>
      <w:r>
        <w:rPr>
          <w:rFonts w:eastAsia="Calibri" w:cs="Arial"/>
          <w:iCs/>
          <w:sz w:val="16"/>
          <w:szCs w:val="16"/>
          <w:lang w:eastAsia="en-US"/>
        </w:rPr>
        <w:t xml:space="preserve"> </w:t>
      </w:r>
      <w:r w:rsidRPr="001003BB">
        <w:rPr>
          <w:rFonts w:eastAsia="Calibri" w:cs="Arial"/>
          <w:iCs/>
          <w:sz w:val="16"/>
          <w:szCs w:val="16"/>
          <w:lang w:eastAsia="en-US"/>
        </w:rPr>
        <w:t>domácností za určité druhy výrobků a</w:t>
      </w:r>
      <w:r>
        <w:rPr>
          <w:rFonts w:eastAsia="Calibri" w:cs="Arial"/>
          <w:iCs/>
          <w:sz w:val="16"/>
          <w:szCs w:val="16"/>
          <w:lang w:eastAsia="en-US"/>
        </w:rPr>
        <w:t> </w:t>
      </w:r>
      <w:r w:rsidRPr="001003BB">
        <w:rPr>
          <w:rFonts w:eastAsia="Calibri" w:cs="Arial"/>
          <w:iCs/>
          <w:sz w:val="16"/>
          <w:szCs w:val="16"/>
          <w:lang w:eastAsia="en-US"/>
        </w:rPr>
        <w:t>služeb) a</w:t>
      </w:r>
      <w:r>
        <w:rPr>
          <w:rFonts w:eastAsia="Calibri" w:cs="Arial"/>
          <w:iCs/>
          <w:sz w:val="16"/>
          <w:szCs w:val="16"/>
          <w:lang w:eastAsia="en-US"/>
        </w:rPr>
        <w:t> </w:t>
      </w:r>
      <w:r w:rsidRPr="001003BB">
        <w:rPr>
          <w:rFonts w:eastAsia="Calibri" w:cs="Arial"/>
          <w:iCs/>
          <w:sz w:val="16"/>
          <w:szCs w:val="16"/>
          <w:lang w:eastAsia="en-US"/>
        </w:rPr>
        <w:t>veškeré hodnoty netržních služeb vládních institucí a</w:t>
      </w:r>
      <w:r>
        <w:rPr>
          <w:rFonts w:eastAsia="Calibri" w:cs="Arial"/>
          <w:iCs/>
          <w:sz w:val="16"/>
          <w:szCs w:val="16"/>
          <w:lang w:eastAsia="en-US"/>
        </w:rPr>
        <w:t> </w:t>
      </w:r>
      <w:r w:rsidRPr="001003BB">
        <w:rPr>
          <w:rFonts w:eastAsia="Calibri" w:cs="Arial"/>
          <w:iCs/>
          <w:sz w:val="16"/>
          <w:szCs w:val="16"/>
          <w:lang w:eastAsia="en-US"/>
        </w:rPr>
        <w:t>NISD poskytnutých pro</w:t>
      </w:r>
      <w:r>
        <w:rPr>
          <w:rFonts w:eastAsia="Calibri" w:cs="Arial"/>
          <w:iCs/>
          <w:sz w:val="16"/>
          <w:szCs w:val="16"/>
          <w:lang w:eastAsia="en-US"/>
        </w:rPr>
        <w:t xml:space="preserve"> </w:t>
      </w:r>
      <w:r w:rsidRPr="001003BB">
        <w:rPr>
          <w:rFonts w:eastAsia="Calibri" w:cs="Arial"/>
          <w:iCs/>
          <w:sz w:val="16"/>
          <w:szCs w:val="16"/>
          <w:lang w:eastAsia="en-US"/>
        </w:rPr>
        <w:t>individuální spotřebu.</w:t>
      </w:r>
      <w:r>
        <w:rPr>
          <w:rFonts w:eastAsia="Calibri" w:cs="Arial"/>
          <w:iCs/>
          <w:sz w:val="16"/>
          <w:szCs w:val="16"/>
          <w:lang w:eastAsia="en-US"/>
        </w:rPr>
        <w:t xml:space="preserve"> </w:t>
      </w:r>
      <w:r w:rsidRPr="001003BB">
        <w:rPr>
          <w:rFonts w:eastAsia="Calibri" w:cs="Arial"/>
          <w:bCs/>
          <w:iCs/>
          <w:sz w:val="16"/>
          <w:szCs w:val="16"/>
          <w:lang w:eastAsia="en-US"/>
        </w:rPr>
        <w:t>Individuální služby a</w:t>
      </w:r>
      <w:r>
        <w:rPr>
          <w:rFonts w:eastAsia="Calibri" w:cs="Arial"/>
          <w:bCs/>
          <w:iCs/>
          <w:sz w:val="16"/>
          <w:szCs w:val="16"/>
          <w:lang w:eastAsia="en-US"/>
        </w:rPr>
        <w:t> </w:t>
      </w:r>
      <w:r w:rsidRPr="001003BB">
        <w:rPr>
          <w:rFonts w:eastAsia="Calibri" w:cs="Arial"/>
          <w:bCs/>
          <w:iCs/>
          <w:sz w:val="16"/>
          <w:szCs w:val="16"/>
          <w:lang w:eastAsia="en-US"/>
        </w:rPr>
        <w:t>zboží poskytnuté domácnostem vládními institucemi a</w:t>
      </w:r>
      <w:r>
        <w:rPr>
          <w:rFonts w:eastAsia="Calibri" w:cs="Arial"/>
          <w:bCs/>
          <w:iCs/>
          <w:sz w:val="16"/>
          <w:szCs w:val="16"/>
          <w:lang w:eastAsia="en-US"/>
        </w:rPr>
        <w:t> </w:t>
      </w:r>
      <w:r w:rsidRPr="001003BB">
        <w:rPr>
          <w:rFonts w:eastAsia="Calibri" w:cs="Arial"/>
          <w:bCs/>
          <w:iCs/>
          <w:sz w:val="16"/>
          <w:szCs w:val="16"/>
          <w:lang w:eastAsia="en-US"/>
        </w:rPr>
        <w:t>neziskovými institucemi</w:t>
      </w:r>
      <w:r>
        <w:rPr>
          <w:rFonts w:eastAsia="Calibri" w:cs="Arial"/>
          <w:bCs/>
          <w:iCs/>
          <w:sz w:val="16"/>
          <w:szCs w:val="16"/>
          <w:lang w:eastAsia="en-US"/>
        </w:rPr>
        <w:t xml:space="preserve"> </w:t>
      </w:r>
      <w:r w:rsidRPr="001003BB">
        <w:rPr>
          <w:rFonts w:eastAsia="Calibri" w:cs="Arial"/>
          <w:bCs/>
          <w:iCs/>
          <w:sz w:val="16"/>
          <w:szCs w:val="16"/>
          <w:lang w:eastAsia="en-US"/>
        </w:rPr>
        <w:t>sloužícími</w:t>
      </w:r>
      <w:r>
        <w:rPr>
          <w:rFonts w:eastAsia="Calibri" w:cs="Arial"/>
          <w:bCs/>
          <w:iCs/>
          <w:sz w:val="16"/>
          <w:szCs w:val="16"/>
          <w:lang w:eastAsia="en-US"/>
        </w:rPr>
        <w:t xml:space="preserve"> </w:t>
      </w:r>
      <w:r w:rsidRPr="001003BB">
        <w:rPr>
          <w:rFonts w:eastAsia="Calibri" w:cs="Arial"/>
          <w:bCs/>
          <w:iCs/>
          <w:sz w:val="16"/>
          <w:szCs w:val="16"/>
          <w:lang w:eastAsia="en-US"/>
        </w:rPr>
        <w:t xml:space="preserve">domácnostem </w:t>
      </w:r>
      <w:r w:rsidRPr="001003BB">
        <w:rPr>
          <w:rFonts w:eastAsia="Calibri" w:cs="Arial"/>
          <w:iCs/>
          <w:sz w:val="16"/>
          <w:szCs w:val="16"/>
          <w:lang w:eastAsia="en-US"/>
        </w:rPr>
        <w:t>představují hodnotu výrobků a</w:t>
      </w:r>
      <w:r>
        <w:rPr>
          <w:rFonts w:eastAsia="Calibri" w:cs="Arial"/>
          <w:iCs/>
          <w:sz w:val="16"/>
          <w:szCs w:val="16"/>
          <w:lang w:eastAsia="en-US"/>
        </w:rPr>
        <w:t> </w:t>
      </w:r>
      <w:r w:rsidRPr="001003BB">
        <w:rPr>
          <w:rFonts w:eastAsia="Calibri" w:cs="Arial"/>
          <w:iCs/>
          <w:sz w:val="16"/>
          <w:szCs w:val="16"/>
          <w:lang w:eastAsia="en-US"/>
        </w:rPr>
        <w:t>služeb poskytnutých ve formě zdravotní a</w:t>
      </w:r>
      <w:r>
        <w:rPr>
          <w:rFonts w:eastAsia="Calibri" w:cs="Arial"/>
          <w:iCs/>
          <w:sz w:val="16"/>
          <w:szCs w:val="16"/>
          <w:lang w:eastAsia="en-US"/>
        </w:rPr>
        <w:t> </w:t>
      </w:r>
      <w:r w:rsidRPr="001003BB">
        <w:rPr>
          <w:rFonts w:eastAsia="Calibri" w:cs="Arial"/>
          <w:iCs/>
          <w:sz w:val="16"/>
          <w:szCs w:val="16"/>
          <w:lang w:eastAsia="en-US"/>
        </w:rPr>
        <w:t>sociální péče, vzdělání, bydlení</w:t>
      </w:r>
      <w:r>
        <w:rPr>
          <w:rFonts w:eastAsia="Calibri" w:cs="Arial"/>
          <w:iCs/>
          <w:sz w:val="16"/>
          <w:szCs w:val="16"/>
          <w:lang w:eastAsia="en-US"/>
        </w:rPr>
        <w:t> </w:t>
      </w:r>
      <w:r w:rsidRPr="001003BB">
        <w:rPr>
          <w:rFonts w:eastAsia="Calibri" w:cs="Arial"/>
          <w:iCs/>
          <w:sz w:val="16"/>
          <w:szCs w:val="16"/>
          <w:lang w:eastAsia="en-US"/>
        </w:rPr>
        <w:t>apod. Jsou to</w:t>
      </w:r>
      <w:r>
        <w:rPr>
          <w:rFonts w:eastAsia="Calibri" w:cs="Arial"/>
          <w:iCs/>
          <w:sz w:val="16"/>
          <w:szCs w:val="16"/>
          <w:lang w:eastAsia="en-US"/>
        </w:rPr>
        <w:t xml:space="preserve"> </w:t>
      </w:r>
      <w:r w:rsidRPr="001003BB">
        <w:rPr>
          <w:rFonts w:eastAsia="Calibri" w:cs="Arial"/>
          <w:iCs/>
          <w:sz w:val="16"/>
          <w:szCs w:val="16"/>
          <w:lang w:eastAsia="en-US"/>
        </w:rPr>
        <w:t>zejména naturální dávky související se zdravotním pojištěním</w:t>
      </w:r>
      <w:r>
        <w:rPr>
          <w:rFonts w:eastAsia="Calibri" w:cs="Arial"/>
          <w:iCs/>
          <w:sz w:val="16"/>
          <w:szCs w:val="16"/>
          <w:lang w:eastAsia="en-US"/>
        </w:rPr>
        <w:t xml:space="preserve"> </w:t>
      </w:r>
      <w:r w:rsidRPr="001003BB">
        <w:rPr>
          <w:rFonts w:eastAsia="Calibri" w:cs="Arial"/>
          <w:iCs/>
          <w:sz w:val="16"/>
          <w:szCs w:val="16"/>
          <w:lang w:eastAsia="en-US"/>
        </w:rPr>
        <w:t>(platby za zdravotní pomůcky, lékařské, zubní ošetření, operace</w:t>
      </w:r>
      <w:r>
        <w:rPr>
          <w:rFonts w:eastAsia="Calibri" w:cs="Arial"/>
          <w:iCs/>
          <w:sz w:val="16"/>
          <w:szCs w:val="16"/>
          <w:lang w:eastAsia="en-US"/>
        </w:rPr>
        <w:t> </w:t>
      </w:r>
      <w:r w:rsidRPr="001003BB">
        <w:rPr>
          <w:rFonts w:eastAsia="Calibri" w:cs="Arial"/>
          <w:iCs/>
          <w:sz w:val="16"/>
          <w:szCs w:val="16"/>
          <w:lang w:eastAsia="en-US"/>
        </w:rPr>
        <w:t>apod.)</w:t>
      </w:r>
      <w:r>
        <w:rPr>
          <w:rFonts w:eastAsia="Calibri" w:cs="Arial"/>
          <w:iCs/>
          <w:sz w:val="16"/>
          <w:szCs w:val="16"/>
          <w:lang w:eastAsia="en-US"/>
        </w:rPr>
        <w:t xml:space="preserve"> </w:t>
      </w:r>
      <w:r w:rsidRPr="001003BB">
        <w:rPr>
          <w:rFonts w:eastAsia="Calibri" w:cs="Arial"/>
          <w:iCs/>
          <w:sz w:val="16"/>
          <w:szCs w:val="16"/>
          <w:lang w:eastAsia="en-US"/>
        </w:rPr>
        <w:t>hrazené zdravotními pojišťovnami</w:t>
      </w:r>
      <w:r>
        <w:rPr>
          <w:rFonts w:eastAsia="Calibri" w:cs="Arial"/>
          <w:iCs/>
          <w:sz w:val="16"/>
          <w:szCs w:val="16"/>
          <w:lang w:eastAsia="en-US"/>
        </w:rPr>
        <w:t xml:space="preserve"> </w:t>
      </w:r>
      <w:r w:rsidRPr="001003BB">
        <w:rPr>
          <w:rFonts w:eastAsia="Calibri" w:cs="Arial"/>
          <w:iCs/>
          <w:sz w:val="16"/>
          <w:szCs w:val="16"/>
          <w:lang w:eastAsia="en-US"/>
        </w:rPr>
        <w:t>těm, kdo toto zboží a</w:t>
      </w:r>
      <w:r>
        <w:rPr>
          <w:rFonts w:eastAsia="Calibri" w:cs="Arial"/>
          <w:iCs/>
          <w:sz w:val="16"/>
          <w:szCs w:val="16"/>
          <w:lang w:eastAsia="en-US"/>
        </w:rPr>
        <w:t> </w:t>
      </w:r>
      <w:r w:rsidRPr="001003BB">
        <w:rPr>
          <w:rFonts w:eastAsia="Calibri" w:cs="Arial"/>
          <w:iCs/>
          <w:sz w:val="16"/>
          <w:szCs w:val="16"/>
          <w:lang w:eastAsia="en-US"/>
        </w:rPr>
        <w:t>služby poskytují.</w:t>
      </w:r>
    </w:p>
  </w:footnote>
  <w:footnote w:id="14">
    <w:p w14:paraId="2B8B8774" w14:textId="77777777" w:rsidR="003474B6" w:rsidRPr="00463D3C" w:rsidRDefault="003474B6">
      <w:pPr>
        <w:pStyle w:val="Textpoznpodarou"/>
        <w:rPr>
          <w:sz w:val="16"/>
          <w:szCs w:val="16"/>
        </w:rPr>
      </w:pPr>
      <w:r w:rsidRPr="00463D3C">
        <w:rPr>
          <w:rStyle w:val="Znakapoznpodarou"/>
          <w:sz w:val="16"/>
          <w:szCs w:val="16"/>
        </w:rPr>
        <w:footnoteRef/>
      </w:r>
      <w:r w:rsidRPr="00463D3C">
        <w:rPr>
          <w:sz w:val="16"/>
          <w:szCs w:val="16"/>
        </w:rPr>
        <w:t xml:space="preserve"> </w:t>
      </w:r>
      <w:r>
        <w:rPr>
          <w:sz w:val="16"/>
          <w:szCs w:val="16"/>
        </w:rPr>
        <w:t>U</w:t>
      </w:r>
      <w:r w:rsidRPr="00463D3C">
        <w:rPr>
          <w:sz w:val="16"/>
          <w:szCs w:val="16"/>
        </w:rPr>
        <w:t>praveno deflátorem výdajů na konečnou spotřebu domácností za rok 2019</w:t>
      </w:r>
      <w:r>
        <w:rPr>
          <w:sz w:val="16"/>
          <w:szCs w:val="16"/>
        </w:rPr>
        <w:t>.</w:t>
      </w:r>
    </w:p>
  </w:footnote>
  <w:footnote w:id="15">
    <w:p w14:paraId="0B9AC1DC" w14:textId="77777777" w:rsidR="003474B6" w:rsidRPr="00457568" w:rsidRDefault="003474B6" w:rsidP="00C715CC">
      <w:pPr>
        <w:pStyle w:val="Textpoznpodarou"/>
        <w:rPr>
          <w:sz w:val="16"/>
          <w:szCs w:val="16"/>
        </w:rPr>
      </w:pPr>
      <w:r w:rsidRPr="00457568">
        <w:rPr>
          <w:rStyle w:val="Znakapoznpodarou"/>
          <w:sz w:val="16"/>
          <w:szCs w:val="16"/>
        </w:rPr>
        <w:footnoteRef/>
      </w:r>
      <w:r w:rsidRPr="00457568">
        <w:rPr>
          <w:sz w:val="16"/>
          <w:szCs w:val="16"/>
        </w:rPr>
        <w:t xml:space="preserve"> </w:t>
      </w:r>
      <w:r>
        <w:rPr>
          <w:sz w:val="16"/>
          <w:szCs w:val="16"/>
        </w:rPr>
        <w:t>Ve 4. čtvrtletí dosáhla změna zásob +19,9 mld. korun, což je o 16,2 mld. více než ve stejném období předchozího roku. Mezičtvrtletní srovnání rovněž ukazuje, že změna zásob podstatně podpořila nárůst výdajů na tvorbu hrubého kapitálu.</w:t>
      </w:r>
    </w:p>
  </w:footnote>
  <w:footnote w:id="16">
    <w:p w14:paraId="4B0BCCE5" w14:textId="77777777" w:rsidR="003474B6" w:rsidRPr="00D20875" w:rsidRDefault="003474B6" w:rsidP="00C715CC">
      <w:pPr>
        <w:autoSpaceDE w:val="0"/>
        <w:autoSpaceDN w:val="0"/>
        <w:adjustRightInd w:val="0"/>
        <w:spacing w:after="0" w:line="240" w:lineRule="auto"/>
        <w:jc w:val="left"/>
        <w:rPr>
          <w:rFonts w:cs="Arial"/>
          <w:sz w:val="16"/>
          <w:szCs w:val="16"/>
        </w:rPr>
      </w:pPr>
      <w:r w:rsidRPr="00D20875">
        <w:rPr>
          <w:rStyle w:val="Znakapoznpodarou"/>
          <w:rFonts w:cs="Arial"/>
          <w:sz w:val="16"/>
          <w:szCs w:val="16"/>
        </w:rPr>
        <w:footnoteRef/>
      </w:r>
      <w:r w:rsidRPr="00D20875">
        <w:rPr>
          <w:rFonts w:cs="Arial"/>
          <w:sz w:val="16"/>
          <w:szCs w:val="16"/>
        </w:rPr>
        <w:t xml:space="preserve"> </w:t>
      </w:r>
      <w:r w:rsidRPr="00D20875">
        <w:rPr>
          <w:rFonts w:eastAsia="Calibri" w:cs="Arial"/>
          <w:bCs/>
          <w:iCs/>
          <w:sz w:val="16"/>
          <w:szCs w:val="16"/>
          <w:lang w:eastAsia="en-US"/>
        </w:rPr>
        <w:t xml:space="preserve">Míra investic nefinančních podniků </w:t>
      </w:r>
      <w:r w:rsidRPr="00D20875">
        <w:rPr>
          <w:rFonts w:eastAsia="Calibri" w:cs="Arial"/>
          <w:iCs/>
          <w:sz w:val="16"/>
          <w:szCs w:val="16"/>
          <w:lang w:eastAsia="en-US"/>
        </w:rPr>
        <w:t>je definována jako podíl hrubé tvorby fixního kapitálu k</w:t>
      </w:r>
      <w:r>
        <w:rPr>
          <w:rFonts w:eastAsia="Calibri" w:cs="Arial"/>
          <w:iCs/>
          <w:sz w:val="16"/>
          <w:szCs w:val="16"/>
          <w:lang w:eastAsia="en-US"/>
        </w:rPr>
        <w:t> </w:t>
      </w:r>
      <w:r w:rsidRPr="00D20875">
        <w:rPr>
          <w:rFonts w:eastAsia="Calibri" w:cs="Arial"/>
          <w:iCs/>
          <w:sz w:val="16"/>
          <w:szCs w:val="16"/>
          <w:lang w:eastAsia="en-US"/>
        </w:rPr>
        <w:t>hrubé přidané</w:t>
      </w:r>
      <w:r>
        <w:rPr>
          <w:rFonts w:eastAsia="Calibri" w:cs="Arial"/>
          <w:iCs/>
          <w:sz w:val="16"/>
          <w:szCs w:val="16"/>
          <w:lang w:eastAsia="en-US"/>
        </w:rPr>
        <w:t xml:space="preserve"> </w:t>
      </w:r>
      <w:r w:rsidRPr="00D20875">
        <w:rPr>
          <w:rFonts w:eastAsia="Calibri" w:cs="Arial"/>
          <w:iCs/>
          <w:sz w:val="16"/>
          <w:szCs w:val="16"/>
          <w:lang w:eastAsia="en-US"/>
        </w:rPr>
        <w:t>hodnotě (P.51g/B.1g). Tento ukazatel vyjadřuje podíl investic do nefinančních aktiv (budovy, stroje</w:t>
      </w:r>
      <w:r>
        <w:rPr>
          <w:rFonts w:eastAsia="Calibri" w:cs="Arial"/>
          <w:iCs/>
          <w:sz w:val="16"/>
          <w:szCs w:val="16"/>
          <w:lang w:eastAsia="en-US"/>
        </w:rPr>
        <w:t> </w:t>
      </w:r>
      <w:r w:rsidRPr="00D20875">
        <w:rPr>
          <w:rFonts w:eastAsia="Calibri" w:cs="Arial"/>
          <w:iCs/>
          <w:sz w:val="16"/>
          <w:szCs w:val="16"/>
          <w:lang w:eastAsia="en-US"/>
        </w:rPr>
        <w:t>aj.)</w:t>
      </w:r>
      <w:r>
        <w:rPr>
          <w:rFonts w:eastAsia="Calibri" w:cs="Arial"/>
          <w:iCs/>
          <w:sz w:val="16"/>
          <w:szCs w:val="16"/>
          <w:lang w:eastAsia="en-US"/>
        </w:rPr>
        <w:t xml:space="preserve"> </w:t>
      </w:r>
      <w:r w:rsidRPr="00D20875">
        <w:rPr>
          <w:rFonts w:eastAsia="Calibri" w:cs="Arial"/>
          <w:iCs/>
          <w:sz w:val="16"/>
          <w:szCs w:val="16"/>
          <w:lang w:eastAsia="en-US"/>
        </w:rPr>
        <w:t>a</w:t>
      </w:r>
      <w:r>
        <w:rPr>
          <w:rFonts w:eastAsia="Calibri" w:cs="Arial"/>
          <w:iCs/>
          <w:sz w:val="16"/>
          <w:szCs w:val="16"/>
          <w:lang w:eastAsia="en-US"/>
        </w:rPr>
        <w:t> </w:t>
      </w:r>
      <w:r w:rsidRPr="00D20875">
        <w:rPr>
          <w:rFonts w:eastAsia="Calibri" w:cs="Arial"/>
          <w:iCs/>
          <w:sz w:val="16"/>
          <w:szCs w:val="16"/>
          <w:lang w:eastAsia="en-US"/>
        </w:rPr>
        <w:t>hodnoty vytvořené v</w:t>
      </w:r>
      <w:r>
        <w:rPr>
          <w:rFonts w:eastAsia="Calibri" w:cs="Arial"/>
          <w:iCs/>
          <w:sz w:val="16"/>
          <w:szCs w:val="16"/>
          <w:lang w:eastAsia="en-US"/>
        </w:rPr>
        <w:t> </w:t>
      </w:r>
      <w:r w:rsidRPr="00D20875">
        <w:rPr>
          <w:rFonts w:eastAsia="Calibri" w:cs="Arial"/>
          <w:iCs/>
          <w:sz w:val="16"/>
          <w:szCs w:val="16"/>
          <w:lang w:eastAsia="en-US"/>
        </w:rPr>
        <w:t>průběhu výrobního procesu.</w:t>
      </w:r>
    </w:p>
  </w:footnote>
  <w:footnote w:id="17">
    <w:p w14:paraId="1EC03AF8" w14:textId="77777777" w:rsidR="003474B6" w:rsidRPr="00D20875" w:rsidRDefault="003474B6" w:rsidP="00C715CC">
      <w:pPr>
        <w:autoSpaceDE w:val="0"/>
        <w:autoSpaceDN w:val="0"/>
        <w:adjustRightInd w:val="0"/>
        <w:spacing w:after="0" w:line="240" w:lineRule="auto"/>
        <w:jc w:val="left"/>
        <w:rPr>
          <w:rFonts w:cs="Arial"/>
          <w:sz w:val="16"/>
          <w:szCs w:val="16"/>
        </w:rPr>
      </w:pPr>
      <w:r w:rsidRPr="00D20875">
        <w:rPr>
          <w:rStyle w:val="Znakapoznpodarou"/>
          <w:rFonts w:cs="Arial"/>
          <w:sz w:val="16"/>
          <w:szCs w:val="16"/>
        </w:rPr>
        <w:footnoteRef/>
      </w:r>
      <w:r w:rsidRPr="00D20875">
        <w:rPr>
          <w:rFonts w:cs="Arial"/>
          <w:sz w:val="16"/>
          <w:szCs w:val="16"/>
        </w:rPr>
        <w:t xml:space="preserve"> </w:t>
      </w:r>
      <w:r w:rsidRPr="00D20875">
        <w:rPr>
          <w:rFonts w:eastAsia="Calibri" w:cs="Arial"/>
          <w:bCs/>
          <w:iCs/>
          <w:sz w:val="16"/>
          <w:szCs w:val="16"/>
          <w:lang w:eastAsia="en-US"/>
        </w:rPr>
        <w:t xml:space="preserve">Míra investic domácností </w:t>
      </w:r>
      <w:r w:rsidRPr="00D20875">
        <w:rPr>
          <w:rFonts w:eastAsia="Calibri" w:cs="Arial"/>
          <w:iCs/>
          <w:sz w:val="16"/>
          <w:szCs w:val="16"/>
          <w:lang w:eastAsia="en-US"/>
        </w:rPr>
        <w:t>je definována jako podíl hrubé tvorby fixního kapitálu k hrubému disponibilnímu důchodu se zahrnutím úpravy o</w:t>
      </w:r>
      <w:r>
        <w:rPr>
          <w:rFonts w:eastAsia="Calibri" w:cs="Arial"/>
          <w:iCs/>
          <w:sz w:val="16"/>
          <w:szCs w:val="16"/>
          <w:lang w:eastAsia="en-US"/>
        </w:rPr>
        <w:t> </w:t>
      </w:r>
      <w:r w:rsidRPr="00D20875">
        <w:rPr>
          <w:rFonts w:eastAsia="Calibri" w:cs="Arial"/>
          <w:iCs/>
          <w:sz w:val="16"/>
          <w:szCs w:val="16"/>
          <w:lang w:eastAsia="en-US"/>
        </w:rPr>
        <w:t>čistý podíl domácností na rezervách penzijních fondů (P.51g/</w:t>
      </w:r>
      <w:r>
        <w:rPr>
          <w:rFonts w:eastAsia="Calibri" w:cs="Arial"/>
          <w:iCs/>
          <w:sz w:val="16"/>
          <w:szCs w:val="16"/>
          <w:lang w:eastAsia="en-US"/>
        </w:rPr>
        <w:t>(</w:t>
      </w:r>
      <w:r w:rsidRPr="00D20875">
        <w:rPr>
          <w:rFonts w:eastAsia="Calibri" w:cs="Arial"/>
          <w:iCs/>
          <w:sz w:val="16"/>
          <w:szCs w:val="16"/>
          <w:lang w:eastAsia="en-US"/>
        </w:rPr>
        <w:t>B.6g</w:t>
      </w:r>
      <w:r>
        <w:rPr>
          <w:rFonts w:eastAsia="Calibri" w:cs="Arial"/>
          <w:iCs/>
          <w:sz w:val="16"/>
          <w:szCs w:val="16"/>
          <w:lang w:eastAsia="en-US"/>
        </w:rPr>
        <w:t>+</w:t>
      </w:r>
      <w:r w:rsidRPr="00D20875">
        <w:rPr>
          <w:rFonts w:eastAsia="Calibri" w:cs="Arial"/>
          <w:iCs/>
          <w:sz w:val="16"/>
          <w:szCs w:val="16"/>
          <w:lang w:eastAsia="en-US"/>
        </w:rPr>
        <w:t>D.8</w:t>
      </w:r>
      <w:r>
        <w:rPr>
          <w:rFonts w:eastAsia="Calibri" w:cs="Arial"/>
          <w:iCs/>
          <w:sz w:val="16"/>
          <w:szCs w:val="16"/>
          <w:lang w:eastAsia="en-US"/>
        </w:rPr>
        <w:t>)</w:t>
      </w:r>
      <w:r w:rsidRPr="00D20875">
        <w:rPr>
          <w:rFonts w:eastAsia="Calibri" w:cs="Arial"/>
          <w:iCs/>
          <w:sz w:val="16"/>
          <w:szCs w:val="16"/>
          <w:lang w:eastAsia="en-US"/>
        </w:rPr>
        <w:t>).</w:t>
      </w:r>
    </w:p>
  </w:footnote>
  <w:footnote w:id="18">
    <w:p w14:paraId="50A7837A" w14:textId="77777777" w:rsidR="003474B6" w:rsidRPr="0021552C" w:rsidRDefault="003474B6" w:rsidP="00C715CC">
      <w:pPr>
        <w:pStyle w:val="Textpoznpodarou"/>
        <w:rPr>
          <w:sz w:val="16"/>
          <w:szCs w:val="16"/>
        </w:rPr>
      </w:pPr>
      <w:r w:rsidRPr="0021552C">
        <w:rPr>
          <w:rStyle w:val="Znakapoznpodarou"/>
          <w:sz w:val="16"/>
          <w:szCs w:val="16"/>
        </w:rPr>
        <w:footnoteRef/>
      </w:r>
      <w:r w:rsidRPr="0021552C">
        <w:rPr>
          <w:sz w:val="16"/>
          <w:szCs w:val="16"/>
        </w:rPr>
        <w:t xml:space="preserve"> </w:t>
      </w:r>
      <w:r>
        <w:rPr>
          <w:rFonts w:cs="Arial"/>
          <w:sz w:val="16"/>
          <w:szCs w:val="16"/>
        </w:rPr>
        <w:t>D</w:t>
      </w:r>
      <w:r w:rsidRPr="0021552C">
        <w:rPr>
          <w:rFonts w:cs="Arial"/>
          <w:sz w:val="16"/>
          <w:szCs w:val="16"/>
        </w:rPr>
        <w:t>ata o</w:t>
      </w:r>
      <w:r>
        <w:rPr>
          <w:rFonts w:cs="Arial"/>
          <w:sz w:val="16"/>
          <w:szCs w:val="16"/>
        </w:rPr>
        <w:t> </w:t>
      </w:r>
      <w:r w:rsidRPr="0021552C">
        <w:rPr>
          <w:rFonts w:cs="Arial"/>
          <w:sz w:val="16"/>
          <w:szCs w:val="16"/>
        </w:rPr>
        <w:t xml:space="preserve">věcném členění tvorby </w:t>
      </w:r>
      <w:r>
        <w:rPr>
          <w:rFonts w:cs="Arial"/>
          <w:sz w:val="16"/>
          <w:szCs w:val="16"/>
        </w:rPr>
        <w:t>hrubého fixního kapitálu</w:t>
      </w:r>
      <w:r w:rsidRPr="0021552C">
        <w:rPr>
          <w:rFonts w:cs="Arial"/>
          <w:sz w:val="16"/>
          <w:szCs w:val="16"/>
        </w:rPr>
        <w:t xml:space="preserve"> nejsou sezónně očištěna</w:t>
      </w:r>
      <w:r>
        <w:rPr>
          <w:rFonts w:cs="Arial"/>
          <w:sz w:val="16"/>
          <w:szCs w:val="16"/>
        </w:rPr>
        <w:t>.</w:t>
      </w:r>
    </w:p>
  </w:footnote>
  <w:footnote w:id="19">
    <w:p w14:paraId="11904A15" w14:textId="77777777" w:rsidR="003474B6" w:rsidRPr="00167B30" w:rsidRDefault="003474B6" w:rsidP="00C715CC">
      <w:pPr>
        <w:pStyle w:val="Textpoznpodarou"/>
        <w:rPr>
          <w:sz w:val="16"/>
          <w:szCs w:val="16"/>
        </w:rPr>
      </w:pPr>
      <w:r w:rsidRPr="00167B30">
        <w:rPr>
          <w:rStyle w:val="Znakapoznpodarou"/>
          <w:sz w:val="16"/>
          <w:szCs w:val="16"/>
        </w:rPr>
        <w:footnoteRef/>
      </w:r>
      <w:r w:rsidRPr="00167B30">
        <w:rPr>
          <w:sz w:val="16"/>
          <w:szCs w:val="16"/>
        </w:rPr>
        <w:t xml:space="preserve"> Podle metodiky čtvrtletních národních účtů (vývoz a</w:t>
      </w:r>
      <w:r>
        <w:rPr>
          <w:sz w:val="16"/>
          <w:szCs w:val="16"/>
        </w:rPr>
        <w:t> </w:t>
      </w:r>
      <w:r w:rsidRPr="00167B30">
        <w:rPr>
          <w:sz w:val="16"/>
          <w:szCs w:val="16"/>
        </w:rPr>
        <w:t>dovoz v ocenění FOB/FOB)</w:t>
      </w:r>
      <w:r>
        <w:rPr>
          <w:sz w:val="16"/>
          <w:szCs w:val="16"/>
        </w:rPr>
        <w:t>.</w:t>
      </w:r>
    </w:p>
  </w:footnote>
  <w:footnote w:id="20">
    <w:p w14:paraId="2DDA7900" w14:textId="77777777" w:rsidR="003474B6" w:rsidRPr="00FB58F4" w:rsidRDefault="003474B6" w:rsidP="00C81070">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sidRPr="00FB58F4">
        <w:rPr>
          <w:rFonts w:cs="Arial"/>
          <w:color w:val="0D0D0D" w:themeColor="text1" w:themeTint="F2"/>
          <w:spacing w:val="-2"/>
          <w:sz w:val="16"/>
          <w:szCs w:val="16"/>
        </w:rPr>
        <w:t xml:space="preserve"> Údaje o</w:t>
      </w:r>
      <w:r>
        <w:rPr>
          <w:rFonts w:cs="Arial"/>
          <w:color w:val="0D0D0D" w:themeColor="text1" w:themeTint="F2"/>
          <w:spacing w:val="-2"/>
          <w:sz w:val="16"/>
          <w:szCs w:val="16"/>
        </w:rPr>
        <w:t> </w:t>
      </w:r>
      <w:r w:rsidRPr="00FB58F4">
        <w:rPr>
          <w:rFonts w:cs="Arial"/>
          <w:color w:val="0D0D0D" w:themeColor="text1" w:themeTint="F2"/>
          <w:spacing w:val="-2"/>
          <w:sz w:val="16"/>
          <w:szCs w:val="16"/>
        </w:rPr>
        <w:t>HPH jsou vyjádřeny ve stálých cenách a</w:t>
      </w:r>
      <w:r>
        <w:rPr>
          <w:rFonts w:cs="Arial"/>
          <w:color w:val="0D0D0D" w:themeColor="text1" w:themeTint="F2"/>
          <w:spacing w:val="-2"/>
          <w:sz w:val="16"/>
          <w:szCs w:val="16"/>
        </w:rPr>
        <w:t> </w:t>
      </w:r>
      <w:r w:rsidRPr="00FB58F4">
        <w:rPr>
          <w:rFonts w:cs="Arial"/>
          <w:color w:val="0D0D0D" w:themeColor="text1" w:themeTint="F2"/>
          <w:spacing w:val="-2"/>
          <w:sz w:val="16"/>
          <w:szCs w:val="16"/>
        </w:rPr>
        <w:t>v očištění o</w:t>
      </w:r>
      <w:r>
        <w:rPr>
          <w:rFonts w:cs="Arial"/>
          <w:color w:val="0D0D0D" w:themeColor="text1" w:themeTint="F2"/>
          <w:spacing w:val="-2"/>
          <w:sz w:val="16"/>
          <w:szCs w:val="16"/>
        </w:rPr>
        <w:t> </w:t>
      </w:r>
      <w:r w:rsidRPr="00FB58F4">
        <w:rPr>
          <w:rFonts w:cs="Arial"/>
          <w:color w:val="0D0D0D" w:themeColor="text1" w:themeTint="F2"/>
          <w:spacing w:val="-2"/>
          <w:sz w:val="16"/>
          <w:szCs w:val="16"/>
        </w:rPr>
        <w:t>sezónní a</w:t>
      </w:r>
      <w:r>
        <w:rPr>
          <w:rFonts w:cs="Arial"/>
          <w:color w:val="0D0D0D" w:themeColor="text1" w:themeTint="F2"/>
          <w:spacing w:val="-2"/>
          <w:sz w:val="16"/>
          <w:szCs w:val="16"/>
        </w:rPr>
        <w:t> </w:t>
      </w:r>
      <w:r w:rsidRPr="00FB58F4">
        <w:rPr>
          <w:rFonts w:cs="Arial"/>
          <w:color w:val="0D0D0D" w:themeColor="text1" w:themeTint="F2"/>
          <w:spacing w:val="-2"/>
          <w:sz w:val="16"/>
          <w:szCs w:val="16"/>
        </w:rPr>
        <w:t>kalendářní vlivy.</w:t>
      </w:r>
    </w:p>
  </w:footnote>
  <w:footnote w:id="21">
    <w:p w14:paraId="3160C9E5" w14:textId="77777777" w:rsidR="003474B6" w:rsidRPr="00FB58F4" w:rsidRDefault="003474B6" w:rsidP="00C81070">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Jednalo se zejména o </w:t>
      </w:r>
      <w:r w:rsidRPr="00DF1F46">
        <w:rPr>
          <w:rFonts w:cs="Arial"/>
          <w:color w:val="0D0D0D" w:themeColor="text1" w:themeTint="F2"/>
          <w:spacing w:val="-2"/>
          <w:sz w:val="16"/>
          <w:szCs w:val="16"/>
        </w:rPr>
        <w:t>citelné zpomalení hospodářského růstu v klíčových exportních teritoriích, dále posilované narůstajícími regulačními opatřeními v mezinárodním obchodu i přetrvávající nejistotou ohledně budoucího uspořádání vztahů mezi Velkou Británií a EU</w:t>
      </w:r>
      <w:r>
        <w:rPr>
          <w:rFonts w:cs="Arial"/>
          <w:color w:val="0D0D0D" w:themeColor="text1" w:themeTint="F2"/>
          <w:spacing w:val="-2"/>
          <w:sz w:val="16"/>
          <w:szCs w:val="16"/>
        </w:rPr>
        <w:t>.</w:t>
      </w:r>
    </w:p>
  </w:footnote>
  <w:footnote w:id="22">
    <w:p w14:paraId="692E2850" w14:textId="0EB879C5" w:rsidR="003474B6" w:rsidRPr="00FB58F4" w:rsidRDefault="003474B6" w:rsidP="00C81070">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Meziroční růst celkové hrubé přidané </w:t>
      </w:r>
      <w:r w:rsidRPr="00D24386">
        <w:rPr>
          <w:rFonts w:cs="Arial"/>
          <w:color w:val="0D0D0D" w:themeColor="text1" w:themeTint="F2"/>
          <w:spacing w:val="-2"/>
          <w:sz w:val="16"/>
          <w:szCs w:val="16"/>
        </w:rPr>
        <w:t xml:space="preserve">hodnoty v těchto </w:t>
      </w:r>
      <w:r>
        <w:rPr>
          <w:rFonts w:cs="Arial"/>
          <w:color w:val="0D0D0D" w:themeColor="text1" w:themeTint="F2"/>
          <w:spacing w:val="-2"/>
          <w:sz w:val="16"/>
          <w:szCs w:val="16"/>
        </w:rPr>
        <w:t>územních celcích</w:t>
      </w:r>
      <w:r w:rsidRPr="00D24386">
        <w:rPr>
          <w:rFonts w:cs="Arial"/>
          <w:color w:val="0D0D0D" w:themeColor="text1" w:themeTint="F2"/>
          <w:spacing w:val="-2"/>
          <w:sz w:val="16"/>
          <w:szCs w:val="16"/>
        </w:rPr>
        <w:t xml:space="preserve"> výrazně zpomalov</w:t>
      </w:r>
      <w:r>
        <w:rPr>
          <w:rFonts w:cs="Arial"/>
          <w:color w:val="0D0D0D" w:themeColor="text1" w:themeTint="F2"/>
          <w:spacing w:val="-2"/>
          <w:sz w:val="16"/>
          <w:szCs w:val="16"/>
        </w:rPr>
        <w:t>al již v průběhu celého</w:t>
      </w:r>
      <w:r w:rsidRPr="00D24386">
        <w:rPr>
          <w:rFonts w:cs="Arial"/>
          <w:color w:val="0D0D0D" w:themeColor="text1" w:themeTint="F2"/>
          <w:spacing w:val="-2"/>
          <w:sz w:val="16"/>
          <w:szCs w:val="16"/>
        </w:rPr>
        <w:t xml:space="preserve"> roku</w:t>
      </w:r>
      <w:r>
        <w:rPr>
          <w:rFonts w:cs="Arial"/>
          <w:color w:val="0D0D0D" w:themeColor="text1" w:themeTint="F2"/>
          <w:spacing w:val="-2"/>
          <w:sz w:val="16"/>
          <w:szCs w:val="16"/>
        </w:rPr>
        <w:t xml:space="preserve"> 2018</w:t>
      </w:r>
      <w:r w:rsidRPr="00D24386">
        <w:rPr>
          <w:rFonts w:cs="Arial"/>
          <w:color w:val="0D0D0D" w:themeColor="text1" w:themeTint="F2"/>
          <w:spacing w:val="-2"/>
          <w:sz w:val="16"/>
          <w:szCs w:val="16"/>
        </w:rPr>
        <w:t>. V jeho poslední čtvrtině dosahoval v zemích eu</w:t>
      </w:r>
      <w:r>
        <w:rPr>
          <w:rFonts w:cs="Arial"/>
          <w:color w:val="0D0D0D" w:themeColor="text1" w:themeTint="F2"/>
          <w:spacing w:val="-2"/>
          <w:sz w:val="16"/>
          <w:szCs w:val="16"/>
        </w:rPr>
        <w:t>rozóny slabých 1,2 %, v Německu dokonce jen 0,5 %. Ve 4</w:t>
      </w:r>
      <w:r w:rsidRPr="00D24386">
        <w:rPr>
          <w:rFonts w:cs="Arial"/>
          <w:color w:val="0D0D0D" w:themeColor="text1" w:themeTint="F2"/>
          <w:spacing w:val="-2"/>
          <w:sz w:val="16"/>
          <w:szCs w:val="16"/>
        </w:rPr>
        <w:t xml:space="preserve">. čtvrtletí </w:t>
      </w:r>
      <w:r>
        <w:rPr>
          <w:rFonts w:cs="Arial"/>
          <w:color w:val="0D0D0D" w:themeColor="text1" w:themeTint="F2"/>
          <w:spacing w:val="-2"/>
          <w:sz w:val="16"/>
          <w:szCs w:val="16"/>
        </w:rPr>
        <w:t>2019 klesla obdobná tempa na 1,0</w:t>
      </w:r>
      <w:r w:rsidRPr="00D24386">
        <w:rPr>
          <w:rFonts w:cs="Arial"/>
          <w:color w:val="0D0D0D" w:themeColor="text1" w:themeTint="F2"/>
          <w:spacing w:val="-2"/>
          <w:sz w:val="16"/>
          <w:szCs w:val="16"/>
        </w:rPr>
        <w:t> %, resp. 0,3 %, horší výsledky se naposledy projevily v roce 2013.</w:t>
      </w:r>
    </w:p>
  </w:footnote>
  <w:footnote w:id="23">
    <w:p w14:paraId="2ACD61E6" w14:textId="56243456" w:rsidR="003474B6" w:rsidRPr="00FB58F4" w:rsidRDefault="003474B6" w:rsidP="00C81070">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To platilo i o nezpracovatelských průmyslových oborech, v nichž HPH dosahovala loni jen tří pětin úrovně z roku 2008 (hlavně vlivem propadu výkonů v těžbě uhlí). </w:t>
      </w:r>
    </w:p>
  </w:footnote>
  <w:footnote w:id="24">
    <w:p w14:paraId="2431906B" w14:textId="77777777" w:rsidR="003474B6" w:rsidRPr="00FB58F4" w:rsidRDefault="003474B6" w:rsidP="00C81070">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Zahrnuje odvětví</w:t>
      </w:r>
      <w:r w:rsidRPr="00FB58F4">
        <w:rPr>
          <w:rFonts w:cs="Arial"/>
          <w:color w:val="0D0D0D" w:themeColor="text1" w:themeTint="F2"/>
          <w:spacing w:val="-2"/>
          <w:sz w:val="16"/>
          <w:szCs w:val="16"/>
        </w:rPr>
        <w:t xml:space="preserve"> </w:t>
      </w:r>
      <w:r>
        <w:rPr>
          <w:rFonts w:cs="Arial"/>
          <w:color w:val="0D0D0D" w:themeColor="text1" w:themeTint="F2"/>
          <w:spacing w:val="-2"/>
          <w:sz w:val="16"/>
          <w:szCs w:val="16"/>
        </w:rPr>
        <w:t>těžby</w:t>
      </w:r>
      <w:r w:rsidRPr="00FB58F4">
        <w:rPr>
          <w:rFonts w:cs="Arial"/>
          <w:color w:val="0D0D0D" w:themeColor="text1" w:themeTint="F2"/>
          <w:spacing w:val="-2"/>
          <w:sz w:val="16"/>
          <w:szCs w:val="16"/>
        </w:rPr>
        <w:t xml:space="preserve"> a</w:t>
      </w:r>
      <w:r>
        <w:rPr>
          <w:rFonts w:cs="Arial"/>
          <w:color w:val="0D0D0D" w:themeColor="text1" w:themeTint="F2"/>
          <w:spacing w:val="-2"/>
          <w:sz w:val="16"/>
          <w:szCs w:val="16"/>
        </w:rPr>
        <w:t> </w:t>
      </w:r>
      <w:r w:rsidRPr="00FB58F4">
        <w:rPr>
          <w:rFonts w:cs="Arial"/>
          <w:color w:val="0D0D0D" w:themeColor="text1" w:themeTint="F2"/>
          <w:spacing w:val="-2"/>
          <w:sz w:val="16"/>
          <w:szCs w:val="16"/>
        </w:rPr>
        <w:t xml:space="preserve">dobývání, </w:t>
      </w:r>
      <w:r>
        <w:rPr>
          <w:rFonts w:cs="Arial"/>
          <w:color w:val="0D0D0D" w:themeColor="text1" w:themeTint="F2"/>
          <w:spacing w:val="-2"/>
          <w:sz w:val="16"/>
          <w:szCs w:val="16"/>
        </w:rPr>
        <w:t>zpracovatelského průmyslu a také</w:t>
      </w:r>
      <w:r w:rsidRPr="00FB58F4">
        <w:rPr>
          <w:rFonts w:cs="Arial"/>
          <w:color w:val="0D0D0D" w:themeColor="text1" w:themeTint="F2"/>
          <w:spacing w:val="-2"/>
          <w:sz w:val="16"/>
          <w:szCs w:val="16"/>
        </w:rPr>
        <w:t xml:space="preserve"> </w:t>
      </w:r>
      <w:r>
        <w:rPr>
          <w:rFonts w:cs="Arial"/>
          <w:color w:val="0D0D0D" w:themeColor="text1" w:themeTint="F2"/>
          <w:spacing w:val="-2"/>
          <w:sz w:val="16"/>
          <w:szCs w:val="16"/>
        </w:rPr>
        <w:t>energetiky (zde pojímané jako odvětví výroby a rozvodu elektřiny, plynu, tepla a klimatizovaného vzduchu).</w:t>
      </w:r>
      <w:r w:rsidRPr="00FB58F4">
        <w:rPr>
          <w:rFonts w:cs="Arial"/>
          <w:color w:val="0D0D0D" w:themeColor="text1" w:themeTint="F2"/>
          <w:spacing w:val="-2"/>
          <w:sz w:val="16"/>
          <w:szCs w:val="16"/>
        </w:rPr>
        <w:t xml:space="preserve"> Všechna meziroční tempa produkce (na úrovni odvětvových sekcí i</w:t>
      </w:r>
      <w:r>
        <w:rPr>
          <w:rFonts w:cs="Arial"/>
          <w:color w:val="0D0D0D" w:themeColor="text1" w:themeTint="F2"/>
          <w:spacing w:val="-2"/>
          <w:sz w:val="16"/>
          <w:szCs w:val="16"/>
        </w:rPr>
        <w:t> </w:t>
      </w:r>
      <w:r w:rsidRPr="00FB58F4">
        <w:rPr>
          <w:rFonts w:cs="Arial"/>
          <w:color w:val="0D0D0D" w:themeColor="text1" w:themeTint="F2"/>
          <w:spacing w:val="-2"/>
          <w:sz w:val="16"/>
          <w:szCs w:val="16"/>
        </w:rPr>
        <w:t>oddílů) j</w:t>
      </w:r>
      <w:r>
        <w:rPr>
          <w:rFonts w:cs="Arial"/>
          <w:color w:val="0D0D0D" w:themeColor="text1" w:themeTint="F2"/>
          <w:spacing w:val="-2"/>
          <w:sz w:val="16"/>
          <w:szCs w:val="16"/>
        </w:rPr>
        <w:t>sou očištěna o kalendářní vlivy, m</w:t>
      </w:r>
      <w:r w:rsidRPr="00FB58F4">
        <w:rPr>
          <w:rFonts w:cs="Arial"/>
          <w:color w:val="0D0D0D" w:themeColor="text1" w:themeTint="F2"/>
          <w:spacing w:val="-2"/>
          <w:sz w:val="16"/>
          <w:szCs w:val="16"/>
        </w:rPr>
        <w:t>ezičtvrtletní tempa pak také o</w:t>
      </w:r>
      <w:r>
        <w:rPr>
          <w:rFonts w:cs="Arial"/>
          <w:color w:val="0D0D0D" w:themeColor="text1" w:themeTint="F2"/>
          <w:spacing w:val="-2"/>
          <w:sz w:val="16"/>
          <w:szCs w:val="16"/>
        </w:rPr>
        <w:t> </w:t>
      </w:r>
      <w:r w:rsidRPr="00FB58F4">
        <w:rPr>
          <w:rFonts w:cs="Arial"/>
          <w:color w:val="0D0D0D" w:themeColor="text1" w:themeTint="F2"/>
          <w:spacing w:val="-2"/>
          <w:sz w:val="16"/>
          <w:szCs w:val="16"/>
        </w:rPr>
        <w:t>vliv sezónnosti.</w:t>
      </w:r>
    </w:p>
  </w:footnote>
  <w:footnote w:id="25">
    <w:p w14:paraId="1C7E26E0" w14:textId="77777777" w:rsidR="003474B6" w:rsidRPr="00590B0C" w:rsidRDefault="003474B6" w:rsidP="00C81070">
      <w:pPr>
        <w:pStyle w:val="Textpoznpodarou"/>
        <w:jc w:val="both"/>
        <w:rPr>
          <w:rFonts w:cs="Arial"/>
          <w:color w:val="0D0D0D" w:themeColor="text1" w:themeTint="F2"/>
          <w:spacing w:val="-2"/>
          <w:sz w:val="16"/>
          <w:szCs w:val="16"/>
        </w:rPr>
      </w:pPr>
      <w:r w:rsidRPr="00590B0C">
        <w:rPr>
          <w:rStyle w:val="Znakapoznpodarou"/>
          <w:rFonts w:cs="Arial"/>
          <w:color w:val="0D0D0D" w:themeColor="text1" w:themeTint="F2"/>
          <w:spacing w:val="-2"/>
          <w:sz w:val="16"/>
          <w:szCs w:val="16"/>
        </w:rPr>
        <w:footnoteRef/>
      </w:r>
      <w:r w:rsidRPr="00590B0C">
        <w:rPr>
          <w:rFonts w:cs="Arial"/>
          <w:color w:val="0D0D0D" w:themeColor="text1" w:themeTint="F2"/>
          <w:spacing w:val="-2"/>
          <w:sz w:val="16"/>
          <w:szCs w:val="16"/>
        </w:rPr>
        <w:t xml:space="preserve"> </w:t>
      </w:r>
      <w:r w:rsidRPr="00590B0C">
        <w:rPr>
          <w:color w:val="000000" w:themeColor="text1"/>
          <w:spacing w:val="-7"/>
          <w:sz w:val="16"/>
          <w:szCs w:val="16"/>
        </w:rPr>
        <w:t>Průmysl v ČR se zpožděním reagoval na ochlazení poptávky v eurozóně, kde</w:t>
      </w:r>
      <w:r w:rsidRPr="00590B0C">
        <w:rPr>
          <w:rFonts w:cs="Arial"/>
          <w:color w:val="0D0D0D" w:themeColor="text1" w:themeTint="F2"/>
          <w:spacing w:val="-2"/>
          <w:sz w:val="16"/>
          <w:szCs w:val="16"/>
        </w:rPr>
        <w:t xml:space="preserve"> index průmyslové produkce v mezičtvrtletním vyjádření klesl již na počátku roku 2018 (</w:t>
      </w:r>
      <w:r>
        <w:rPr>
          <w:rFonts w:cs="Arial"/>
          <w:color w:val="0D0D0D" w:themeColor="text1" w:themeTint="F2"/>
          <w:spacing w:val="-2"/>
          <w:sz w:val="16"/>
          <w:szCs w:val="16"/>
        </w:rPr>
        <w:t>–1,3 %) a k oživení nedošlo</w:t>
      </w:r>
      <w:r w:rsidRPr="00590B0C">
        <w:rPr>
          <w:rFonts w:cs="Arial"/>
          <w:color w:val="0D0D0D" w:themeColor="text1" w:themeTint="F2"/>
          <w:spacing w:val="-2"/>
          <w:sz w:val="16"/>
          <w:szCs w:val="16"/>
        </w:rPr>
        <w:t xml:space="preserve"> ani</w:t>
      </w:r>
      <w:r>
        <w:rPr>
          <w:rFonts w:cs="Arial"/>
          <w:color w:val="0D0D0D" w:themeColor="text1" w:themeTint="F2"/>
          <w:spacing w:val="-2"/>
          <w:sz w:val="16"/>
          <w:szCs w:val="16"/>
        </w:rPr>
        <w:t xml:space="preserve"> v jeho průběhu (např. ve 4. čtvrtletí činil –0,8 %). </w:t>
      </w:r>
    </w:p>
  </w:footnote>
  <w:footnote w:id="26">
    <w:p w14:paraId="2EA61639" w14:textId="68C9D73E" w:rsidR="003474B6" w:rsidRPr="00FB58F4" w:rsidRDefault="003474B6" w:rsidP="00C81070">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w:t>
      </w:r>
      <w:proofErr w:type="spellStart"/>
      <w:r>
        <w:rPr>
          <w:rFonts w:cs="Arial"/>
          <w:color w:val="0D0D0D" w:themeColor="text1" w:themeTint="F2"/>
          <w:spacing w:val="-2"/>
          <w:sz w:val="16"/>
          <w:szCs w:val="16"/>
        </w:rPr>
        <w:t>Mezikvartální</w:t>
      </w:r>
      <w:proofErr w:type="spellEnd"/>
      <w:r>
        <w:rPr>
          <w:rFonts w:cs="Arial"/>
          <w:color w:val="0D0D0D" w:themeColor="text1" w:themeTint="F2"/>
          <w:spacing w:val="-2"/>
          <w:sz w:val="16"/>
          <w:szCs w:val="16"/>
        </w:rPr>
        <w:t xml:space="preserve"> pokles průmyslové produkce Německa, započatý ve druhé polovině roku 2018, trval již šesté čtvrtletí v řadě. Za toto období se výkon průmyslu </w:t>
      </w:r>
      <w:r w:rsidRPr="00BF2EA4">
        <w:rPr>
          <w:rFonts w:cs="Arial"/>
          <w:color w:val="0D0D0D" w:themeColor="text1" w:themeTint="F2"/>
          <w:spacing w:val="-2"/>
          <w:sz w:val="16"/>
          <w:szCs w:val="16"/>
        </w:rPr>
        <w:t>snížil o</w:t>
      </w:r>
      <w:r>
        <w:rPr>
          <w:rFonts w:cs="Arial"/>
          <w:color w:val="0D0D0D" w:themeColor="text1" w:themeTint="F2"/>
          <w:spacing w:val="-2"/>
          <w:sz w:val="16"/>
          <w:szCs w:val="16"/>
        </w:rPr>
        <w:t> 7,8 % (kumulativní propad v období let 2008 a 2009 činil ale 20,7 %). Za celý rok 2019 klesla průmyslová produkce v jedenácti státech EU (v celé Unii o</w:t>
      </w:r>
      <w:r w:rsidRPr="00C81040">
        <w:rPr>
          <w:rFonts w:cs="Arial"/>
          <w:color w:val="0D0D0D" w:themeColor="text1" w:themeTint="F2"/>
          <w:spacing w:val="-2"/>
          <w:sz w:val="16"/>
          <w:szCs w:val="16"/>
        </w:rPr>
        <w:t> </w:t>
      </w:r>
      <w:r>
        <w:rPr>
          <w:rFonts w:cs="Arial"/>
          <w:color w:val="0D0D0D" w:themeColor="text1" w:themeTint="F2"/>
          <w:spacing w:val="-2"/>
          <w:sz w:val="16"/>
          <w:szCs w:val="16"/>
        </w:rPr>
        <w:t>0,9</w:t>
      </w:r>
      <w:r w:rsidRPr="00C81040">
        <w:rPr>
          <w:rFonts w:cs="Arial"/>
          <w:color w:val="0D0D0D" w:themeColor="text1" w:themeTint="F2"/>
          <w:spacing w:val="-2"/>
          <w:sz w:val="16"/>
          <w:szCs w:val="16"/>
        </w:rPr>
        <w:t> </w:t>
      </w:r>
      <w:r>
        <w:rPr>
          <w:rFonts w:cs="Arial"/>
          <w:color w:val="0D0D0D" w:themeColor="text1" w:themeTint="F2"/>
          <w:spacing w:val="-2"/>
          <w:sz w:val="16"/>
          <w:szCs w:val="16"/>
        </w:rPr>
        <w:t>%). Nejhlubší pokles zaznamenalo Německo (–4,7 %) Mírný růst si udržovaly zejména novější členské státy ze střední a východní Evropy (Maďarsko +5,4 %, Polsko +4,4 %) s výjimkou Rumunska (–3,2 %) a Estonska (–1,9 %).</w:t>
      </w:r>
    </w:p>
  </w:footnote>
  <w:footnote w:id="27">
    <w:p w14:paraId="1AB24F7F" w14:textId="77777777" w:rsidR="003474B6" w:rsidRPr="00FB58F4" w:rsidRDefault="003474B6" w:rsidP="00C81070">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Mimořádně vysoké tempo (druhé nejvyšší po roce 2000) odráželo i organizační změny na podnikové úrovni, které posílily segment výroby generických léků. Dlouhodoběji naopak působila vyšší poptávka po volně prodejných léčivech (díky rostoucím příjmům domácností ve vyspělých ekonomikách) i vyšší spotřeba ve zdravotnických zařízeních (vlivem stárnutí obyvatel a rozvoje moderních forem léčby).</w:t>
      </w:r>
    </w:p>
  </w:footnote>
  <w:footnote w:id="28">
    <w:p w14:paraId="45A07E6C" w14:textId="77777777" w:rsidR="003474B6" w:rsidRPr="00A608B0" w:rsidRDefault="003474B6" w:rsidP="00C81070">
      <w:pPr>
        <w:pStyle w:val="Textpoznpodarou"/>
        <w:jc w:val="both"/>
        <w:rPr>
          <w:sz w:val="16"/>
          <w:szCs w:val="16"/>
        </w:rPr>
      </w:pPr>
      <w:r w:rsidRPr="005813A9">
        <w:rPr>
          <w:rStyle w:val="Znakapoznpodarou"/>
          <w:rFonts w:cs="Arial"/>
          <w:color w:val="0D0D0D" w:themeColor="text1" w:themeTint="F2"/>
          <w:sz w:val="16"/>
          <w:szCs w:val="16"/>
        </w:rPr>
        <w:footnoteRef/>
      </w:r>
      <w:r w:rsidRPr="005813A9">
        <w:rPr>
          <w:rFonts w:cs="Arial"/>
          <w:color w:val="0D0D0D" w:themeColor="text1" w:themeTint="F2"/>
          <w:sz w:val="16"/>
          <w:szCs w:val="16"/>
        </w:rPr>
        <w:t xml:space="preserve"> Dle </w:t>
      </w:r>
      <w:r w:rsidRPr="009479CD">
        <w:rPr>
          <w:rFonts w:cs="Arial"/>
          <w:color w:val="0D0D0D" w:themeColor="text1" w:themeTint="F2"/>
          <w:sz w:val="16"/>
          <w:szCs w:val="16"/>
        </w:rPr>
        <w:t xml:space="preserve">údajů Sdružení automobilového průmyslu </w:t>
      </w:r>
      <w:r w:rsidRPr="00205ED6">
        <w:rPr>
          <w:rFonts w:cs="Arial"/>
          <w:color w:val="0D0D0D" w:themeColor="text1" w:themeTint="F2"/>
          <w:sz w:val="16"/>
          <w:szCs w:val="16"/>
        </w:rPr>
        <w:t xml:space="preserve">bylo </w:t>
      </w:r>
      <w:r>
        <w:rPr>
          <w:rFonts w:cs="Arial"/>
          <w:color w:val="0D0D0D" w:themeColor="text1" w:themeTint="F2"/>
          <w:sz w:val="16"/>
          <w:szCs w:val="16"/>
        </w:rPr>
        <w:t>v roce</w:t>
      </w:r>
      <w:r w:rsidRPr="00205ED6">
        <w:rPr>
          <w:rFonts w:cs="Arial"/>
          <w:color w:val="0D0D0D" w:themeColor="text1" w:themeTint="F2"/>
          <w:sz w:val="16"/>
          <w:szCs w:val="16"/>
        </w:rPr>
        <w:t xml:space="preserve"> 2019 v ČR vyrobeno</w:t>
      </w:r>
      <w:r w:rsidRPr="005813A9">
        <w:rPr>
          <w:rFonts w:cs="Arial"/>
          <w:color w:val="0D0D0D" w:themeColor="text1" w:themeTint="F2"/>
          <w:sz w:val="16"/>
          <w:szCs w:val="16"/>
        </w:rPr>
        <w:t xml:space="preserve"> </w:t>
      </w:r>
      <w:r>
        <w:rPr>
          <w:rFonts w:cs="Arial"/>
          <w:color w:val="0D0D0D" w:themeColor="text1" w:themeTint="F2"/>
          <w:sz w:val="16"/>
          <w:szCs w:val="16"/>
        </w:rPr>
        <w:t>1,434 mil. motorových vozidel. Proti rekordnímu počtu z roku 2018 to bylo o 0,7 % méně. Mírný růst počtu prodaných vozů v tuzemsku (+0,8 % na 110,2 tis.) nestačil plně pokrýt mělký pokles váhově výrazně dominantního exportu (</w:t>
      </w:r>
      <w:r>
        <w:rPr>
          <w:rFonts w:cs="Arial"/>
          <w:color w:val="0D0D0D" w:themeColor="text1" w:themeTint="F2"/>
          <w:spacing w:val="-2"/>
          <w:sz w:val="16"/>
          <w:szCs w:val="16"/>
        </w:rPr>
        <w:t>–</w:t>
      </w:r>
      <w:r>
        <w:rPr>
          <w:rFonts w:cs="Arial"/>
          <w:color w:val="0D0D0D" w:themeColor="text1" w:themeTint="F2"/>
          <w:sz w:val="16"/>
          <w:szCs w:val="16"/>
        </w:rPr>
        <w:t>0,8 %).</w:t>
      </w:r>
    </w:p>
  </w:footnote>
  <w:footnote w:id="29">
    <w:p w14:paraId="543E02FB" w14:textId="77777777" w:rsidR="003474B6" w:rsidRPr="00FB58F4" w:rsidRDefault="003474B6" w:rsidP="00C81070">
      <w:pPr>
        <w:pStyle w:val="Textpoznpodarou"/>
        <w:jc w:val="both"/>
        <w:rPr>
          <w:rFonts w:cs="Arial"/>
          <w:color w:val="0D0D0D" w:themeColor="text1" w:themeTint="F2"/>
          <w:spacing w:val="-2"/>
          <w:sz w:val="16"/>
          <w:szCs w:val="16"/>
        </w:rPr>
      </w:pPr>
      <w:r w:rsidRPr="007A20EB">
        <w:rPr>
          <w:rStyle w:val="Znakapoznpodarou"/>
          <w:rFonts w:cs="Arial"/>
          <w:color w:val="0D0D0D" w:themeColor="text1" w:themeTint="F2"/>
          <w:spacing w:val="-2"/>
          <w:sz w:val="16"/>
          <w:szCs w:val="16"/>
        </w:rPr>
        <w:footnoteRef/>
      </w:r>
      <w:r w:rsidRPr="007A20EB">
        <w:rPr>
          <w:rFonts w:cs="Arial"/>
          <w:color w:val="0D0D0D" w:themeColor="text1" w:themeTint="F2"/>
          <w:spacing w:val="-2"/>
          <w:sz w:val="16"/>
          <w:szCs w:val="16"/>
        </w:rPr>
        <w:t xml:space="preserve"> </w:t>
      </w:r>
      <w:r>
        <w:rPr>
          <w:rFonts w:cs="Arial"/>
          <w:color w:val="0D0D0D" w:themeColor="text1" w:themeTint="F2"/>
          <w:spacing w:val="-2"/>
          <w:sz w:val="16"/>
          <w:szCs w:val="16"/>
        </w:rPr>
        <w:t xml:space="preserve">Nominální </w:t>
      </w:r>
      <w:r>
        <w:rPr>
          <w:rFonts w:cs="Arial"/>
          <w:color w:val="0D0D0D" w:themeColor="text1" w:themeTint="F2"/>
          <w:sz w:val="16"/>
          <w:szCs w:val="16"/>
        </w:rPr>
        <w:t>tržby z přímého vývozu klesly v tomto odvětví v roce 2019 o 15 %, nejvíce ze všech zpracovatelských oborů.</w:t>
      </w:r>
    </w:p>
  </w:footnote>
  <w:footnote w:id="30">
    <w:p w14:paraId="6A054447" w14:textId="0BD52CB1" w:rsidR="003474B6" w:rsidRPr="00FB58F4" w:rsidRDefault="003474B6" w:rsidP="00C81070">
      <w:pPr>
        <w:pStyle w:val="Textpoznpodarou"/>
        <w:jc w:val="both"/>
        <w:rPr>
          <w:rFonts w:cs="Arial"/>
          <w:color w:val="0D0D0D" w:themeColor="text1" w:themeTint="F2"/>
          <w:spacing w:val="-2"/>
          <w:sz w:val="16"/>
          <w:szCs w:val="16"/>
        </w:rPr>
      </w:pPr>
      <w:r w:rsidRPr="007A20EB">
        <w:rPr>
          <w:rStyle w:val="Znakapoznpodarou"/>
          <w:rFonts w:cs="Arial"/>
          <w:color w:val="0D0D0D" w:themeColor="text1" w:themeTint="F2"/>
          <w:spacing w:val="-2"/>
          <w:sz w:val="16"/>
          <w:szCs w:val="16"/>
        </w:rPr>
        <w:footnoteRef/>
      </w:r>
      <w:r w:rsidRPr="007A20EB">
        <w:rPr>
          <w:rFonts w:cs="Arial"/>
          <w:color w:val="0D0D0D" w:themeColor="text1" w:themeTint="F2"/>
          <w:spacing w:val="-2"/>
          <w:sz w:val="16"/>
          <w:szCs w:val="16"/>
        </w:rPr>
        <w:t xml:space="preserve"> </w:t>
      </w:r>
      <w:r>
        <w:rPr>
          <w:rFonts w:cs="Arial"/>
          <w:color w:val="0D0D0D" w:themeColor="text1" w:themeTint="F2"/>
          <w:spacing w:val="-2"/>
          <w:sz w:val="16"/>
          <w:szCs w:val="16"/>
        </w:rPr>
        <w:t>Proti roku 2013 zde byla produkce nižší o 3 %. Podobně na tom byl i dřevozpracující průmysl (při silně rostoucí těžbě, ale i exportu surového dříví). Hlubší útlum pak za posledních šest let zaznamenaly kožedělný průmysl (</w:t>
      </w:r>
      <w:r w:rsidRPr="00A431AE">
        <w:rPr>
          <w:rFonts w:cs="Arial"/>
          <w:color w:val="0D0D0D" w:themeColor="text1" w:themeTint="F2"/>
          <w:spacing w:val="-2"/>
          <w:sz w:val="16"/>
          <w:szCs w:val="16"/>
        </w:rPr>
        <w:t>–</w:t>
      </w:r>
      <w:r>
        <w:rPr>
          <w:rFonts w:cs="Arial"/>
          <w:color w:val="0D0D0D" w:themeColor="text1" w:themeTint="F2"/>
          <w:spacing w:val="-2"/>
          <w:sz w:val="16"/>
          <w:szCs w:val="16"/>
        </w:rPr>
        <w:t>28 %) a těžba uhlí (</w:t>
      </w:r>
      <w:r w:rsidRPr="00A431AE">
        <w:rPr>
          <w:rFonts w:cs="Arial"/>
          <w:color w:val="0D0D0D" w:themeColor="text1" w:themeTint="F2"/>
          <w:spacing w:val="-2"/>
          <w:sz w:val="16"/>
          <w:szCs w:val="16"/>
        </w:rPr>
        <w:t>–</w:t>
      </w:r>
      <w:r>
        <w:rPr>
          <w:rFonts w:cs="Arial"/>
          <w:color w:val="0D0D0D" w:themeColor="text1" w:themeTint="F2"/>
          <w:spacing w:val="-2"/>
          <w:sz w:val="16"/>
          <w:szCs w:val="16"/>
        </w:rPr>
        <w:t>24 %).</w:t>
      </w:r>
    </w:p>
  </w:footnote>
  <w:footnote w:id="31">
    <w:p w14:paraId="6719439D" w14:textId="2712806A" w:rsidR="003474B6" w:rsidRPr="00FB58F4" w:rsidRDefault="003474B6" w:rsidP="00C81070">
      <w:pPr>
        <w:pStyle w:val="Textpoznpodarou"/>
        <w:jc w:val="both"/>
        <w:rPr>
          <w:rFonts w:cs="Arial"/>
          <w:color w:val="0D0D0D" w:themeColor="text1" w:themeTint="F2"/>
          <w:spacing w:val="-2"/>
          <w:sz w:val="16"/>
          <w:szCs w:val="16"/>
        </w:rPr>
      </w:pPr>
      <w:r w:rsidRPr="007A20EB">
        <w:rPr>
          <w:rStyle w:val="Znakapoznpodarou"/>
          <w:rFonts w:cs="Arial"/>
          <w:color w:val="0D0D0D" w:themeColor="text1" w:themeTint="F2"/>
          <w:spacing w:val="-2"/>
          <w:sz w:val="16"/>
          <w:szCs w:val="16"/>
        </w:rPr>
        <w:footnoteRef/>
      </w:r>
      <w:r w:rsidRPr="007A20EB">
        <w:rPr>
          <w:rFonts w:cs="Arial"/>
          <w:color w:val="0D0D0D" w:themeColor="text1" w:themeTint="F2"/>
          <w:spacing w:val="-2"/>
          <w:sz w:val="16"/>
          <w:szCs w:val="16"/>
        </w:rPr>
        <w:t xml:space="preserve"> </w:t>
      </w:r>
      <w:r>
        <w:rPr>
          <w:rFonts w:cs="Arial"/>
          <w:color w:val="0D0D0D" w:themeColor="text1" w:themeTint="F2"/>
          <w:spacing w:val="-2"/>
          <w:sz w:val="16"/>
          <w:szCs w:val="16"/>
        </w:rPr>
        <w:t xml:space="preserve">Dle předběžných údajů Energetického regulačního úřadu ČR dosáhla v roce 2019 celková hrubá výroba elektřiny v tuzemsku 86 981 </w:t>
      </w:r>
      <w:proofErr w:type="spellStart"/>
      <w:r>
        <w:rPr>
          <w:rFonts w:cs="Arial"/>
          <w:color w:val="0D0D0D" w:themeColor="text1" w:themeTint="F2"/>
          <w:spacing w:val="-2"/>
          <w:sz w:val="16"/>
          <w:szCs w:val="16"/>
        </w:rPr>
        <w:t>GWh</w:t>
      </w:r>
      <w:proofErr w:type="spellEnd"/>
      <w:r>
        <w:rPr>
          <w:rFonts w:cs="Arial"/>
          <w:color w:val="0D0D0D" w:themeColor="text1" w:themeTint="F2"/>
          <w:spacing w:val="-2"/>
          <w:sz w:val="16"/>
          <w:szCs w:val="16"/>
        </w:rPr>
        <w:t>. Na jejím meziročním poklesu (o 1,2 %) se téměř výhradně podílely slabší výkony parních elektráren (s poklesem o 8,2 %), v opačném směru působila hlavně výroba v paroplynových (+49,5 %), vodních (+23,3 %) a jaderných elektrárnách (+1,1 %). Výroba tepla se loni meziročně snížila o 0,5 % (na 160 708 TJ) a zmírnila svůj pokles z roku 2018 (</w:t>
      </w:r>
      <w:r w:rsidRPr="00A431AE">
        <w:rPr>
          <w:rFonts w:cs="Arial"/>
          <w:color w:val="0D0D0D" w:themeColor="text1" w:themeTint="F2"/>
          <w:spacing w:val="-2"/>
          <w:sz w:val="16"/>
          <w:szCs w:val="16"/>
        </w:rPr>
        <w:t>–</w:t>
      </w:r>
      <w:r>
        <w:rPr>
          <w:rFonts w:cs="Arial"/>
          <w:color w:val="0D0D0D" w:themeColor="text1" w:themeTint="F2"/>
          <w:spacing w:val="-2"/>
          <w:sz w:val="16"/>
          <w:szCs w:val="16"/>
        </w:rPr>
        <w:t>4,7 %).</w:t>
      </w:r>
    </w:p>
  </w:footnote>
  <w:footnote w:id="32">
    <w:p w14:paraId="5923CF37" w14:textId="77777777" w:rsidR="003474B6" w:rsidRPr="00FB58F4" w:rsidRDefault="003474B6" w:rsidP="00C81070">
      <w:pPr>
        <w:pStyle w:val="Textpoznpodarou"/>
        <w:jc w:val="both"/>
        <w:rPr>
          <w:rFonts w:cs="Arial"/>
          <w:color w:val="0D0D0D" w:themeColor="text1" w:themeTint="F2"/>
          <w:spacing w:val="-2"/>
          <w:sz w:val="16"/>
          <w:szCs w:val="16"/>
        </w:rPr>
      </w:pPr>
      <w:r w:rsidRPr="007A20EB">
        <w:rPr>
          <w:rStyle w:val="Znakapoznpodarou"/>
          <w:rFonts w:cs="Arial"/>
          <w:color w:val="0D0D0D" w:themeColor="text1" w:themeTint="F2"/>
          <w:spacing w:val="-2"/>
          <w:sz w:val="16"/>
          <w:szCs w:val="16"/>
        </w:rPr>
        <w:footnoteRef/>
      </w:r>
      <w:r w:rsidRPr="007A20EB">
        <w:rPr>
          <w:rFonts w:cs="Arial"/>
          <w:color w:val="0D0D0D" w:themeColor="text1" w:themeTint="F2"/>
          <w:spacing w:val="-2"/>
          <w:sz w:val="16"/>
          <w:szCs w:val="16"/>
        </w:rPr>
        <w:t xml:space="preserve"> </w:t>
      </w:r>
      <w:r w:rsidRPr="007A20EB">
        <w:rPr>
          <w:rFonts w:cs="Arial"/>
          <w:color w:val="0D0D0D" w:themeColor="text1" w:themeTint="F2"/>
          <w:sz w:val="16"/>
          <w:szCs w:val="16"/>
        </w:rPr>
        <w:t>Zjišťování zakázek probíhá pouze ve vybraných oddílech CZ</w:t>
      </w:r>
      <w:r w:rsidRPr="007A20EB">
        <w:rPr>
          <w:rFonts w:cs="Arial"/>
          <w:color w:val="0D0D0D" w:themeColor="text1" w:themeTint="F2"/>
          <w:sz w:val="16"/>
          <w:szCs w:val="16"/>
        </w:rPr>
        <w:noBreakHyphen/>
        <w:t>NACE (13, 14, 17, 20, 21, 24, 25, 26, 27, 28, 29, 30), které vyrábějí převážně na zakázku, s dlouhodobějším výrobním cyklem a s většími zásobami zakázek.</w:t>
      </w:r>
    </w:p>
  </w:footnote>
  <w:footnote w:id="33">
    <w:p w14:paraId="4DD16891" w14:textId="77777777" w:rsidR="003474B6" w:rsidRPr="00FB58F4" w:rsidRDefault="003474B6" w:rsidP="00C81070">
      <w:pPr>
        <w:pStyle w:val="Textpoznpodarou"/>
        <w:jc w:val="both"/>
        <w:rPr>
          <w:rFonts w:cs="Arial"/>
          <w:color w:val="0D0D0D" w:themeColor="text1" w:themeTint="F2"/>
          <w:spacing w:val="-2"/>
          <w:sz w:val="16"/>
          <w:szCs w:val="16"/>
        </w:rPr>
      </w:pPr>
      <w:r w:rsidRPr="007A20EB">
        <w:rPr>
          <w:rStyle w:val="Znakapoznpodarou"/>
          <w:rFonts w:cs="Arial"/>
          <w:color w:val="0D0D0D" w:themeColor="text1" w:themeTint="F2"/>
          <w:spacing w:val="-2"/>
          <w:sz w:val="16"/>
          <w:szCs w:val="16"/>
        </w:rPr>
        <w:footnoteRef/>
      </w:r>
      <w:r w:rsidRPr="007A20EB">
        <w:rPr>
          <w:rFonts w:cs="Arial"/>
          <w:color w:val="0D0D0D" w:themeColor="text1" w:themeTint="F2"/>
          <w:spacing w:val="-2"/>
          <w:sz w:val="16"/>
          <w:szCs w:val="16"/>
        </w:rPr>
        <w:t xml:space="preserve"> </w:t>
      </w:r>
      <w:r>
        <w:rPr>
          <w:rFonts w:cs="Arial"/>
          <w:color w:val="0D0D0D" w:themeColor="text1" w:themeTint="F2"/>
          <w:sz w:val="16"/>
          <w:szCs w:val="16"/>
        </w:rPr>
        <w:t xml:space="preserve">Dle podnikových statistik klesala ve 4. čtvrtletí 2019 celková zaměstnanost meziročně bezmála ve dvou třetinách dílčích průmyslových oborů. Z těch váhově významnějších byl růst zaznamenán jen v elektrotechnice, kovovýrobě, energetice a potravinářství. </w:t>
      </w:r>
    </w:p>
  </w:footnote>
  <w:footnote w:id="34">
    <w:p w14:paraId="14FEB165" w14:textId="77777777" w:rsidR="003474B6" w:rsidRPr="00D85B50" w:rsidRDefault="003474B6" w:rsidP="00C81070">
      <w:pPr>
        <w:pStyle w:val="Textpoznpodarou"/>
        <w:jc w:val="both"/>
        <w:rPr>
          <w:spacing w:val="-4"/>
          <w:sz w:val="16"/>
          <w:szCs w:val="16"/>
        </w:rPr>
      </w:pPr>
      <w:r w:rsidRPr="005813A9">
        <w:rPr>
          <w:rStyle w:val="Znakapoznpodarou"/>
          <w:rFonts w:cs="Arial"/>
          <w:color w:val="0D0D0D" w:themeColor="text1" w:themeTint="F2"/>
          <w:spacing w:val="-2"/>
          <w:sz w:val="16"/>
          <w:szCs w:val="16"/>
        </w:rPr>
        <w:footnoteRef/>
      </w:r>
      <w:r w:rsidRPr="005813A9">
        <w:rPr>
          <w:rFonts w:cs="Arial"/>
          <w:color w:val="0D0D0D" w:themeColor="text1" w:themeTint="F2"/>
          <w:spacing w:val="-2"/>
          <w:sz w:val="16"/>
          <w:szCs w:val="16"/>
        </w:rPr>
        <w:t xml:space="preserve"> Všechny meziroční údaje o</w:t>
      </w:r>
      <w:r>
        <w:rPr>
          <w:rFonts w:cs="Arial"/>
          <w:color w:val="0D0D0D" w:themeColor="text1" w:themeTint="F2"/>
          <w:spacing w:val="-2"/>
          <w:sz w:val="16"/>
          <w:szCs w:val="16"/>
        </w:rPr>
        <w:t> </w:t>
      </w:r>
      <w:r w:rsidRPr="005813A9">
        <w:rPr>
          <w:rFonts w:cs="Arial"/>
          <w:color w:val="0D0D0D" w:themeColor="text1" w:themeTint="F2"/>
          <w:spacing w:val="-2"/>
          <w:sz w:val="16"/>
          <w:szCs w:val="16"/>
        </w:rPr>
        <w:t>stavební produkci jsou očištěny o</w:t>
      </w:r>
      <w:r>
        <w:rPr>
          <w:rFonts w:cs="Arial"/>
          <w:color w:val="0D0D0D" w:themeColor="text1" w:themeTint="F2"/>
          <w:spacing w:val="-2"/>
          <w:sz w:val="16"/>
          <w:szCs w:val="16"/>
        </w:rPr>
        <w:t> </w:t>
      </w:r>
      <w:r w:rsidRPr="005813A9">
        <w:rPr>
          <w:rFonts w:cs="Arial"/>
          <w:color w:val="0D0D0D" w:themeColor="text1" w:themeTint="F2"/>
          <w:spacing w:val="-2"/>
          <w:sz w:val="16"/>
          <w:szCs w:val="16"/>
        </w:rPr>
        <w:t>kalendářní vlivy, mezičtvrtletní tempa pak také o</w:t>
      </w:r>
      <w:r>
        <w:rPr>
          <w:rFonts w:cs="Arial"/>
          <w:color w:val="0D0D0D" w:themeColor="text1" w:themeTint="F2"/>
          <w:spacing w:val="-2"/>
          <w:sz w:val="16"/>
          <w:szCs w:val="16"/>
        </w:rPr>
        <w:t> </w:t>
      </w:r>
      <w:r w:rsidRPr="005813A9">
        <w:rPr>
          <w:rFonts w:cs="Arial"/>
          <w:color w:val="0D0D0D" w:themeColor="text1" w:themeTint="F2"/>
          <w:spacing w:val="-2"/>
          <w:sz w:val="16"/>
          <w:szCs w:val="16"/>
        </w:rPr>
        <w:t>vliv sezónnosti.</w:t>
      </w:r>
    </w:p>
  </w:footnote>
  <w:footnote w:id="35">
    <w:p w14:paraId="09E83647" w14:textId="1DB83558" w:rsidR="003474B6" w:rsidRPr="00D85B50" w:rsidRDefault="003474B6" w:rsidP="00082F89">
      <w:pPr>
        <w:pStyle w:val="Textpoznpodarou"/>
        <w:jc w:val="both"/>
        <w:rPr>
          <w:spacing w:val="-4"/>
          <w:sz w:val="16"/>
          <w:szCs w:val="16"/>
        </w:rPr>
      </w:pPr>
      <w:r w:rsidRPr="005813A9">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Shodným tempem vzrostla loni produkce rovněž v </w:t>
      </w:r>
      <w:r w:rsidRPr="00D97006">
        <w:rPr>
          <w:rFonts w:cs="Arial"/>
          <w:color w:val="0D0D0D" w:themeColor="text1" w:themeTint="F2"/>
          <w:spacing w:val="-2"/>
          <w:sz w:val="16"/>
          <w:szCs w:val="16"/>
        </w:rPr>
        <w:t>EU</w:t>
      </w:r>
      <w:r>
        <w:rPr>
          <w:rFonts w:cs="Arial"/>
          <w:color w:val="0D0D0D" w:themeColor="text1" w:themeTint="F2"/>
          <w:spacing w:val="-2"/>
          <w:sz w:val="16"/>
          <w:szCs w:val="16"/>
        </w:rPr>
        <w:t xml:space="preserve"> (o 2,6 %, v roce 2018 o 1,7 %). Nejdynamičtěji rostlo stavebnictví ve většině novějších členských států EU čerpajících pomoc z eurofondů – v Rumunsku (+27 %), Maďarsku (+22 %, za tři roky +92 %), mírnějšími tempy posilovalo i v ostatních novějších členských státech vyjma Slovenska (–3,3 %). V některých starších státech EU svižný růst stavebnictví zčásti kompenzoval pokles produkce v průmyslu (Rakousko, Nizozemsko, Německo, Portugalsko či Velká Británie).</w:t>
      </w:r>
    </w:p>
  </w:footnote>
  <w:footnote w:id="36">
    <w:p w14:paraId="0E1C9988" w14:textId="77777777" w:rsidR="003474B6" w:rsidRPr="00DE063B" w:rsidRDefault="003474B6" w:rsidP="00C81070">
      <w:pPr>
        <w:pStyle w:val="Textpoznpodarou"/>
        <w:jc w:val="both"/>
        <w:rPr>
          <w:rFonts w:cs="Arial"/>
          <w:color w:val="0D0D0D" w:themeColor="text1" w:themeTint="F2"/>
          <w:spacing w:val="-3"/>
          <w:sz w:val="16"/>
          <w:szCs w:val="16"/>
        </w:rPr>
      </w:pPr>
      <w:r w:rsidRPr="00DE063B">
        <w:rPr>
          <w:rStyle w:val="Znakapoznpodarou"/>
          <w:rFonts w:cs="Arial"/>
          <w:color w:val="0D0D0D" w:themeColor="text1" w:themeTint="F2"/>
          <w:spacing w:val="-3"/>
          <w:sz w:val="16"/>
          <w:szCs w:val="16"/>
        </w:rPr>
        <w:footnoteRef/>
      </w:r>
      <w:r>
        <w:rPr>
          <w:rFonts w:cs="Arial"/>
          <w:color w:val="0D0D0D" w:themeColor="text1" w:themeTint="F2"/>
          <w:spacing w:val="-3"/>
          <w:sz w:val="16"/>
          <w:szCs w:val="16"/>
        </w:rPr>
        <w:t xml:space="preserve"> Počet zahájených bytů v Praze činil loni 6,5 tis. (meziročně se zvýšil o více než polovinu). Srovnatelný objem výstavby byl dosažen naposledy v roce 2008. I přes pozitivní posun v nabídce bytů jejich četnost v metropoli </w:t>
      </w:r>
      <w:r w:rsidRPr="00330FD6">
        <w:rPr>
          <w:rFonts w:cs="Arial"/>
          <w:color w:val="0D0D0D" w:themeColor="text1" w:themeTint="F2"/>
          <w:spacing w:val="-3"/>
          <w:sz w:val="16"/>
          <w:szCs w:val="16"/>
        </w:rPr>
        <w:t>dále zaostával</w:t>
      </w:r>
      <w:r>
        <w:rPr>
          <w:rFonts w:cs="Arial"/>
          <w:color w:val="0D0D0D" w:themeColor="text1" w:themeTint="F2"/>
          <w:spacing w:val="-3"/>
          <w:sz w:val="16"/>
          <w:szCs w:val="16"/>
        </w:rPr>
        <w:t>a za přírůstkem</w:t>
      </w:r>
      <w:r w:rsidRPr="000E298B">
        <w:rPr>
          <w:color w:val="0D0D0D" w:themeColor="text1" w:themeTint="F2"/>
          <w:spacing w:val="-7"/>
        </w:rPr>
        <w:t xml:space="preserve"> </w:t>
      </w:r>
      <w:r>
        <w:rPr>
          <w:rFonts w:cs="Arial"/>
          <w:color w:val="0D0D0D" w:themeColor="text1" w:themeTint="F2"/>
          <w:spacing w:val="-3"/>
          <w:sz w:val="16"/>
          <w:szCs w:val="16"/>
        </w:rPr>
        <w:t xml:space="preserve">pracovních příležitostí </w:t>
      </w:r>
      <w:r>
        <w:rPr>
          <w:rFonts w:cs="Arial"/>
          <w:color w:val="0D0D0D" w:themeColor="text1" w:themeTint="F2"/>
          <w:spacing w:val="-2"/>
          <w:sz w:val="16"/>
          <w:szCs w:val="16"/>
        </w:rPr>
        <w:t>i </w:t>
      </w:r>
      <w:r>
        <w:rPr>
          <w:rFonts w:cs="Arial"/>
          <w:color w:val="0D0D0D" w:themeColor="text1" w:themeTint="F2"/>
          <w:spacing w:val="-3"/>
          <w:sz w:val="16"/>
          <w:szCs w:val="16"/>
        </w:rPr>
        <w:t>celkového</w:t>
      </w:r>
      <w:r w:rsidRPr="002357B5">
        <w:rPr>
          <w:rFonts w:cs="Arial"/>
          <w:color w:val="0D0D0D" w:themeColor="text1" w:themeTint="F2"/>
          <w:spacing w:val="-3"/>
          <w:sz w:val="16"/>
          <w:szCs w:val="16"/>
        </w:rPr>
        <w:t xml:space="preserve"> </w:t>
      </w:r>
      <w:r w:rsidRPr="00330FD6">
        <w:rPr>
          <w:rFonts w:cs="Arial"/>
          <w:color w:val="0D0D0D" w:themeColor="text1" w:themeTint="F2"/>
          <w:spacing w:val="-3"/>
          <w:sz w:val="16"/>
          <w:szCs w:val="16"/>
        </w:rPr>
        <w:t>počtu obyvatel</w:t>
      </w:r>
      <w:r>
        <w:rPr>
          <w:rFonts w:cs="Arial"/>
          <w:color w:val="0D0D0D" w:themeColor="text1" w:themeTint="F2"/>
          <w:spacing w:val="-3"/>
          <w:sz w:val="16"/>
          <w:szCs w:val="16"/>
        </w:rPr>
        <w:t xml:space="preserve"> (ten loni dosáhl 15,6 tis.)</w:t>
      </w:r>
    </w:p>
  </w:footnote>
  <w:footnote w:id="37">
    <w:p w14:paraId="7A3AA622" w14:textId="77777777" w:rsidR="003474B6" w:rsidRPr="00DE063B" w:rsidRDefault="003474B6" w:rsidP="00C81070">
      <w:pPr>
        <w:pStyle w:val="Textpoznpodarou"/>
        <w:jc w:val="both"/>
        <w:rPr>
          <w:rFonts w:cs="Arial"/>
          <w:color w:val="0D0D0D" w:themeColor="text1" w:themeTint="F2"/>
          <w:spacing w:val="-3"/>
          <w:sz w:val="16"/>
          <w:szCs w:val="16"/>
        </w:rPr>
      </w:pPr>
      <w:r w:rsidRPr="00DE063B">
        <w:rPr>
          <w:rStyle w:val="Znakapoznpodarou"/>
          <w:rFonts w:cs="Arial"/>
          <w:color w:val="0D0D0D" w:themeColor="text1" w:themeTint="F2"/>
          <w:spacing w:val="-3"/>
          <w:sz w:val="16"/>
          <w:szCs w:val="16"/>
        </w:rPr>
        <w:footnoteRef/>
      </w:r>
      <w:r w:rsidRPr="00DE063B">
        <w:rPr>
          <w:rFonts w:cs="Arial"/>
          <w:color w:val="0D0D0D" w:themeColor="text1" w:themeTint="F2"/>
          <w:spacing w:val="-3"/>
          <w:sz w:val="16"/>
          <w:szCs w:val="16"/>
        </w:rPr>
        <w:t xml:space="preserve"> </w:t>
      </w:r>
      <w:r>
        <w:rPr>
          <w:rFonts w:cs="Arial"/>
          <w:color w:val="0D0D0D" w:themeColor="text1" w:themeTint="F2"/>
          <w:spacing w:val="-3"/>
          <w:sz w:val="16"/>
          <w:szCs w:val="16"/>
        </w:rPr>
        <w:t>P</w:t>
      </w:r>
      <w:r w:rsidRPr="00F55DCD">
        <w:rPr>
          <w:rFonts w:cs="Arial"/>
          <w:color w:val="0D0D0D" w:themeColor="text1" w:themeTint="F2"/>
          <w:spacing w:val="-3"/>
          <w:sz w:val="16"/>
          <w:szCs w:val="16"/>
        </w:rPr>
        <w:t>růměrná orientační hodnota</w:t>
      </w:r>
      <w:r w:rsidRPr="00DE063B">
        <w:rPr>
          <w:rFonts w:cs="Arial"/>
          <w:color w:val="0D0D0D" w:themeColor="text1" w:themeTint="F2"/>
          <w:spacing w:val="-3"/>
          <w:sz w:val="16"/>
          <w:szCs w:val="16"/>
        </w:rPr>
        <w:t xml:space="preserve"> připadající </w:t>
      </w:r>
      <w:r>
        <w:rPr>
          <w:rFonts w:cs="Arial"/>
          <w:color w:val="0D0D0D" w:themeColor="text1" w:themeTint="F2"/>
          <w:spacing w:val="-3"/>
          <w:sz w:val="16"/>
          <w:szCs w:val="16"/>
        </w:rPr>
        <w:t>na jedno stavební povolení v roce 2019 činila 4,8 mil. korun (</w:t>
      </w:r>
      <w:r w:rsidRPr="00DE063B">
        <w:rPr>
          <w:rFonts w:cs="Arial"/>
          <w:color w:val="0D0D0D" w:themeColor="text1" w:themeTint="F2"/>
          <w:spacing w:val="-3"/>
          <w:sz w:val="16"/>
          <w:szCs w:val="16"/>
        </w:rPr>
        <w:t>o</w:t>
      </w:r>
      <w:r>
        <w:rPr>
          <w:rFonts w:cs="Arial"/>
          <w:color w:val="0D0D0D" w:themeColor="text1" w:themeTint="F2"/>
          <w:spacing w:val="-3"/>
          <w:sz w:val="16"/>
          <w:szCs w:val="16"/>
        </w:rPr>
        <w:t> rok dříve 4,4 mil.</w:t>
      </w:r>
      <w:r w:rsidRPr="00DE063B">
        <w:rPr>
          <w:rFonts w:cs="Arial"/>
          <w:color w:val="0D0D0D" w:themeColor="text1" w:themeTint="F2"/>
          <w:spacing w:val="-3"/>
          <w:sz w:val="16"/>
          <w:szCs w:val="16"/>
        </w:rPr>
        <w:t>). Nejrychleji meziročně rostla u</w:t>
      </w:r>
      <w:r>
        <w:rPr>
          <w:rFonts w:cs="Arial"/>
          <w:color w:val="0D0D0D" w:themeColor="text1" w:themeTint="F2"/>
          <w:spacing w:val="-3"/>
          <w:sz w:val="16"/>
          <w:szCs w:val="16"/>
        </w:rPr>
        <w:t xml:space="preserve"> nové výstavby bytových </w:t>
      </w:r>
      <w:r w:rsidRPr="00DE063B">
        <w:rPr>
          <w:rFonts w:cs="Arial"/>
          <w:color w:val="0D0D0D" w:themeColor="text1" w:themeTint="F2"/>
          <w:spacing w:val="-3"/>
          <w:sz w:val="16"/>
          <w:szCs w:val="16"/>
        </w:rPr>
        <w:t>budov</w:t>
      </w:r>
      <w:r>
        <w:rPr>
          <w:rFonts w:cs="Arial"/>
          <w:color w:val="0D0D0D" w:themeColor="text1" w:themeTint="F2"/>
          <w:spacing w:val="-3"/>
          <w:sz w:val="16"/>
          <w:szCs w:val="16"/>
        </w:rPr>
        <w:t xml:space="preserve"> (ze 4,7 na 5,8 mil. korun)</w:t>
      </w:r>
    </w:p>
  </w:footnote>
  <w:footnote w:id="38">
    <w:p w14:paraId="37045B3E" w14:textId="77777777" w:rsidR="003474B6" w:rsidRPr="00DE38E6" w:rsidRDefault="003474B6" w:rsidP="00C81070">
      <w:pPr>
        <w:spacing w:after="0" w:line="240" w:lineRule="auto"/>
      </w:pPr>
      <w:r w:rsidRPr="004A26AF">
        <w:rPr>
          <w:rStyle w:val="Znakapoznpodarou"/>
          <w:color w:val="0D0D0D" w:themeColor="text1" w:themeTint="F2"/>
          <w:sz w:val="16"/>
          <w:szCs w:val="16"/>
        </w:rPr>
        <w:footnoteRef/>
      </w:r>
      <w:r>
        <w:rPr>
          <w:color w:val="0D0D0D" w:themeColor="text1" w:themeTint="F2"/>
          <w:sz w:val="16"/>
          <w:szCs w:val="16"/>
        </w:rPr>
        <w:t xml:space="preserve"> </w:t>
      </w:r>
      <w:r w:rsidRPr="004A26AF">
        <w:rPr>
          <w:color w:val="0D0D0D" w:themeColor="text1" w:themeTint="F2"/>
          <w:sz w:val="16"/>
          <w:szCs w:val="16"/>
        </w:rPr>
        <w:t>Bez obchodu, peněžnictví, poji</w:t>
      </w:r>
      <w:r>
        <w:rPr>
          <w:color w:val="0D0D0D" w:themeColor="text1" w:themeTint="F2"/>
          <w:sz w:val="16"/>
          <w:szCs w:val="16"/>
        </w:rPr>
        <w:t>šťovnictví, vědy, výzkumu a veřejných</w:t>
      </w:r>
      <w:r w:rsidRPr="004A26AF">
        <w:rPr>
          <w:color w:val="0D0D0D" w:themeColor="text1" w:themeTint="F2"/>
          <w:sz w:val="16"/>
          <w:szCs w:val="16"/>
        </w:rPr>
        <w:t xml:space="preserve"> služeb. Všechny údaje za služby jsou </w:t>
      </w:r>
      <w:r>
        <w:rPr>
          <w:color w:val="0D0D0D" w:themeColor="text1" w:themeTint="F2"/>
          <w:sz w:val="16"/>
          <w:szCs w:val="16"/>
        </w:rPr>
        <w:t xml:space="preserve">ve stálých cenách, meziroční údaje jsou </w:t>
      </w:r>
      <w:r w:rsidRPr="004A26AF">
        <w:rPr>
          <w:color w:val="0D0D0D" w:themeColor="text1" w:themeTint="F2"/>
          <w:sz w:val="16"/>
          <w:szCs w:val="16"/>
        </w:rPr>
        <w:t>očištěny o</w:t>
      </w:r>
      <w:r>
        <w:rPr>
          <w:color w:val="0D0D0D" w:themeColor="text1" w:themeTint="F2"/>
          <w:sz w:val="16"/>
          <w:szCs w:val="16"/>
        </w:rPr>
        <w:t> </w:t>
      </w:r>
      <w:r w:rsidRPr="004A26AF">
        <w:rPr>
          <w:color w:val="0D0D0D" w:themeColor="text1" w:themeTint="F2"/>
          <w:sz w:val="16"/>
          <w:szCs w:val="16"/>
        </w:rPr>
        <w:t>kal</w:t>
      </w:r>
      <w:r>
        <w:rPr>
          <w:color w:val="0D0D0D" w:themeColor="text1" w:themeTint="F2"/>
          <w:sz w:val="16"/>
          <w:szCs w:val="16"/>
        </w:rPr>
        <w:t>endářní vlivy, mezičtvrtletní jsou očištěny o sezónní vlivy (včetně vlivu počtu pracovních dnů)</w:t>
      </w:r>
      <w:r w:rsidRPr="004A26AF">
        <w:rPr>
          <w:color w:val="0D0D0D" w:themeColor="text1" w:themeTint="F2"/>
          <w:sz w:val="16"/>
          <w:szCs w:val="16"/>
        </w:rPr>
        <w:t>.</w:t>
      </w:r>
    </w:p>
  </w:footnote>
  <w:footnote w:id="39">
    <w:p w14:paraId="3D2D1AC9" w14:textId="12E5275B" w:rsidR="003474B6" w:rsidRPr="00D85B50" w:rsidRDefault="003474B6" w:rsidP="00C81070">
      <w:pPr>
        <w:pStyle w:val="Textpoznpodarou"/>
        <w:jc w:val="both"/>
        <w:rPr>
          <w:spacing w:val="-4"/>
          <w:sz w:val="16"/>
          <w:szCs w:val="16"/>
        </w:rPr>
      </w:pPr>
      <w:r w:rsidRPr="005813A9">
        <w:rPr>
          <w:rStyle w:val="Znakapoznpodarou"/>
          <w:rFonts w:cs="Arial"/>
          <w:color w:val="0D0D0D" w:themeColor="text1" w:themeTint="F2"/>
          <w:spacing w:val="-2"/>
          <w:sz w:val="16"/>
          <w:szCs w:val="16"/>
        </w:rPr>
        <w:footnoteRef/>
      </w:r>
      <w:r>
        <w:rPr>
          <w:rFonts w:cs="Arial"/>
          <w:color w:val="0D0D0D" w:themeColor="text1" w:themeTint="F2"/>
          <w:spacing w:val="-2"/>
          <w:sz w:val="16"/>
          <w:szCs w:val="16"/>
        </w:rPr>
        <w:t xml:space="preserve"> </w:t>
      </w:r>
      <w:r w:rsidRPr="00C9754E">
        <w:rPr>
          <w:sz w:val="16"/>
          <w:szCs w:val="16"/>
        </w:rPr>
        <w:t xml:space="preserve">Segmentu filmové distribuce se naopak dařilo. Dle údajů Unie filmových distributorů vzrostly v roce 2019 tržby ze vstupného v kinech v ČR meziročně o 15,3 %. Navzdory </w:t>
      </w:r>
      <w:r>
        <w:rPr>
          <w:sz w:val="16"/>
          <w:szCs w:val="16"/>
        </w:rPr>
        <w:t>nižšímu</w:t>
      </w:r>
      <w:r w:rsidRPr="00C9754E">
        <w:rPr>
          <w:sz w:val="16"/>
          <w:szCs w:val="16"/>
        </w:rPr>
        <w:t xml:space="preserve"> počtu odehraných představení (</w:t>
      </w:r>
      <w:r w:rsidRPr="00C9754E">
        <w:rPr>
          <w:color w:val="0D0D0D" w:themeColor="text1" w:themeTint="F2"/>
          <w:spacing w:val="-3"/>
          <w:sz w:val="16"/>
          <w:szCs w:val="16"/>
        </w:rPr>
        <w:t>–</w:t>
      </w:r>
      <w:r w:rsidRPr="00C9754E">
        <w:rPr>
          <w:sz w:val="16"/>
          <w:szCs w:val="16"/>
        </w:rPr>
        <w:t xml:space="preserve">1,9 %) vzrostl </w:t>
      </w:r>
      <w:r>
        <w:rPr>
          <w:sz w:val="16"/>
          <w:szCs w:val="16"/>
        </w:rPr>
        <w:t>počet návštěvníků</w:t>
      </w:r>
      <w:r w:rsidRPr="00C9754E">
        <w:rPr>
          <w:sz w:val="16"/>
          <w:szCs w:val="16"/>
        </w:rPr>
        <w:t xml:space="preserve"> o osminu </w:t>
      </w:r>
      <w:r w:rsidRPr="00C9754E">
        <w:rPr>
          <w:color w:val="0D0D0D" w:themeColor="text1" w:themeTint="F2"/>
          <w:spacing w:val="-3"/>
          <w:sz w:val="16"/>
          <w:szCs w:val="16"/>
        </w:rPr>
        <w:t>– na</w:t>
      </w:r>
      <w:r w:rsidRPr="00C9754E">
        <w:rPr>
          <w:sz w:val="16"/>
          <w:szCs w:val="16"/>
        </w:rPr>
        <w:t xml:space="preserve"> 18,3 mil. </w:t>
      </w:r>
      <w:proofErr w:type="gramStart"/>
      <w:r w:rsidRPr="00C9754E">
        <w:rPr>
          <w:color w:val="0D0D0D" w:themeColor="text1" w:themeTint="F2"/>
          <w:spacing w:val="-4"/>
          <w:sz w:val="16"/>
          <w:szCs w:val="16"/>
        </w:rPr>
        <w:t>–</w:t>
      </w:r>
      <w:r>
        <w:rPr>
          <w:color w:val="0D0D0D" w:themeColor="text1" w:themeTint="F2"/>
          <w:spacing w:val="-4"/>
          <w:sz w:val="16"/>
          <w:szCs w:val="16"/>
        </w:rPr>
        <w:t>(</w:t>
      </w:r>
      <w:proofErr w:type="gramEnd"/>
      <w:r w:rsidRPr="00C9754E">
        <w:rPr>
          <w:sz w:val="16"/>
          <w:szCs w:val="16"/>
        </w:rPr>
        <w:t>vyšší hodnoty bylo dosaženo naposledy v roce 1993</w:t>
      </w:r>
      <w:r>
        <w:rPr>
          <w:sz w:val="16"/>
          <w:szCs w:val="16"/>
        </w:rPr>
        <w:t>)</w:t>
      </w:r>
      <w:r w:rsidRPr="00C9754E">
        <w:rPr>
          <w:sz w:val="16"/>
          <w:szCs w:val="16"/>
        </w:rPr>
        <w:t>.</w:t>
      </w:r>
    </w:p>
  </w:footnote>
  <w:footnote w:id="40">
    <w:p w14:paraId="7AEE47B7" w14:textId="77777777" w:rsidR="003474B6" w:rsidRPr="00C9754E" w:rsidRDefault="003474B6" w:rsidP="00DB613B">
      <w:pPr>
        <w:spacing w:after="0" w:line="240" w:lineRule="auto"/>
        <w:rPr>
          <w:rFonts w:eastAsia="Calibri"/>
          <w:sz w:val="16"/>
          <w:szCs w:val="16"/>
        </w:rPr>
      </w:pPr>
      <w:r w:rsidRPr="005C04EC">
        <w:rPr>
          <w:rStyle w:val="Znakapoznpodarou"/>
          <w:color w:val="0D0D0D" w:themeColor="text1" w:themeTint="F2"/>
          <w:spacing w:val="-3"/>
          <w:sz w:val="16"/>
          <w:szCs w:val="16"/>
        </w:rPr>
        <w:footnoteRef/>
      </w:r>
      <w:r>
        <w:rPr>
          <w:color w:val="0D0D0D" w:themeColor="text1" w:themeTint="F2"/>
          <w:spacing w:val="-3"/>
          <w:sz w:val="16"/>
          <w:szCs w:val="16"/>
        </w:rPr>
        <w:t xml:space="preserve"> V roce 2019 vzrostl počet </w:t>
      </w:r>
      <w:r w:rsidRPr="00183426">
        <w:rPr>
          <w:rFonts w:eastAsia="Calibri"/>
          <w:sz w:val="16"/>
          <w:szCs w:val="16"/>
        </w:rPr>
        <w:t xml:space="preserve">přenocování </w:t>
      </w:r>
      <w:r>
        <w:rPr>
          <w:rFonts w:eastAsia="Calibri"/>
          <w:sz w:val="16"/>
          <w:szCs w:val="16"/>
        </w:rPr>
        <w:t xml:space="preserve">nerezidentů </w:t>
      </w:r>
      <w:r w:rsidRPr="00183426">
        <w:rPr>
          <w:rFonts w:eastAsia="Calibri"/>
          <w:sz w:val="16"/>
          <w:szCs w:val="16"/>
        </w:rPr>
        <w:t xml:space="preserve">v hromadných ubytovacích zařízeních v ČR </w:t>
      </w:r>
      <w:r>
        <w:rPr>
          <w:rFonts w:eastAsia="Calibri"/>
          <w:sz w:val="16"/>
          <w:szCs w:val="16"/>
        </w:rPr>
        <w:t>o 1,6 % (o rok dříve o 1,9 %), u</w:t>
      </w:r>
      <w:r w:rsidRPr="00C9754E">
        <w:rPr>
          <w:sz w:val="16"/>
          <w:szCs w:val="16"/>
        </w:rPr>
        <w:t> </w:t>
      </w:r>
      <w:r>
        <w:rPr>
          <w:rFonts w:eastAsia="Calibri"/>
          <w:sz w:val="16"/>
          <w:szCs w:val="16"/>
        </w:rPr>
        <w:t xml:space="preserve">tuzemských hostů o 3,8 % (resp. 6,6 %). K růstu u nerezidentů přispěli hlavně hosté </w:t>
      </w:r>
      <w:r w:rsidRPr="005C04EC">
        <w:rPr>
          <w:color w:val="0D0D0D" w:themeColor="text1" w:themeTint="F2"/>
          <w:spacing w:val="-3"/>
          <w:sz w:val="16"/>
          <w:szCs w:val="16"/>
        </w:rPr>
        <w:t>z</w:t>
      </w:r>
      <w:r>
        <w:rPr>
          <w:color w:val="0D0D0D" w:themeColor="text1" w:themeTint="F2"/>
          <w:spacing w:val="-3"/>
          <w:sz w:val="16"/>
          <w:szCs w:val="16"/>
        </w:rPr>
        <w:t> Německa, Ukrajiny, Polska, Francie a USA</w:t>
      </w:r>
      <w:r>
        <w:rPr>
          <w:rFonts w:eastAsia="Calibri"/>
          <w:sz w:val="16"/>
          <w:szCs w:val="16"/>
        </w:rPr>
        <w:t>.</w:t>
      </w:r>
    </w:p>
  </w:footnote>
  <w:footnote w:id="41">
    <w:p w14:paraId="1668DDC2" w14:textId="77777777" w:rsidR="003474B6" w:rsidRDefault="003474B6" w:rsidP="00C81070">
      <w:pPr>
        <w:spacing w:after="0" w:line="240" w:lineRule="auto"/>
      </w:pPr>
      <w:r w:rsidRPr="00A85D8E">
        <w:rPr>
          <w:rStyle w:val="Znakapoznpodarou"/>
          <w:sz w:val="16"/>
          <w:szCs w:val="16"/>
        </w:rPr>
        <w:footnoteRef/>
      </w:r>
      <w:r>
        <w:rPr>
          <w:sz w:val="16"/>
          <w:szCs w:val="16"/>
        </w:rPr>
        <w:t xml:space="preserve"> Všechna</w:t>
      </w:r>
      <w:r w:rsidRPr="00A85D8E">
        <w:rPr>
          <w:sz w:val="16"/>
          <w:szCs w:val="16"/>
        </w:rPr>
        <w:t xml:space="preserve"> </w:t>
      </w:r>
      <w:r>
        <w:rPr>
          <w:sz w:val="16"/>
          <w:szCs w:val="16"/>
        </w:rPr>
        <w:t>meziroční tempa</w:t>
      </w:r>
      <w:r>
        <w:rPr>
          <w:color w:val="0D0D0D" w:themeColor="text1" w:themeTint="F2"/>
          <w:sz w:val="16"/>
          <w:szCs w:val="16"/>
        </w:rPr>
        <w:t xml:space="preserve"> tržeb</w:t>
      </w:r>
      <w:r w:rsidRPr="00A85D8E">
        <w:rPr>
          <w:color w:val="0D0D0D" w:themeColor="text1" w:themeTint="F2"/>
          <w:sz w:val="16"/>
          <w:szCs w:val="16"/>
        </w:rPr>
        <w:t xml:space="preserve"> za maloobchod</w:t>
      </w:r>
      <w:r w:rsidRPr="004A26AF">
        <w:rPr>
          <w:color w:val="0D0D0D" w:themeColor="text1" w:themeTint="F2"/>
          <w:sz w:val="16"/>
          <w:szCs w:val="16"/>
        </w:rPr>
        <w:t xml:space="preserve"> jsou </w:t>
      </w:r>
      <w:r>
        <w:rPr>
          <w:color w:val="0D0D0D" w:themeColor="text1" w:themeTint="F2"/>
          <w:sz w:val="16"/>
          <w:szCs w:val="16"/>
        </w:rPr>
        <w:t>uvedena ve stálých cenách a očištěna</w:t>
      </w:r>
      <w:r w:rsidRPr="004A26AF">
        <w:rPr>
          <w:color w:val="0D0D0D" w:themeColor="text1" w:themeTint="F2"/>
          <w:sz w:val="16"/>
          <w:szCs w:val="16"/>
        </w:rPr>
        <w:t xml:space="preserve"> o</w:t>
      </w:r>
      <w:r>
        <w:rPr>
          <w:color w:val="0D0D0D" w:themeColor="text1" w:themeTint="F2"/>
          <w:sz w:val="16"/>
          <w:szCs w:val="16"/>
        </w:rPr>
        <w:t> </w:t>
      </w:r>
      <w:r w:rsidRPr="004A26AF">
        <w:rPr>
          <w:color w:val="0D0D0D" w:themeColor="text1" w:themeTint="F2"/>
          <w:sz w:val="16"/>
          <w:szCs w:val="16"/>
        </w:rPr>
        <w:t>kal</w:t>
      </w:r>
      <w:r>
        <w:rPr>
          <w:color w:val="0D0D0D" w:themeColor="text1" w:themeTint="F2"/>
          <w:sz w:val="16"/>
          <w:szCs w:val="16"/>
        </w:rPr>
        <w:t>endářní vlivy, mezičtvrtletní tempa jsou očištěna o sezónní vlivy (včetně vlivu počtu pracovních dnů)</w:t>
      </w:r>
      <w:r w:rsidRPr="004A26AF">
        <w:rPr>
          <w:color w:val="0D0D0D" w:themeColor="text1" w:themeTint="F2"/>
          <w:sz w:val="16"/>
          <w:szCs w:val="16"/>
        </w:rPr>
        <w:t>.</w:t>
      </w:r>
    </w:p>
  </w:footnote>
  <w:footnote w:id="42">
    <w:p w14:paraId="47BCBE3E" w14:textId="77777777" w:rsidR="003474B6" w:rsidRPr="003279A7" w:rsidRDefault="003474B6" w:rsidP="00C715CC">
      <w:pPr>
        <w:pStyle w:val="Textpoznpodarou"/>
        <w:rPr>
          <w:sz w:val="16"/>
          <w:szCs w:val="16"/>
        </w:rPr>
      </w:pPr>
      <w:r w:rsidRPr="003279A7">
        <w:rPr>
          <w:rStyle w:val="Znakapoznpodarou"/>
          <w:sz w:val="16"/>
          <w:szCs w:val="16"/>
        </w:rPr>
        <w:footnoteRef/>
      </w:r>
      <w:r w:rsidRPr="003279A7">
        <w:rPr>
          <w:sz w:val="16"/>
          <w:szCs w:val="16"/>
        </w:rPr>
        <w:t xml:space="preserve"> Údaje </w:t>
      </w:r>
      <w:r>
        <w:rPr>
          <w:sz w:val="16"/>
          <w:szCs w:val="16"/>
        </w:rPr>
        <w:t xml:space="preserve">statistiky zahraničního obchodu </w:t>
      </w:r>
      <w:r w:rsidRPr="003279A7">
        <w:rPr>
          <w:sz w:val="16"/>
          <w:szCs w:val="16"/>
        </w:rPr>
        <w:t>v nominálním vyjádření zahrnující pouze obchod se zbožím. Hodnota vývozu je zachycena v</w:t>
      </w:r>
      <w:r>
        <w:rPr>
          <w:sz w:val="16"/>
          <w:szCs w:val="16"/>
        </w:rPr>
        <w:t> </w:t>
      </w:r>
      <w:r w:rsidRPr="003279A7">
        <w:rPr>
          <w:sz w:val="16"/>
          <w:szCs w:val="16"/>
        </w:rPr>
        <w:t>cenách</w:t>
      </w:r>
      <w:r>
        <w:rPr>
          <w:sz w:val="16"/>
          <w:szCs w:val="16"/>
        </w:rPr>
        <w:t xml:space="preserve"> </w:t>
      </w:r>
      <w:r w:rsidRPr="003279A7">
        <w:rPr>
          <w:sz w:val="16"/>
          <w:szCs w:val="16"/>
        </w:rPr>
        <w:t>FOB, tj.</w:t>
      </w:r>
      <w:r>
        <w:rPr>
          <w:sz w:val="16"/>
          <w:szCs w:val="16"/>
        </w:rPr>
        <w:t> </w:t>
      </w:r>
      <w:r w:rsidRPr="003279A7">
        <w:rPr>
          <w:sz w:val="16"/>
          <w:szCs w:val="16"/>
        </w:rPr>
        <w:t>včetně nákladů souvisejících s dopravou na hranice</w:t>
      </w:r>
      <w:r>
        <w:rPr>
          <w:sz w:val="16"/>
          <w:szCs w:val="16"/>
        </w:rPr>
        <w:t> </w:t>
      </w:r>
      <w:r w:rsidRPr="003279A7">
        <w:rPr>
          <w:sz w:val="16"/>
          <w:szCs w:val="16"/>
        </w:rPr>
        <w:t>ČR. Dovoz</w:t>
      </w:r>
      <w:r>
        <w:rPr>
          <w:sz w:val="16"/>
          <w:szCs w:val="16"/>
        </w:rPr>
        <w:t xml:space="preserve"> uvedený níže v této kapitole</w:t>
      </w:r>
      <w:r w:rsidRPr="003279A7">
        <w:rPr>
          <w:sz w:val="16"/>
          <w:szCs w:val="16"/>
        </w:rPr>
        <w:t xml:space="preserve"> je v cenách CIF, tj.</w:t>
      </w:r>
      <w:r>
        <w:rPr>
          <w:sz w:val="16"/>
          <w:szCs w:val="16"/>
        </w:rPr>
        <w:t> </w:t>
      </w:r>
      <w:r w:rsidRPr="003279A7">
        <w:rPr>
          <w:sz w:val="16"/>
          <w:szCs w:val="16"/>
        </w:rPr>
        <w:t>včetně nákladů souvisejících s dopravou v zahraničí na hranice</w:t>
      </w:r>
      <w:r>
        <w:rPr>
          <w:sz w:val="16"/>
          <w:szCs w:val="16"/>
        </w:rPr>
        <w:t> </w:t>
      </w:r>
      <w:r w:rsidRPr="003279A7">
        <w:rPr>
          <w:sz w:val="16"/>
          <w:szCs w:val="16"/>
        </w:rPr>
        <w:t>ČR. Data jsou platná k</w:t>
      </w:r>
      <w:r>
        <w:rPr>
          <w:sz w:val="16"/>
          <w:szCs w:val="16"/>
        </w:rPr>
        <w:t> 9. 3. 2020.</w:t>
      </w:r>
    </w:p>
  </w:footnote>
  <w:footnote w:id="43">
    <w:p w14:paraId="2EDB2917" w14:textId="77777777" w:rsidR="003474B6" w:rsidRPr="007A024B" w:rsidRDefault="003474B6" w:rsidP="00C715CC">
      <w:pPr>
        <w:pStyle w:val="Textpoznpodarou"/>
        <w:rPr>
          <w:sz w:val="16"/>
          <w:szCs w:val="16"/>
        </w:rPr>
      </w:pPr>
      <w:r w:rsidRPr="007A024B">
        <w:rPr>
          <w:rStyle w:val="Znakapoznpodarou"/>
          <w:sz w:val="16"/>
          <w:szCs w:val="16"/>
        </w:rPr>
        <w:footnoteRef/>
      </w:r>
      <w:r w:rsidRPr="007A024B">
        <w:rPr>
          <w:sz w:val="16"/>
          <w:szCs w:val="16"/>
        </w:rPr>
        <w:t xml:space="preserve"> </w:t>
      </w:r>
      <w:r>
        <w:rPr>
          <w:sz w:val="16"/>
          <w:szCs w:val="16"/>
        </w:rPr>
        <w:t xml:space="preserve">Z hlediska vývozu bylo </w:t>
      </w:r>
      <w:r w:rsidRPr="007A024B">
        <w:rPr>
          <w:spacing w:val="-4"/>
          <w:sz w:val="16"/>
          <w:szCs w:val="16"/>
        </w:rPr>
        <w:t>4</w:t>
      </w:r>
      <w:r>
        <w:rPr>
          <w:spacing w:val="-4"/>
          <w:sz w:val="16"/>
          <w:szCs w:val="16"/>
        </w:rPr>
        <w:t>. čtvrtlet</w:t>
      </w:r>
      <w:r w:rsidRPr="007A024B">
        <w:rPr>
          <w:spacing w:val="-4"/>
          <w:sz w:val="16"/>
          <w:szCs w:val="16"/>
        </w:rPr>
        <w:t>í 2018 nejlepším kvartálem příslušného roku, ale rovněž celé předchozí časové řady, překonalo jej pouze letošní 2</w:t>
      </w:r>
      <w:r>
        <w:rPr>
          <w:spacing w:val="-4"/>
          <w:sz w:val="16"/>
          <w:szCs w:val="16"/>
        </w:rPr>
        <w:t>. čtvrtlet</w:t>
      </w:r>
      <w:r w:rsidRPr="007A024B">
        <w:rPr>
          <w:spacing w:val="-4"/>
          <w:sz w:val="16"/>
          <w:szCs w:val="16"/>
        </w:rPr>
        <w:t>í, které bývá pravidelně nejsilnějším obdobím roku</w:t>
      </w:r>
      <w:r>
        <w:rPr>
          <w:spacing w:val="-4"/>
          <w:sz w:val="16"/>
          <w:szCs w:val="16"/>
        </w:rPr>
        <w:t>.</w:t>
      </w:r>
    </w:p>
  </w:footnote>
  <w:footnote w:id="44">
    <w:p w14:paraId="4ACA07B1" w14:textId="77777777" w:rsidR="003474B6" w:rsidRPr="007A024B" w:rsidRDefault="003474B6" w:rsidP="00C715CC">
      <w:pPr>
        <w:pStyle w:val="Textpoznpodarou"/>
        <w:rPr>
          <w:sz w:val="16"/>
          <w:szCs w:val="16"/>
        </w:rPr>
      </w:pPr>
      <w:r w:rsidRPr="007A024B">
        <w:rPr>
          <w:rStyle w:val="Znakapoznpodarou"/>
          <w:sz w:val="16"/>
          <w:szCs w:val="16"/>
        </w:rPr>
        <w:footnoteRef/>
      </w:r>
      <w:r w:rsidRPr="007A024B">
        <w:rPr>
          <w:sz w:val="16"/>
          <w:szCs w:val="16"/>
        </w:rPr>
        <w:t xml:space="preserve"> EU28 včetně velké Británie.</w:t>
      </w:r>
    </w:p>
  </w:footnote>
  <w:footnote w:id="45">
    <w:p w14:paraId="2592C89F" w14:textId="77777777" w:rsidR="003474B6" w:rsidRPr="00F44399" w:rsidRDefault="003474B6" w:rsidP="00C715CC">
      <w:pPr>
        <w:pStyle w:val="Textpoznpodarou"/>
        <w:rPr>
          <w:sz w:val="16"/>
          <w:szCs w:val="16"/>
        </w:rPr>
      </w:pPr>
      <w:r w:rsidRPr="00F44399">
        <w:rPr>
          <w:rStyle w:val="Znakapoznpodarou"/>
          <w:sz w:val="16"/>
          <w:szCs w:val="16"/>
        </w:rPr>
        <w:footnoteRef/>
      </w:r>
      <w:r w:rsidRPr="00F44399">
        <w:rPr>
          <w:sz w:val="16"/>
          <w:szCs w:val="16"/>
        </w:rPr>
        <w:t xml:space="preserve"> </w:t>
      </w:r>
      <w:r w:rsidRPr="00F44399">
        <w:rPr>
          <w:spacing w:val="-4"/>
          <w:sz w:val="16"/>
          <w:szCs w:val="16"/>
        </w:rPr>
        <w:t>Kromě vysoké srovnávací základny se v odvětví projevil přesun některých částí produkce z kategorie zboží do služeb.</w:t>
      </w:r>
    </w:p>
  </w:footnote>
  <w:footnote w:id="46">
    <w:p w14:paraId="3EE87FB5" w14:textId="77777777" w:rsidR="003474B6" w:rsidRPr="00302165" w:rsidRDefault="003474B6" w:rsidP="00302165">
      <w:pPr>
        <w:pStyle w:val="Textpoznpodarou"/>
        <w:rPr>
          <w:sz w:val="16"/>
          <w:szCs w:val="16"/>
        </w:rPr>
      </w:pPr>
      <w:r w:rsidRPr="00302165">
        <w:rPr>
          <w:rStyle w:val="Znakapoznpodarou"/>
          <w:sz w:val="16"/>
          <w:szCs w:val="16"/>
        </w:rPr>
        <w:footnoteRef/>
      </w:r>
      <w:r w:rsidRPr="00302165">
        <w:rPr>
          <w:sz w:val="16"/>
          <w:szCs w:val="16"/>
        </w:rPr>
        <w:t xml:space="preserve"> Jedná se o</w:t>
      </w:r>
      <w:r>
        <w:rPr>
          <w:sz w:val="16"/>
          <w:szCs w:val="16"/>
        </w:rPr>
        <w:t> heterogenní uskupení</w:t>
      </w:r>
      <w:r w:rsidRPr="00302165">
        <w:rPr>
          <w:sz w:val="16"/>
          <w:szCs w:val="16"/>
        </w:rPr>
        <w:t xml:space="preserve"> zahrnující služby výzkumu a</w:t>
      </w:r>
      <w:r>
        <w:rPr>
          <w:sz w:val="16"/>
          <w:szCs w:val="16"/>
        </w:rPr>
        <w:t> </w:t>
      </w:r>
      <w:r w:rsidRPr="00302165">
        <w:rPr>
          <w:sz w:val="16"/>
          <w:szCs w:val="16"/>
        </w:rPr>
        <w:t>vývoje, profesní a</w:t>
      </w:r>
      <w:r>
        <w:rPr>
          <w:sz w:val="16"/>
          <w:szCs w:val="16"/>
        </w:rPr>
        <w:t> </w:t>
      </w:r>
      <w:r w:rsidRPr="00302165">
        <w:rPr>
          <w:sz w:val="16"/>
          <w:szCs w:val="16"/>
        </w:rPr>
        <w:t>administrativní konzultační služby, služby související s</w:t>
      </w:r>
      <w:r>
        <w:rPr>
          <w:sz w:val="16"/>
          <w:szCs w:val="16"/>
        </w:rPr>
        <w:t> </w:t>
      </w:r>
      <w:r w:rsidRPr="00302165">
        <w:rPr>
          <w:sz w:val="16"/>
          <w:szCs w:val="16"/>
        </w:rPr>
        <w:t>odpady a</w:t>
      </w:r>
      <w:r>
        <w:rPr>
          <w:sz w:val="16"/>
          <w:szCs w:val="16"/>
        </w:rPr>
        <w:t> </w:t>
      </w:r>
      <w:r w:rsidRPr="00302165">
        <w:rPr>
          <w:sz w:val="16"/>
          <w:szCs w:val="16"/>
        </w:rPr>
        <w:t>znečištěním, zemědělské a</w:t>
      </w:r>
      <w:r>
        <w:rPr>
          <w:sz w:val="16"/>
          <w:szCs w:val="16"/>
        </w:rPr>
        <w:t> </w:t>
      </w:r>
      <w:r w:rsidRPr="00302165">
        <w:rPr>
          <w:sz w:val="16"/>
          <w:szCs w:val="16"/>
        </w:rPr>
        <w:t>důlní služby, operativní leasing a</w:t>
      </w:r>
      <w:r>
        <w:rPr>
          <w:sz w:val="16"/>
          <w:szCs w:val="16"/>
        </w:rPr>
        <w:t> </w:t>
      </w:r>
      <w:r w:rsidRPr="00302165">
        <w:rPr>
          <w:sz w:val="16"/>
          <w:szCs w:val="16"/>
        </w:rPr>
        <w:t>služby související s přenosem vody, plynu, páry, ropných produktů a</w:t>
      </w:r>
      <w:r>
        <w:rPr>
          <w:sz w:val="16"/>
          <w:szCs w:val="16"/>
        </w:rPr>
        <w:t> </w:t>
      </w:r>
      <w:r w:rsidRPr="00302165">
        <w:rPr>
          <w:sz w:val="16"/>
          <w:szCs w:val="16"/>
        </w:rPr>
        <w:t>klimatizovaného vzduchu.</w:t>
      </w:r>
    </w:p>
  </w:footnote>
  <w:footnote w:id="47">
    <w:p w14:paraId="7878171F" w14:textId="77777777" w:rsidR="003474B6" w:rsidRPr="0048372F" w:rsidRDefault="003474B6">
      <w:pPr>
        <w:pStyle w:val="Textpoznpodarou"/>
        <w:rPr>
          <w:sz w:val="16"/>
          <w:szCs w:val="16"/>
        </w:rPr>
      </w:pPr>
      <w:r w:rsidRPr="0048372F">
        <w:rPr>
          <w:rStyle w:val="Znakapoznpodarou"/>
          <w:sz w:val="16"/>
          <w:szCs w:val="16"/>
        </w:rPr>
        <w:footnoteRef/>
      </w:r>
      <w:r w:rsidRPr="0048372F">
        <w:rPr>
          <w:sz w:val="16"/>
          <w:szCs w:val="16"/>
        </w:rPr>
        <w:t xml:space="preserve"> Jde o</w:t>
      </w:r>
      <w:r>
        <w:rPr>
          <w:sz w:val="16"/>
          <w:szCs w:val="16"/>
        </w:rPr>
        <w:t> </w:t>
      </w:r>
      <w:r w:rsidRPr="0048372F">
        <w:rPr>
          <w:sz w:val="16"/>
          <w:szCs w:val="16"/>
        </w:rPr>
        <w:t>kompletaci výrobk</w:t>
      </w:r>
      <w:r>
        <w:rPr>
          <w:sz w:val="16"/>
          <w:szCs w:val="16"/>
        </w:rPr>
        <w:t>ů</w:t>
      </w:r>
      <w:r w:rsidRPr="0048372F">
        <w:rPr>
          <w:sz w:val="16"/>
          <w:szCs w:val="16"/>
        </w:rPr>
        <w:t xml:space="preserve"> z dodaných součástek.</w:t>
      </w:r>
    </w:p>
  </w:footnote>
  <w:footnote w:id="48">
    <w:p w14:paraId="5C8AD347" w14:textId="77777777" w:rsidR="003474B6" w:rsidRPr="004066D0" w:rsidRDefault="003474B6">
      <w:pPr>
        <w:pStyle w:val="Textpoznpodarou"/>
        <w:rPr>
          <w:sz w:val="16"/>
          <w:szCs w:val="16"/>
        </w:rPr>
      </w:pPr>
      <w:r w:rsidRPr="004066D0">
        <w:rPr>
          <w:rStyle w:val="Znakapoznpodarou"/>
          <w:sz w:val="16"/>
          <w:szCs w:val="16"/>
        </w:rPr>
        <w:footnoteRef/>
      </w:r>
      <w:r w:rsidRPr="004066D0">
        <w:rPr>
          <w:sz w:val="16"/>
          <w:szCs w:val="16"/>
        </w:rPr>
        <w:t xml:space="preserve"> Daně, sociální příspěvky a</w:t>
      </w:r>
      <w:r>
        <w:rPr>
          <w:sz w:val="16"/>
          <w:szCs w:val="16"/>
        </w:rPr>
        <w:t> </w:t>
      </w:r>
      <w:r w:rsidRPr="004066D0">
        <w:rPr>
          <w:sz w:val="16"/>
          <w:szCs w:val="16"/>
        </w:rPr>
        <w:t>dávky a</w:t>
      </w:r>
      <w:r>
        <w:rPr>
          <w:sz w:val="16"/>
          <w:szCs w:val="16"/>
        </w:rPr>
        <w:t> </w:t>
      </w:r>
      <w:r w:rsidRPr="004066D0">
        <w:rPr>
          <w:sz w:val="16"/>
          <w:szCs w:val="16"/>
        </w:rPr>
        <w:t>ostatní běžné transfery.</w:t>
      </w:r>
    </w:p>
  </w:footnote>
  <w:footnote w:id="49">
    <w:p w14:paraId="54D83A5C" w14:textId="77777777" w:rsidR="003474B6" w:rsidRPr="004066D0" w:rsidRDefault="003474B6">
      <w:pPr>
        <w:pStyle w:val="Textpoznpodarou"/>
        <w:rPr>
          <w:sz w:val="16"/>
          <w:szCs w:val="16"/>
        </w:rPr>
      </w:pPr>
      <w:r w:rsidRPr="004066D0">
        <w:rPr>
          <w:rStyle w:val="Znakapoznpodarou"/>
          <w:sz w:val="16"/>
          <w:szCs w:val="16"/>
        </w:rPr>
        <w:footnoteRef/>
      </w:r>
      <w:r w:rsidRPr="004066D0">
        <w:rPr>
          <w:sz w:val="16"/>
          <w:szCs w:val="16"/>
        </w:rPr>
        <w:t xml:space="preserve"> </w:t>
      </w:r>
      <w:r>
        <w:rPr>
          <w:sz w:val="16"/>
          <w:szCs w:val="16"/>
        </w:rPr>
        <w:t>S</w:t>
      </w:r>
      <w:r w:rsidRPr="004066D0">
        <w:rPr>
          <w:sz w:val="16"/>
          <w:szCs w:val="16"/>
        </w:rPr>
        <w:t>oučet salda běžných a kapitálových transferů očištěného o</w:t>
      </w:r>
      <w:r>
        <w:rPr>
          <w:sz w:val="16"/>
          <w:szCs w:val="16"/>
        </w:rPr>
        <w:t> </w:t>
      </w:r>
      <w:r w:rsidRPr="004066D0">
        <w:rPr>
          <w:sz w:val="16"/>
          <w:szCs w:val="16"/>
        </w:rPr>
        <w:t>čisté pořízení nefinančních aktiv</w:t>
      </w:r>
      <w:r>
        <w:rPr>
          <w:sz w:val="16"/>
          <w:szCs w:val="16"/>
        </w:rPr>
        <w:t>.</w:t>
      </w:r>
    </w:p>
  </w:footnote>
  <w:footnote w:id="50">
    <w:p w14:paraId="0B1A72E3" w14:textId="77777777" w:rsidR="003474B6" w:rsidRPr="00771080" w:rsidRDefault="003474B6" w:rsidP="00C715CC">
      <w:pPr>
        <w:pStyle w:val="Textpoznpodarou"/>
        <w:rPr>
          <w:sz w:val="16"/>
          <w:szCs w:val="16"/>
        </w:rPr>
      </w:pPr>
      <w:r w:rsidRPr="00771080">
        <w:rPr>
          <w:rStyle w:val="Znakapoznpodarou"/>
          <w:sz w:val="16"/>
          <w:szCs w:val="16"/>
        </w:rPr>
        <w:footnoteRef/>
      </w:r>
      <w:r w:rsidRPr="00771080">
        <w:rPr>
          <w:sz w:val="16"/>
          <w:szCs w:val="16"/>
        </w:rPr>
        <w:t xml:space="preserve"> Měřeno deflátorem HDP.</w:t>
      </w:r>
    </w:p>
  </w:footnote>
  <w:footnote w:id="51">
    <w:p w14:paraId="45458C2E" w14:textId="77777777" w:rsidR="003474B6" w:rsidRPr="0069077E" w:rsidRDefault="003474B6" w:rsidP="00C715CC">
      <w:pPr>
        <w:pStyle w:val="Textpoznpodarou"/>
        <w:rPr>
          <w:sz w:val="16"/>
          <w:szCs w:val="16"/>
        </w:rPr>
      </w:pPr>
      <w:r w:rsidRPr="0069077E">
        <w:rPr>
          <w:rStyle w:val="Znakapoznpodarou"/>
          <w:sz w:val="16"/>
          <w:szCs w:val="16"/>
        </w:rPr>
        <w:footnoteRef/>
      </w:r>
      <w:r w:rsidRPr="0069077E">
        <w:rPr>
          <w:sz w:val="16"/>
          <w:szCs w:val="16"/>
        </w:rPr>
        <w:t xml:space="preserve"> Individuální data.</w:t>
      </w:r>
    </w:p>
  </w:footnote>
  <w:footnote w:id="52">
    <w:p w14:paraId="00EBD8CF" w14:textId="77777777" w:rsidR="003474B6" w:rsidRPr="00C534AE" w:rsidRDefault="003474B6" w:rsidP="00C715CC">
      <w:pPr>
        <w:pStyle w:val="Textpoznpodarou"/>
        <w:rPr>
          <w:sz w:val="16"/>
          <w:szCs w:val="16"/>
        </w:rPr>
      </w:pPr>
      <w:r w:rsidRPr="00C534AE">
        <w:rPr>
          <w:rStyle w:val="Znakapoznpodarou"/>
          <w:sz w:val="16"/>
          <w:szCs w:val="16"/>
        </w:rPr>
        <w:footnoteRef/>
      </w:r>
      <w:r w:rsidRPr="00C534AE">
        <w:rPr>
          <w:sz w:val="16"/>
          <w:szCs w:val="16"/>
        </w:rPr>
        <w:t xml:space="preserve"> </w:t>
      </w:r>
      <w:r>
        <w:rPr>
          <w:sz w:val="16"/>
          <w:szCs w:val="16"/>
        </w:rPr>
        <w:t>S</w:t>
      </w:r>
      <w:r w:rsidRPr="00C534AE">
        <w:rPr>
          <w:sz w:val="16"/>
          <w:szCs w:val="16"/>
        </w:rPr>
        <w:t>tavební výrobky z jílovitých materiálů, cement, vápno</w:t>
      </w:r>
      <w:r>
        <w:rPr>
          <w:sz w:val="16"/>
          <w:szCs w:val="16"/>
        </w:rPr>
        <w:t>,</w:t>
      </w:r>
      <w:r w:rsidRPr="00C534AE">
        <w:rPr>
          <w:sz w:val="16"/>
          <w:szCs w:val="16"/>
        </w:rPr>
        <w:t xml:space="preserve"> sádra a</w:t>
      </w:r>
      <w:r>
        <w:rPr>
          <w:sz w:val="16"/>
          <w:szCs w:val="16"/>
        </w:rPr>
        <w:t> </w:t>
      </w:r>
      <w:r w:rsidRPr="00C534AE">
        <w:rPr>
          <w:sz w:val="16"/>
          <w:szCs w:val="16"/>
        </w:rPr>
        <w:t>výrobky z nich a</w:t>
      </w:r>
      <w:r>
        <w:rPr>
          <w:sz w:val="16"/>
          <w:szCs w:val="16"/>
        </w:rPr>
        <w:t> </w:t>
      </w:r>
      <w:r w:rsidRPr="00C534AE">
        <w:rPr>
          <w:sz w:val="16"/>
          <w:szCs w:val="16"/>
        </w:rPr>
        <w:t>řezaný, tvarovaný a</w:t>
      </w:r>
      <w:r>
        <w:rPr>
          <w:sz w:val="16"/>
          <w:szCs w:val="16"/>
        </w:rPr>
        <w:t> </w:t>
      </w:r>
      <w:r w:rsidRPr="00C534AE">
        <w:rPr>
          <w:sz w:val="16"/>
          <w:szCs w:val="16"/>
        </w:rPr>
        <w:t>upravený kámen</w:t>
      </w:r>
      <w:r>
        <w:rPr>
          <w:sz w:val="16"/>
          <w:szCs w:val="16"/>
        </w:rPr>
        <w:t>.</w:t>
      </w:r>
    </w:p>
  </w:footnote>
  <w:footnote w:id="53">
    <w:p w14:paraId="25D566E1" w14:textId="77777777" w:rsidR="003474B6" w:rsidRPr="009549E7" w:rsidRDefault="003474B6" w:rsidP="00C715CC">
      <w:pPr>
        <w:pStyle w:val="Textpoznpodarou"/>
        <w:rPr>
          <w:sz w:val="16"/>
          <w:szCs w:val="16"/>
        </w:rPr>
      </w:pPr>
      <w:r w:rsidRPr="009549E7">
        <w:rPr>
          <w:rStyle w:val="Znakapoznpodarou"/>
          <w:sz w:val="16"/>
          <w:szCs w:val="16"/>
        </w:rPr>
        <w:footnoteRef/>
      </w:r>
      <w:r w:rsidRPr="009549E7">
        <w:rPr>
          <w:sz w:val="16"/>
          <w:szCs w:val="16"/>
        </w:rPr>
        <w:t xml:space="preserve"> Africký mor prasat. Podle údajů Státní veterinární správy byl ke dni 13. 8. 2019 hlášen výskyt na Ukrajině, v Srbsku a v 10</w:t>
      </w:r>
      <w:r>
        <w:rPr>
          <w:sz w:val="16"/>
          <w:szCs w:val="16"/>
        </w:rPr>
        <w:t> </w:t>
      </w:r>
      <w:r w:rsidRPr="009549E7">
        <w:rPr>
          <w:sz w:val="16"/>
          <w:szCs w:val="16"/>
        </w:rPr>
        <w:t>členských státech EU: Belgii, Bulharsku, Estonsku, Itálii (výskyt pouze na Sardinii), Litvě, Lotyšsku, Maďarsku, Polsku, Rumunsku a Slovensku.</w:t>
      </w:r>
    </w:p>
  </w:footnote>
  <w:footnote w:id="54">
    <w:p w14:paraId="716F198F" w14:textId="77777777" w:rsidR="003474B6" w:rsidRPr="00940B11" w:rsidRDefault="003474B6" w:rsidP="00C715CC">
      <w:pPr>
        <w:pStyle w:val="Textpoznpodarou"/>
        <w:rPr>
          <w:sz w:val="16"/>
          <w:szCs w:val="16"/>
        </w:rPr>
      </w:pPr>
      <w:r w:rsidRPr="00940B11">
        <w:rPr>
          <w:rStyle w:val="Znakapoznpodarou"/>
          <w:sz w:val="16"/>
          <w:szCs w:val="16"/>
        </w:rPr>
        <w:footnoteRef/>
      </w:r>
      <w:r w:rsidRPr="00940B11">
        <w:rPr>
          <w:sz w:val="16"/>
          <w:szCs w:val="16"/>
        </w:rPr>
        <w:t xml:space="preserve"> SITC</w:t>
      </w:r>
      <w:r>
        <w:rPr>
          <w:sz w:val="16"/>
          <w:szCs w:val="16"/>
        </w:rPr>
        <w:t> </w:t>
      </w:r>
      <w:r w:rsidRPr="00940B11">
        <w:rPr>
          <w:sz w:val="16"/>
          <w:szCs w:val="16"/>
        </w:rPr>
        <w:t>6</w:t>
      </w:r>
      <w:r>
        <w:rPr>
          <w:sz w:val="16"/>
          <w:szCs w:val="16"/>
        </w:rPr>
        <w:t> </w:t>
      </w:r>
      <w:r w:rsidRPr="00940B11">
        <w:rPr>
          <w:sz w:val="16"/>
          <w:szCs w:val="16"/>
        </w:rPr>
        <w:t>– tržní výrobky tříděné hlavně podle materiálu.</w:t>
      </w:r>
    </w:p>
  </w:footnote>
  <w:footnote w:id="55">
    <w:p w14:paraId="4E34730B" w14:textId="77777777" w:rsidR="003474B6" w:rsidRPr="00940B11" w:rsidRDefault="003474B6" w:rsidP="00C715CC">
      <w:pPr>
        <w:pStyle w:val="Textpoznpodarou"/>
        <w:rPr>
          <w:sz w:val="16"/>
          <w:szCs w:val="16"/>
        </w:rPr>
      </w:pPr>
      <w:r w:rsidRPr="00940B11">
        <w:rPr>
          <w:rStyle w:val="Znakapoznpodarou"/>
          <w:sz w:val="16"/>
          <w:szCs w:val="16"/>
        </w:rPr>
        <w:footnoteRef/>
      </w:r>
      <w:r w:rsidRPr="00940B11">
        <w:rPr>
          <w:sz w:val="16"/>
          <w:szCs w:val="16"/>
        </w:rPr>
        <w:t xml:space="preserve"> SITC</w:t>
      </w:r>
      <w:r>
        <w:rPr>
          <w:sz w:val="16"/>
          <w:szCs w:val="16"/>
        </w:rPr>
        <w:t> </w:t>
      </w:r>
      <w:r w:rsidRPr="00940B11">
        <w:rPr>
          <w:sz w:val="16"/>
          <w:szCs w:val="16"/>
        </w:rPr>
        <w:t>2</w:t>
      </w:r>
      <w:r>
        <w:rPr>
          <w:sz w:val="16"/>
          <w:szCs w:val="16"/>
        </w:rPr>
        <w:t> </w:t>
      </w:r>
      <w:r w:rsidRPr="00940B11">
        <w:rPr>
          <w:sz w:val="16"/>
          <w:szCs w:val="16"/>
        </w:rPr>
        <w:t>– suroviny nepoživatelné s výjimkou paliv.</w:t>
      </w:r>
    </w:p>
  </w:footnote>
  <w:footnote w:id="56">
    <w:p w14:paraId="6918A951" w14:textId="77777777" w:rsidR="003474B6" w:rsidRPr="00363D19" w:rsidRDefault="003474B6" w:rsidP="00485E82">
      <w:pPr>
        <w:pStyle w:val="Textpoznpodarou"/>
        <w:jc w:val="both"/>
        <w:rPr>
          <w:spacing w:val="-4"/>
          <w:sz w:val="16"/>
          <w:szCs w:val="16"/>
        </w:rPr>
      </w:pPr>
      <w:r w:rsidRPr="00363D19">
        <w:rPr>
          <w:rStyle w:val="Znakapoznpodarou"/>
          <w:spacing w:val="-4"/>
          <w:sz w:val="16"/>
          <w:szCs w:val="16"/>
        </w:rPr>
        <w:footnoteRef/>
      </w:r>
      <w:r w:rsidRPr="00363D19">
        <w:rPr>
          <w:spacing w:val="-4"/>
          <w:sz w:val="16"/>
          <w:szCs w:val="16"/>
        </w:rPr>
        <w:t xml:space="preserve"> Pokud není uvedeno jinak, jsou v této kapitole údaje o</w:t>
      </w:r>
      <w:r>
        <w:rPr>
          <w:spacing w:val="-4"/>
          <w:sz w:val="16"/>
          <w:szCs w:val="16"/>
        </w:rPr>
        <w:t> </w:t>
      </w:r>
      <w:r w:rsidRPr="00363D19">
        <w:rPr>
          <w:spacing w:val="-4"/>
          <w:sz w:val="16"/>
          <w:szCs w:val="16"/>
        </w:rPr>
        <w:t>zaměstnanosti uvedeny v pojetí národních účtů po očištění o</w:t>
      </w:r>
      <w:r>
        <w:rPr>
          <w:spacing w:val="-4"/>
          <w:sz w:val="16"/>
          <w:szCs w:val="16"/>
        </w:rPr>
        <w:t> </w:t>
      </w:r>
      <w:r w:rsidRPr="00363D19">
        <w:rPr>
          <w:spacing w:val="-4"/>
          <w:sz w:val="16"/>
          <w:szCs w:val="16"/>
        </w:rPr>
        <w:t>sezónní vlivy.</w:t>
      </w:r>
    </w:p>
  </w:footnote>
  <w:footnote w:id="57">
    <w:p w14:paraId="72247B4A" w14:textId="77777777" w:rsidR="003474B6" w:rsidRPr="00363D19" w:rsidRDefault="003474B6" w:rsidP="00485E82">
      <w:pPr>
        <w:pStyle w:val="Textpoznpodarou"/>
        <w:jc w:val="both"/>
        <w:rPr>
          <w:spacing w:val="-4"/>
          <w:sz w:val="16"/>
          <w:szCs w:val="16"/>
        </w:rPr>
      </w:pPr>
      <w:r w:rsidRPr="00363D19">
        <w:rPr>
          <w:rStyle w:val="Znakapoznpodarou"/>
          <w:spacing w:val="-4"/>
          <w:sz w:val="16"/>
          <w:szCs w:val="16"/>
        </w:rPr>
        <w:footnoteRef/>
      </w:r>
      <w:r>
        <w:rPr>
          <w:spacing w:val="-4"/>
          <w:sz w:val="16"/>
          <w:szCs w:val="16"/>
        </w:rPr>
        <w:t xml:space="preserve"> To potvrzují také údaje</w:t>
      </w:r>
      <w:r w:rsidRPr="00363D19">
        <w:rPr>
          <w:spacing w:val="-4"/>
          <w:sz w:val="16"/>
          <w:szCs w:val="16"/>
        </w:rPr>
        <w:t xml:space="preserve"> podnikové statistiky</w:t>
      </w:r>
      <w:r>
        <w:rPr>
          <w:spacing w:val="-4"/>
          <w:sz w:val="16"/>
          <w:szCs w:val="16"/>
        </w:rPr>
        <w:t>. P</w:t>
      </w:r>
      <w:r w:rsidRPr="00363D19">
        <w:rPr>
          <w:spacing w:val="-4"/>
          <w:sz w:val="16"/>
          <w:szCs w:val="16"/>
        </w:rPr>
        <w:t>očet zaměstnanců v průmyslu ve 4</w:t>
      </w:r>
      <w:r>
        <w:rPr>
          <w:spacing w:val="-4"/>
          <w:sz w:val="16"/>
          <w:szCs w:val="16"/>
        </w:rPr>
        <w:t>. čtvrtletí meziročně klesl o 1,5</w:t>
      </w:r>
      <w:r w:rsidRPr="00363D19">
        <w:rPr>
          <w:spacing w:val="-4"/>
          <w:sz w:val="16"/>
          <w:szCs w:val="16"/>
        </w:rPr>
        <w:t> % (za celý</w:t>
      </w:r>
      <w:r>
        <w:rPr>
          <w:spacing w:val="-4"/>
          <w:sz w:val="16"/>
          <w:szCs w:val="16"/>
        </w:rPr>
        <w:t xml:space="preserve"> rok 2019 o 0,8 %</w:t>
      </w:r>
      <w:r w:rsidRPr="00363D19">
        <w:rPr>
          <w:spacing w:val="-4"/>
          <w:sz w:val="16"/>
          <w:szCs w:val="16"/>
        </w:rPr>
        <w:t>). V tomto pojetí ale nejsou do průmyslu zařazeni agenturní pracovníci a není zohledněn ani vliv šedé ekonomiky.</w:t>
      </w:r>
    </w:p>
  </w:footnote>
  <w:footnote w:id="58">
    <w:p w14:paraId="7C9AB12D" w14:textId="77777777" w:rsidR="003474B6" w:rsidRPr="00363D19" w:rsidRDefault="003474B6" w:rsidP="00485E82">
      <w:pPr>
        <w:pStyle w:val="Textpoznpodarou"/>
        <w:jc w:val="both"/>
        <w:rPr>
          <w:spacing w:val="-4"/>
          <w:sz w:val="16"/>
          <w:szCs w:val="16"/>
        </w:rPr>
      </w:pPr>
      <w:r w:rsidRPr="00363D19">
        <w:rPr>
          <w:rStyle w:val="Znakapoznpodarou"/>
          <w:spacing w:val="-4"/>
          <w:sz w:val="16"/>
          <w:szCs w:val="16"/>
        </w:rPr>
        <w:footnoteRef/>
      </w:r>
      <w:r>
        <w:rPr>
          <w:spacing w:val="-4"/>
          <w:sz w:val="16"/>
          <w:szCs w:val="16"/>
        </w:rPr>
        <w:t xml:space="preserve"> Mírný pokles počtu </w:t>
      </w:r>
      <w:proofErr w:type="spellStart"/>
      <w:r>
        <w:rPr>
          <w:spacing w:val="-4"/>
          <w:sz w:val="16"/>
          <w:szCs w:val="16"/>
        </w:rPr>
        <w:t>sebezaměstnaných</w:t>
      </w:r>
      <w:proofErr w:type="spellEnd"/>
      <w:r>
        <w:rPr>
          <w:spacing w:val="-4"/>
          <w:sz w:val="16"/>
          <w:szCs w:val="16"/>
        </w:rPr>
        <w:t xml:space="preserve"> v primárním sektoru, průmyslu a v uskupení o</w:t>
      </w:r>
      <w:r w:rsidRPr="00363D19">
        <w:rPr>
          <w:spacing w:val="-4"/>
          <w:sz w:val="16"/>
          <w:szCs w:val="16"/>
        </w:rPr>
        <w:t>bchod, doprava, ubytování a</w:t>
      </w:r>
      <w:r>
        <w:rPr>
          <w:spacing w:val="-4"/>
          <w:sz w:val="16"/>
          <w:szCs w:val="16"/>
        </w:rPr>
        <w:t> </w:t>
      </w:r>
      <w:r w:rsidRPr="00363D19">
        <w:rPr>
          <w:spacing w:val="-4"/>
          <w:sz w:val="16"/>
          <w:szCs w:val="16"/>
        </w:rPr>
        <w:t>pohostinství</w:t>
      </w:r>
      <w:r>
        <w:rPr>
          <w:spacing w:val="-4"/>
          <w:sz w:val="16"/>
          <w:szCs w:val="16"/>
        </w:rPr>
        <w:t xml:space="preserve"> byl z velké části kompenzován jejich navýšením ve stavebnictví a většině odvětví služeb (zejména v informačních </w:t>
      </w:r>
      <w:r w:rsidRPr="00363D19">
        <w:rPr>
          <w:spacing w:val="-4"/>
          <w:sz w:val="16"/>
          <w:szCs w:val="16"/>
        </w:rPr>
        <w:t>a</w:t>
      </w:r>
      <w:r>
        <w:rPr>
          <w:spacing w:val="-4"/>
          <w:sz w:val="16"/>
          <w:szCs w:val="16"/>
        </w:rPr>
        <w:t> </w:t>
      </w:r>
      <w:r w:rsidRPr="00363D19">
        <w:rPr>
          <w:spacing w:val="-4"/>
          <w:sz w:val="16"/>
          <w:szCs w:val="16"/>
        </w:rPr>
        <w:t>komunikační</w:t>
      </w:r>
      <w:r>
        <w:rPr>
          <w:spacing w:val="-4"/>
          <w:sz w:val="16"/>
          <w:szCs w:val="16"/>
        </w:rPr>
        <w:t>ch činnostech).</w:t>
      </w:r>
    </w:p>
  </w:footnote>
  <w:footnote w:id="59">
    <w:p w14:paraId="558C0FBF" w14:textId="77777777" w:rsidR="003474B6" w:rsidRPr="00363D19" w:rsidRDefault="003474B6" w:rsidP="00485E82">
      <w:pPr>
        <w:pStyle w:val="Textpoznpodarou"/>
        <w:jc w:val="both"/>
        <w:rPr>
          <w:spacing w:val="-4"/>
          <w:sz w:val="16"/>
          <w:szCs w:val="16"/>
        </w:rPr>
      </w:pPr>
      <w:r w:rsidRPr="00363D19">
        <w:rPr>
          <w:rStyle w:val="Znakapoznpodarou"/>
          <w:spacing w:val="-4"/>
          <w:sz w:val="16"/>
          <w:szCs w:val="16"/>
        </w:rPr>
        <w:footnoteRef/>
      </w:r>
      <w:r w:rsidRPr="00363D19">
        <w:rPr>
          <w:spacing w:val="-4"/>
          <w:sz w:val="16"/>
          <w:szCs w:val="16"/>
        </w:rPr>
        <w:t xml:space="preserve"> T</w:t>
      </w:r>
      <w:r>
        <w:rPr>
          <w:spacing w:val="-4"/>
          <w:sz w:val="16"/>
          <w:szCs w:val="16"/>
        </w:rPr>
        <w:t>a</w:t>
      </w:r>
      <w:r w:rsidRPr="00363D19">
        <w:rPr>
          <w:spacing w:val="-4"/>
          <w:sz w:val="16"/>
          <w:szCs w:val="16"/>
        </w:rPr>
        <w:t xml:space="preserve"> jsou vyjádřen</w:t>
      </w:r>
      <w:r>
        <w:rPr>
          <w:spacing w:val="-4"/>
          <w:sz w:val="16"/>
          <w:szCs w:val="16"/>
        </w:rPr>
        <w:t>a</w:t>
      </w:r>
      <w:r w:rsidRPr="00363D19">
        <w:rPr>
          <w:spacing w:val="-4"/>
          <w:sz w:val="16"/>
          <w:szCs w:val="16"/>
        </w:rPr>
        <w:t xml:space="preserve"> pomocí sezónně očištěných údajů jako rozdíl (v p. b.) mezi podílem podniků očekávajících v nejbližších třech měsících navýšení zaměstnanosti a podniků vyhlížejících naopak redukci stavu svých pracovníků.</w:t>
      </w:r>
    </w:p>
  </w:footnote>
  <w:footnote w:id="60">
    <w:p w14:paraId="7944EAB9" w14:textId="77777777" w:rsidR="003474B6" w:rsidRPr="00363D19" w:rsidRDefault="003474B6" w:rsidP="00485E82">
      <w:pPr>
        <w:pStyle w:val="Textpoznpodarou"/>
        <w:jc w:val="both"/>
        <w:rPr>
          <w:spacing w:val="-4"/>
          <w:sz w:val="16"/>
          <w:szCs w:val="16"/>
        </w:rPr>
      </w:pPr>
      <w:r w:rsidRPr="00363D19">
        <w:rPr>
          <w:rStyle w:val="Znakapoznpodarou"/>
          <w:spacing w:val="-4"/>
          <w:sz w:val="16"/>
          <w:szCs w:val="16"/>
        </w:rPr>
        <w:footnoteRef/>
      </w:r>
      <w:r w:rsidRPr="00363D19">
        <w:rPr>
          <w:spacing w:val="-4"/>
          <w:sz w:val="16"/>
          <w:szCs w:val="16"/>
        </w:rPr>
        <w:t xml:space="preserve"> V</w:t>
      </w:r>
      <w:r>
        <w:rPr>
          <w:spacing w:val="-4"/>
          <w:sz w:val="16"/>
          <w:szCs w:val="16"/>
        </w:rPr>
        <w:t> </w:t>
      </w:r>
      <w:r w:rsidRPr="00363D19">
        <w:rPr>
          <w:spacing w:val="-4"/>
          <w:sz w:val="16"/>
          <w:szCs w:val="16"/>
        </w:rPr>
        <w:t>rám</w:t>
      </w:r>
      <w:r w:rsidRPr="00E34647">
        <w:rPr>
          <w:spacing w:val="-4"/>
          <w:sz w:val="16"/>
          <w:szCs w:val="16"/>
        </w:rPr>
        <w:t>ci průmyslu měla negativ</w:t>
      </w:r>
      <w:r w:rsidRPr="00363D19">
        <w:rPr>
          <w:spacing w:val="-4"/>
          <w:sz w:val="16"/>
          <w:szCs w:val="16"/>
        </w:rPr>
        <w:t xml:space="preserve">ní očekávání zaměstnanosti hlavně odvětví kožedělného, obuvnického </w:t>
      </w:r>
      <w:r>
        <w:rPr>
          <w:spacing w:val="-4"/>
          <w:sz w:val="16"/>
          <w:szCs w:val="16"/>
        </w:rPr>
        <w:t>a </w:t>
      </w:r>
      <w:r w:rsidRPr="00363D19">
        <w:rPr>
          <w:spacing w:val="-4"/>
          <w:sz w:val="16"/>
          <w:szCs w:val="16"/>
        </w:rPr>
        <w:t>textilního průmyslu. Z větších odvětví pak zejm</w:t>
      </w:r>
      <w:r>
        <w:rPr>
          <w:spacing w:val="-4"/>
          <w:sz w:val="16"/>
          <w:szCs w:val="16"/>
        </w:rPr>
        <w:t>éna</w:t>
      </w:r>
      <w:r w:rsidRPr="00363D19">
        <w:rPr>
          <w:spacing w:val="-4"/>
          <w:sz w:val="16"/>
          <w:szCs w:val="16"/>
        </w:rPr>
        <w:t xml:space="preserve"> gumárenství a</w:t>
      </w:r>
      <w:r>
        <w:rPr>
          <w:spacing w:val="-4"/>
          <w:sz w:val="16"/>
          <w:szCs w:val="16"/>
        </w:rPr>
        <w:t> </w:t>
      </w:r>
      <w:proofErr w:type="spellStart"/>
      <w:r w:rsidRPr="00363D19">
        <w:rPr>
          <w:spacing w:val="-4"/>
          <w:sz w:val="16"/>
          <w:szCs w:val="16"/>
        </w:rPr>
        <w:t>plastikářství</w:t>
      </w:r>
      <w:proofErr w:type="spellEnd"/>
      <w:r w:rsidRPr="00363D19">
        <w:rPr>
          <w:spacing w:val="-4"/>
          <w:sz w:val="16"/>
          <w:szCs w:val="16"/>
        </w:rPr>
        <w:t>, strojírenství, kovovýroba, hutnictví a</w:t>
      </w:r>
      <w:r>
        <w:rPr>
          <w:spacing w:val="-4"/>
          <w:sz w:val="16"/>
          <w:szCs w:val="16"/>
        </w:rPr>
        <w:t> </w:t>
      </w:r>
      <w:r w:rsidRPr="00363D19">
        <w:rPr>
          <w:spacing w:val="-4"/>
          <w:sz w:val="16"/>
          <w:szCs w:val="16"/>
        </w:rPr>
        <w:t>slévárenství. Mírně negativní očekávání vyjadřovaly i</w:t>
      </w:r>
      <w:r>
        <w:rPr>
          <w:spacing w:val="-4"/>
          <w:sz w:val="16"/>
          <w:szCs w:val="16"/>
        </w:rPr>
        <w:t> </w:t>
      </w:r>
      <w:r w:rsidRPr="00363D19">
        <w:rPr>
          <w:spacing w:val="-4"/>
          <w:sz w:val="16"/>
          <w:szCs w:val="16"/>
        </w:rPr>
        <w:t>podniky ve výrobě dopravních prostředků (po většinu loňského roku). Pozitivní očekávání naopak převažovala v papírenském, tiskařském, chemickém či farmaceutickém průmyslu a</w:t>
      </w:r>
      <w:r>
        <w:rPr>
          <w:spacing w:val="-4"/>
          <w:sz w:val="16"/>
          <w:szCs w:val="16"/>
        </w:rPr>
        <w:t> </w:t>
      </w:r>
      <w:r w:rsidRPr="00363D19">
        <w:rPr>
          <w:spacing w:val="-4"/>
          <w:sz w:val="16"/>
          <w:szCs w:val="16"/>
        </w:rPr>
        <w:t>také v odvětví ostatního zpracovatelského průmyslu (zahrnující</w:t>
      </w:r>
      <w:r>
        <w:rPr>
          <w:spacing w:val="-4"/>
          <w:sz w:val="16"/>
          <w:szCs w:val="16"/>
        </w:rPr>
        <w:t>ho</w:t>
      </w:r>
      <w:r w:rsidRPr="00363D19">
        <w:rPr>
          <w:spacing w:val="-4"/>
          <w:sz w:val="16"/>
          <w:szCs w:val="16"/>
        </w:rPr>
        <w:t xml:space="preserve"> zejm</w:t>
      </w:r>
      <w:r>
        <w:rPr>
          <w:spacing w:val="-4"/>
          <w:sz w:val="16"/>
          <w:szCs w:val="16"/>
        </w:rPr>
        <w:t>éna</w:t>
      </w:r>
      <w:r w:rsidRPr="00363D19">
        <w:rPr>
          <w:spacing w:val="-4"/>
          <w:sz w:val="16"/>
          <w:szCs w:val="16"/>
        </w:rPr>
        <w:t xml:space="preserve"> výrobu lékařských a</w:t>
      </w:r>
      <w:r>
        <w:rPr>
          <w:spacing w:val="-4"/>
          <w:sz w:val="16"/>
          <w:szCs w:val="16"/>
        </w:rPr>
        <w:t> </w:t>
      </w:r>
      <w:r w:rsidRPr="00363D19">
        <w:rPr>
          <w:spacing w:val="-4"/>
          <w:sz w:val="16"/>
          <w:szCs w:val="16"/>
        </w:rPr>
        <w:t>dentálních nástrojů i</w:t>
      </w:r>
      <w:r>
        <w:rPr>
          <w:spacing w:val="-4"/>
          <w:sz w:val="16"/>
          <w:szCs w:val="16"/>
        </w:rPr>
        <w:t> </w:t>
      </w:r>
      <w:r w:rsidRPr="00363D19">
        <w:rPr>
          <w:spacing w:val="-4"/>
          <w:sz w:val="16"/>
          <w:szCs w:val="16"/>
        </w:rPr>
        <w:t>potřeb a</w:t>
      </w:r>
      <w:r>
        <w:rPr>
          <w:spacing w:val="-4"/>
          <w:sz w:val="16"/>
          <w:szCs w:val="16"/>
        </w:rPr>
        <w:t> </w:t>
      </w:r>
      <w:r w:rsidRPr="00363D19">
        <w:rPr>
          <w:spacing w:val="-4"/>
          <w:sz w:val="16"/>
          <w:szCs w:val="16"/>
        </w:rPr>
        <w:t>dále též hraček či sportovních potřeb).</w:t>
      </w:r>
    </w:p>
    <w:p w14:paraId="63EDC154" w14:textId="77777777" w:rsidR="003474B6" w:rsidRPr="00363D19" w:rsidRDefault="003474B6" w:rsidP="00485E82">
      <w:pPr>
        <w:pStyle w:val="Textpoznpodarou"/>
        <w:jc w:val="both"/>
        <w:rPr>
          <w:spacing w:val="-4"/>
          <w:sz w:val="16"/>
          <w:szCs w:val="16"/>
        </w:rPr>
      </w:pPr>
      <w:r w:rsidRPr="00363D19">
        <w:rPr>
          <w:spacing w:val="-4"/>
          <w:sz w:val="16"/>
          <w:szCs w:val="16"/>
        </w:rPr>
        <w:t>V rámc</w:t>
      </w:r>
      <w:r w:rsidRPr="00E34647">
        <w:rPr>
          <w:spacing w:val="-4"/>
          <w:sz w:val="16"/>
          <w:szCs w:val="16"/>
        </w:rPr>
        <w:t>i tržních služeb bylo n</w:t>
      </w:r>
      <w:r w:rsidRPr="00363D19">
        <w:rPr>
          <w:spacing w:val="-4"/>
          <w:sz w:val="16"/>
          <w:szCs w:val="16"/>
        </w:rPr>
        <w:t>egativní saldo očekávání zaměstnanosti patrné v dopravě, telekomunikacích, peněžnictví, činnostech v oblasti nemovitostí, v oblasti pronájmu a</w:t>
      </w:r>
      <w:r>
        <w:rPr>
          <w:spacing w:val="-4"/>
          <w:sz w:val="16"/>
          <w:szCs w:val="16"/>
        </w:rPr>
        <w:t> </w:t>
      </w:r>
      <w:r w:rsidRPr="00363D19">
        <w:rPr>
          <w:spacing w:val="-4"/>
          <w:sz w:val="16"/>
          <w:szCs w:val="16"/>
        </w:rPr>
        <w:t>operativního leasingu či u</w:t>
      </w:r>
      <w:r>
        <w:rPr>
          <w:spacing w:val="-4"/>
          <w:sz w:val="16"/>
          <w:szCs w:val="16"/>
        </w:rPr>
        <w:t> </w:t>
      </w:r>
      <w:r w:rsidRPr="00363D19">
        <w:rPr>
          <w:spacing w:val="-4"/>
          <w:sz w:val="16"/>
          <w:szCs w:val="16"/>
        </w:rPr>
        <w:t>cestovních kanceláří. Naopak předpokládaný nárůst zaměstnanosti indikovaly tradičně zejm. pracovní agentury, stravování a</w:t>
      </w:r>
      <w:r>
        <w:rPr>
          <w:spacing w:val="-4"/>
          <w:sz w:val="16"/>
          <w:szCs w:val="16"/>
        </w:rPr>
        <w:t> </w:t>
      </w:r>
      <w:r w:rsidRPr="00363D19">
        <w:rPr>
          <w:spacing w:val="-4"/>
          <w:sz w:val="16"/>
          <w:szCs w:val="16"/>
        </w:rPr>
        <w:t>pohostinství, skladování, právní a</w:t>
      </w:r>
      <w:r>
        <w:rPr>
          <w:spacing w:val="-4"/>
          <w:sz w:val="16"/>
          <w:szCs w:val="16"/>
        </w:rPr>
        <w:t> </w:t>
      </w:r>
      <w:r w:rsidRPr="00363D19">
        <w:rPr>
          <w:spacing w:val="-4"/>
          <w:sz w:val="16"/>
          <w:szCs w:val="16"/>
        </w:rPr>
        <w:t>účetnické činnosti, věda a</w:t>
      </w:r>
      <w:r>
        <w:rPr>
          <w:spacing w:val="-4"/>
          <w:sz w:val="16"/>
          <w:szCs w:val="16"/>
        </w:rPr>
        <w:t> </w:t>
      </w:r>
      <w:r w:rsidRPr="00363D19">
        <w:rPr>
          <w:spacing w:val="-4"/>
          <w:sz w:val="16"/>
          <w:szCs w:val="16"/>
        </w:rPr>
        <w:t>výzkum a</w:t>
      </w:r>
      <w:r>
        <w:rPr>
          <w:spacing w:val="-4"/>
          <w:sz w:val="16"/>
          <w:szCs w:val="16"/>
        </w:rPr>
        <w:t> </w:t>
      </w:r>
      <w:r w:rsidRPr="00363D19">
        <w:rPr>
          <w:spacing w:val="-4"/>
          <w:sz w:val="16"/>
          <w:szCs w:val="16"/>
        </w:rPr>
        <w:t>činnosti v</w:t>
      </w:r>
      <w:r>
        <w:rPr>
          <w:spacing w:val="-4"/>
          <w:sz w:val="16"/>
          <w:szCs w:val="16"/>
        </w:rPr>
        <w:t> </w:t>
      </w:r>
      <w:r w:rsidRPr="00363D19">
        <w:rPr>
          <w:spacing w:val="-4"/>
          <w:sz w:val="16"/>
          <w:szCs w:val="16"/>
        </w:rPr>
        <w:t>oblasti</w:t>
      </w:r>
      <w:r>
        <w:rPr>
          <w:spacing w:val="-4"/>
          <w:sz w:val="16"/>
          <w:szCs w:val="16"/>
        </w:rPr>
        <w:t> </w:t>
      </w:r>
      <w:r w:rsidRPr="00363D19">
        <w:rPr>
          <w:spacing w:val="-4"/>
          <w:sz w:val="16"/>
          <w:szCs w:val="16"/>
        </w:rPr>
        <w:t>IT.</w:t>
      </w:r>
    </w:p>
  </w:footnote>
  <w:footnote w:id="61">
    <w:p w14:paraId="331E92C0" w14:textId="77777777" w:rsidR="003474B6" w:rsidRPr="006A4CF3" w:rsidRDefault="003474B6" w:rsidP="00485E82">
      <w:pPr>
        <w:pStyle w:val="Textpoznpodarou"/>
        <w:jc w:val="both"/>
        <w:rPr>
          <w:spacing w:val="-2"/>
          <w:sz w:val="16"/>
          <w:szCs w:val="16"/>
        </w:rPr>
      </w:pPr>
      <w:r w:rsidRPr="00363D19">
        <w:rPr>
          <w:rStyle w:val="Znakapoznpodarou"/>
          <w:spacing w:val="-4"/>
          <w:sz w:val="16"/>
          <w:szCs w:val="16"/>
        </w:rPr>
        <w:footnoteRef/>
      </w:r>
      <w:r w:rsidRPr="00363D19">
        <w:rPr>
          <w:spacing w:val="-4"/>
          <w:sz w:val="16"/>
          <w:szCs w:val="16"/>
        </w:rPr>
        <w:t xml:space="preserve"> Podíleli se na něm</w:t>
      </w:r>
      <w:r>
        <w:rPr>
          <w:spacing w:val="-4"/>
          <w:sz w:val="16"/>
          <w:szCs w:val="16"/>
        </w:rPr>
        <w:t xml:space="preserve"> zejm.</w:t>
      </w:r>
      <w:r w:rsidRPr="00363D19">
        <w:rPr>
          <w:spacing w:val="-4"/>
          <w:sz w:val="16"/>
          <w:szCs w:val="16"/>
        </w:rPr>
        <w:t xml:space="preserve"> občané Ukrajiny (+23</w:t>
      </w:r>
      <w:r>
        <w:rPr>
          <w:spacing w:val="-4"/>
          <w:sz w:val="16"/>
          <w:szCs w:val="16"/>
        </w:rPr>
        <w:t> tis.</w:t>
      </w:r>
      <w:r w:rsidRPr="00363D19">
        <w:rPr>
          <w:spacing w:val="-4"/>
          <w:sz w:val="16"/>
          <w:szCs w:val="16"/>
        </w:rPr>
        <w:t>), Slovenska (+10,1), Ruska (+2,3), Polska (+1,5), Vi</w:t>
      </w:r>
      <w:r>
        <w:rPr>
          <w:spacing w:val="-4"/>
          <w:sz w:val="16"/>
          <w:szCs w:val="16"/>
        </w:rPr>
        <w:t>etnamu (+1,4), Bulharska a </w:t>
      </w:r>
      <w:r w:rsidRPr="00363D19">
        <w:rPr>
          <w:spacing w:val="-4"/>
          <w:sz w:val="16"/>
          <w:szCs w:val="16"/>
        </w:rPr>
        <w:t>Běloruska.</w:t>
      </w:r>
    </w:p>
  </w:footnote>
  <w:footnote w:id="62">
    <w:p w14:paraId="36F0A46B" w14:textId="77777777" w:rsidR="003474B6" w:rsidRPr="006A4CF3" w:rsidRDefault="003474B6" w:rsidP="00485E82">
      <w:pPr>
        <w:pStyle w:val="Textpoznpodarou"/>
        <w:jc w:val="both"/>
        <w:rPr>
          <w:spacing w:val="-2"/>
          <w:sz w:val="16"/>
          <w:szCs w:val="16"/>
        </w:rPr>
      </w:pPr>
      <w:r w:rsidRPr="006A4CF3">
        <w:rPr>
          <w:rStyle w:val="Znakapoznpodarou"/>
          <w:spacing w:val="-2"/>
          <w:sz w:val="16"/>
          <w:szCs w:val="16"/>
        </w:rPr>
        <w:footnoteRef/>
      </w:r>
      <w:r>
        <w:rPr>
          <w:spacing w:val="-2"/>
          <w:sz w:val="16"/>
          <w:szCs w:val="16"/>
        </w:rPr>
        <w:t xml:space="preserve"> Necelá polovina občanů Ukrajiny i všech občanů z tzv. „třetích zemí“ pracujících v ČR na zaměstnaneckých pozicích pro tento účel ovšem nepotřebuje </w:t>
      </w:r>
      <w:r w:rsidRPr="001A670E">
        <w:rPr>
          <w:spacing w:val="-2"/>
          <w:sz w:val="16"/>
          <w:szCs w:val="16"/>
        </w:rPr>
        <w:t>pracovní oprávnění</w:t>
      </w:r>
      <w:r>
        <w:rPr>
          <w:spacing w:val="-2"/>
          <w:sz w:val="16"/>
          <w:szCs w:val="16"/>
        </w:rPr>
        <w:t xml:space="preserve"> (</w:t>
      </w:r>
      <w:r>
        <w:rPr>
          <w:rFonts w:cs="Arial"/>
          <w:spacing w:val="-2"/>
          <w:sz w:val="16"/>
          <w:szCs w:val="16"/>
        </w:rPr>
        <w:t>zejména cizinci s povolením k trvalému pobytu na území ČR, azylanti či osoby, jimž byla udělena doplňková ochrana, a dále lidé, kteří pobývají na území ČR na základě povolení k dlouhodobému pobytu za účelem společného soužití rodiny).</w:t>
      </w:r>
    </w:p>
  </w:footnote>
  <w:footnote w:id="63">
    <w:p w14:paraId="48E08073" w14:textId="77777777" w:rsidR="003474B6" w:rsidRPr="006A4CF3" w:rsidRDefault="003474B6" w:rsidP="00485E82">
      <w:pPr>
        <w:pStyle w:val="Textpoznpodarou"/>
        <w:jc w:val="both"/>
        <w:rPr>
          <w:spacing w:val="-2"/>
          <w:sz w:val="16"/>
          <w:szCs w:val="16"/>
        </w:rPr>
      </w:pPr>
      <w:r w:rsidRPr="006A4CF3">
        <w:rPr>
          <w:rStyle w:val="Znakapoznpodarou"/>
          <w:spacing w:val="-2"/>
          <w:sz w:val="16"/>
          <w:szCs w:val="16"/>
        </w:rPr>
        <w:footnoteRef/>
      </w:r>
      <w:r>
        <w:rPr>
          <w:spacing w:val="-2"/>
          <w:sz w:val="16"/>
          <w:szCs w:val="16"/>
        </w:rPr>
        <w:t xml:space="preserve"> Všechny uváděné míry nezaměstnanosti vycházejí z údajů Výběrového šetření pracovních sil a vyjadřují skutečnost po sezónním očištění.</w:t>
      </w:r>
    </w:p>
  </w:footnote>
  <w:footnote w:id="64">
    <w:p w14:paraId="67ACA4F9" w14:textId="77777777" w:rsidR="003474B6" w:rsidRPr="006A4CF3" w:rsidRDefault="003474B6" w:rsidP="00485E82">
      <w:pPr>
        <w:pStyle w:val="Textpoznpodarou"/>
        <w:jc w:val="both"/>
        <w:rPr>
          <w:spacing w:val="-2"/>
          <w:sz w:val="16"/>
          <w:szCs w:val="16"/>
        </w:rPr>
      </w:pPr>
      <w:r w:rsidRPr="006A4CF3">
        <w:rPr>
          <w:rStyle w:val="Znakapoznpodarou"/>
          <w:spacing w:val="-2"/>
          <w:sz w:val="16"/>
          <w:szCs w:val="16"/>
        </w:rPr>
        <w:footnoteRef/>
      </w:r>
      <w:r>
        <w:rPr>
          <w:spacing w:val="-2"/>
          <w:sz w:val="16"/>
          <w:szCs w:val="16"/>
        </w:rPr>
        <w:t xml:space="preserve"> V tomto zpomalení se projevil i vliv meziročně nižšího počtu odpracovaných hodin (ve 4. čtvrtletí bylo o jeden pracovní den méně než ve stejném období předchozího roku), nižší objem přesčasové práce i mírné snížení role mimořádných odměn (patrné např. v těžbě a dobývání). Narostl naopak objem placené neodpracované doby, zejména vlivem vyšší nemocnosti.</w:t>
      </w:r>
    </w:p>
  </w:footnote>
  <w:footnote w:id="65">
    <w:p w14:paraId="6541E58E" w14:textId="77777777" w:rsidR="003474B6" w:rsidRPr="006A4CF3" w:rsidRDefault="003474B6" w:rsidP="00485E82">
      <w:pPr>
        <w:pStyle w:val="Textpoznpodarou"/>
        <w:jc w:val="both"/>
        <w:rPr>
          <w:spacing w:val="-2"/>
          <w:sz w:val="16"/>
          <w:szCs w:val="16"/>
        </w:rPr>
      </w:pPr>
      <w:r w:rsidRPr="006A4CF3">
        <w:rPr>
          <w:rStyle w:val="Znakapoznpodarou"/>
          <w:spacing w:val="-2"/>
          <w:sz w:val="16"/>
          <w:szCs w:val="16"/>
        </w:rPr>
        <w:footnoteRef/>
      </w:r>
      <w:r>
        <w:rPr>
          <w:spacing w:val="-2"/>
          <w:sz w:val="16"/>
          <w:szCs w:val="16"/>
        </w:rPr>
        <w:t xml:space="preserve"> Ve 4. čtvrtletí 2019 akceleroval i díky výplatě odměn na konci roku meziroční růst platů ve vzdělávání na 16,2 %. Výše průměrných hrubých měsíčních výdělků (41 674 korun) se zde již těsně přiblížila úrovni dlouhodobě nejlépe postaveného odvětví s převahou veřejného sektoru (veřejné správy, obrany a </w:t>
      </w:r>
      <w:r w:rsidRPr="00FF2199">
        <w:rPr>
          <w:spacing w:val="-2"/>
          <w:sz w:val="16"/>
          <w:szCs w:val="16"/>
        </w:rPr>
        <w:t>sociální</w:t>
      </w:r>
      <w:r>
        <w:rPr>
          <w:spacing w:val="-2"/>
          <w:sz w:val="16"/>
          <w:szCs w:val="16"/>
        </w:rPr>
        <w:t>ho</w:t>
      </w:r>
      <w:r w:rsidRPr="00FF2199">
        <w:rPr>
          <w:spacing w:val="-2"/>
          <w:sz w:val="16"/>
          <w:szCs w:val="16"/>
        </w:rPr>
        <w:t xml:space="preserve"> zabezpečení</w:t>
      </w:r>
      <w:r>
        <w:rPr>
          <w:spacing w:val="-2"/>
          <w:sz w:val="16"/>
          <w:szCs w:val="16"/>
        </w:rPr>
        <w:t>) a hladinu národního hospodářství překonala dokonce o rekordních 15 %.</w:t>
      </w:r>
    </w:p>
  </w:footnote>
  <w:footnote w:id="66">
    <w:p w14:paraId="2C107784" w14:textId="77777777" w:rsidR="003474B6" w:rsidRPr="006A4CF3" w:rsidRDefault="003474B6" w:rsidP="00485E82">
      <w:pPr>
        <w:pStyle w:val="Textpoznpodarou"/>
        <w:jc w:val="both"/>
        <w:rPr>
          <w:spacing w:val="-2"/>
          <w:sz w:val="16"/>
          <w:szCs w:val="16"/>
        </w:rPr>
      </w:pPr>
      <w:r w:rsidRPr="006A4CF3">
        <w:rPr>
          <w:rStyle w:val="Znakapoznpodarou"/>
          <w:spacing w:val="-2"/>
          <w:sz w:val="16"/>
          <w:szCs w:val="16"/>
        </w:rPr>
        <w:footnoteRef/>
      </w:r>
      <w:r>
        <w:rPr>
          <w:spacing w:val="-2"/>
          <w:sz w:val="16"/>
          <w:szCs w:val="16"/>
        </w:rPr>
        <w:t xml:space="preserve"> Dynamický růst mezd byl umožněn velmi dobrými hospodářskými výsledky finančního sektoru spojenými se silným tlakem na růst produktivity (počet zaměstnanců zde loni dle podnikových statistik meziročně klesl o 1,9 % a i v přechozích letech byl jejich růst spíše střídmý). Navíc relativní růstové tempo průměrných mezd se zde v období 2015 až 2018 nacházelo citelně pod úrovní národního hospodářství.</w:t>
      </w:r>
    </w:p>
  </w:footnote>
  <w:footnote w:id="67">
    <w:p w14:paraId="29A62E63" w14:textId="77777777" w:rsidR="003474B6" w:rsidRPr="004470E6" w:rsidRDefault="003474B6" w:rsidP="00DB5E3A">
      <w:pPr>
        <w:pStyle w:val="Textpoznpodarou"/>
        <w:rPr>
          <w:sz w:val="16"/>
          <w:szCs w:val="16"/>
        </w:rPr>
      </w:pPr>
      <w:r w:rsidRPr="004470E6">
        <w:rPr>
          <w:rStyle w:val="Znakapoznpodarou"/>
          <w:sz w:val="16"/>
          <w:szCs w:val="16"/>
        </w:rPr>
        <w:footnoteRef/>
      </w:r>
      <w:r w:rsidRPr="004470E6">
        <w:rPr>
          <w:sz w:val="16"/>
          <w:szCs w:val="16"/>
        </w:rPr>
        <w:t xml:space="preserve"> Není-li uvedeno jinak, je zdrojem údajů v této kapitole databáze ARAD České národní banky.</w:t>
      </w:r>
    </w:p>
  </w:footnote>
  <w:footnote w:id="68">
    <w:p w14:paraId="674E5A1D" w14:textId="77777777" w:rsidR="003474B6" w:rsidRPr="00AB3D25" w:rsidRDefault="003474B6" w:rsidP="00DB5E3A">
      <w:pPr>
        <w:pStyle w:val="Textpoznpodarou"/>
        <w:rPr>
          <w:sz w:val="16"/>
          <w:szCs w:val="16"/>
        </w:rPr>
      </w:pPr>
      <w:r w:rsidRPr="00AB3D25">
        <w:rPr>
          <w:rStyle w:val="Znakapoznpodarou"/>
          <w:sz w:val="16"/>
          <w:szCs w:val="16"/>
        </w:rPr>
        <w:footnoteRef/>
      </w:r>
      <w:r w:rsidRPr="00AB3D25">
        <w:rPr>
          <w:sz w:val="16"/>
          <w:szCs w:val="16"/>
        </w:rPr>
        <w:t xml:space="preserve"> Primárním příkladem je stavebnictví, u</w:t>
      </w:r>
      <w:r>
        <w:rPr>
          <w:sz w:val="16"/>
          <w:szCs w:val="16"/>
        </w:rPr>
        <w:t> </w:t>
      </w:r>
      <w:r w:rsidRPr="00AB3D25">
        <w:rPr>
          <w:sz w:val="16"/>
          <w:szCs w:val="16"/>
        </w:rPr>
        <w:t xml:space="preserve">kterého se často projevuje cyklus financování z evropských fondů. Během roku 2018 </w:t>
      </w:r>
      <w:r>
        <w:rPr>
          <w:sz w:val="16"/>
          <w:szCs w:val="16"/>
        </w:rPr>
        <w:t xml:space="preserve">zde </w:t>
      </w:r>
      <w:r w:rsidRPr="00AB3D25">
        <w:rPr>
          <w:sz w:val="16"/>
          <w:szCs w:val="16"/>
        </w:rPr>
        <w:t>objem poskytnutých úvěrů</w:t>
      </w:r>
      <w:r>
        <w:rPr>
          <w:sz w:val="16"/>
          <w:szCs w:val="16"/>
        </w:rPr>
        <w:t xml:space="preserve"> narostl</w:t>
      </w:r>
      <w:r w:rsidRPr="00AB3D25">
        <w:rPr>
          <w:sz w:val="16"/>
          <w:szCs w:val="16"/>
        </w:rPr>
        <w:t xml:space="preserve"> o</w:t>
      </w:r>
      <w:r>
        <w:rPr>
          <w:sz w:val="16"/>
          <w:szCs w:val="16"/>
        </w:rPr>
        <w:t> </w:t>
      </w:r>
      <w:r w:rsidRPr="00AB3D25">
        <w:rPr>
          <w:sz w:val="16"/>
          <w:szCs w:val="16"/>
        </w:rPr>
        <w:t>12,7</w:t>
      </w:r>
      <w:r>
        <w:rPr>
          <w:sz w:val="16"/>
          <w:szCs w:val="16"/>
        </w:rPr>
        <w:t> %</w:t>
      </w:r>
      <w:r w:rsidRPr="00AB3D25">
        <w:rPr>
          <w:sz w:val="16"/>
          <w:szCs w:val="16"/>
        </w:rPr>
        <w:t>.</w:t>
      </w:r>
    </w:p>
  </w:footnote>
  <w:footnote w:id="69">
    <w:p w14:paraId="697E5DC5" w14:textId="77777777" w:rsidR="003474B6" w:rsidRPr="007F5302" w:rsidRDefault="003474B6" w:rsidP="0067514E">
      <w:pPr>
        <w:pStyle w:val="Textpoznpodarou"/>
        <w:jc w:val="both"/>
        <w:rPr>
          <w:sz w:val="16"/>
          <w:szCs w:val="16"/>
        </w:rPr>
      </w:pPr>
      <w:r w:rsidRPr="007F5302">
        <w:rPr>
          <w:rStyle w:val="Znakapoznpodarou"/>
          <w:sz w:val="16"/>
          <w:szCs w:val="16"/>
        </w:rPr>
        <w:footnoteRef/>
      </w:r>
      <w:r w:rsidRPr="007F5302">
        <w:rPr>
          <w:sz w:val="16"/>
          <w:szCs w:val="16"/>
        </w:rPr>
        <w:t xml:space="preserve"> </w:t>
      </w:r>
      <w:r w:rsidRPr="007F5302">
        <w:rPr>
          <w:color w:val="0D0D0D" w:themeColor="text1" w:themeTint="F2"/>
          <w:sz w:val="16"/>
          <w:szCs w:val="16"/>
        </w:rPr>
        <w:t xml:space="preserve">Pokud není uvedeno jinak, vycházejí všechny údaje týkající se státního rozpočtu </w:t>
      </w:r>
      <w:r w:rsidRPr="007F5302">
        <w:rPr>
          <w:rFonts w:cs="Arial"/>
          <w:color w:val="0D0D0D" w:themeColor="text1" w:themeTint="F2"/>
          <w:sz w:val="16"/>
          <w:szCs w:val="16"/>
        </w:rPr>
        <w:t>z</w:t>
      </w:r>
      <w:r>
        <w:rPr>
          <w:rFonts w:cs="Arial"/>
          <w:color w:val="0D0D0D" w:themeColor="text1" w:themeTint="F2"/>
          <w:sz w:val="16"/>
          <w:szCs w:val="16"/>
        </w:rPr>
        <w:t> </w:t>
      </w:r>
      <w:r w:rsidRPr="007F5302">
        <w:rPr>
          <w:rFonts w:cs="Arial"/>
          <w:color w:val="0D0D0D" w:themeColor="text1" w:themeTint="F2"/>
          <w:sz w:val="16"/>
          <w:szCs w:val="16"/>
        </w:rPr>
        <w:t>dat Ministerstva financí o pokladním plnění.</w:t>
      </w:r>
    </w:p>
  </w:footnote>
  <w:footnote w:id="70">
    <w:p w14:paraId="2FE03E36" w14:textId="77777777" w:rsidR="003474B6" w:rsidRPr="007F5302" w:rsidRDefault="003474B6" w:rsidP="0067514E">
      <w:pPr>
        <w:pStyle w:val="Textpoznpodarou"/>
        <w:jc w:val="both"/>
        <w:rPr>
          <w:sz w:val="16"/>
          <w:szCs w:val="16"/>
        </w:rPr>
      </w:pPr>
      <w:r w:rsidRPr="003F67A6">
        <w:rPr>
          <w:rStyle w:val="Znakapoznpodarou"/>
          <w:sz w:val="16"/>
          <w:szCs w:val="16"/>
        </w:rPr>
        <w:footnoteRef/>
      </w:r>
      <w:r w:rsidRPr="003F67A6">
        <w:rPr>
          <w:sz w:val="16"/>
          <w:szCs w:val="16"/>
        </w:rPr>
        <w:t xml:space="preserve"> </w:t>
      </w:r>
      <w:r w:rsidRPr="003F67A6">
        <w:rPr>
          <w:color w:val="0D0D0D" w:themeColor="text1" w:themeTint="F2"/>
          <w:sz w:val="16"/>
          <w:szCs w:val="16"/>
        </w:rPr>
        <w:t>Dle propočtů</w:t>
      </w:r>
      <w:r>
        <w:rPr>
          <w:color w:val="0D0D0D" w:themeColor="text1" w:themeTint="F2"/>
          <w:sz w:val="16"/>
          <w:szCs w:val="16"/>
        </w:rPr>
        <w:t> </w:t>
      </w:r>
      <w:r w:rsidRPr="003F67A6">
        <w:rPr>
          <w:color w:val="0D0D0D" w:themeColor="text1" w:themeTint="F2"/>
          <w:sz w:val="16"/>
          <w:szCs w:val="16"/>
        </w:rPr>
        <w:t xml:space="preserve">MF skončilo </w:t>
      </w:r>
      <w:r w:rsidRPr="003F67A6">
        <w:rPr>
          <w:sz w:val="16"/>
          <w:szCs w:val="16"/>
        </w:rPr>
        <w:t>hospodaření</w:t>
      </w:r>
      <w:r>
        <w:rPr>
          <w:sz w:val="16"/>
          <w:szCs w:val="16"/>
        </w:rPr>
        <w:t> </w:t>
      </w:r>
      <w:r w:rsidRPr="003F67A6">
        <w:rPr>
          <w:sz w:val="16"/>
          <w:szCs w:val="16"/>
        </w:rPr>
        <w:t>SR</w:t>
      </w:r>
      <w:r w:rsidRPr="003F67A6">
        <w:rPr>
          <w:rStyle w:val="Zdraznn"/>
        </w:rPr>
        <w:t xml:space="preserve"> </w:t>
      </w:r>
      <w:r w:rsidRPr="003F67A6">
        <w:rPr>
          <w:iCs/>
          <w:sz w:val="16"/>
          <w:szCs w:val="16"/>
        </w:rPr>
        <w:t>očištěné o</w:t>
      </w:r>
      <w:r>
        <w:rPr>
          <w:iCs/>
          <w:sz w:val="16"/>
          <w:szCs w:val="16"/>
        </w:rPr>
        <w:t> </w:t>
      </w:r>
      <w:r w:rsidRPr="003F67A6">
        <w:rPr>
          <w:iCs/>
          <w:sz w:val="16"/>
          <w:szCs w:val="16"/>
        </w:rPr>
        <w:t>prostředky na programy a</w:t>
      </w:r>
      <w:r>
        <w:rPr>
          <w:iCs/>
          <w:sz w:val="16"/>
          <w:szCs w:val="16"/>
        </w:rPr>
        <w:t> </w:t>
      </w:r>
      <w:r w:rsidRPr="003F67A6">
        <w:rPr>
          <w:iCs/>
          <w:sz w:val="16"/>
          <w:szCs w:val="16"/>
        </w:rPr>
        <w:t>projekty z</w:t>
      </w:r>
      <w:r>
        <w:rPr>
          <w:iCs/>
          <w:sz w:val="16"/>
          <w:szCs w:val="16"/>
        </w:rPr>
        <w:t> </w:t>
      </w:r>
      <w:r w:rsidRPr="003F67A6">
        <w:rPr>
          <w:iCs/>
          <w:sz w:val="16"/>
          <w:szCs w:val="16"/>
        </w:rPr>
        <w:t>rozpo</w:t>
      </w:r>
      <w:r>
        <w:rPr>
          <w:iCs/>
          <w:sz w:val="16"/>
          <w:szCs w:val="16"/>
        </w:rPr>
        <w:t xml:space="preserve">čtu EU a finančních mechanismů </w:t>
      </w:r>
      <w:r w:rsidRPr="00A1332F">
        <w:rPr>
          <w:rStyle w:val="Zdraznn"/>
          <w:i w:val="0"/>
          <w:color w:val="0D0D0D" w:themeColor="text1" w:themeTint="F2"/>
          <w:sz w:val="16"/>
          <w:szCs w:val="16"/>
        </w:rPr>
        <w:t>(EHP a</w:t>
      </w:r>
      <w:r>
        <w:rPr>
          <w:rStyle w:val="Zdraznn"/>
          <w:i w:val="0"/>
          <w:color w:val="0D0D0D" w:themeColor="text1" w:themeTint="F2"/>
          <w:sz w:val="16"/>
          <w:szCs w:val="16"/>
        </w:rPr>
        <w:t> </w:t>
      </w:r>
      <w:r w:rsidRPr="00A1332F">
        <w:rPr>
          <w:rStyle w:val="Zdraznn"/>
          <w:i w:val="0"/>
          <w:color w:val="0D0D0D" w:themeColor="text1" w:themeTint="F2"/>
          <w:sz w:val="16"/>
          <w:szCs w:val="16"/>
        </w:rPr>
        <w:t>Norské fondy, Program švýcarsko</w:t>
      </w:r>
      <w:r>
        <w:rPr>
          <w:rStyle w:val="Zdraznn"/>
          <w:i w:val="0"/>
          <w:color w:val="0D0D0D" w:themeColor="text1" w:themeTint="F2"/>
          <w:sz w:val="16"/>
          <w:szCs w:val="16"/>
        </w:rPr>
        <w:noBreakHyphen/>
      </w:r>
      <w:r w:rsidRPr="00A1332F">
        <w:rPr>
          <w:rStyle w:val="Zdraznn"/>
          <w:i w:val="0"/>
          <w:color w:val="0D0D0D" w:themeColor="text1" w:themeTint="F2"/>
          <w:sz w:val="16"/>
          <w:szCs w:val="16"/>
        </w:rPr>
        <w:t>české spolupráce)</w:t>
      </w:r>
      <w:r>
        <w:rPr>
          <w:iCs/>
          <w:sz w:val="16"/>
          <w:szCs w:val="16"/>
        </w:rPr>
        <w:t xml:space="preserve">, </w:t>
      </w:r>
      <w:r w:rsidRPr="003F67A6">
        <w:rPr>
          <w:iCs/>
          <w:sz w:val="16"/>
          <w:szCs w:val="16"/>
        </w:rPr>
        <w:t>které byly předfinancovány ze</w:t>
      </w:r>
      <w:r>
        <w:rPr>
          <w:iCs/>
          <w:sz w:val="16"/>
          <w:szCs w:val="16"/>
        </w:rPr>
        <w:t> </w:t>
      </w:r>
      <w:r w:rsidRPr="003F67A6">
        <w:rPr>
          <w:iCs/>
          <w:sz w:val="16"/>
          <w:szCs w:val="16"/>
        </w:rPr>
        <w:t>SR a</w:t>
      </w:r>
      <w:r>
        <w:rPr>
          <w:iCs/>
          <w:sz w:val="16"/>
          <w:szCs w:val="16"/>
        </w:rPr>
        <w:t> </w:t>
      </w:r>
      <w:r w:rsidRPr="003F67A6">
        <w:rPr>
          <w:iCs/>
          <w:sz w:val="16"/>
          <w:szCs w:val="16"/>
        </w:rPr>
        <w:t>následně</w:t>
      </w:r>
      <w:r>
        <w:rPr>
          <w:iCs/>
          <w:sz w:val="16"/>
          <w:szCs w:val="16"/>
        </w:rPr>
        <w:t xml:space="preserve"> propláceny z rozpočtu EU a finančních mechanismů, v roce 2019 schodkem 27,7 mld. korun, meziročně o 24,2 mld. hlubším.</w:t>
      </w:r>
    </w:p>
  </w:footnote>
  <w:footnote w:id="71">
    <w:p w14:paraId="48BF69D2" w14:textId="77777777" w:rsidR="003474B6" w:rsidRPr="00A70614" w:rsidRDefault="003474B6" w:rsidP="0067514E">
      <w:pPr>
        <w:pStyle w:val="Textpoznpodarou"/>
        <w:jc w:val="both"/>
        <w:rPr>
          <w:color w:val="0D0D0D" w:themeColor="text1" w:themeTint="F2"/>
          <w:sz w:val="16"/>
          <w:szCs w:val="16"/>
        </w:rPr>
      </w:pPr>
      <w:r w:rsidRPr="003F67A6">
        <w:rPr>
          <w:rStyle w:val="Znakapoznpodarou"/>
          <w:sz w:val="16"/>
          <w:szCs w:val="16"/>
        </w:rPr>
        <w:footnoteRef/>
      </w:r>
      <w:r w:rsidRPr="003F67A6">
        <w:rPr>
          <w:sz w:val="16"/>
          <w:szCs w:val="16"/>
        </w:rPr>
        <w:t xml:space="preserve"> </w:t>
      </w:r>
      <w:r w:rsidRPr="003F67A6">
        <w:rPr>
          <w:color w:val="0D0D0D" w:themeColor="text1" w:themeTint="F2"/>
          <w:sz w:val="16"/>
          <w:szCs w:val="16"/>
        </w:rPr>
        <w:t xml:space="preserve">Dle </w:t>
      </w:r>
      <w:r>
        <w:rPr>
          <w:color w:val="0D0D0D" w:themeColor="text1" w:themeTint="F2"/>
          <w:sz w:val="16"/>
          <w:szCs w:val="16"/>
        </w:rPr>
        <w:t>údajů ČSÚ vzrostla v roce 2019 spotřeba motorového benzínu (včetně biosložek) meziročně o 0,7 %, motorové nafty o 1,5 % a leteckého petroleje o 3,9 %. V samotném 4. čtvrtletí bylo tempo spotřeby slabší, v případě motorové nafty i benzínu byl zaznamenán velmi mírný meziroční pokles (o 0,2 %, resp. 0,5 %).</w:t>
      </w:r>
    </w:p>
  </w:footnote>
  <w:footnote w:id="72">
    <w:p w14:paraId="724B6CB6" w14:textId="77777777" w:rsidR="003474B6" w:rsidRPr="007F5302" w:rsidRDefault="003474B6" w:rsidP="0067514E">
      <w:pPr>
        <w:pStyle w:val="Textpoznpodarou"/>
        <w:jc w:val="both"/>
        <w:rPr>
          <w:sz w:val="16"/>
          <w:szCs w:val="16"/>
        </w:rPr>
      </w:pPr>
      <w:r w:rsidRPr="007F5302">
        <w:rPr>
          <w:rStyle w:val="Znakapoznpodarou"/>
          <w:sz w:val="16"/>
          <w:szCs w:val="16"/>
        </w:rPr>
        <w:footnoteRef/>
      </w:r>
      <w:r w:rsidRPr="007F5302">
        <w:rPr>
          <w:sz w:val="16"/>
          <w:szCs w:val="16"/>
        </w:rPr>
        <w:t xml:space="preserve"> </w:t>
      </w:r>
      <w:r>
        <w:rPr>
          <w:color w:val="0D0D0D" w:themeColor="text1" w:themeTint="F2"/>
          <w:sz w:val="16"/>
          <w:szCs w:val="16"/>
        </w:rPr>
        <w:t>U daně z příjmů fyzických osob bylo předkrizové maximum (z roku 2007) překonáno již v roce 2015.</w:t>
      </w:r>
    </w:p>
  </w:footnote>
  <w:footnote w:id="73">
    <w:p w14:paraId="529670A3" w14:textId="77777777" w:rsidR="003474B6" w:rsidRPr="006D61C4" w:rsidRDefault="003474B6" w:rsidP="0067514E">
      <w:pPr>
        <w:pStyle w:val="Textpoznpodarou"/>
        <w:jc w:val="both"/>
        <w:rPr>
          <w:sz w:val="16"/>
          <w:szCs w:val="16"/>
        </w:rPr>
      </w:pPr>
      <w:r w:rsidRPr="006D61C4">
        <w:rPr>
          <w:rStyle w:val="Znakapoznpodarou"/>
          <w:sz w:val="16"/>
          <w:szCs w:val="16"/>
        </w:rPr>
        <w:footnoteRef/>
      </w:r>
      <w:r w:rsidRPr="006D61C4">
        <w:rPr>
          <w:sz w:val="16"/>
          <w:szCs w:val="16"/>
        </w:rPr>
        <w:t xml:space="preserve"> </w:t>
      </w:r>
      <w:r>
        <w:rPr>
          <w:sz w:val="16"/>
          <w:szCs w:val="16"/>
        </w:rPr>
        <w:t xml:space="preserve">V tomto nadstandardně vysokém </w:t>
      </w:r>
      <w:r>
        <w:rPr>
          <w:color w:val="0D0D0D" w:themeColor="text1" w:themeTint="F2"/>
          <w:spacing w:val="-2"/>
          <w:sz w:val="16"/>
          <w:szCs w:val="16"/>
        </w:rPr>
        <w:t>tempu růstu výdajů se promítl i </w:t>
      </w:r>
      <w:r w:rsidRPr="00D3653C">
        <w:rPr>
          <w:color w:val="0D0D0D" w:themeColor="text1" w:themeTint="F2"/>
          <w:spacing w:val="-2"/>
          <w:sz w:val="16"/>
          <w:szCs w:val="16"/>
        </w:rPr>
        <w:t xml:space="preserve">neplánovaný </w:t>
      </w:r>
      <w:r>
        <w:rPr>
          <w:color w:val="0D0D0D" w:themeColor="text1" w:themeTint="F2"/>
          <w:spacing w:val="-2"/>
          <w:sz w:val="16"/>
          <w:szCs w:val="16"/>
        </w:rPr>
        <w:t>(z pohledu celkového rozpočtu neutrální)</w:t>
      </w:r>
      <w:r w:rsidRPr="00D3653C">
        <w:rPr>
          <w:color w:val="0D0D0D" w:themeColor="text1" w:themeTint="F2"/>
          <w:spacing w:val="-2"/>
          <w:sz w:val="16"/>
          <w:szCs w:val="16"/>
        </w:rPr>
        <w:t xml:space="preserve"> přev</w:t>
      </w:r>
      <w:r>
        <w:rPr>
          <w:color w:val="0D0D0D" w:themeColor="text1" w:themeTint="F2"/>
          <w:spacing w:val="-2"/>
          <w:sz w:val="16"/>
          <w:szCs w:val="16"/>
        </w:rPr>
        <w:t>od 18,6 mld. korun související s</w:t>
      </w:r>
      <w:r>
        <w:rPr>
          <w:spacing w:val="-2"/>
          <w:sz w:val="16"/>
          <w:szCs w:val="16"/>
        </w:rPr>
        <w:t> </w:t>
      </w:r>
      <w:r w:rsidRPr="00D3653C">
        <w:rPr>
          <w:color w:val="0D0D0D" w:themeColor="text1" w:themeTint="F2"/>
          <w:spacing w:val="-2"/>
          <w:sz w:val="16"/>
          <w:szCs w:val="16"/>
        </w:rPr>
        <w:t>přebytkem hospodaření systému důchodového pojištění za rok 2018 (z</w:t>
      </w:r>
      <w:r>
        <w:rPr>
          <w:color w:val="0D0D0D" w:themeColor="text1" w:themeTint="F2"/>
          <w:spacing w:val="-2"/>
          <w:sz w:val="16"/>
          <w:szCs w:val="16"/>
        </w:rPr>
        <w:t> </w:t>
      </w:r>
      <w:r w:rsidRPr="00D3653C">
        <w:rPr>
          <w:color w:val="0D0D0D" w:themeColor="text1" w:themeTint="F2"/>
          <w:spacing w:val="-2"/>
          <w:sz w:val="16"/>
          <w:szCs w:val="16"/>
        </w:rPr>
        <w:t>kapitoly Všeobecná pokladní správa do kapitoly Operace státních finančních aktiv). Bez toho</w:t>
      </w:r>
      <w:r>
        <w:rPr>
          <w:color w:val="0D0D0D" w:themeColor="text1" w:themeTint="F2"/>
          <w:spacing w:val="-2"/>
          <w:sz w:val="16"/>
          <w:szCs w:val="16"/>
        </w:rPr>
        <w:t>to</w:t>
      </w:r>
      <w:r w:rsidRPr="00D3653C">
        <w:rPr>
          <w:color w:val="0D0D0D" w:themeColor="text1" w:themeTint="F2"/>
          <w:spacing w:val="-2"/>
          <w:sz w:val="16"/>
          <w:szCs w:val="16"/>
        </w:rPr>
        <w:t xml:space="preserve"> převodu by meziroční tempo výdajů činilo 9,4</w:t>
      </w:r>
      <w:r>
        <w:rPr>
          <w:color w:val="0D0D0D" w:themeColor="text1" w:themeTint="F2"/>
          <w:spacing w:val="-2"/>
          <w:sz w:val="16"/>
          <w:szCs w:val="16"/>
        </w:rPr>
        <w:t> %</w:t>
      </w:r>
      <w:r w:rsidRPr="00D3653C">
        <w:rPr>
          <w:color w:val="0D0D0D" w:themeColor="text1" w:themeTint="F2"/>
          <w:spacing w:val="-2"/>
          <w:sz w:val="16"/>
          <w:szCs w:val="16"/>
        </w:rPr>
        <w:t>.</w:t>
      </w:r>
    </w:p>
  </w:footnote>
  <w:footnote w:id="74">
    <w:p w14:paraId="706BF40E" w14:textId="77777777" w:rsidR="003474B6" w:rsidRPr="006D61C4" w:rsidRDefault="003474B6" w:rsidP="0067514E">
      <w:pPr>
        <w:pStyle w:val="Textpoznpodarou"/>
        <w:jc w:val="both"/>
        <w:rPr>
          <w:sz w:val="16"/>
          <w:szCs w:val="16"/>
        </w:rPr>
      </w:pPr>
      <w:r w:rsidRPr="006D61C4">
        <w:rPr>
          <w:rStyle w:val="Znakapoznpodarou"/>
          <w:sz w:val="16"/>
          <w:szCs w:val="16"/>
        </w:rPr>
        <w:footnoteRef/>
      </w:r>
      <w:r w:rsidRPr="006D61C4">
        <w:rPr>
          <w:sz w:val="16"/>
          <w:szCs w:val="16"/>
        </w:rPr>
        <w:t xml:space="preserve"> </w:t>
      </w:r>
      <w:r>
        <w:rPr>
          <w:color w:val="0D0D0D" w:themeColor="text1" w:themeTint="F2"/>
          <w:spacing w:val="-2"/>
          <w:sz w:val="16"/>
          <w:szCs w:val="16"/>
        </w:rPr>
        <w:t xml:space="preserve">Celkové výdaje </w:t>
      </w:r>
      <w:r w:rsidRPr="003C770C">
        <w:rPr>
          <w:spacing w:val="-2"/>
          <w:sz w:val="16"/>
          <w:szCs w:val="16"/>
        </w:rPr>
        <w:t>na financování společných programů</w:t>
      </w:r>
      <w:r>
        <w:rPr>
          <w:spacing w:val="-2"/>
          <w:sz w:val="16"/>
          <w:szCs w:val="16"/>
        </w:rPr>
        <w:t xml:space="preserve"> EU a ČR dosáhly loni 140,4 mld. korun a meziročně posílily o osminu. Tato položka zahrnuje i neinvestiční výdaje (např. přímé platby zemědělcům).</w:t>
      </w:r>
    </w:p>
  </w:footnote>
  <w:footnote w:id="75">
    <w:p w14:paraId="787EAAED" w14:textId="77777777" w:rsidR="003474B6" w:rsidRPr="006D61C4" w:rsidRDefault="003474B6" w:rsidP="0067514E">
      <w:pPr>
        <w:pStyle w:val="Textpoznpodarou"/>
        <w:jc w:val="both"/>
        <w:rPr>
          <w:sz w:val="16"/>
          <w:szCs w:val="16"/>
        </w:rPr>
      </w:pPr>
      <w:r w:rsidRPr="006D61C4">
        <w:rPr>
          <w:rStyle w:val="Znakapoznpodarou"/>
          <w:sz w:val="16"/>
          <w:szCs w:val="16"/>
        </w:rPr>
        <w:footnoteRef/>
      </w:r>
      <w:r w:rsidRPr="006D61C4">
        <w:rPr>
          <w:sz w:val="16"/>
          <w:szCs w:val="16"/>
        </w:rPr>
        <w:t xml:space="preserve"> </w:t>
      </w:r>
      <w:r>
        <w:rPr>
          <w:color w:val="0D0D0D" w:themeColor="text1" w:themeTint="F2"/>
          <w:spacing w:val="-2"/>
          <w:sz w:val="16"/>
          <w:szCs w:val="16"/>
        </w:rPr>
        <w:t>Šlo hlavně o meziroční na</w:t>
      </w:r>
      <w:r w:rsidRPr="00466BF5">
        <w:rPr>
          <w:spacing w:val="-2"/>
          <w:sz w:val="16"/>
          <w:szCs w:val="16"/>
        </w:rPr>
        <w:t>výšení objemu prost</w:t>
      </w:r>
      <w:r>
        <w:rPr>
          <w:spacing w:val="-2"/>
          <w:sz w:val="16"/>
          <w:szCs w:val="16"/>
        </w:rPr>
        <w:t>ředků na platy pedagogických</w:t>
      </w:r>
      <w:r w:rsidRPr="00466BF5">
        <w:rPr>
          <w:spacing w:val="-2"/>
          <w:sz w:val="16"/>
          <w:szCs w:val="16"/>
        </w:rPr>
        <w:t xml:space="preserve"> (+15</w:t>
      </w:r>
      <w:r>
        <w:rPr>
          <w:spacing w:val="-2"/>
          <w:sz w:val="16"/>
          <w:szCs w:val="16"/>
        </w:rPr>
        <w:t> %</w:t>
      </w:r>
      <w:r w:rsidRPr="00466BF5">
        <w:rPr>
          <w:spacing w:val="-2"/>
          <w:sz w:val="16"/>
          <w:szCs w:val="16"/>
        </w:rPr>
        <w:t>) a</w:t>
      </w:r>
      <w:r>
        <w:rPr>
          <w:spacing w:val="-2"/>
          <w:sz w:val="16"/>
          <w:szCs w:val="16"/>
        </w:rPr>
        <w:t> </w:t>
      </w:r>
      <w:r w:rsidRPr="00466BF5">
        <w:rPr>
          <w:spacing w:val="-2"/>
          <w:sz w:val="16"/>
          <w:szCs w:val="16"/>
        </w:rPr>
        <w:t>nepedagogických pracovníků (+10</w:t>
      </w:r>
      <w:r>
        <w:rPr>
          <w:spacing w:val="-2"/>
          <w:sz w:val="16"/>
          <w:szCs w:val="16"/>
        </w:rPr>
        <w:t> %</w:t>
      </w:r>
      <w:r w:rsidRPr="00466BF5">
        <w:rPr>
          <w:spacing w:val="-2"/>
          <w:sz w:val="16"/>
          <w:szCs w:val="16"/>
        </w:rPr>
        <w:t>).</w:t>
      </w:r>
    </w:p>
  </w:footnote>
  <w:footnote w:id="76">
    <w:p w14:paraId="2E705164" w14:textId="77777777" w:rsidR="003474B6" w:rsidRPr="006D61C4" w:rsidRDefault="003474B6" w:rsidP="0067514E">
      <w:pPr>
        <w:pStyle w:val="Textpoznpodarou"/>
        <w:jc w:val="both"/>
        <w:rPr>
          <w:sz w:val="16"/>
          <w:szCs w:val="16"/>
        </w:rPr>
      </w:pPr>
      <w:r w:rsidRPr="006D61C4">
        <w:rPr>
          <w:rStyle w:val="Znakapoznpodarou"/>
          <w:sz w:val="16"/>
          <w:szCs w:val="16"/>
        </w:rPr>
        <w:footnoteRef/>
      </w:r>
      <w:r>
        <w:rPr>
          <w:sz w:val="16"/>
          <w:szCs w:val="16"/>
        </w:rPr>
        <w:t xml:space="preserve"> Jde o saldo rozpočtové kapitoly Státní dluh. Za posledních šest let vzrostly tyto výdaje meziročně jen v roce 2018 (o 2,4 %).</w:t>
      </w:r>
    </w:p>
  </w:footnote>
  <w:footnote w:id="77">
    <w:p w14:paraId="25EF3695" w14:textId="77777777" w:rsidR="003474B6" w:rsidRPr="006D61C4" w:rsidRDefault="003474B6" w:rsidP="0067514E">
      <w:pPr>
        <w:pStyle w:val="Textpoznpodarou"/>
        <w:jc w:val="both"/>
        <w:rPr>
          <w:sz w:val="16"/>
          <w:szCs w:val="16"/>
        </w:rPr>
      </w:pPr>
      <w:r w:rsidRPr="006D61C4">
        <w:rPr>
          <w:rStyle w:val="Znakapoznpodarou"/>
          <w:sz w:val="16"/>
          <w:szCs w:val="16"/>
        </w:rPr>
        <w:footnoteRef/>
      </w:r>
      <w:r w:rsidRPr="006D61C4">
        <w:rPr>
          <w:sz w:val="16"/>
          <w:szCs w:val="16"/>
        </w:rPr>
        <w:t xml:space="preserve"> </w:t>
      </w:r>
      <w:r>
        <w:rPr>
          <w:color w:val="0D0D0D" w:themeColor="text1" w:themeTint="F2"/>
          <w:spacing w:val="-2"/>
          <w:sz w:val="16"/>
          <w:szCs w:val="16"/>
        </w:rPr>
        <w:t>Jednalo se o </w:t>
      </w:r>
      <w:r w:rsidRPr="008274EF">
        <w:rPr>
          <w:color w:val="0D0D0D" w:themeColor="text1" w:themeTint="F2"/>
          <w:spacing w:val="-2"/>
          <w:sz w:val="16"/>
          <w:szCs w:val="16"/>
        </w:rPr>
        <w:t>zvýšení základní výměry důchodu z</w:t>
      </w:r>
      <w:r>
        <w:rPr>
          <w:color w:val="0D0D0D" w:themeColor="text1" w:themeTint="F2"/>
          <w:spacing w:val="-2"/>
          <w:sz w:val="16"/>
          <w:szCs w:val="16"/>
        </w:rPr>
        <w:t> </w:t>
      </w:r>
      <w:r w:rsidRPr="008274EF">
        <w:rPr>
          <w:color w:val="0D0D0D" w:themeColor="text1" w:themeTint="F2"/>
          <w:spacing w:val="-2"/>
          <w:sz w:val="16"/>
          <w:szCs w:val="16"/>
        </w:rPr>
        <w:t>9 % na 10 % průměrné mzdy</w:t>
      </w:r>
      <w:r>
        <w:rPr>
          <w:color w:val="0D0D0D" w:themeColor="text1" w:themeTint="F2"/>
          <w:spacing w:val="-2"/>
          <w:sz w:val="16"/>
          <w:szCs w:val="16"/>
        </w:rPr>
        <w:t xml:space="preserve">, </w:t>
      </w:r>
      <w:r w:rsidRPr="008274EF">
        <w:rPr>
          <w:color w:val="0D0D0D" w:themeColor="text1" w:themeTint="F2"/>
          <w:spacing w:val="-2"/>
          <w:sz w:val="16"/>
          <w:szCs w:val="16"/>
        </w:rPr>
        <w:t>procentní výměry důchodů o</w:t>
      </w:r>
      <w:r>
        <w:rPr>
          <w:color w:val="0D0D0D" w:themeColor="text1" w:themeTint="F2"/>
          <w:spacing w:val="-2"/>
          <w:sz w:val="16"/>
          <w:szCs w:val="16"/>
        </w:rPr>
        <w:t> 3,4 % a dále o zvýšení o 1 000</w:t>
      </w:r>
      <w:r w:rsidRPr="003C770C">
        <w:rPr>
          <w:spacing w:val="-2"/>
          <w:sz w:val="16"/>
          <w:szCs w:val="16"/>
        </w:rPr>
        <w:t> </w:t>
      </w:r>
      <w:r>
        <w:rPr>
          <w:color w:val="0D0D0D" w:themeColor="text1" w:themeTint="F2"/>
          <w:spacing w:val="-2"/>
          <w:sz w:val="16"/>
          <w:szCs w:val="16"/>
        </w:rPr>
        <w:t xml:space="preserve">korun </w:t>
      </w:r>
      <w:r w:rsidRPr="008274EF">
        <w:rPr>
          <w:color w:val="0D0D0D" w:themeColor="text1" w:themeTint="F2"/>
          <w:spacing w:val="-2"/>
          <w:sz w:val="16"/>
          <w:szCs w:val="16"/>
        </w:rPr>
        <w:t>u</w:t>
      </w:r>
      <w:r>
        <w:rPr>
          <w:color w:val="0D0D0D" w:themeColor="text1" w:themeTint="F2"/>
          <w:spacing w:val="-2"/>
          <w:sz w:val="16"/>
          <w:szCs w:val="16"/>
        </w:rPr>
        <w:t> příjemců důchodů, kteří dosáhnou věku</w:t>
      </w:r>
      <w:r w:rsidRPr="008274EF">
        <w:rPr>
          <w:color w:val="0D0D0D" w:themeColor="text1" w:themeTint="F2"/>
          <w:spacing w:val="-2"/>
          <w:sz w:val="16"/>
          <w:szCs w:val="16"/>
        </w:rPr>
        <w:t xml:space="preserve"> 85</w:t>
      </w:r>
      <w:r>
        <w:rPr>
          <w:color w:val="0D0D0D" w:themeColor="text1" w:themeTint="F2"/>
          <w:spacing w:val="-2"/>
          <w:sz w:val="16"/>
          <w:szCs w:val="16"/>
        </w:rPr>
        <w:t> </w:t>
      </w:r>
      <w:r w:rsidRPr="008274EF">
        <w:rPr>
          <w:color w:val="0D0D0D" w:themeColor="text1" w:themeTint="F2"/>
          <w:spacing w:val="-2"/>
          <w:sz w:val="16"/>
          <w:szCs w:val="16"/>
        </w:rPr>
        <w:t>let.</w:t>
      </w:r>
      <w:r>
        <w:rPr>
          <w:color w:val="0D0D0D" w:themeColor="text1" w:themeTint="F2"/>
          <w:spacing w:val="-2"/>
          <w:sz w:val="16"/>
          <w:szCs w:val="16"/>
        </w:rPr>
        <w:t xml:space="preserve"> Dále je v</w:t>
      </w:r>
      <w:r w:rsidRPr="00257340">
        <w:rPr>
          <w:color w:val="0D0D0D" w:themeColor="text1" w:themeTint="F2"/>
          <w:spacing w:val="-2"/>
          <w:sz w:val="16"/>
          <w:szCs w:val="16"/>
        </w:rPr>
        <w:t>e valorizačním mechanismu od roku 2018 plně reflektován vliv růstu spotřebitelských cen (ev.</w:t>
      </w:r>
      <w:r>
        <w:rPr>
          <w:color w:val="0D0D0D" w:themeColor="text1" w:themeTint="F2"/>
          <w:spacing w:val="-2"/>
          <w:sz w:val="16"/>
          <w:szCs w:val="16"/>
        </w:rPr>
        <w:t> </w:t>
      </w:r>
      <w:r w:rsidRPr="00257340">
        <w:rPr>
          <w:color w:val="0D0D0D" w:themeColor="text1" w:themeTint="F2"/>
          <w:spacing w:val="-2"/>
          <w:sz w:val="16"/>
          <w:szCs w:val="16"/>
        </w:rPr>
        <w:t>růstu životních nákladů důchodců) a</w:t>
      </w:r>
      <w:r>
        <w:rPr>
          <w:color w:val="0D0D0D" w:themeColor="text1" w:themeTint="F2"/>
          <w:spacing w:val="-2"/>
          <w:sz w:val="16"/>
          <w:szCs w:val="16"/>
        </w:rPr>
        <w:t> </w:t>
      </w:r>
      <w:r w:rsidRPr="00257340">
        <w:rPr>
          <w:color w:val="0D0D0D" w:themeColor="text1" w:themeTint="F2"/>
          <w:spacing w:val="-2"/>
          <w:sz w:val="16"/>
          <w:szCs w:val="16"/>
        </w:rPr>
        <w:t xml:space="preserve">je zohledněna </w:t>
      </w:r>
      <w:r>
        <w:rPr>
          <w:color w:val="0D0D0D" w:themeColor="text1" w:themeTint="F2"/>
          <w:spacing w:val="-2"/>
          <w:sz w:val="16"/>
          <w:szCs w:val="16"/>
        </w:rPr>
        <w:t>i polovina růstu reálných mezd v ekonomice.</w:t>
      </w:r>
    </w:p>
  </w:footnote>
  <w:footnote w:id="78">
    <w:p w14:paraId="650DB005" w14:textId="77777777" w:rsidR="003474B6" w:rsidRDefault="003474B6" w:rsidP="0067514E">
      <w:pPr>
        <w:pStyle w:val="Textpoznpodarou"/>
        <w:jc w:val="both"/>
      </w:pPr>
      <w:r w:rsidRPr="000315DB">
        <w:rPr>
          <w:rStyle w:val="Znakapoznpodarou"/>
          <w:sz w:val="16"/>
          <w:szCs w:val="16"/>
        </w:rPr>
        <w:footnoteRef/>
      </w:r>
      <w:r>
        <w:rPr>
          <w:sz w:val="16"/>
          <w:szCs w:val="16"/>
        </w:rPr>
        <w:t xml:space="preserve"> Meziroční růst počtu příjemců trvale krácených (předčasných) důch</w:t>
      </w:r>
      <w:r w:rsidRPr="003770A8">
        <w:rPr>
          <w:color w:val="0D0D0D" w:themeColor="text1" w:themeTint="F2"/>
          <w:sz w:val="16"/>
          <w:szCs w:val="16"/>
        </w:rPr>
        <w:t xml:space="preserve">odů ve 4. čtvrtletí 2019 </w:t>
      </w:r>
      <w:r>
        <w:rPr>
          <w:sz w:val="16"/>
          <w:szCs w:val="16"/>
        </w:rPr>
        <w:t>činil 1,9 %, po roce 2014 toto tempo plynule klesá. Podíl předčasných důchodců na všech příjemcích starobních důchodů dosahoval v ČR 26,6 % (s významnými regionálními rozdíly).</w:t>
      </w:r>
    </w:p>
  </w:footnote>
  <w:footnote w:id="79">
    <w:p w14:paraId="59268B01" w14:textId="77777777" w:rsidR="003474B6" w:rsidRPr="006B5B53" w:rsidRDefault="003474B6" w:rsidP="0067514E">
      <w:pPr>
        <w:pStyle w:val="Textpoznpodarou"/>
        <w:jc w:val="both"/>
      </w:pPr>
      <w:r w:rsidRPr="000315DB">
        <w:rPr>
          <w:rStyle w:val="Znakapoznpodarou"/>
          <w:sz w:val="16"/>
          <w:szCs w:val="16"/>
        </w:rPr>
        <w:footnoteRef/>
      </w:r>
      <w:r w:rsidRPr="000315DB">
        <w:rPr>
          <w:sz w:val="16"/>
          <w:szCs w:val="16"/>
        </w:rPr>
        <w:t xml:space="preserve"> Je vyjádřeno jako </w:t>
      </w:r>
      <w:r w:rsidRPr="000315DB">
        <w:rPr>
          <w:rFonts w:cs="Arial"/>
          <w:color w:val="000000" w:themeColor="text1"/>
          <w:spacing w:val="-4"/>
          <w:sz w:val="16"/>
          <w:szCs w:val="16"/>
        </w:rPr>
        <w:t>rozdíl mezi příjmy a</w:t>
      </w:r>
      <w:r>
        <w:rPr>
          <w:rFonts w:cs="Arial"/>
          <w:color w:val="000000" w:themeColor="text1"/>
          <w:spacing w:val="-4"/>
          <w:sz w:val="16"/>
          <w:szCs w:val="16"/>
        </w:rPr>
        <w:t> </w:t>
      </w:r>
      <w:r w:rsidRPr="000315DB">
        <w:rPr>
          <w:rFonts w:cs="Arial"/>
          <w:color w:val="000000" w:themeColor="text1"/>
          <w:spacing w:val="-4"/>
          <w:sz w:val="16"/>
          <w:szCs w:val="16"/>
        </w:rPr>
        <w:t>výdaji na</w:t>
      </w:r>
      <w:r>
        <w:rPr>
          <w:rFonts w:cs="Arial"/>
          <w:color w:val="000000" w:themeColor="text1"/>
          <w:spacing w:val="-4"/>
          <w:sz w:val="16"/>
          <w:szCs w:val="16"/>
        </w:rPr>
        <w:t xml:space="preserve"> důchody ze SR</w:t>
      </w:r>
      <w:r w:rsidRPr="000315DB">
        <w:rPr>
          <w:rFonts w:cs="Arial"/>
          <w:color w:val="000000" w:themeColor="text1"/>
          <w:spacing w:val="-4"/>
          <w:sz w:val="16"/>
          <w:szCs w:val="16"/>
        </w:rPr>
        <w:t>.</w:t>
      </w:r>
      <w:r>
        <w:rPr>
          <w:rFonts w:cs="Arial"/>
          <w:color w:val="000000" w:themeColor="text1"/>
          <w:spacing w:val="-4"/>
          <w:sz w:val="16"/>
          <w:szCs w:val="16"/>
        </w:rPr>
        <w:t xml:space="preserve"> Ve výdajích jsou zahrnuty i prostředky</w:t>
      </w:r>
      <w:r w:rsidRPr="006B5B53">
        <w:rPr>
          <w:rFonts w:cs="Arial"/>
          <w:color w:val="000000" w:themeColor="text1"/>
          <w:spacing w:val="-4"/>
          <w:sz w:val="16"/>
          <w:szCs w:val="16"/>
        </w:rPr>
        <w:t xml:space="preserve"> na správu systému důchodového </w:t>
      </w:r>
      <w:r w:rsidRPr="004D1257">
        <w:rPr>
          <w:rFonts w:cs="Arial"/>
          <w:color w:val="0D0D0D" w:themeColor="text1" w:themeTint="F2"/>
          <w:spacing w:val="-4"/>
          <w:sz w:val="16"/>
          <w:szCs w:val="16"/>
        </w:rPr>
        <w:t>pojištění (v</w:t>
      </w:r>
      <w:r>
        <w:rPr>
          <w:rFonts w:cs="Arial"/>
          <w:color w:val="0D0D0D" w:themeColor="text1" w:themeTint="F2"/>
          <w:spacing w:val="-4"/>
          <w:sz w:val="16"/>
          <w:szCs w:val="16"/>
        </w:rPr>
        <w:t> </w:t>
      </w:r>
      <w:r w:rsidRPr="004D1257">
        <w:rPr>
          <w:rFonts w:cs="Arial"/>
          <w:color w:val="0D0D0D" w:themeColor="text1" w:themeTint="F2"/>
          <w:spacing w:val="-4"/>
          <w:sz w:val="16"/>
          <w:szCs w:val="16"/>
        </w:rPr>
        <w:t xml:space="preserve">roce 2019 dosáhly </w:t>
      </w:r>
      <w:r>
        <w:rPr>
          <w:rFonts w:cs="Arial"/>
          <w:color w:val="000000" w:themeColor="text1"/>
          <w:spacing w:val="-4"/>
          <w:sz w:val="16"/>
          <w:szCs w:val="16"/>
        </w:rPr>
        <w:t>dle údajů MF 6,3</w:t>
      </w:r>
      <w:r w:rsidRPr="006B5B53">
        <w:rPr>
          <w:rFonts w:cs="Arial"/>
          <w:color w:val="000000" w:themeColor="text1"/>
          <w:spacing w:val="-4"/>
          <w:sz w:val="16"/>
          <w:szCs w:val="16"/>
        </w:rPr>
        <w:t> mld. korun).</w:t>
      </w:r>
    </w:p>
  </w:footnote>
  <w:footnote w:id="80">
    <w:p w14:paraId="36AF8160" w14:textId="77777777" w:rsidR="003474B6" w:rsidRDefault="003474B6" w:rsidP="0067514E">
      <w:pPr>
        <w:pStyle w:val="Textpoznpodarou"/>
        <w:jc w:val="both"/>
      </w:pPr>
      <w:r w:rsidRPr="006B5B53">
        <w:rPr>
          <w:rStyle w:val="Znakapoznpodarou"/>
          <w:sz w:val="16"/>
          <w:szCs w:val="16"/>
        </w:rPr>
        <w:footnoteRef/>
      </w:r>
      <w:r>
        <w:rPr>
          <w:sz w:val="16"/>
          <w:szCs w:val="16"/>
        </w:rPr>
        <w:t xml:space="preserve"> Stál za tím </w:t>
      </w:r>
      <w:r w:rsidRPr="006B5B53">
        <w:rPr>
          <w:sz w:val="16"/>
          <w:szCs w:val="16"/>
        </w:rPr>
        <w:t>pokračující růst dočasné pracovní neschopnosti. Zvyšoval se i</w:t>
      </w:r>
      <w:r>
        <w:rPr>
          <w:sz w:val="16"/>
          <w:szCs w:val="16"/>
        </w:rPr>
        <w:t> </w:t>
      </w:r>
      <w:r w:rsidRPr="006B5B53">
        <w:rPr>
          <w:sz w:val="16"/>
          <w:szCs w:val="16"/>
        </w:rPr>
        <w:t>denní vyměřovací základ této dávky (odvozené mj.</w:t>
      </w:r>
      <w:r>
        <w:rPr>
          <w:sz w:val="16"/>
          <w:szCs w:val="16"/>
        </w:rPr>
        <w:t> </w:t>
      </w:r>
      <w:r w:rsidRPr="006B5B53">
        <w:rPr>
          <w:sz w:val="16"/>
          <w:szCs w:val="16"/>
        </w:rPr>
        <w:t>od výše předchozích vý</w:t>
      </w:r>
      <w:r>
        <w:rPr>
          <w:sz w:val="16"/>
          <w:szCs w:val="16"/>
        </w:rPr>
        <w:t xml:space="preserve">dělků). Růst objemu </w:t>
      </w:r>
      <w:r w:rsidRPr="006B5B53">
        <w:rPr>
          <w:sz w:val="16"/>
          <w:szCs w:val="16"/>
        </w:rPr>
        <w:t xml:space="preserve">nemocenských dávek byl </w:t>
      </w:r>
      <w:r>
        <w:rPr>
          <w:sz w:val="16"/>
          <w:szCs w:val="16"/>
        </w:rPr>
        <w:t xml:space="preserve">loni zčásti </w:t>
      </w:r>
      <w:r w:rsidRPr="006B5B53">
        <w:rPr>
          <w:sz w:val="16"/>
          <w:szCs w:val="16"/>
        </w:rPr>
        <w:t>ovlivněn i</w:t>
      </w:r>
      <w:r>
        <w:rPr>
          <w:sz w:val="16"/>
          <w:szCs w:val="16"/>
        </w:rPr>
        <w:t> </w:t>
      </w:r>
      <w:r w:rsidRPr="006B5B53">
        <w:rPr>
          <w:sz w:val="16"/>
          <w:szCs w:val="16"/>
        </w:rPr>
        <w:t>vyšším čerpáním p</w:t>
      </w:r>
      <w:r>
        <w:rPr>
          <w:sz w:val="16"/>
          <w:szCs w:val="16"/>
        </w:rPr>
        <w:t>eněžité pomoci v mateřství (+7,4 %</w:t>
      </w:r>
      <w:r w:rsidRPr="006B5B53">
        <w:rPr>
          <w:sz w:val="16"/>
          <w:szCs w:val="16"/>
        </w:rPr>
        <w:t>).</w:t>
      </w:r>
    </w:p>
  </w:footnote>
  <w:footnote w:id="81">
    <w:p w14:paraId="06031BD1" w14:textId="77777777" w:rsidR="003474B6" w:rsidRPr="00E9220F" w:rsidRDefault="003474B6" w:rsidP="0067514E">
      <w:pPr>
        <w:pStyle w:val="Textpoznpodarou"/>
        <w:rPr>
          <w:color w:val="0D0D0D" w:themeColor="text1" w:themeTint="F2"/>
          <w:spacing w:val="-2"/>
          <w:sz w:val="16"/>
          <w:szCs w:val="16"/>
        </w:rPr>
      </w:pPr>
      <w:r w:rsidRPr="00E9220F">
        <w:rPr>
          <w:rStyle w:val="Znakapoznpodarou"/>
          <w:color w:val="0D0D0D" w:themeColor="text1" w:themeTint="F2"/>
          <w:spacing w:val="-2"/>
          <w:sz w:val="16"/>
          <w:szCs w:val="16"/>
        </w:rPr>
        <w:footnoteRef/>
      </w:r>
      <w:r>
        <w:rPr>
          <w:color w:val="0D0D0D" w:themeColor="text1" w:themeTint="F2"/>
          <w:spacing w:val="-2"/>
          <w:sz w:val="16"/>
          <w:szCs w:val="16"/>
        </w:rPr>
        <w:t xml:space="preserve"> V roce 2019 již nebyla emise pokryta výhradně korunovými dluhopisy. MF vydalo také </w:t>
      </w:r>
      <w:proofErr w:type="spellStart"/>
      <w:r>
        <w:rPr>
          <w:color w:val="0D0D0D" w:themeColor="text1" w:themeTint="F2"/>
          <w:spacing w:val="-2"/>
          <w:sz w:val="16"/>
          <w:szCs w:val="16"/>
        </w:rPr>
        <w:t>eurodluhopis</w:t>
      </w:r>
      <w:proofErr w:type="spellEnd"/>
      <w:r>
        <w:rPr>
          <w:color w:val="0D0D0D" w:themeColor="text1" w:themeTint="F2"/>
          <w:spacing w:val="-2"/>
          <w:sz w:val="16"/>
          <w:szCs w:val="16"/>
        </w:rPr>
        <w:t xml:space="preserve"> (v hodně 1,0 mld. eur se splatností v roce 2021 a se záporným výnosem).</w:t>
      </w:r>
    </w:p>
  </w:footnote>
  <w:footnote w:id="82">
    <w:p w14:paraId="404ECF88" w14:textId="77777777" w:rsidR="003474B6" w:rsidRPr="00E9220F" w:rsidRDefault="003474B6" w:rsidP="0067514E">
      <w:pPr>
        <w:pStyle w:val="Textpoznpodarou"/>
        <w:rPr>
          <w:color w:val="0D0D0D" w:themeColor="text1" w:themeTint="F2"/>
          <w:spacing w:val="-2"/>
          <w:sz w:val="16"/>
          <w:szCs w:val="16"/>
        </w:rPr>
      </w:pPr>
      <w:r w:rsidRPr="00E9220F">
        <w:rPr>
          <w:rStyle w:val="Znakapoznpodarou"/>
          <w:color w:val="0D0D0D" w:themeColor="text1" w:themeTint="F2"/>
          <w:spacing w:val="-2"/>
          <w:sz w:val="16"/>
          <w:szCs w:val="16"/>
        </w:rPr>
        <w:footnoteRef/>
      </w:r>
      <w:r>
        <w:rPr>
          <w:color w:val="0D0D0D" w:themeColor="text1" w:themeTint="F2"/>
          <w:spacing w:val="-2"/>
          <w:sz w:val="16"/>
          <w:szCs w:val="16"/>
        </w:rPr>
        <w:t xml:space="preserve"> </w:t>
      </w:r>
      <w:r w:rsidRPr="00BC11EA">
        <w:rPr>
          <w:color w:val="0D0D0D" w:themeColor="text1" w:themeTint="F2"/>
          <w:spacing w:val="-3"/>
          <w:sz w:val="16"/>
          <w:szCs w:val="16"/>
        </w:rPr>
        <w:t>Tvorba hrubého fixního kapitálu vzrostla v roce 2019 o</w:t>
      </w:r>
      <w:r>
        <w:rPr>
          <w:color w:val="0D0D0D" w:themeColor="text1" w:themeTint="F2"/>
          <w:spacing w:val="-3"/>
          <w:sz w:val="16"/>
          <w:szCs w:val="16"/>
        </w:rPr>
        <w:t> </w:t>
      </w:r>
      <w:r w:rsidRPr="00BC11EA">
        <w:rPr>
          <w:color w:val="0D0D0D" w:themeColor="text1" w:themeTint="F2"/>
          <w:spacing w:val="-3"/>
          <w:sz w:val="16"/>
          <w:szCs w:val="16"/>
        </w:rPr>
        <w:t>3,4</w:t>
      </w:r>
      <w:r>
        <w:rPr>
          <w:color w:val="0D0D0D" w:themeColor="text1" w:themeTint="F2"/>
          <w:spacing w:val="-3"/>
          <w:sz w:val="16"/>
          <w:szCs w:val="16"/>
        </w:rPr>
        <w:t> %</w:t>
      </w:r>
      <w:r w:rsidRPr="00BC11EA">
        <w:rPr>
          <w:color w:val="0D0D0D" w:themeColor="text1" w:themeTint="F2"/>
          <w:spacing w:val="-3"/>
          <w:sz w:val="16"/>
          <w:szCs w:val="16"/>
        </w:rPr>
        <w:t>, na rekordních 120,4</w:t>
      </w:r>
      <w:r>
        <w:rPr>
          <w:color w:val="0D0D0D" w:themeColor="text1" w:themeTint="F2"/>
          <w:spacing w:val="-3"/>
          <w:sz w:val="16"/>
          <w:szCs w:val="16"/>
        </w:rPr>
        <w:t> mld.</w:t>
      </w:r>
      <w:r w:rsidRPr="00BC11EA">
        <w:rPr>
          <w:color w:val="0D0D0D" w:themeColor="text1" w:themeTint="F2"/>
          <w:spacing w:val="-3"/>
          <w:sz w:val="16"/>
          <w:szCs w:val="16"/>
        </w:rPr>
        <w:t xml:space="preserve"> korun. Objem investic se zvýšil třetím rokem v řadě.</w:t>
      </w:r>
    </w:p>
  </w:footnote>
  <w:footnote w:id="83">
    <w:p w14:paraId="3C7EA32E" w14:textId="5B78CF8D" w:rsidR="003474B6" w:rsidRPr="00E9220F" w:rsidRDefault="003474B6" w:rsidP="007A7033">
      <w:pPr>
        <w:pStyle w:val="Textpoznpodarou"/>
        <w:rPr>
          <w:color w:val="0D0D0D" w:themeColor="text1" w:themeTint="F2"/>
          <w:spacing w:val="-2"/>
          <w:sz w:val="16"/>
          <w:szCs w:val="16"/>
        </w:rPr>
      </w:pPr>
      <w:r w:rsidRPr="00E9220F">
        <w:rPr>
          <w:rStyle w:val="Znakapoznpodarou"/>
          <w:color w:val="0D0D0D" w:themeColor="text1" w:themeTint="F2"/>
          <w:spacing w:val="-2"/>
          <w:sz w:val="16"/>
          <w:szCs w:val="16"/>
        </w:rPr>
        <w:footnoteRef/>
      </w:r>
      <w:r w:rsidRPr="00E9220F">
        <w:rPr>
          <w:color w:val="0D0D0D" w:themeColor="text1" w:themeTint="F2"/>
          <w:spacing w:val="-2"/>
          <w:sz w:val="16"/>
          <w:szCs w:val="16"/>
        </w:rPr>
        <w:t xml:space="preserve"> Předběžné údaje o</w:t>
      </w:r>
      <w:r>
        <w:rPr>
          <w:color w:val="0D0D0D" w:themeColor="text1" w:themeTint="F2"/>
          <w:spacing w:val="-2"/>
          <w:sz w:val="16"/>
          <w:szCs w:val="16"/>
        </w:rPr>
        <w:t> </w:t>
      </w:r>
      <w:r w:rsidRPr="00E9220F">
        <w:rPr>
          <w:color w:val="0D0D0D" w:themeColor="text1" w:themeTint="F2"/>
          <w:spacing w:val="-2"/>
          <w:sz w:val="16"/>
          <w:szCs w:val="16"/>
        </w:rPr>
        <w:t>dluhu a</w:t>
      </w:r>
      <w:r>
        <w:rPr>
          <w:color w:val="0D0D0D" w:themeColor="text1" w:themeTint="F2"/>
          <w:spacing w:val="-2"/>
          <w:sz w:val="16"/>
          <w:szCs w:val="16"/>
        </w:rPr>
        <w:t> </w:t>
      </w:r>
      <w:r w:rsidRPr="00E9220F">
        <w:rPr>
          <w:color w:val="0D0D0D" w:themeColor="text1" w:themeTint="F2"/>
          <w:spacing w:val="-2"/>
          <w:sz w:val="16"/>
          <w:szCs w:val="16"/>
        </w:rPr>
        <w:t>deficitu</w:t>
      </w:r>
      <w:r>
        <w:rPr>
          <w:color w:val="0D0D0D" w:themeColor="text1" w:themeTint="F2"/>
          <w:spacing w:val="-2"/>
          <w:sz w:val="16"/>
          <w:szCs w:val="16"/>
        </w:rPr>
        <w:t xml:space="preserve"> sektoru vládních institucí za celý rok 2019 za všechny státy EU zveřejní</w:t>
      </w:r>
      <w:r w:rsidRPr="00E9220F">
        <w:rPr>
          <w:color w:val="0D0D0D" w:themeColor="text1" w:themeTint="F2"/>
          <w:spacing w:val="-2"/>
          <w:sz w:val="16"/>
          <w:szCs w:val="16"/>
        </w:rPr>
        <w:t xml:space="preserve"> </w:t>
      </w:r>
      <w:proofErr w:type="spellStart"/>
      <w:r w:rsidRPr="00E9220F">
        <w:rPr>
          <w:color w:val="0D0D0D" w:themeColor="text1" w:themeTint="F2"/>
          <w:spacing w:val="-2"/>
          <w:sz w:val="16"/>
          <w:szCs w:val="16"/>
        </w:rPr>
        <w:t>Eurostat</w:t>
      </w:r>
      <w:proofErr w:type="spellEnd"/>
      <w:r w:rsidRPr="00E9220F">
        <w:rPr>
          <w:color w:val="0D0D0D" w:themeColor="text1" w:themeTint="F2"/>
          <w:spacing w:val="-2"/>
          <w:sz w:val="16"/>
          <w:szCs w:val="16"/>
        </w:rPr>
        <w:t xml:space="preserve"> </w:t>
      </w:r>
      <w:r>
        <w:rPr>
          <w:color w:val="0D0D0D" w:themeColor="text1" w:themeTint="F2"/>
          <w:spacing w:val="-2"/>
          <w:sz w:val="16"/>
          <w:szCs w:val="16"/>
        </w:rPr>
        <w:t>23</w:t>
      </w:r>
      <w:r w:rsidRPr="00E9220F">
        <w:rPr>
          <w:color w:val="0D0D0D" w:themeColor="text1" w:themeTint="F2"/>
          <w:spacing w:val="-2"/>
          <w:sz w:val="16"/>
          <w:szCs w:val="16"/>
        </w:rPr>
        <w:t>.</w:t>
      </w:r>
      <w:r>
        <w:rPr>
          <w:color w:val="0D0D0D" w:themeColor="text1" w:themeTint="F2"/>
          <w:spacing w:val="-2"/>
          <w:sz w:val="16"/>
          <w:szCs w:val="16"/>
        </w:rPr>
        <w:t> dubna 2020.</w:t>
      </w:r>
    </w:p>
  </w:footnote>
  <w:footnote w:id="84">
    <w:p w14:paraId="028179DB" w14:textId="0EBF2F0E" w:rsidR="003474B6" w:rsidRPr="00E9220F" w:rsidRDefault="003474B6" w:rsidP="0067514E">
      <w:pPr>
        <w:pStyle w:val="Textpoznpodarou"/>
        <w:rPr>
          <w:color w:val="0D0D0D" w:themeColor="text1" w:themeTint="F2"/>
          <w:spacing w:val="-2"/>
          <w:sz w:val="16"/>
          <w:szCs w:val="16"/>
        </w:rPr>
      </w:pPr>
      <w:r w:rsidRPr="00E9220F">
        <w:rPr>
          <w:rStyle w:val="Znakapoznpodarou"/>
          <w:color w:val="0D0D0D" w:themeColor="text1" w:themeTint="F2"/>
          <w:spacing w:val="-2"/>
          <w:sz w:val="16"/>
          <w:szCs w:val="16"/>
        </w:rPr>
        <w:footnoteRef/>
      </w:r>
      <w:r>
        <w:rPr>
          <w:color w:val="0D0D0D" w:themeColor="text1" w:themeTint="F2"/>
          <w:spacing w:val="-2"/>
          <w:sz w:val="16"/>
          <w:szCs w:val="16"/>
        </w:rPr>
        <w:t xml:space="preserve"> Saldo se pohybovalo během tří čtvrtletí 2019 v pásmu –0,7 až –0,9 % HDP (po sezónním očištění). Ve 2. čtvrtletí 2018 se přitom saldo zredukovalo až na –0,5 %, což byla úroveň blízká nejlepšímu výsledku z konjunkturního období minulé dekády. Z větších ekonomik Unie dosáhly v 1. až 3. čtvrtletí 2019 přebytku jen Německo (+1,7 % HDP) a Nizozemsko (+2,1 %).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985C8" w14:textId="77777777" w:rsidR="003474B6" w:rsidRDefault="003474B6" w:rsidP="00937AE2">
    <w:pPr>
      <w:pStyle w:val="Zhlav"/>
    </w:pPr>
    <w:r>
      <w:t>Vývoj ekonomiky České republiky</w:t>
    </w:r>
  </w:p>
  <w:p w14:paraId="675E4C41" w14:textId="77777777" w:rsidR="003474B6" w:rsidRPr="006F5416" w:rsidRDefault="003474B6"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812FB" w14:textId="77777777" w:rsidR="003474B6" w:rsidRDefault="003474B6" w:rsidP="00937AE2">
    <w:pPr>
      <w:pStyle w:val="Zhlav"/>
    </w:pPr>
    <w:r>
      <w:t>Vývoj ekonomiky České republiky</w:t>
    </w:r>
  </w:p>
  <w:p w14:paraId="0CDCFD48" w14:textId="77777777" w:rsidR="003474B6" w:rsidRPr="006F5416" w:rsidRDefault="003474B6"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7D74947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3"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1"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3"/>
  </w:num>
  <w:num w:numId="13">
    <w:abstractNumId w:val="24"/>
  </w:num>
  <w:num w:numId="14">
    <w:abstractNumId w:val="12"/>
  </w:num>
  <w:num w:numId="15">
    <w:abstractNumId w:val="18"/>
  </w:num>
  <w:num w:numId="16">
    <w:abstractNumId w:val="14"/>
  </w:num>
  <w:num w:numId="17">
    <w:abstractNumId w:val="25"/>
  </w:num>
  <w:num w:numId="18">
    <w:abstractNumId w:val="19"/>
  </w:num>
  <w:num w:numId="19">
    <w:abstractNumId w:val="26"/>
  </w:num>
  <w:num w:numId="20">
    <w:abstractNumId w:val="27"/>
  </w:num>
  <w:num w:numId="21">
    <w:abstractNumId w:val="23"/>
  </w:num>
  <w:num w:numId="22">
    <w:abstractNumId w:val="17"/>
  </w:num>
  <w:num w:numId="23">
    <w:abstractNumId w:val="15"/>
  </w:num>
  <w:num w:numId="24">
    <w:abstractNumId w:val="16"/>
  </w:num>
  <w:num w:numId="25">
    <w:abstractNumId w:val="11"/>
  </w:num>
  <w:num w:numId="26">
    <w:abstractNumId w:val="21"/>
  </w:num>
  <w:num w:numId="27">
    <w:abstractNumId w:val="20"/>
  </w:num>
  <w:num w:numId="28">
    <w:abstractNumId w:val="10"/>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828"/>
    <w:rsid w:val="000005AF"/>
    <w:rsid w:val="00000B55"/>
    <w:rsid w:val="0000209D"/>
    <w:rsid w:val="00002566"/>
    <w:rsid w:val="00003849"/>
    <w:rsid w:val="00003F5C"/>
    <w:rsid w:val="00004D5A"/>
    <w:rsid w:val="000056D5"/>
    <w:rsid w:val="00005D9E"/>
    <w:rsid w:val="000063D5"/>
    <w:rsid w:val="00006625"/>
    <w:rsid w:val="00006ABD"/>
    <w:rsid w:val="00006B67"/>
    <w:rsid w:val="00006C0B"/>
    <w:rsid w:val="000073A0"/>
    <w:rsid w:val="0000767A"/>
    <w:rsid w:val="00007ABE"/>
    <w:rsid w:val="00010256"/>
    <w:rsid w:val="00010702"/>
    <w:rsid w:val="0001128E"/>
    <w:rsid w:val="00011912"/>
    <w:rsid w:val="0001387D"/>
    <w:rsid w:val="00016420"/>
    <w:rsid w:val="00017B01"/>
    <w:rsid w:val="000205D1"/>
    <w:rsid w:val="00020F22"/>
    <w:rsid w:val="0002195D"/>
    <w:rsid w:val="000228AE"/>
    <w:rsid w:val="000233D1"/>
    <w:rsid w:val="000234D6"/>
    <w:rsid w:val="00023D29"/>
    <w:rsid w:val="00024348"/>
    <w:rsid w:val="00026389"/>
    <w:rsid w:val="000279E5"/>
    <w:rsid w:val="00031AE0"/>
    <w:rsid w:val="00031BB2"/>
    <w:rsid w:val="000322EF"/>
    <w:rsid w:val="00033FCD"/>
    <w:rsid w:val="00034DF7"/>
    <w:rsid w:val="00034E68"/>
    <w:rsid w:val="000350C8"/>
    <w:rsid w:val="00036195"/>
    <w:rsid w:val="000374B2"/>
    <w:rsid w:val="000376C0"/>
    <w:rsid w:val="000403A7"/>
    <w:rsid w:val="00040632"/>
    <w:rsid w:val="00041AFC"/>
    <w:rsid w:val="00041CEC"/>
    <w:rsid w:val="00044183"/>
    <w:rsid w:val="0004431D"/>
    <w:rsid w:val="0004694F"/>
    <w:rsid w:val="00046F2F"/>
    <w:rsid w:val="00047AD4"/>
    <w:rsid w:val="00047D54"/>
    <w:rsid w:val="00051506"/>
    <w:rsid w:val="000522E4"/>
    <w:rsid w:val="00053713"/>
    <w:rsid w:val="0005434E"/>
    <w:rsid w:val="00055CB6"/>
    <w:rsid w:val="000572DD"/>
    <w:rsid w:val="00057B1E"/>
    <w:rsid w:val="000610E1"/>
    <w:rsid w:val="000616AD"/>
    <w:rsid w:val="000622A6"/>
    <w:rsid w:val="00062EC5"/>
    <w:rsid w:val="00062F22"/>
    <w:rsid w:val="00063975"/>
    <w:rsid w:val="00063CEA"/>
    <w:rsid w:val="0006444D"/>
    <w:rsid w:val="000645FC"/>
    <w:rsid w:val="0006533F"/>
    <w:rsid w:val="00065348"/>
    <w:rsid w:val="00065A75"/>
    <w:rsid w:val="00066558"/>
    <w:rsid w:val="00070A87"/>
    <w:rsid w:val="000712B3"/>
    <w:rsid w:val="00072FF5"/>
    <w:rsid w:val="0007474E"/>
    <w:rsid w:val="00074988"/>
    <w:rsid w:val="0007512B"/>
    <w:rsid w:val="00075551"/>
    <w:rsid w:val="000767F5"/>
    <w:rsid w:val="00076D90"/>
    <w:rsid w:val="00077FF0"/>
    <w:rsid w:val="00081A55"/>
    <w:rsid w:val="0008263E"/>
    <w:rsid w:val="00082C19"/>
    <w:rsid w:val="00082F89"/>
    <w:rsid w:val="000837CD"/>
    <w:rsid w:val="00084BFF"/>
    <w:rsid w:val="00085395"/>
    <w:rsid w:val="00086896"/>
    <w:rsid w:val="00086AC1"/>
    <w:rsid w:val="00086D19"/>
    <w:rsid w:val="00087634"/>
    <w:rsid w:val="00087F2B"/>
    <w:rsid w:val="00090694"/>
    <w:rsid w:val="00090FC6"/>
    <w:rsid w:val="000913B1"/>
    <w:rsid w:val="00093241"/>
    <w:rsid w:val="00094A84"/>
    <w:rsid w:val="00095025"/>
    <w:rsid w:val="00095135"/>
    <w:rsid w:val="0009626E"/>
    <w:rsid w:val="00097191"/>
    <w:rsid w:val="000974D1"/>
    <w:rsid w:val="0009799E"/>
    <w:rsid w:val="000A07CB"/>
    <w:rsid w:val="000A0BC0"/>
    <w:rsid w:val="000A1183"/>
    <w:rsid w:val="000A212B"/>
    <w:rsid w:val="000A242D"/>
    <w:rsid w:val="000A256D"/>
    <w:rsid w:val="000A3A2C"/>
    <w:rsid w:val="000A3D9E"/>
    <w:rsid w:val="000A4A54"/>
    <w:rsid w:val="000A4ED9"/>
    <w:rsid w:val="000A5DB7"/>
    <w:rsid w:val="000A6D94"/>
    <w:rsid w:val="000A7377"/>
    <w:rsid w:val="000A7FF4"/>
    <w:rsid w:val="000B03CC"/>
    <w:rsid w:val="000B4212"/>
    <w:rsid w:val="000C0EA8"/>
    <w:rsid w:val="000C13A2"/>
    <w:rsid w:val="000C21E7"/>
    <w:rsid w:val="000C23EC"/>
    <w:rsid w:val="000C30C3"/>
    <w:rsid w:val="000C3408"/>
    <w:rsid w:val="000C35AB"/>
    <w:rsid w:val="000C3F7B"/>
    <w:rsid w:val="000C4769"/>
    <w:rsid w:val="000C4D56"/>
    <w:rsid w:val="000C5DFA"/>
    <w:rsid w:val="000C6AFD"/>
    <w:rsid w:val="000C6C90"/>
    <w:rsid w:val="000D0A26"/>
    <w:rsid w:val="000D3058"/>
    <w:rsid w:val="000D310A"/>
    <w:rsid w:val="000D3EF4"/>
    <w:rsid w:val="000D5637"/>
    <w:rsid w:val="000D6F4E"/>
    <w:rsid w:val="000E0E96"/>
    <w:rsid w:val="000E298B"/>
    <w:rsid w:val="000E2C7D"/>
    <w:rsid w:val="000E440D"/>
    <w:rsid w:val="000E4AC5"/>
    <w:rsid w:val="000E6253"/>
    <w:rsid w:val="000E6E4D"/>
    <w:rsid w:val="000E6FBD"/>
    <w:rsid w:val="000E6FCB"/>
    <w:rsid w:val="000F090B"/>
    <w:rsid w:val="000F3F3B"/>
    <w:rsid w:val="000F47E8"/>
    <w:rsid w:val="000F70E4"/>
    <w:rsid w:val="000F76EA"/>
    <w:rsid w:val="00100F5C"/>
    <w:rsid w:val="00101CDA"/>
    <w:rsid w:val="00102037"/>
    <w:rsid w:val="00103DCB"/>
    <w:rsid w:val="00104C4C"/>
    <w:rsid w:val="00105015"/>
    <w:rsid w:val="001055D2"/>
    <w:rsid w:val="001057C2"/>
    <w:rsid w:val="0011038E"/>
    <w:rsid w:val="001125EF"/>
    <w:rsid w:val="00112CAB"/>
    <w:rsid w:val="00116D3F"/>
    <w:rsid w:val="00117474"/>
    <w:rsid w:val="00117623"/>
    <w:rsid w:val="00117FEA"/>
    <w:rsid w:val="001200CF"/>
    <w:rsid w:val="001208E3"/>
    <w:rsid w:val="0012192F"/>
    <w:rsid w:val="00122994"/>
    <w:rsid w:val="00124B46"/>
    <w:rsid w:val="001257E0"/>
    <w:rsid w:val="00125D69"/>
    <w:rsid w:val="0012799C"/>
    <w:rsid w:val="00127BC2"/>
    <w:rsid w:val="00127E15"/>
    <w:rsid w:val="00130ADC"/>
    <w:rsid w:val="00130D9F"/>
    <w:rsid w:val="00132C4D"/>
    <w:rsid w:val="00133FC1"/>
    <w:rsid w:val="00134659"/>
    <w:rsid w:val="001405FA"/>
    <w:rsid w:val="00140D1A"/>
    <w:rsid w:val="00141184"/>
    <w:rsid w:val="00141315"/>
    <w:rsid w:val="00141AA0"/>
    <w:rsid w:val="001425C3"/>
    <w:rsid w:val="0014262D"/>
    <w:rsid w:val="00144588"/>
    <w:rsid w:val="001447DD"/>
    <w:rsid w:val="001459BC"/>
    <w:rsid w:val="00152F4F"/>
    <w:rsid w:val="001544A1"/>
    <w:rsid w:val="001553B8"/>
    <w:rsid w:val="001554C2"/>
    <w:rsid w:val="001571C0"/>
    <w:rsid w:val="0015753D"/>
    <w:rsid w:val="00157CC9"/>
    <w:rsid w:val="00160C21"/>
    <w:rsid w:val="001612F4"/>
    <w:rsid w:val="00161553"/>
    <w:rsid w:val="0016256B"/>
    <w:rsid w:val="00162F81"/>
    <w:rsid w:val="00163793"/>
    <w:rsid w:val="00165313"/>
    <w:rsid w:val="00167485"/>
    <w:rsid w:val="00167CB9"/>
    <w:rsid w:val="00167DD8"/>
    <w:rsid w:val="001705AD"/>
    <w:rsid w:val="001706D6"/>
    <w:rsid w:val="001714F2"/>
    <w:rsid w:val="00171FEA"/>
    <w:rsid w:val="00175B9F"/>
    <w:rsid w:val="001762F4"/>
    <w:rsid w:val="00181BBC"/>
    <w:rsid w:val="0018385F"/>
    <w:rsid w:val="00184017"/>
    <w:rsid w:val="001847BB"/>
    <w:rsid w:val="00184B08"/>
    <w:rsid w:val="00185010"/>
    <w:rsid w:val="00185C22"/>
    <w:rsid w:val="00186BA9"/>
    <w:rsid w:val="0019196C"/>
    <w:rsid w:val="00192F05"/>
    <w:rsid w:val="00194729"/>
    <w:rsid w:val="00194850"/>
    <w:rsid w:val="00195234"/>
    <w:rsid w:val="00196016"/>
    <w:rsid w:val="00196117"/>
    <w:rsid w:val="00197A70"/>
    <w:rsid w:val="00197C0F"/>
    <w:rsid w:val="001A0487"/>
    <w:rsid w:val="001A1F68"/>
    <w:rsid w:val="001A21FA"/>
    <w:rsid w:val="001A4EF0"/>
    <w:rsid w:val="001A552F"/>
    <w:rsid w:val="001B2CA9"/>
    <w:rsid w:val="001B3110"/>
    <w:rsid w:val="001B3E38"/>
    <w:rsid w:val="001B40F5"/>
    <w:rsid w:val="001B4729"/>
    <w:rsid w:val="001B4F0E"/>
    <w:rsid w:val="001B6310"/>
    <w:rsid w:val="001B6C09"/>
    <w:rsid w:val="001B6E12"/>
    <w:rsid w:val="001C05CD"/>
    <w:rsid w:val="001C0F17"/>
    <w:rsid w:val="001C1B24"/>
    <w:rsid w:val="001C1B66"/>
    <w:rsid w:val="001C31A2"/>
    <w:rsid w:val="001C4BB8"/>
    <w:rsid w:val="001C4FD0"/>
    <w:rsid w:val="001C5E46"/>
    <w:rsid w:val="001C6B3B"/>
    <w:rsid w:val="001C7E3F"/>
    <w:rsid w:val="001D0EF1"/>
    <w:rsid w:val="001D22C2"/>
    <w:rsid w:val="001D2C99"/>
    <w:rsid w:val="001D452E"/>
    <w:rsid w:val="001D54C1"/>
    <w:rsid w:val="001D556E"/>
    <w:rsid w:val="001D5DF2"/>
    <w:rsid w:val="001D68B2"/>
    <w:rsid w:val="001D7EFD"/>
    <w:rsid w:val="001D7F60"/>
    <w:rsid w:val="001E3306"/>
    <w:rsid w:val="001E504C"/>
    <w:rsid w:val="001E5A17"/>
    <w:rsid w:val="001E74C5"/>
    <w:rsid w:val="001F1236"/>
    <w:rsid w:val="001F2F90"/>
    <w:rsid w:val="001F4597"/>
    <w:rsid w:val="001F4826"/>
    <w:rsid w:val="001F7CE0"/>
    <w:rsid w:val="00200085"/>
    <w:rsid w:val="00203332"/>
    <w:rsid w:val="00203CD5"/>
    <w:rsid w:val="00203D8F"/>
    <w:rsid w:val="00203DA4"/>
    <w:rsid w:val="00205186"/>
    <w:rsid w:val="00206516"/>
    <w:rsid w:val="002071D5"/>
    <w:rsid w:val="002111E5"/>
    <w:rsid w:val="002118B9"/>
    <w:rsid w:val="002142C0"/>
    <w:rsid w:val="00217C5B"/>
    <w:rsid w:val="00220A43"/>
    <w:rsid w:val="0022139E"/>
    <w:rsid w:val="00222729"/>
    <w:rsid w:val="00223185"/>
    <w:rsid w:val="002233D6"/>
    <w:rsid w:val="0022441D"/>
    <w:rsid w:val="00224574"/>
    <w:rsid w:val="00224E3F"/>
    <w:rsid w:val="002252E0"/>
    <w:rsid w:val="002255F6"/>
    <w:rsid w:val="00226032"/>
    <w:rsid w:val="0022738D"/>
    <w:rsid w:val="00227605"/>
    <w:rsid w:val="00227850"/>
    <w:rsid w:val="00227A53"/>
    <w:rsid w:val="00227E2E"/>
    <w:rsid w:val="00227F53"/>
    <w:rsid w:val="00230C6E"/>
    <w:rsid w:val="00230E21"/>
    <w:rsid w:val="002316A8"/>
    <w:rsid w:val="002320C9"/>
    <w:rsid w:val="0023288F"/>
    <w:rsid w:val="00233603"/>
    <w:rsid w:val="002340EF"/>
    <w:rsid w:val="00234B82"/>
    <w:rsid w:val="00236443"/>
    <w:rsid w:val="00236700"/>
    <w:rsid w:val="00240391"/>
    <w:rsid w:val="00240AF3"/>
    <w:rsid w:val="002418D5"/>
    <w:rsid w:val="00241B06"/>
    <w:rsid w:val="002436BA"/>
    <w:rsid w:val="00244652"/>
    <w:rsid w:val="00244A15"/>
    <w:rsid w:val="002452D9"/>
    <w:rsid w:val="00247319"/>
    <w:rsid w:val="0024799E"/>
    <w:rsid w:val="00247E60"/>
    <w:rsid w:val="00251C53"/>
    <w:rsid w:val="00252AB9"/>
    <w:rsid w:val="00253C0F"/>
    <w:rsid w:val="002558C1"/>
    <w:rsid w:val="00256207"/>
    <w:rsid w:val="002575F3"/>
    <w:rsid w:val="002603E1"/>
    <w:rsid w:val="0026120E"/>
    <w:rsid w:val="00262582"/>
    <w:rsid w:val="0026291D"/>
    <w:rsid w:val="00264309"/>
    <w:rsid w:val="0026564B"/>
    <w:rsid w:val="00265C83"/>
    <w:rsid w:val="00265E85"/>
    <w:rsid w:val="00267B49"/>
    <w:rsid w:val="002700D9"/>
    <w:rsid w:val="0027025F"/>
    <w:rsid w:val="002709CC"/>
    <w:rsid w:val="00270D25"/>
    <w:rsid w:val="00271022"/>
    <w:rsid w:val="00271465"/>
    <w:rsid w:val="00271E47"/>
    <w:rsid w:val="002721F5"/>
    <w:rsid w:val="00272DF4"/>
    <w:rsid w:val="0027583D"/>
    <w:rsid w:val="00275DEF"/>
    <w:rsid w:val="002763A2"/>
    <w:rsid w:val="00276B33"/>
    <w:rsid w:val="002812E3"/>
    <w:rsid w:val="0028341F"/>
    <w:rsid w:val="002837AE"/>
    <w:rsid w:val="00283C13"/>
    <w:rsid w:val="00283F7B"/>
    <w:rsid w:val="0028431A"/>
    <w:rsid w:val="002853FA"/>
    <w:rsid w:val="00285412"/>
    <w:rsid w:val="00286220"/>
    <w:rsid w:val="00291640"/>
    <w:rsid w:val="0029237E"/>
    <w:rsid w:val="00292997"/>
    <w:rsid w:val="00293D24"/>
    <w:rsid w:val="0029509B"/>
    <w:rsid w:val="0029588F"/>
    <w:rsid w:val="00297256"/>
    <w:rsid w:val="00297A5C"/>
    <w:rsid w:val="00297D51"/>
    <w:rsid w:val="002A0122"/>
    <w:rsid w:val="002A016B"/>
    <w:rsid w:val="002A16D4"/>
    <w:rsid w:val="002A1E4F"/>
    <w:rsid w:val="002A230C"/>
    <w:rsid w:val="002A2AF7"/>
    <w:rsid w:val="002A3209"/>
    <w:rsid w:val="002A3EA2"/>
    <w:rsid w:val="002A51AC"/>
    <w:rsid w:val="002A532A"/>
    <w:rsid w:val="002A5846"/>
    <w:rsid w:val="002A5D97"/>
    <w:rsid w:val="002A603E"/>
    <w:rsid w:val="002A63B9"/>
    <w:rsid w:val="002A7089"/>
    <w:rsid w:val="002B1619"/>
    <w:rsid w:val="002B3EF4"/>
    <w:rsid w:val="002B4845"/>
    <w:rsid w:val="002B5567"/>
    <w:rsid w:val="002B5812"/>
    <w:rsid w:val="002B72AA"/>
    <w:rsid w:val="002C1110"/>
    <w:rsid w:val="002C1F09"/>
    <w:rsid w:val="002C22A4"/>
    <w:rsid w:val="002C260B"/>
    <w:rsid w:val="002C27A6"/>
    <w:rsid w:val="002C398D"/>
    <w:rsid w:val="002C40D2"/>
    <w:rsid w:val="002C43BD"/>
    <w:rsid w:val="002C5245"/>
    <w:rsid w:val="002C59D8"/>
    <w:rsid w:val="002D05CB"/>
    <w:rsid w:val="002D0E59"/>
    <w:rsid w:val="002D2C4F"/>
    <w:rsid w:val="002D3EBB"/>
    <w:rsid w:val="002D455C"/>
    <w:rsid w:val="002D6066"/>
    <w:rsid w:val="002E02A1"/>
    <w:rsid w:val="002E196A"/>
    <w:rsid w:val="002E20C7"/>
    <w:rsid w:val="002E20CD"/>
    <w:rsid w:val="002E222E"/>
    <w:rsid w:val="002E28D8"/>
    <w:rsid w:val="002E37D1"/>
    <w:rsid w:val="002E3BEE"/>
    <w:rsid w:val="002E4E4C"/>
    <w:rsid w:val="002E4EA7"/>
    <w:rsid w:val="002E5846"/>
    <w:rsid w:val="002E792B"/>
    <w:rsid w:val="002F1B09"/>
    <w:rsid w:val="002F1D56"/>
    <w:rsid w:val="002F1DCB"/>
    <w:rsid w:val="002F1DE4"/>
    <w:rsid w:val="002F333D"/>
    <w:rsid w:val="002F351A"/>
    <w:rsid w:val="002F46D6"/>
    <w:rsid w:val="002F498A"/>
    <w:rsid w:val="002F4AD8"/>
    <w:rsid w:val="002F5285"/>
    <w:rsid w:val="002F5820"/>
    <w:rsid w:val="002F64BB"/>
    <w:rsid w:val="00300C31"/>
    <w:rsid w:val="003017EC"/>
    <w:rsid w:val="00302165"/>
    <w:rsid w:val="00304771"/>
    <w:rsid w:val="003052D4"/>
    <w:rsid w:val="003060E9"/>
    <w:rsid w:val="00306C5B"/>
    <w:rsid w:val="00307529"/>
    <w:rsid w:val="00307DB3"/>
    <w:rsid w:val="00307ED2"/>
    <w:rsid w:val="0031076D"/>
    <w:rsid w:val="00311AA6"/>
    <w:rsid w:val="00311C4D"/>
    <w:rsid w:val="003121AB"/>
    <w:rsid w:val="00315169"/>
    <w:rsid w:val="003153C8"/>
    <w:rsid w:val="00315524"/>
    <w:rsid w:val="0032058C"/>
    <w:rsid w:val="003208D0"/>
    <w:rsid w:val="003209D6"/>
    <w:rsid w:val="003217B9"/>
    <w:rsid w:val="00321924"/>
    <w:rsid w:val="00321EB6"/>
    <w:rsid w:val="003220A5"/>
    <w:rsid w:val="00323A1C"/>
    <w:rsid w:val="00324B59"/>
    <w:rsid w:val="0032656E"/>
    <w:rsid w:val="0032788F"/>
    <w:rsid w:val="00332190"/>
    <w:rsid w:val="00332A98"/>
    <w:rsid w:val="00333973"/>
    <w:rsid w:val="00333CD0"/>
    <w:rsid w:val="0033448D"/>
    <w:rsid w:val="00334AD2"/>
    <w:rsid w:val="0033709C"/>
    <w:rsid w:val="003370C5"/>
    <w:rsid w:val="003373C6"/>
    <w:rsid w:val="00340BF3"/>
    <w:rsid w:val="00341D26"/>
    <w:rsid w:val="00341F05"/>
    <w:rsid w:val="0034335E"/>
    <w:rsid w:val="00344668"/>
    <w:rsid w:val="00346234"/>
    <w:rsid w:val="003462D9"/>
    <w:rsid w:val="0034723F"/>
    <w:rsid w:val="00347247"/>
    <w:rsid w:val="003474B6"/>
    <w:rsid w:val="00347DD4"/>
    <w:rsid w:val="00352B43"/>
    <w:rsid w:val="00352C28"/>
    <w:rsid w:val="0036077F"/>
    <w:rsid w:val="00360C86"/>
    <w:rsid w:val="00360F7A"/>
    <w:rsid w:val="00360FBC"/>
    <w:rsid w:val="00361537"/>
    <w:rsid w:val="0036242A"/>
    <w:rsid w:val="00362C23"/>
    <w:rsid w:val="00362E90"/>
    <w:rsid w:val="00364FA0"/>
    <w:rsid w:val="003657F3"/>
    <w:rsid w:val="00365844"/>
    <w:rsid w:val="00367F84"/>
    <w:rsid w:val="003712BC"/>
    <w:rsid w:val="00372164"/>
    <w:rsid w:val="003738BD"/>
    <w:rsid w:val="00374263"/>
    <w:rsid w:val="003746F0"/>
    <w:rsid w:val="00374A20"/>
    <w:rsid w:val="00374E21"/>
    <w:rsid w:val="00377B2E"/>
    <w:rsid w:val="003810F0"/>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6739"/>
    <w:rsid w:val="003A04F6"/>
    <w:rsid w:val="003A0837"/>
    <w:rsid w:val="003A2B4D"/>
    <w:rsid w:val="003A2D12"/>
    <w:rsid w:val="003A2EBA"/>
    <w:rsid w:val="003A45E3"/>
    <w:rsid w:val="003A478C"/>
    <w:rsid w:val="003A4A38"/>
    <w:rsid w:val="003A5525"/>
    <w:rsid w:val="003A5889"/>
    <w:rsid w:val="003A6B38"/>
    <w:rsid w:val="003A6B83"/>
    <w:rsid w:val="003A6C97"/>
    <w:rsid w:val="003A722F"/>
    <w:rsid w:val="003A7373"/>
    <w:rsid w:val="003A7D09"/>
    <w:rsid w:val="003B039F"/>
    <w:rsid w:val="003B0DF4"/>
    <w:rsid w:val="003B1F9D"/>
    <w:rsid w:val="003B2A8D"/>
    <w:rsid w:val="003B2AD1"/>
    <w:rsid w:val="003B2D2E"/>
    <w:rsid w:val="003B461F"/>
    <w:rsid w:val="003B483F"/>
    <w:rsid w:val="003B4998"/>
    <w:rsid w:val="003B5A32"/>
    <w:rsid w:val="003B7B50"/>
    <w:rsid w:val="003C0B07"/>
    <w:rsid w:val="003C2CE7"/>
    <w:rsid w:val="003C3490"/>
    <w:rsid w:val="003C3608"/>
    <w:rsid w:val="003C3AE8"/>
    <w:rsid w:val="003C3D2C"/>
    <w:rsid w:val="003C4E13"/>
    <w:rsid w:val="003C6221"/>
    <w:rsid w:val="003C63D7"/>
    <w:rsid w:val="003C68CC"/>
    <w:rsid w:val="003C7E62"/>
    <w:rsid w:val="003D12B9"/>
    <w:rsid w:val="003D1E7A"/>
    <w:rsid w:val="003D242B"/>
    <w:rsid w:val="003D2492"/>
    <w:rsid w:val="003D29AA"/>
    <w:rsid w:val="003D2A99"/>
    <w:rsid w:val="003D6920"/>
    <w:rsid w:val="003E1EF8"/>
    <w:rsid w:val="003E2DFB"/>
    <w:rsid w:val="003E4C91"/>
    <w:rsid w:val="003E52D8"/>
    <w:rsid w:val="003E62F1"/>
    <w:rsid w:val="003F313C"/>
    <w:rsid w:val="003F37FC"/>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5318"/>
    <w:rsid w:val="004059D2"/>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20880"/>
    <w:rsid w:val="00421179"/>
    <w:rsid w:val="00430C96"/>
    <w:rsid w:val="00431BFF"/>
    <w:rsid w:val="00432199"/>
    <w:rsid w:val="00432A58"/>
    <w:rsid w:val="004331C3"/>
    <w:rsid w:val="00433C17"/>
    <w:rsid w:val="00434617"/>
    <w:rsid w:val="00435051"/>
    <w:rsid w:val="00435C69"/>
    <w:rsid w:val="004360FB"/>
    <w:rsid w:val="00437CED"/>
    <w:rsid w:val="004407BF"/>
    <w:rsid w:val="00440900"/>
    <w:rsid w:val="0044121D"/>
    <w:rsid w:val="00441BF6"/>
    <w:rsid w:val="00441D2B"/>
    <w:rsid w:val="0044279E"/>
    <w:rsid w:val="004441A0"/>
    <w:rsid w:val="00445861"/>
    <w:rsid w:val="00445A8E"/>
    <w:rsid w:val="00446D44"/>
    <w:rsid w:val="0045078A"/>
    <w:rsid w:val="0045086D"/>
    <w:rsid w:val="00450DAB"/>
    <w:rsid w:val="00451EF1"/>
    <w:rsid w:val="00452E60"/>
    <w:rsid w:val="0045321B"/>
    <w:rsid w:val="00456FE5"/>
    <w:rsid w:val="00457490"/>
    <w:rsid w:val="00457953"/>
    <w:rsid w:val="004604D8"/>
    <w:rsid w:val="00460656"/>
    <w:rsid w:val="00460FB3"/>
    <w:rsid w:val="00463D3C"/>
    <w:rsid w:val="00464851"/>
    <w:rsid w:val="0046746A"/>
    <w:rsid w:val="00467B14"/>
    <w:rsid w:val="004707FE"/>
    <w:rsid w:val="00470EDC"/>
    <w:rsid w:val="0047276D"/>
    <w:rsid w:val="00472AF6"/>
    <w:rsid w:val="00473482"/>
    <w:rsid w:val="00474A04"/>
    <w:rsid w:val="00476240"/>
    <w:rsid w:val="00476439"/>
    <w:rsid w:val="004769E1"/>
    <w:rsid w:val="0047735C"/>
    <w:rsid w:val="004776BC"/>
    <w:rsid w:val="00477820"/>
    <w:rsid w:val="00477B96"/>
    <w:rsid w:val="00480BAE"/>
    <w:rsid w:val="0048139F"/>
    <w:rsid w:val="00481E40"/>
    <w:rsid w:val="00482405"/>
    <w:rsid w:val="004826A7"/>
    <w:rsid w:val="0048368C"/>
    <w:rsid w:val="0048372F"/>
    <w:rsid w:val="00484ECE"/>
    <w:rsid w:val="00485E82"/>
    <w:rsid w:val="00486132"/>
    <w:rsid w:val="0048686D"/>
    <w:rsid w:val="00486A4D"/>
    <w:rsid w:val="004915CB"/>
    <w:rsid w:val="004924DC"/>
    <w:rsid w:val="00492879"/>
    <w:rsid w:val="00493E85"/>
    <w:rsid w:val="00495145"/>
    <w:rsid w:val="004979A5"/>
    <w:rsid w:val="004A0144"/>
    <w:rsid w:val="004A036E"/>
    <w:rsid w:val="004A14E4"/>
    <w:rsid w:val="004A204E"/>
    <w:rsid w:val="004A26A5"/>
    <w:rsid w:val="004A27F0"/>
    <w:rsid w:val="004A3212"/>
    <w:rsid w:val="004A37CD"/>
    <w:rsid w:val="004A40D9"/>
    <w:rsid w:val="004A49A5"/>
    <w:rsid w:val="004A4F8A"/>
    <w:rsid w:val="004A5494"/>
    <w:rsid w:val="004A5D4E"/>
    <w:rsid w:val="004A61C5"/>
    <w:rsid w:val="004A62A0"/>
    <w:rsid w:val="004A77DF"/>
    <w:rsid w:val="004B1417"/>
    <w:rsid w:val="004B305C"/>
    <w:rsid w:val="004B339A"/>
    <w:rsid w:val="004B4C83"/>
    <w:rsid w:val="004B55B7"/>
    <w:rsid w:val="004B5BFA"/>
    <w:rsid w:val="004B6468"/>
    <w:rsid w:val="004B6EF8"/>
    <w:rsid w:val="004B7125"/>
    <w:rsid w:val="004B756A"/>
    <w:rsid w:val="004B7FB1"/>
    <w:rsid w:val="004C0B3F"/>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E03"/>
    <w:rsid w:val="004D3296"/>
    <w:rsid w:val="004D4056"/>
    <w:rsid w:val="004D4CB0"/>
    <w:rsid w:val="004D5B0F"/>
    <w:rsid w:val="004D7626"/>
    <w:rsid w:val="004E186A"/>
    <w:rsid w:val="004E1A40"/>
    <w:rsid w:val="004E200A"/>
    <w:rsid w:val="004E23FC"/>
    <w:rsid w:val="004E2409"/>
    <w:rsid w:val="004E261D"/>
    <w:rsid w:val="004E57BF"/>
    <w:rsid w:val="004E5F41"/>
    <w:rsid w:val="004E6DE6"/>
    <w:rsid w:val="004E765E"/>
    <w:rsid w:val="004E7815"/>
    <w:rsid w:val="004F06F5"/>
    <w:rsid w:val="004F12A4"/>
    <w:rsid w:val="004F253F"/>
    <w:rsid w:val="004F33A0"/>
    <w:rsid w:val="004F3BD2"/>
    <w:rsid w:val="004F46ED"/>
    <w:rsid w:val="004F4C99"/>
    <w:rsid w:val="004F6539"/>
    <w:rsid w:val="00503D54"/>
    <w:rsid w:val="005048E2"/>
    <w:rsid w:val="00505FC8"/>
    <w:rsid w:val="00506603"/>
    <w:rsid w:val="0050689D"/>
    <w:rsid w:val="005077F5"/>
    <w:rsid w:val="005108C0"/>
    <w:rsid w:val="0051094F"/>
    <w:rsid w:val="00511873"/>
    <w:rsid w:val="00512461"/>
    <w:rsid w:val="00512585"/>
    <w:rsid w:val="00512A2F"/>
    <w:rsid w:val="00513B7E"/>
    <w:rsid w:val="00513E9D"/>
    <w:rsid w:val="0051475D"/>
    <w:rsid w:val="00514B11"/>
    <w:rsid w:val="00515485"/>
    <w:rsid w:val="00515BE9"/>
    <w:rsid w:val="00515C74"/>
    <w:rsid w:val="0051630F"/>
    <w:rsid w:val="00517113"/>
    <w:rsid w:val="0052007E"/>
    <w:rsid w:val="00521CAD"/>
    <w:rsid w:val="0052200D"/>
    <w:rsid w:val="00522E01"/>
    <w:rsid w:val="0052337A"/>
    <w:rsid w:val="00524385"/>
    <w:rsid w:val="005246BE"/>
    <w:rsid w:val="00525137"/>
    <w:rsid w:val="005251DD"/>
    <w:rsid w:val="0053012B"/>
    <w:rsid w:val="005301A6"/>
    <w:rsid w:val="00530A68"/>
    <w:rsid w:val="00530AD4"/>
    <w:rsid w:val="00531C5A"/>
    <w:rsid w:val="00532CE7"/>
    <w:rsid w:val="00532D8B"/>
    <w:rsid w:val="0053324C"/>
    <w:rsid w:val="00534A28"/>
    <w:rsid w:val="00535018"/>
    <w:rsid w:val="0053595E"/>
    <w:rsid w:val="00537571"/>
    <w:rsid w:val="00540056"/>
    <w:rsid w:val="005410E2"/>
    <w:rsid w:val="00541508"/>
    <w:rsid w:val="00541AE3"/>
    <w:rsid w:val="00543498"/>
    <w:rsid w:val="00544011"/>
    <w:rsid w:val="00544BE5"/>
    <w:rsid w:val="005455F6"/>
    <w:rsid w:val="0054582F"/>
    <w:rsid w:val="005500F9"/>
    <w:rsid w:val="00550160"/>
    <w:rsid w:val="005523A8"/>
    <w:rsid w:val="00552F2C"/>
    <w:rsid w:val="00553A25"/>
    <w:rsid w:val="005547EB"/>
    <w:rsid w:val="005555E0"/>
    <w:rsid w:val="0055599F"/>
    <w:rsid w:val="00556D68"/>
    <w:rsid w:val="005570D6"/>
    <w:rsid w:val="00557E45"/>
    <w:rsid w:val="00561F44"/>
    <w:rsid w:val="00562B4D"/>
    <w:rsid w:val="00563EB8"/>
    <w:rsid w:val="005647BF"/>
    <w:rsid w:val="00564AF1"/>
    <w:rsid w:val="005655DB"/>
    <w:rsid w:val="00565E88"/>
    <w:rsid w:val="00570270"/>
    <w:rsid w:val="00570464"/>
    <w:rsid w:val="00570BC3"/>
    <w:rsid w:val="0057182A"/>
    <w:rsid w:val="00571E59"/>
    <w:rsid w:val="00572079"/>
    <w:rsid w:val="00572900"/>
    <w:rsid w:val="00573602"/>
    <w:rsid w:val="0057364B"/>
    <w:rsid w:val="00574773"/>
    <w:rsid w:val="005761EC"/>
    <w:rsid w:val="00577C07"/>
    <w:rsid w:val="00577DB1"/>
    <w:rsid w:val="00580AD3"/>
    <w:rsid w:val="00580DE7"/>
    <w:rsid w:val="005810E1"/>
    <w:rsid w:val="00583E52"/>
    <w:rsid w:val="00583FFD"/>
    <w:rsid w:val="0058519A"/>
    <w:rsid w:val="005856BD"/>
    <w:rsid w:val="00586BCA"/>
    <w:rsid w:val="00587038"/>
    <w:rsid w:val="00590B28"/>
    <w:rsid w:val="005911BE"/>
    <w:rsid w:val="00591273"/>
    <w:rsid w:val="00591E9E"/>
    <w:rsid w:val="005927A4"/>
    <w:rsid w:val="00593152"/>
    <w:rsid w:val="005956A3"/>
    <w:rsid w:val="00595958"/>
    <w:rsid w:val="00595CAB"/>
    <w:rsid w:val="0059622E"/>
    <w:rsid w:val="00597671"/>
    <w:rsid w:val="00597BBF"/>
    <w:rsid w:val="005A0948"/>
    <w:rsid w:val="005A0A03"/>
    <w:rsid w:val="005A10F2"/>
    <w:rsid w:val="005A21E0"/>
    <w:rsid w:val="005A28FF"/>
    <w:rsid w:val="005A2C09"/>
    <w:rsid w:val="005A3778"/>
    <w:rsid w:val="005A3DF8"/>
    <w:rsid w:val="005A5549"/>
    <w:rsid w:val="005A7CF8"/>
    <w:rsid w:val="005B0EDA"/>
    <w:rsid w:val="005B121D"/>
    <w:rsid w:val="005B26B0"/>
    <w:rsid w:val="005B41C9"/>
    <w:rsid w:val="005B44E6"/>
    <w:rsid w:val="005B4853"/>
    <w:rsid w:val="005B6CA1"/>
    <w:rsid w:val="005B770C"/>
    <w:rsid w:val="005C06ED"/>
    <w:rsid w:val="005C11B8"/>
    <w:rsid w:val="005C216C"/>
    <w:rsid w:val="005C2609"/>
    <w:rsid w:val="005C2B30"/>
    <w:rsid w:val="005C412B"/>
    <w:rsid w:val="005C43EC"/>
    <w:rsid w:val="005C45DD"/>
    <w:rsid w:val="005C4CB1"/>
    <w:rsid w:val="005D3F06"/>
    <w:rsid w:val="005D4B73"/>
    <w:rsid w:val="005D5645"/>
    <w:rsid w:val="005D5802"/>
    <w:rsid w:val="005D5AA9"/>
    <w:rsid w:val="005D66E6"/>
    <w:rsid w:val="005D7119"/>
    <w:rsid w:val="005D76C8"/>
    <w:rsid w:val="005D7890"/>
    <w:rsid w:val="005E19C1"/>
    <w:rsid w:val="005E2194"/>
    <w:rsid w:val="005E24F0"/>
    <w:rsid w:val="005E36FE"/>
    <w:rsid w:val="005E3F66"/>
    <w:rsid w:val="005E490F"/>
    <w:rsid w:val="005E4BC9"/>
    <w:rsid w:val="005E5314"/>
    <w:rsid w:val="005E7C78"/>
    <w:rsid w:val="005F04A7"/>
    <w:rsid w:val="005F114F"/>
    <w:rsid w:val="005F18C5"/>
    <w:rsid w:val="005F2A08"/>
    <w:rsid w:val="005F36CC"/>
    <w:rsid w:val="005F3EB1"/>
    <w:rsid w:val="005F413E"/>
    <w:rsid w:val="005F466B"/>
    <w:rsid w:val="005F46D8"/>
    <w:rsid w:val="005F480F"/>
    <w:rsid w:val="005F5469"/>
    <w:rsid w:val="005F63F3"/>
    <w:rsid w:val="005F6D7F"/>
    <w:rsid w:val="005F7174"/>
    <w:rsid w:val="00601ADE"/>
    <w:rsid w:val="00601EEF"/>
    <w:rsid w:val="0060255A"/>
    <w:rsid w:val="00604307"/>
    <w:rsid w:val="0060487F"/>
    <w:rsid w:val="00604EAD"/>
    <w:rsid w:val="0060513F"/>
    <w:rsid w:val="0060694B"/>
    <w:rsid w:val="006104FB"/>
    <w:rsid w:val="0061176D"/>
    <w:rsid w:val="0061200F"/>
    <w:rsid w:val="00612756"/>
    <w:rsid w:val="00612A2F"/>
    <w:rsid w:val="00612AAE"/>
    <w:rsid w:val="00612FD9"/>
    <w:rsid w:val="006139E0"/>
    <w:rsid w:val="00614D35"/>
    <w:rsid w:val="006156B4"/>
    <w:rsid w:val="00615DAF"/>
    <w:rsid w:val="00616E05"/>
    <w:rsid w:val="00617985"/>
    <w:rsid w:val="00620B77"/>
    <w:rsid w:val="0062131B"/>
    <w:rsid w:val="00621E26"/>
    <w:rsid w:val="0062263A"/>
    <w:rsid w:val="006227DF"/>
    <w:rsid w:val="006236C8"/>
    <w:rsid w:val="00624093"/>
    <w:rsid w:val="00625A84"/>
    <w:rsid w:val="00626079"/>
    <w:rsid w:val="00631698"/>
    <w:rsid w:val="00631E44"/>
    <w:rsid w:val="00634C57"/>
    <w:rsid w:val="00634CE7"/>
    <w:rsid w:val="006350D5"/>
    <w:rsid w:val="0063642C"/>
    <w:rsid w:val="00637858"/>
    <w:rsid w:val="006404A7"/>
    <w:rsid w:val="00640A38"/>
    <w:rsid w:val="00641787"/>
    <w:rsid w:val="0064179B"/>
    <w:rsid w:val="00642489"/>
    <w:rsid w:val="00644055"/>
    <w:rsid w:val="00644137"/>
    <w:rsid w:val="0064478C"/>
    <w:rsid w:val="00645160"/>
    <w:rsid w:val="006451E4"/>
    <w:rsid w:val="00645B33"/>
    <w:rsid w:val="006516CB"/>
    <w:rsid w:val="00653BD0"/>
    <w:rsid w:val="00654110"/>
    <w:rsid w:val="00656C5D"/>
    <w:rsid w:val="00656CFB"/>
    <w:rsid w:val="00657E87"/>
    <w:rsid w:val="00660D2D"/>
    <w:rsid w:val="00661C41"/>
    <w:rsid w:val="00661EC9"/>
    <w:rsid w:val="00662469"/>
    <w:rsid w:val="0066411C"/>
    <w:rsid w:val="00664205"/>
    <w:rsid w:val="00664647"/>
    <w:rsid w:val="00664803"/>
    <w:rsid w:val="006653CC"/>
    <w:rsid w:val="00665982"/>
    <w:rsid w:val="00665BA4"/>
    <w:rsid w:val="00666BF3"/>
    <w:rsid w:val="00667856"/>
    <w:rsid w:val="00667AF2"/>
    <w:rsid w:val="00670489"/>
    <w:rsid w:val="006710C9"/>
    <w:rsid w:val="00672586"/>
    <w:rsid w:val="006741CD"/>
    <w:rsid w:val="00674D89"/>
    <w:rsid w:val="0067514E"/>
    <w:rsid w:val="00675E37"/>
    <w:rsid w:val="00676736"/>
    <w:rsid w:val="006769A4"/>
    <w:rsid w:val="00676D76"/>
    <w:rsid w:val="00676F9F"/>
    <w:rsid w:val="00677591"/>
    <w:rsid w:val="00677594"/>
    <w:rsid w:val="0068032F"/>
    <w:rsid w:val="00680D37"/>
    <w:rsid w:val="0068174E"/>
    <w:rsid w:val="00681DCE"/>
    <w:rsid w:val="0068260E"/>
    <w:rsid w:val="006846B3"/>
    <w:rsid w:val="00684D59"/>
    <w:rsid w:val="00684E25"/>
    <w:rsid w:val="006858A4"/>
    <w:rsid w:val="00686718"/>
    <w:rsid w:val="00686BFA"/>
    <w:rsid w:val="00686DED"/>
    <w:rsid w:val="006875A0"/>
    <w:rsid w:val="00687D27"/>
    <w:rsid w:val="00691943"/>
    <w:rsid w:val="00693550"/>
    <w:rsid w:val="00695065"/>
    <w:rsid w:val="00695BEF"/>
    <w:rsid w:val="00696251"/>
    <w:rsid w:val="006966C7"/>
    <w:rsid w:val="006968C1"/>
    <w:rsid w:val="006977F6"/>
    <w:rsid w:val="00697A13"/>
    <w:rsid w:val="006A109C"/>
    <w:rsid w:val="006A5F4B"/>
    <w:rsid w:val="006A65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28CA"/>
    <w:rsid w:val="006C2BBF"/>
    <w:rsid w:val="006C2FBD"/>
    <w:rsid w:val="006C4355"/>
    <w:rsid w:val="006C469D"/>
    <w:rsid w:val="006C46B5"/>
    <w:rsid w:val="006C484F"/>
    <w:rsid w:val="006C52EC"/>
    <w:rsid w:val="006C56D4"/>
    <w:rsid w:val="006C6681"/>
    <w:rsid w:val="006C683C"/>
    <w:rsid w:val="006C6924"/>
    <w:rsid w:val="006C6C1E"/>
    <w:rsid w:val="006C7076"/>
    <w:rsid w:val="006C7AEC"/>
    <w:rsid w:val="006C7CA6"/>
    <w:rsid w:val="006D18B3"/>
    <w:rsid w:val="006D1E89"/>
    <w:rsid w:val="006D317E"/>
    <w:rsid w:val="006D3E8A"/>
    <w:rsid w:val="006D61F6"/>
    <w:rsid w:val="006E1332"/>
    <w:rsid w:val="006E279A"/>
    <w:rsid w:val="006E313B"/>
    <w:rsid w:val="006E3A45"/>
    <w:rsid w:val="006E4078"/>
    <w:rsid w:val="006E53AD"/>
    <w:rsid w:val="006E58CB"/>
    <w:rsid w:val="006E7227"/>
    <w:rsid w:val="006E761A"/>
    <w:rsid w:val="006F0741"/>
    <w:rsid w:val="006F1C27"/>
    <w:rsid w:val="006F2A65"/>
    <w:rsid w:val="006F3DD6"/>
    <w:rsid w:val="006F40DF"/>
    <w:rsid w:val="006F42BB"/>
    <w:rsid w:val="006F438E"/>
    <w:rsid w:val="006F440B"/>
    <w:rsid w:val="006F48A3"/>
    <w:rsid w:val="006F5416"/>
    <w:rsid w:val="006F624B"/>
    <w:rsid w:val="006F6D87"/>
    <w:rsid w:val="0070398A"/>
    <w:rsid w:val="00705242"/>
    <w:rsid w:val="007055E0"/>
    <w:rsid w:val="007056ED"/>
    <w:rsid w:val="00705F4E"/>
    <w:rsid w:val="007065C5"/>
    <w:rsid w:val="007068E1"/>
    <w:rsid w:val="00706AA0"/>
    <w:rsid w:val="00706AD4"/>
    <w:rsid w:val="00707150"/>
    <w:rsid w:val="007124D7"/>
    <w:rsid w:val="00712C20"/>
    <w:rsid w:val="00713549"/>
    <w:rsid w:val="007140BE"/>
    <w:rsid w:val="007147AB"/>
    <w:rsid w:val="00715502"/>
    <w:rsid w:val="00715E4D"/>
    <w:rsid w:val="0071677A"/>
    <w:rsid w:val="00716F48"/>
    <w:rsid w:val="00717114"/>
    <w:rsid w:val="0071779F"/>
    <w:rsid w:val="007211F5"/>
    <w:rsid w:val="00721601"/>
    <w:rsid w:val="00722777"/>
    <w:rsid w:val="00723435"/>
    <w:rsid w:val="00723436"/>
    <w:rsid w:val="007240E2"/>
    <w:rsid w:val="0072454C"/>
    <w:rsid w:val="0072583E"/>
    <w:rsid w:val="00725BB5"/>
    <w:rsid w:val="00727C02"/>
    <w:rsid w:val="0073008E"/>
    <w:rsid w:val="00730AE8"/>
    <w:rsid w:val="00730F1B"/>
    <w:rsid w:val="0073186D"/>
    <w:rsid w:val="0073333D"/>
    <w:rsid w:val="007343D9"/>
    <w:rsid w:val="00734F71"/>
    <w:rsid w:val="00735448"/>
    <w:rsid w:val="007377BD"/>
    <w:rsid w:val="00737DEC"/>
    <w:rsid w:val="0074004D"/>
    <w:rsid w:val="00741493"/>
    <w:rsid w:val="007434E5"/>
    <w:rsid w:val="0074499B"/>
    <w:rsid w:val="007450BF"/>
    <w:rsid w:val="007471A1"/>
    <w:rsid w:val="007477BD"/>
    <w:rsid w:val="00747EE9"/>
    <w:rsid w:val="00752180"/>
    <w:rsid w:val="00752323"/>
    <w:rsid w:val="007532B7"/>
    <w:rsid w:val="00753CAB"/>
    <w:rsid w:val="00754A70"/>
    <w:rsid w:val="00754BC9"/>
    <w:rsid w:val="00755202"/>
    <w:rsid w:val="00755D3A"/>
    <w:rsid w:val="0075751D"/>
    <w:rsid w:val="0075763E"/>
    <w:rsid w:val="007578D3"/>
    <w:rsid w:val="007602CF"/>
    <w:rsid w:val="00760391"/>
    <w:rsid w:val="007609C6"/>
    <w:rsid w:val="007615F3"/>
    <w:rsid w:val="0076175D"/>
    <w:rsid w:val="00761CB5"/>
    <w:rsid w:val="007629D5"/>
    <w:rsid w:val="007635F8"/>
    <w:rsid w:val="00763B85"/>
    <w:rsid w:val="00764974"/>
    <w:rsid w:val="00764D18"/>
    <w:rsid w:val="0076521E"/>
    <w:rsid w:val="00765BCC"/>
    <w:rsid w:val="0076600D"/>
    <w:rsid w:val="007661E9"/>
    <w:rsid w:val="00766460"/>
    <w:rsid w:val="00767062"/>
    <w:rsid w:val="00767777"/>
    <w:rsid w:val="0077130E"/>
    <w:rsid w:val="007715EE"/>
    <w:rsid w:val="00771972"/>
    <w:rsid w:val="00772279"/>
    <w:rsid w:val="00772DAB"/>
    <w:rsid w:val="00772FF9"/>
    <w:rsid w:val="00774D2C"/>
    <w:rsid w:val="0077605B"/>
    <w:rsid w:val="00776169"/>
    <w:rsid w:val="00776527"/>
    <w:rsid w:val="00777040"/>
    <w:rsid w:val="00777CE6"/>
    <w:rsid w:val="00780EF1"/>
    <w:rsid w:val="00781A91"/>
    <w:rsid w:val="00781F36"/>
    <w:rsid w:val="00785778"/>
    <w:rsid w:val="00786C87"/>
    <w:rsid w:val="0078755E"/>
    <w:rsid w:val="007877C9"/>
    <w:rsid w:val="00790764"/>
    <w:rsid w:val="0079085F"/>
    <w:rsid w:val="00790E96"/>
    <w:rsid w:val="00791005"/>
    <w:rsid w:val="00793D78"/>
    <w:rsid w:val="0079453C"/>
    <w:rsid w:val="00794677"/>
    <w:rsid w:val="00795759"/>
    <w:rsid w:val="007A170B"/>
    <w:rsid w:val="007A20EB"/>
    <w:rsid w:val="007A282C"/>
    <w:rsid w:val="007A293C"/>
    <w:rsid w:val="007A2A3A"/>
    <w:rsid w:val="007A33E2"/>
    <w:rsid w:val="007A3CAF"/>
    <w:rsid w:val="007A4782"/>
    <w:rsid w:val="007A516D"/>
    <w:rsid w:val="007A5E65"/>
    <w:rsid w:val="007A65E1"/>
    <w:rsid w:val="007A6AAA"/>
    <w:rsid w:val="007A7033"/>
    <w:rsid w:val="007A775D"/>
    <w:rsid w:val="007B0834"/>
    <w:rsid w:val="007B0E83"/>
    <w:rsid w:val="007B11FA"/>
    <w:rsid w:val="007B1396"/>
    <w:rsid w:val="007B16D6"/>
    <w:rsid w:val="007B2011"/>
    <w:rsid w:val="007B2CFE"/>
    <w:rsid w:val="007B309B"/>
    <w:rsid w:val="007B3D5E"/>
    <w:rsid w:val="007B3DCB"/>
    <w:rsid w:val="007B5725"/>
    <w:rsid w:val="007B5C1F"/>
    <w:rsid w:val="007B6689"/>
    <w:rsid w:val="007B6747"/>
    <w:rsid w:val="007B6F72"/>
    <w:rsid w:val="007C10BD"/>
    <w:rsid w:val="007C1F0C"/>
    <w:rsid w:val="007C1FFB"/>
    <w:rsid w:val="007C2D94"/>
    <w:rsid w:val="007C5F92"/>
    <w:rsid w:val="007C6227"/>
    <w:rsid w:val="007C6BBD"/>
    <w:rsid w:val="007C6D89"/>
    <w:rsid w:val="007C6F5E"/>
    <w:rsid w:val="007D0382"/>
    <w:rsid w:val="007D1A1F"/>
    <w:rsid w:val="007D2E18"/>
    <w:rsid w:val="007D40DF"/>
    <w:rsid w:val="007D42E5"/>
    <w:rsid w:val="007D4458"/>
    <w:rsid w:val="007D6AF9"/>
    <w:rsid w:val="007E0535"/>
    <w:rsid w:val="007E0D4A"/>
    <w:rsid w:val="007E1788"/>
    <w:rsid w:val="007E1EE3"/>
    <w:rsid w:val="007E29B4"/>
    <w:rsid w:val="007E2F12"/>
    <w:rsid w:val="007E435A"/>
    <w:rsid w:val="007E445C"/>
    <w:rsid w:val="007E49F7"/>
    <w:rsid w:val="007E4C70"/>
    <w:rsid w:val="007E5B5F"/>
    <w:rsid w:val="007E78B6"/>
    <w:rsid w:val="007E7E61"/>
    <w:rsid w:val="007F0845"/>
    <w:rsid w:val="007F20F3"/>
    <w:rsid w:val="007F2353"/>
    <w:rsid w:val="007F2390"/>
    <w:rsid w:val="007F2CAC"/>
    <w:rsid w:val="007F4740"/>
    <w:rsid w:val="007F595A"/>
    <w:rsid w:val="007F708D"/>
    <w:rsid w:val="008006B3"/>
    <w:rsid w:val="0080158A"/>
    <w:rsid w:val="00801E13"/>
    <w:rsid w:val="00803008"/>
    <w:rsid w:val="00803069"/>
    <w:rsid w:val="0080346B"/>
    <w:rsid w:val="00804155"/>
    <w:rsid w:val="0080559E"/>
    <w:rsid w:val="00805AF3"/>
    <w:rsid w:val="0080734C"/>
    <w:rsid w:val="00807C82"/>
    <w:rsid w:val="008117CC"/>
    <w:rsid w:val="00813D58"/>
    <w:rsid w:val="00813DCA"/>
    <w:rsid w:val="008161A6"/>
    <w:rsid w:val="008165B8"/>
    <w:rsid w:val="00816905"/>
    <w:rsid w:val="00816D98"/>
    <w:rsid w:val="00816E42"/>
    <w:rsid w:val="00817040"/>
    <w:rsid w:val="00817A17"/>
    <w:rsid w:val="00817EC1"/>
    <w:rsid w:val="0082112D"/>
    <w:rsid w:val="00821FF6"/>
    <w:rsid w:val="00822574"/>
    <w:rsid w:val="00822980"/>
    <w:rsid w:val="00822F08"/>
    <w:rsid w:val="00825C4D"/>
    <w:rsid w:val="00826A08"/>
    <w:rsid w:val="00826AC0"/>
    <w:rsid w:val="00827186"/>
    <w:rsid w:val="00827C8E"/>
    <w:rsid w:val="00830569"/>
    <w:rsid w:val="00830AEA"/>
    <w:rsid w:val="00830E86"/>
    <w:rsid w:val="0083143E"/>
    <w:rsid w:val="008315B8"/>
    <w:rsid w:val="008315D5"/>
    <w:rsid w:val="00831CDE"/>
    <w:rsid w:val="00832F77"/>
    <w:rsid w:val="00834304"/>
    <w:rsid w:val="00834FAA"/>
    <w:rsid w:val="008354FB"/>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6C6"/>
    <w:rsid w:val="0084708F"/>
    <w:rsid w:val="008477C8"/>
    <w:rsid w:val="008478A6"/>
    <w:rsid w:val="008502F6"/>
    <w:rsid w:val="0085114D"/>
    <w:rsid w:val="008520A8"/>
    <w:rsid w:val="00852217"/>
    <w:rsid w:val="00853282"/>
    <w:rsid w:val="00855408"/>
    <w:rsid w:val="00855D03"/>
    <w:rsid w:val="00856D65"/>
    <w:rsid w:val="00861B41"/>
    <w:rsid w:val="00861B9F"/>
    <w:rsid w:val="00861BE3"/>
    <w:rsid w:val="008625D3"/>
    <w:rsid w:val="00863434"/>
    <w:rsid w:val="0086344F"/>
    <w:rsid w:val="008641AC"/>
    <w:rsid w:val="00865E4C"/>
    <w:rsid w:val="0086796D"/>
    <w:rsid w:val="00867DAB"/>
    <w:rsid w:val="0087000B"/>
    <w:rsid w:val="008701E4"/>
    <w:rsid w:val="008704E9"/>
    <w:rsid w:val="00870ECD"/>
    <w:rsid w:val="0087347C"/>
    <w:rsid w:val="008734E7"/>
    <w:rsid w:val="0087368D"/>
    <w:rsid w:val="008740CC"/>
    <w:rsid w:val="00874FE8"/>
    <w:rsid w:val="00875A32"/>
    <w:rsid w:val="00876086"/>
    <w:rsid w:val="00876E83"/>
    <w:rsid w:val="008772BC"/>
    <w:rsid w:val="00880A0E"/>
    <w:rsid w:val="00881CD7"/>
    <w:rsid w:val="00882911"/>
    <w:rsid w:val="00882F6E"/>
    <w:rsid w:val="00884E02"/>
    <w:rsid w:val="00885D40"/>
    <w:rsid w:val="008873D4"/>
    <w:rsid w:val="00891EDF"/>
    <w:rsid w:val="00892872"/>
    <w:rsid w:val="0089296D"/>
    <w:rsid w:val="00893E85"/>
    <w:rsid w:val="00893EBE"/>
    <w:rsid w:val="00894031"/>
    <w:rsid w:val="00894C5D"/>
    <w:rsid w:val="00895508"/>
    <w:rsid w:val="008967E9"/>
    <w:rsid w:val="00896A5C"/>
    <w:rsid w:val="008972D2"/>
    <w:rsid w:val="0089754C"/>
    <w:rsid w:val="008A0ADD"/>
    <w:rsid w:val="008A0D27"/>
    <w:rsid w:val="008A1C59"/>
    <w:rsid w:val="008A37E2"/>
    <w:rsid w:val="008A388E"/>
    <w:rsid w:val="008A394E"/>
    <w:rsid w:val="008A3CBA"/>
    <w:rsid w:val="008A4B59"/>
    <w:rsid w:val="008A63E1"/>
    <w:rsid w:val="008A66B7"/>
    <w:rsid w:val="008A68BB"/>
    <w:rsid w:val="008A6AA5"/>
    <w:rsid w:val="008A7127"/>
    <w:rsid w:val="008B3537"/>
    <w:rsid w:val="008B3690"/>
    <w:rsid w:val="008B3A80"/>
    <w:rsid w:val="008B3AEC"/>
    <w:rsid w:val="008B3C07"/>
    <w:rsid w:val="008B3F7B"/>
    <w:rsid w:val="008B5324"/>
    <w:rsid w:val="008B6106"/>
    <w:rsid w:val="008B7C02"/>
    <w:rsid w:val="008B7D2B"/>
    <w:rsid w:val="008B7EF9"/>
    <w:rsid w:val="008C0049"/>
    <w:rsid w:val="008C0E88"/>
    <w:rsid w:val="008C1717"/>
    <w:rsid w:val="008C4B50"/>
    <w:rsid w:val="008C5A37"/>
    <w:rsid w:val="008C7569"/>
    <w:rsid w:val="008D033D"/>
    <w:rsid w:val="008D0DBD"/>
    <w:rsid w:val="008D117E"/>
    <w:rsid w:val="008D127E"/>
    <w:rsid w:val="008D1CA8"/>
    <w:rsid w:val="008D1E0A"/>
    <w:rsid w:val="008D1E6A"/>
    <w:rsid w:val="008D2A16"/>
    <w:rsid w:val="008D33F5"/>
    <w:rsid w:val="008D35E4"/>
    <w:rsid w:val="008D6C3A"/>
    <w:rsid w:val="008E0001"/>
    <w:rsid w:val="008E292B"/>
    <w:rsid w:val="008E2C57"/>
    <w:rsid w:val="008E31FF"/>
    <w:rsid w:val="008E3287"/>
    <w:rsid w:val="008E6DCB"/>
    <w:rsid w:val="008E6F06"/>
    <w:rsid w:val="008E7B8E"/>
    <w:rsid w:val="008E7FC9"/>
    <w:rsid w:val="008F0107"/>
    <w:rsid w:val="008F029B"/>
    <w:rsid w:val="008F0589"/>
    <w:rsid w:val="008F2A5D"/>
    <w:rsid w:val="008F3636"/>
    <w:rsid w:val="008F3FC9"/>
    <w:rsid w:val="008F5383"/>
    <w:rsid w:val="008F585B"/>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55E"/>
    <w:rsid w:val="00912437"/>
    <w:rsid w:val="00912A92"/>
    <w:rsid w:val="00915D07"/>
    <w:rsid w:val="009162AE"/>
    <w:rsid w:val="00917251"/>
    <w:rsid w:val="0091728D"/>
    <w:rsid w:val="009203CC"/>
    <w:rsid w:val="00920EC4"/>
    <w:rsid w:val="0092180B"/>
    <w:rsid w:val="00921F14"/>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443"/>
    <w:rsid w:val="00932B32"/>
    <w:rsid w:val="00933F4A"/>
    <w:rsid w:val="009341F1"/>
    <w:rsid w:val="00934FF2"/>
    <w:rsid w:val="009358D7"/>
    <w:rsid w:val="00935BD4"/>
    <w:rsid w:val="00935DFE"/>
    <w:rsid w:val="00935F70"/>
    <w:rsid w:val="009373B2"/>
    <w:rsid w:val="00937AE2"/>
    <w:rsid w:val="0094061F"/>
    <w:rsid w:val="00940F0F"/>
    <w:rsid w:val="0094416B"/>
    <w:rsid w:val="0094427A"/>
    <w:rsid w:val="00944C7C"/>
    <w:rsid w:val="00945245"/>
    <w:rsid w:val="00945523"/>
    <w:rsid w:val="00950921"/>
    <w:rsid w:val="00951D68"/>
    <w:rsid w:val="00951E5B"/>
    <w:rsid w:val="00952B7B"/>
    <w:rsid w:val="00954F39"/>
    <w:rsid w:val="009555FD"/>
    <w:rsid w:val="0095664B"/>
    <w:rsid w:val="009568DC"/>
    <w:rsid w:val="00957445"/>
    <w:rsid w:val="0095759C"/>
    <w:rsid w:val="009618EE"/>
    <w:rsid w:val="009624D2"/>
    <w:rsid w:val="009628D9"/>
    <w:rsid w:val="009637AE"/>
    <w:rsid w:val="00963A06"/>
    <w:rsid w:val="00964068"/>
    <w:rsid w:val="009640F6"/>
    <w:rsid w:val="0096469D"/>
    <w:rsid w:val="00964776"/>
    <w:rsid w:val="00964A4E"/>
    <w:rsid w:val="00964B35"/>
    <w:rsid w:val="009651C7"/>
    <w:rsid w:val="00965797"/>
    <w:rsid w:val="00965A10"/>
    <w:rsid w:val="009670A3"/>
    <w:rsid w:val="009674BE"/>
    <w:rsid w:val="00970FB5"/>
    <w:rsid w:val="00971710"/>
    <w:rsid w:val="00971B87"/>
    <w:rsid w:val="00971C77"/>
    <w:rsid w:val="00972FCD"/>
    <w:rsid w:val="00973324"/>
    <w:rsid w:val="009741AE"/>
    <w:rsid w:val="009741FC"/>
    <w:rsid w:val="00974782"/>
    <w:rsid w:val="00974923"/>
    <w:rsid w:val="00975909"/>
    <w:rsid w:val="00977C3D"/>
    <w:rsid w:val="00980D3D"/>
    <w:rsid w:val="0098103E"/>
    <w:rsid w:val="0098157D"/>
    <w:rsid w:val="00983101"/>
    <w:rsid w:val="00983E41"/>
    <w:rsid w:val="009845E1"/>
    <w:rsid w:val="00986246"/>
    <w:rsid w:val="00987A30"/>
    <w:rsid w:val="00990312"/>
    <w:rsid w:val="0099182E"/>
    <w:rsid w:val="00992CF3"/>
    <w:rsid w:val="00993194"/>
    <w:rsid w:val="0099321E"/>
    <w:rsid w:val="00994868"/>
    <w:rsid w:val="00994D28"/>
    <w:rsid w:val="00994F2C"/>
    <w:rsid w:val="009957CC"/>
    <w:rsid w:val="009968D6"/>
    <w:rsid w:val="00997953"/>
    <w:rsid w:val="009A0BFF"/>
    <w:rsid w:val="009A10A0"/>
    <w:rsid w:val="009A1CAB"/>
    <w:rsid w:val="009A2359"/>
    <w:rsid w:val="009A24F1"/>
    <w:rsid w:val="009A27E0"/>
    <w:rsid w:val="009A4D57"/>
    <w:rsid w:val="009A51A5"/>
    <w:rsid w:val="009A60D1"/>
    <w:rsid w:val="009A6225"/>
    <w:rsid w:val="009A64F5"/>
    <w:rsid w:val="009B00D2"/>
    <w:rsid w:val="009B05B3"/>
    <w:rsid w:val="009B284F"/>
    <w:rsid w:val="009B3764"/>
    <w:rsid w:val="009B52AC"/>
    <w:rsid w:val="009B59EA"/>
    <w:rsid w:val="009B66CE"/>
    <w:rsid w:val="009B6FD3"/>
    <w:rsid w:val="009B72BE"/>
    <w:rsid w:val="009B78A4"/>
    <w:rsid w:val="009B7DB2"/>
    <w:rsid w:val="009C03DB"/>
    <w:rsid w:val="009C1750"/>
    <w:rsid w:val="009C2E29"/>
    <w:rsid w:val="009C3E8F"/>
    <w:rsid w:val="009C554B"/>
    <w:rsid w:val="009C5E83"/>
    <w:rsid w:val="009C7126"/>
    <w:rsid w:val="009C719E"/>
    <w:rsid w:val="009C7799"/>
    <w:rsid w:val="009D07A9"/>
    <w:rsid w:val="009D0AE2"/>
    <w:rsid w:val="009D0D9F"/>
    <w:rsid w:val="009D0EBB"/>
    <w:rsid w:val="009D3ACD"/>
    <w:rsid w:val="009D4F21"/>
    <w:rsid w:val="009D587D"/>
    <w:rsid w:val="009D7731"/>
    <w:rsid w:val="009E1120"/>
    <w:rsid w:val="009E1393"/>
    <w:rsid w:val="009E1922"/>
    <w:rsid w:val="009E1A3D"/>
    <w:rsid w:val="009E4715"/>
    <w:rsid w:val="009E4A58"/>
    <w:rsid w:val="009E5273"/>
    <w:rsid w:val="009E57A8"/>
    <w:rsid w:val="009E5B85"/>
    <w:rsid w:val="009E5DDB"/>
    <w:rsid w:val="009F2921"/>
    <w:rsid w:val="009F4982"/>
    <w:rsid w:val="009F4CA7"/>
    <w:rsid w:val="009F4F6A"/>
    <w:rsid w:val="009F55BA"/>
    <w:rsid w:val="009F7D36"/>
    <w:rsid w:val="00A00E71"/>
    <w:rsid w:val="00A0306F"/>
    <w:rsid w:val="00A03B10"/>
    <w:rsid w:val="00A03E2E"/>
    <w:rsid w:val="00A04616"/>
    <w:rsid w:val="00A04717"/>
    <w:rsid w:val="00A05D8F"/>
    <w:rsid w:val="00A05EE4"/>
    <w:rsid w:val="00A06F99"/>
    <w:rsid w:val="00A1053B"/>
    <w:rsid w:val="00A10D66"/>
    <w:rsid w:val="00A113A4"/>
    <w:rsid w:val="00A14114"/>
    <w:rsid w:val="00A16413"/>
    <w:rsid w:val="00A16545"/>
    <w:rsid w:val="00A16AED"/>
    <w:rsid w:val="00A16C37"/>
    <w:rsid w:val="00A16E1D"/>
    <w:rsid w:val="00A171D5"/>
    <w:rsid w:val="00A17A15"/>
    <w:rsid w:val="00A17D5B"/>
    <w:rsid w:val="00A201E1"/>
    <w:rsid w:val="00A20FE1"/>
    <w:rsid w:val="00A21B4D"/>
    <w:rsid w:val="00A22073"/>
    <w:rsid w:val="00A223E0"/>
    <w:rsid w:val="00A23E43"/>
    <w:rsid w:val="00A24726"/>
    <w:rsid w:val="00A24DEB"/>
    <w:rsid w:val="00A24ED9"/>
    <w:rsid w:val="00A25216"/>
    <w:rsid w:val="00A2597D"/>
    <w:rsid w:val="00A2628E"/>
    <w:rsid w:val="00A266BF"/>
    <w:rsid w:val="00A2731E"/>
    <w:rsid w:val="00A309AC"/>
    <w:rsid w:val="00A30F65"/>
    <w:rsid w:val="00A3279E"/>
    <w:rsid w:val="00A35900"/>
    <w:rsid w:val="00A40EAC"/>
    <w:rsid w:val="00A418BC"/>
    <w:rsid w:val="00A41FCF"/>
    <w:rsid w:val="00A42936"/>
    <w:rsid w:val="00A43CF8"/>
    <w:rsid w:val="00A43DF2"/>
    <w:rsid w:val="00A445A8"/>
    <w:rsid w:val="00A44B0D"/>
    <w:rsid w:val="00A44D21"/>
    <w:rsid w:val="00A45087"/>
    <w:rsid w:val="00A45489"/>
    <w:rsid w:val="00A45CED"/>
    <w:rsid w:val="00A465E9"/>
    <w:rsid w:val="00A468E7"/>
    <w:rsid w:val="00A46DE0"/>
    <w:rsid w:val="00A478BA"/>
    <w:rsid w:val="00A50D73"/>
    <w:rsid w:val="00A52A88"/>
    <w:rsid w:val="00A52CAD"/>
    <w:rsid w:val="00A53FC7"/>
    <w:rsid w:val="00A55569"/>
    <w:rsid w:val="00A566A0"/>
    <w:rsid w:val="00A601E7"/>
    <w:rsid w:val="00A60AC1"/>
    <w:rsid w:val="00A626FF"/>
    <w:rsid w:val="00A62CE1"/>
    <w:rsid w:val="00A65469"/>
    <w:rsid w:val="00A65528"/>
    <w:rsid w:val="00A655D3"/>
    <w:rsid w:val="00A662D9"/>
    <w:rsid w:val="00A6741E"/>
    <w:rsid w:val="00A67E29"/>
    <w:rsid w:val="00A7016A"/>
    <w:rsid w:val="00A7018D"/>
    <w:rsid w:val="00A7191D"/>
    <w:rsid w:val="00A722F9"/>
    <w:rsid w:val="00A72D42"/>
    <w:rsid w:val="00A746C9"/>
    <w:rsid w:val="00A74C2A"/>
    <w:rsid w:val="00A75E40"/>
    <w:rsid w:val="00A77D1D"/>
    <w:rsid w:val="00A81652"/>
    <w:rsid w:val="00A83150"/>
    <w:rsid w:val="00A83398"/>
    <w:rsid w:val="00A83D6E"/>
    <w:rsid w:val="00A8521A"/>
    <w:rsid w:val="00A857C0"/>
    <w:rsid w:val="00A85ACB"/>
    <w:rsid w:val="00A90F2C"/>
    <w:rsid w:val="00A90FED"/>
    <w:rsid w:val="00A91482"/>
    <w:rsid w:val="00A9189D"/>
    <w:rsid w:val="00A91E71"/>
    <w:rsid w:val="00A925B1"/>
    <w:rsid w:val="00A92A3E"/>
    <w:rsid w:val="00A934F9"/>
    <w:rsid w:val="00A940E3"/>
    <w:rsid w:val="00A95F1A"/>
    <w:rsid w:val="00A96116"/>
    <w:rsid w:val="00A9614E"/>
    <w:rsid w:val="00A96C0F"/>
    <w:rsid w:val="00AA0E80"/>
    <w:rsid w:val="00AA17CD"/>
    <w:rsid w:val="00AA1D85"/>
    <w:rsid w:val="00AA212F"/>
    <w:rsid w:val="00AA2996"/>
    <w:rsid w:val="00AA2AF4"/>
    <w:rsid w:val="00AA4282"/>
    <w:rsid w:val="00AA4790"/>
    <w:rsid w:val="00AA52BF"/>
    <w:rsid w:val="00AA559A"/>
    <w:rsid w:val="00AA6C31"/>
    <w:rsid w:val="00AA7752"/>
    <w:rsid w:val="00AA7CE8"/>
    <w:rsid w:val="00AB1457"/>
    <w:rsid w:val="00AB2AF1"/>
    <w:rsid w:val="00AB3EC7"/>
    <w:rsid w:val="00AB5A64"/>
    <w:rsid w:val="00AB5CA1"/>
    <w:rsid w:val="00AB6456"/>
    <w:rsid w:val="00AC044E"/>
    <w:rsid w:val="00AC2118"/>
    <w:rsid w:val="00AC2395"/>
    <w:rsid w:val="00AC2960"/>
    <w:rsid w:val="00AC2AC4"/>
    <w:rsid w:val="00AC4284"/>
    <w:rsid w:val="00AC45BD"/>
    <w:rsid w:val="00AC50BB"/>
    <w:rsid w:val="00AD0B22"/>
    <w:rsid w:val="00AD0EE7"/>
    <w:rsid w:val="00AD168E"/>
    <w:rsid w:val="00AD306C"/>
    <w:rsid w:val="00AD44CD"/>
    <w:rsid w:val="00AD5AD2"/>
    <w:rsid w:val="00AD6462"/>
    <w:rsid w:val="00AD66C5"/>
    <w:rsid w:val="00AD68C4"/>
    <w:rsid w:val="00AD71F9"/>
    <w:rsid w:val="00AE09B3"/>
    <w:rsid w:val="00AE1A83"/>
    <w:rsid w:val="00AE30BE"/>
    <w:rsid w:val="00AE3E6A"/>
    <w:rsid w:val="00AE6414"/>
    <w:rsid w:val="00AE7269"/>
    <w:rsid w:val="00AE797C"/>
    <w:rsid w:val="00AE7CE7"/>
    <w:rsid w:val="00AE7FAB"/>
    <w:rsid w:val="00AF0DE4"/>
    <w:rsid w:val="00AF1E87"/>
    <w:rsid w:val="00AF436B"/>
    <w:rsid w:val="00AF5179"/>
    <w:rsid w:val="00AF5CC2"/>
    <w:rsid w:val="00AF6776"/>
    <w:rsid w:val="00AF6F98"/>
    <w:rsid w:val="00B00913"/>
    <w:rsid w:val="00B01593"/>
    <w:rsid w:val="00B01FF9"/>
    <w:rsid w:val="00B023F2"/>
    <w:rsid w:val="00B038CA"/>
    <w:rsid w:val="00B06DB4"/>
    <w:rsid w:val="00B0799C"/>
    <w:rsid w:val="00B102CE"/>
    <w:rsid w:val="00B10A4D"/>
    <w:rsid w:val="00B10C90"/>
    <w:rsid w:val="00B11002"/>
    <w:rsid w:val="00B121B2"/>
    <w:rsid w:val="00B141B6"/>
    <w:rsid w:val="00B14BC1"/>
    <w:rsid w:val="00B16DD1"/>
    <w:rsid w:val="00B16EB8"/>
    <w:rsid w:val="00B17E71"/>
    <w:rsid w:val="00B17FDE"/>
    <w:rsid w:val="00B20632"/>
    <w:rsid w:val="00B2379C"/>
    <w:rsid w:val="00B23D5D"/>
    <w:rsid w:val="00B2687D"/>
    <w:rsid w:val="00B3108D"/>
    <w:rsid w:val="00B32DDB"/>
    <w:rsid w:val="00B32F57"/>
    <w:rsid w:val="00B3345C"/>
    <w:rsid w:val="00B34528"/>
    <w:rsid w:val="00B34CC9"/>
    <w:rsid w:val="00B3563B"/>
    <w:rsid w:val="00B36BDC"/>
    <w:rsid w:val="00B37D3A"/>
    <w:rsid w:val="00B37D96"/>
    <w:rsid w:val="00B402FC"/>
    <w:rsid w:val="00B422E2"/>
    <w:rsid w:val="00B42D5F"/>
    <w:rsid w:val="00B43216"/>
    <w:rsid w:val="00B439DA"/>
    <w:rsid w:val="00B4411A"/>
    <w:rsid w:val="00B45FE8"/>
    <w:rsid w:val="00B46604"/>
    <w:rsid w:val="00B47089"/>
    <w:rsid w:val="00B47587"/>
    <w:rsid w:val="00B52151"/>
    <w:rsid w:val="00B530CD"/>
    <w:rsid w:val="00B53C7D"/>
    <w:rsid w:val="00B53E56"/>
    <w:rsid w:val="00B55A97"/>
    <w:rsid w:val="00B55F5E"/>
    <w:rsid w:val="00B5642C"/>
    <w:rsid w:val="00B56B6F"/>
    <w:rsid w:val="00B5752E"/>
    <w:rsid w:val="00B60AC1"/>
    <w:rsid w:val="00B61FF6"/>
    <w:rsid w:val="00B62316"/>
    <w:rsid w:val="00B63A11"/>
    <w:rsid w:val="00B64425"/>
    <w:rsid w:val="00B64C24"/>
    <w:rsid w:val="00B65CEF"/>
    <w:rsid w:val="00B6608F"/>
    <w:rsid w:val="00B67749"/>
    <w:rsid w:val="00B679FB"/>
    <w:rsid w:val="00B71FBF"/>
    <w:rsid w:val="00B734A0"/>
    <w:rsid w:val="00B73A14"/>
    <w:rsid w:val="00B748BD"/>
    <w:rsid w:val="00B7680F"/>
    <w:rsid w:val="00B76B48"/>
    <w:rsid w:val="00B76D1E"/>
    <w:rsid w:val="00B77543"/>
    <w:rsid w:val="00B77584"/>
    <w:rsid w:val="00B80EC6"/>
    <w:rsid w:val="00B81288"/>
    <w:rsid w:val="00B81D70"/>
    <w:rsid w:val="00B833B9"/>
    <w:rsid w:val="00B83E07"/>
    <w:rsid w:val="00B84CF6"/>
    <w:rsid w:val="00B85016"/>
    <w:rsid w:val="00B8561A"/>
    <w:rsid w:val="00B86643"/>
    <w:rsid w:val="00B868F7"/>
    <w:rsid w:val="00B90131"/>
    <w:rsid w:val="00B92951"/>
    <w:rsid w:val="00B92D1D"/>
    <w:rsid w:val="00B92D7E"/>
    <w:rsid w:val="00B930CE"/>
    <w:rsid w:val="00B938C5"/>
    <w:rsid w:val="00B940A8"/>
    <w:rsid w:val="00B9554A"/>
    <w:rsid w:val="00B95940"/>
    <w:rsid w:val="00B95ACA"/>
    <w:rsid w:val="00B97ACC"/>
    <w:rsid w:val="00B97FE2"/>
    <w:rsid w:val="00BA0E0B"/>
    <w:rsid w:val="00BA201A"/>
    <w:rsid w:val="00BA3787"/>
    <w:rsid w:val="00BA46E8"/>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AB2"/>
    <w:rsid w:val="00BB5ABF"/>
    <w:rsid w:val="00BB6EA2"/>
    <w:rsid w:val="00BB7B5B"/>
    <w:rsid w:val="00BB7EB1"/>
    <w:rsid w:val="00BC003F"/>
    <w:rsid w:val="00BC327F"/>
    <w:rsid w:val="00BC3512"/>
    <w:rsid w:val="00BC50BE"/>
    <w:rsid w:val="00BC5332"/>
    <w:rsid w:val="00BC5715"/>
    <w:rsid w:val="00BC5C12"/>
    <w:rsid w:val="00BC7154"/>
    <w:rsid w:val="00BC731E"/>
    <w:rsid w:val="00BC7614"/>
    <w:rsid w:val="00BD25BB"/>
    <w:rsid w:val="00BD2AF8"/>
    <w:rsid w:val="00BD366B"/>
    <w:rsid w:val="00BD3C09"/>
    <w:rsid w:val="00BD410B"/>
    <w:rsid w:val="00BD4A73"/>
    <w:rsid w:val="00BD6C75"/>
    <w:rsid w:val="00BD6D50"/>
    <w:rsid w:val="00BD73D2"/>
    <w:rsid w:val="00BE0AD1"/>
    <w:rsid w:val="00BE0EF9"/>
    <w:rsid w:val="00BE10A1"/>
    <w:rsid w:val="00BE18B9"/>
    <w:rsid w:val="00BE190A"/>
    <w:rsid w:val="00BE2495"/>
    <w:rsid w:val="00BE24DD"/>
    <w:rsid w:val="00BE386D"/>
    <w:rsid w:val="00BE557B"/>
    <w:rsid w:val="00BE7F5F"/>
    <w:rsid w:val="00BF02C8"/>
    <w:rsid w:val="00BF1578"/>
    <w:rsid w:val="00BF15CA"/>
    <w:rsid w:val="00BF1D12"/>
    <w:rsid w:val="00BF1D3A"/>
    <w:rsid w:val="00BF2B5B"/>
    <w:rsid w:val="00BF2D41"/>
    <w:rsid w:val="00BF3274"/>
    <w:rsid w:val="00BF32DC"/>
    <w:rsid w:val="00BF4329"/>
    <w:rsid w:val="00BF4E43"/>
    <w:rsid w:val="00BF5C4C"/>
    <w:rsid w:val="00BF77FC"/>
    <w:rsid w:val="00C006D6"/>
    <w:rsid w:val="00C00BD7"/>
    <w:rsid w:val="00C01410"/>
    <w:rsid w:val="00C04B78"/>
    <w:rsid w:val="00C052AA"/>
    <w:rsid w:val="00C06EE3"/>
    <w:rsid w:val="00C07749"/>
    <w:rsid w:val="00C11244"/>
    <w:rsid w:val="00C11D48"/>
    <w:rsid w:val="00C1493E"/>
    <w:rsid w:val="00C15DBD"/>
    <w:rsid w:val="00C2010D"/>
    <w:rsid w:val="00C20CB5"/>
    <w:rsid w:val="00C21430"/>
    <w:rsid w:val="00C21E61"/>
    <w:rsid w:val="00C21F94"/>
    <w:rsid w:val="00C234DB"/>
    <w:rsid w:val="00C2479A"/>
    <w:rsid w:val="00C24903"/>
    <w:rsid w:val="00C2590D"/>
    <w:rsid w:val="00C25D9C"/>
    <w:rsid w:val="00C27913"/>
    <w:rsid w:val="00C300E2"/>
    <w:rsid w:val="00C31F21"/>
    <w:rsid w:val="00C32631"/>
    <w:rsid w:val="00C33301"/>
    <w:rsid w:val="00C33311"/>
    <w:rsid w:val="00C33B68"/>
    <w:rsid w:val="00C35570"/>
    <w:rsid w:val="00C35A2A"/>
    <w:rsid w:val="00C36A79"/>
    <w:rsid w:val="00C401A9"/>
    <w:rsid w:val="00C401D2"/>
    <w:rsid w:val="00C4031A"/>
    <w:rsid w:val="00C405D4"/>
    <w:rsid w:val="00C419D5"/>
    <w:rsid w:val="00C42EBB"/>
    <w:rsid w:val="00C4513B"/>
    <w:rsid w:val="00C475E8"/>
    <w:rsid w:val="00C50E79"/>
    <w:rsid w:val="00C5197D"/>
    <w:rsid w:val="00C525FB"/>
    <w:rsid w:val="00C5390B"/>
    <w:rsid w:val="00C54257"/>
    <w:rsid w:val="00C54697"/>
    <w:rsid w:val="00C550CE"/>
    <w:rsid w:val="00C553A5"/>
    <w:rsid w:val="00C55402"/>
    <w:rsid w:val="00C5603B"/>
    <w:rsid w:val="00C61F47"/>
    <w:rsid w:val="00C62828"/>
    <w:rsid w:val="00C715CC"/>
    <w:rsid w:val="00C719A3"/>
    <w:rsid w:val="00C71D2F"/>
    <w:rsid w:val="00C72984"/>
    <w:rsid w:val="00C73885"/>
    <w:rsid w:val="00C73C93"/>
    <w:rsid w:val="00C7435A"/>
    <w:rsid w:val="00C747B1"/>
    <w:rsid w:val="00C75510"/>
    <w:rsid w:val="00C755F9"/>
    <w:rsid w:val="00C75752"/>
    <w:rsid w:val="00C770C9"/>
    <w:rsid w:val="00C81070"/>
    <w:rsid w:val="00C8174E"/>
    <w:rsid w:val="00C82191"/>
    <w:rsid w:val="00C83134"/>
    <w:rsid w:val="00C831E7"/>
    <w:rsid w:val="00C832F3"/>
    <w:rsid w:val="00C845A4"/>
    <w:rsid w:val="00C85545"/>
    <w:rsid w:val="00C855B5"/>
    <w:rsid w:val="00C85F0E"/>
    <w:rsid w:val="00C90CF4"/>
    <w:rsid w:val="00C91C20"/>
    <w:rsid w:val="00C922DE"/>
    <w:rsid w:val="00C92843"/>
    <w:rsid w:val="00C92EB6"/>
    <w:rsid w:val="00C93389"/>
    <w:rsid w:val="00C948E6"/>
    <w:rsid w:val="00C94CDD"/>
    <w:rsid w:val="00CA0346"/>
    <w:rsid w:val="00CA1BD6"/>
    <w:rsid w:val="00CA37FF"/>
    <w:rsid w:val="00CA423A"/>
    <w:rsid w:val="00CA47BC"/>
    <w:rsid w:val="00CA5EAD"/>
    <w:rsid w:val="00CA6AB4"/>
    <w:rsid w:val="00CA7255"/>
    <w:rsid w:val="00CB2351"/>
    <w:rsid w:val="00CB4930"/>
    <w:rsid w:val="00CB4BA9"/>
    <w:rsid w:val="00CB4C63"/>
    <w:rsid w:val="00CB5A48"/>
    <w:rsid w:val="00CB5E10"/>
    <w:rsid w:val="00CB613B"/>
    <w:rsid w:val="00CB6152"/>
    <w:rsid w:val="00CB64E1"/>
    <w:rsid w:val="00CB6E4D"/>
    <w:rsid w:val="00CC0834"/>
    <w:rsid w:val="00CC20FE"/>
    <w:rsid w:val="00CC2E7D"/>
    <w:rsid w:val="00CC612B"/>
    <w:rsid w:val="00CC655F"/>
    <w:rsid w:val="00CC66F9"/>
    <w:rsid w:val="00CC6FE5"/>
    <w:rsid w:val="00CC7458"/>
    <w:rsid w:val="00CC76BD"/>
    <w:rsid w:val="00CC7A87"/>
    <w:rsid w:val="00CD10A5"/>
    <w:rsid w:val="00CD1129"/>
    <w:rsid w:val="00CD1A80"/>
    <w:rsid w:val="00CD1CB5"/>
    <w:rsid w:val="00CD2076"/>
    <w:rsid w:val="00CD24CE"/>
    <w:rsid w:val="00CD29B5"/>
    <w:rsid w:val="00CD2B78"/>
    <w:rsid w:val="00CD3FAB"/>
    <w:rsid w:val="00CD5456"/>
    <w:rsid w:val="00CD5C3E"/>
    <w:rsid w:val="00CD6331"/>
    <w:rsid w:val="00CE14BE"/>
    <w:rsid w:val="00CE17A4"/>
    <w:rsid w:val="00CE1BA9"/>
    <w:rsid w:val="00CE2D8F"/>
    <w:rsid w:val="00CE3E48"/>
    <w:rsid w:val="00CE47B8"/>
    <w:rsid w:val="00CE62FA"/>
    <w:rsid w:val="00CE670B"/>
    <w:rsid w:val="00CE6833"/>
    <w:rsid w:val="00CF020B"/>
    <w:rsid w:val="00CF2E4D"/>
    <w:rsid w:val="00CF4205"/>
    <w:rsid w:val="00CF4908"/>
    <w:rsid w:val="00CF51EC"/>
    <w:rsid w:val="00CF545D"/>
    <w:rsid w:val="00CF5873"/>
    <w:rsid w:val="00CF73AE"/>
    <w:rsid w:val="00CF7777"/>
    <w:rsid w:val="00D0085A"/>
    <w:rsid w:val="00D0197F"/>
    <w:rsid w:val="00D0242D"/>
    <w:rsid w:val="00D02716"/>
    <w:rsid w:val="00D03A72"/>
    <w:rsid w:val="00D040DD"/>
    <w:rsid w:val="00D04134"/>
    <w:rsid w:val="00D05C65"/>
    <w:rsid w:val="00D06B56"/>
    <w:rsid w:val="00D06D68"/>
    <w:rsid w:val="00D075BE"/>
    <w:rsid w:val="00D10C15"/>
    <w:rsid w:val="00D11476"/>
    <w:rsid w:val="00D12C25"/>
    <w:rsid w:val="00D133B4"/>
    <w:rsid w:val="00D13986"/>
    <w:rsid w:val="00D14C5B"/>
    <w:rsid w:val="00D15FED"/>
    <w:rsid w:val="00D16712"/>
    <w:rsid w:val="00D214EF"/>
    <w:rsid w:val="00D215B0"/>
    <w:rsid w:val="00D21D6D"/>
    <w:rsid w:val="00D21D83"/>
    <w:rsid w:val="00D235B7"/>
    <w:rsid w:val="00D23FAE"/>
    <w:rsid w:val="00D25F28"/>
    <w:rsid w:val="00D26071"/>
    <w:rsid w:val="00D269B9"/>
    <w:rsid w:val="00D27973"/>
    <w:rsid w:val="00D31537"/>
    <w:rsid w:val="00D31E1E"/>
    <w:rsid w:val="00D322A0"/>
    <w:rsid w:val="00D32824"/>
    <w:rsid w:val="00D334E2"/>
    <w:rsid w:val="00D350B1"/>
    <w:rsid w:val="00D35AD6"/>
    <w:rsid w:val="00D35BBB"/>
    <w:rsid w:val="00D35E1A"/>
    <w:rsid w:val="00D36B0A"/>
    <w:rsid w:val="00D36DFB"/>
    <w:rsid w:val="00D36E1C"/>
    <w:rsid w:val="00D373AF"/>
    <w:rsid w:val="00D40556"/>
    <w:rsid w:val="00D41F74"/>
    <w:rsid w:val="00D43034"/>
    <w:rsid w:val="00D43ED2"/>
    <w:rsid w:val="00D50F46"/>
    <w:rsid w:val="00D5384E"/>
    <w:rsid w:val="00D544E7"/>
    <w:rsid w:val="00D5499F"/>
    <w:rsid w:val="00D5560A"/>
    <w:rsid w:val="00D56FBF"/>
    <w:rsid w:val="00D57677"/>
    <w:rsid w:val="00D60415"/>
    <w:rsid w:val="00D60E3C"/>
    <w:rsid w:val="00D61FAB"/>
    <w:rsid w:val="00D63BE5"/>
    <w:rsid w:val="00D6475F"/>
    <w:rsid w:val="00D66223"/>
    <w:rsid w:val="00D667B8"/>
    <w:rsid w:val="00D70289"/>
    <w:rsid w:val="00D70822"/>
    <w:rsid w:val="00D72076"/>
    <w:rsid w:val="00D726A9"/>
    <w:rsid w:val="00D743E0"/>
    <w:rsid w:val="00D75AC1"/>
    <w:rsid w:val="00D77252"/>
    <w:rsid w:val="00D8084C"/>
    <w:rsid w:val="00D81809"/>
    <w:rsid w:val="00D82EF1"/>
    <w:rsid w:val="00D84F43"/>
    <w:rsid w:val="00D85114"/>
    <w:rsid w:val="00D85821"/>
    <w:rsid w:val="00D8598C"/>
    <w:rsid w:val="00D87C06"/>
    <w:rsid w:val="00D915EA"/>
    <w:rsid w:val="00D919ED"/>
    <w:rsid w:val="00D922A1"/>
    <w:rsid w:val="00D928BE"/>
    <w:rsid w:val="00D95302"/>
    <w:rsid w:val="00D95C5D"/>
    <w:rsid w:val="00D97D00"/>
    <w:rsid w:val="00DA096C"/>
    <w:rsid w:val="00DA1AB6"/>
    <w:rsid w:val="00DA544C"/>
    <w:rsid w:val="00DA5F8E"/>
    <w:rsid w:val="00DA6364"/>
    <w:rsid w:val="00DA7114"/>
    <w:rsid w:val="00DA7C0C"/>
    <w:rsid w:val="00DB03DD"/>
    <w:rsid w:val="00DB08A9"/>
    <w:rsid w:val="00DB2DFA"/>
    <w:rsid w:val="00DB2EC8"/>
    <w:rsid w:val="00DB321D"/>
    <w:rsid w:val="00DB459B"/>
    <w:rsid w:val="00DB47FD"/>
    <w:rsid w:val="00DB5E3A"/>
    <w:rsid w:val="00DB5E9A"/>
    <w:rsid w:val="00DB613B"/>
    <w:rsid w:val="00DB657E"/>
    <w:rsid w:val="00DB7342"/>
    <w:rsid w:val="00DB7489"/>
    <w:rsid w:val="00DC17D0"/>
    <w:rsid w:val="00DC2B41"/>
    <w:rsid w:val="00DC3128"/>
    <w:rsid w:val="00DC435B"/>
    <w:rsid w:val="00DC53D8"/>
    <w:rsid w:val="00DC56FE"/>
    <w:rsid w:val="00DC5B3B"/>
    <w:rsid w:val="00DC6C2D"/>
    <w:rsid w:val="00DC7B1A"/>
    <w:rsid w:val="00DD04B0"/>
    <w:rsid w:val="00DD129F"/>
    <w:rsid w:val="00DD13FC"/>
    <w:rsid w:val="00DD1A3F"/>
    <w:rsid w:val="00DD29B5"/>
    <w:rsid w:val="00DD32DD"/>
    <w:rsid w:val="00DD5287"/>
    <w:rsid w:val="00DD5B36"/>
    <w:rsid w:val="00DE0D8B"/>
    <w:rsid w:val="00DE1237"/>
    <w:rsid w:val="00DE140F"/>
    <w:rsid w:val="00DE2491"/>
    <w:rsid w:val="00DE5CA6"/>
    <w:rsid w:val="00DE7AC8"/>
    <w:rsid w:val="00DF2C5D"/>
    <w:rsid w:val="00DF3643"/>
    <w:rsid w:val="00DF42FF"/>
    <w:rsid w:val="00DF4369"/>
    <w:rsid w:val="00DF4423"/>
    <w:rsid w:val="00DF4ADF"/>
    <w:rsid w:val="00DF5D1E"/>
    <w:rsid w:val="00DF77E4"/>
    <w:rsid w:val="00DF7F88"/>
    <w:rsid w:val="00E01C0E"/>
    <w:rsid w:val="00E0368F"/>
    <w:rsid w:val="00E03D73"/>
    <w:rsid w:val="00E03F9A"/>
    <w:rsid w:val="00E04694"/>
    <w:rsid w:val="00E12191"/>
    <w:rsid w:val="00E129E7"/>
    <w:rsid w:val="00E12ABE"/>
    <w:rsid w:val="00E12B1E"/>
    <w:rsid w:val="00E1444C"/>
    <w:rsid w:val="00E17262"/>
    <w:rsid w:val="00E20016"/>
    <w:rsid w:val="00E2009B"/>
    <w:rsid w:val="00E20BB9"/>
    <w:rsid w:val="00E20BCC"/>
    <w:rsid w:val="00E2251C"/>
    <w:rsid w:val="00E2363D"/>
    <w:rsid w:val="00E23C6A"/>
    <w:rsid w:val="00E253A2"/>
    <w:rsid w:val="00E260F6"/>
    <w:rsid w:val="00E27127"/>
    <w:rsid w:val="00E27233"/>
    <w:rsid w:val="00E30F15"/>
    <w:rsid w:val="00E31771"/>
    <w:rsid w:val="00E3186D"/>
    <w:rsid w:val="00E31A3E"/>
    <w:rsid w:val="00E32080"/>
    <w:rsid w:val="00E3309D"/>
    <w:rsid w:val="00E35A53"/>
    <w:rsid w:val="00E3724A"/>
    <w:rsid w:val="00E378B1"/>
    <w:rsid w:val="00E417BE"/>
    <w:rsid w:val="00E41CD5"/>
    <w:rsid w:val="00E4372D"/>
    <w:rsid w:val="00E43A9E"/>
    <w:rsid w:val="00E44243"/>
    <w:rsid w:val="00E453F9"/>
    <w:rsid w:val="00E45D7D"/>
    <w:rsid w:val="00E4623F"/>
    <w:rsid w:val="00E4665D"/>
    <w:rsid w:val="00E47854"/>
    <w:rsid w:val="00E47EBA"/>
    <w:rsid w:val="00E50156"/>
    <w:rsid w:val="00E504EB"/>
    <w:rsid w:val="00E5076C"/>
    <w:rsid w:val="00E50D2E"/>
    <w:rsid w:val="00E50D7D"/>
    <w:rsid w:val="00E53470"/>
    <w:rsid w:val="00E539F6"/>
    <w:rsid w:val="00E54698"/>
    <w:rsid w:val="00E54FB4"/>
    <w:rsid w:val="00E5539A"/>
    <w:rsid w:val="00E55791"/>
    <w:rsid w:val="00E55E1A"/>
    <w:rsid w:val="00E578A2"/>
    <w:rsid w:val="00E60043"/>
    <w:rsid w:val="00E61740"/>
    <w:rsid w:val="00E61EB5"/>
    <w:rsid w:val="00E6324D"/>
    <w:rsid w:val="00E65084"/>
    <w:rsid w:val="00E6519D"/>
    <w:rsid w:val="00E66062"/>
    <w:rsid w:val="00E6660E"/>
    <w:rsid w:val="00E67305"/>
    <w:rsid w:val="00E67696"/>
    <w:rsid w:val="00E70C5F"/>
    <w:rsid w:val="00E71A58"/>
    <w:rsid w:val="00E72A26"/>
    <w:rsid w:val="00E72A7A"/>
    <w:rsid w:val="00E7335A"/>
    <w:rsid w:val="00E747DC"/>
    <w:rsid w:val="00E74A2D"/>
    <w:rsid w:val="00E75C94"/>
    <w:rsid w:val="00E76B9B"/>
    <w:rsid w:val="00E76E61"/>
    <w:rsid w:val="00E77CC0"/>
    <w:rsid w:val="00E80B3D"/>
    <w:rsid w:val="00E80CA3"/>
    <w:rsid w:val="00E82618"/>
    <w:rsid w:val="00E84E09"/>
    <w:rsid w:val="00E90CA8"/>
    <w:rsid w:val="00E930A1"/>
    <w:rsid w:val="00E93820"/>
    <w:rsid w:val="00E94A86"/>
    <w:rsid w:val="00E953F6"/>
    <w:rsid w:val="00E96143"/>
    <w:rsid w:val="00E96833"/>
    <w:rsid w:val="00E97506"/>
    <w:rsid w:val="00EA0C68"/>
    <w:rsid w:val="00EA1D0E"/>
    <w:rsid w:val="00EA2841"/>
    <w:rsid w:val="00EA32BC"/>
    <w:rsid w:val="00EA35A7"/>
    <w:rsid w:val="00EA3B32"/>
    <w:rsid w:val="00EA3D05"/>
    <w:rsid w:val="00EA4402"/>
    <w:rsid w:val="00EA4B8D"/>
    <w:rsid w:val="00EA513E"/>
    <w:rsid w:val="00EA7419"/>
    <w:rsid w:val="00EB0E32"/>
    <w:rsid w:val="00EB3E60"/>
    <w:rsid w:val="00EB4511"/>
    <w:rsid w:val="00EB48D7"/>
    <w:rsid w:val="00EB4A8E"/>
    <w:rsid w:val="00EB4BC5"/>
    <w:rsid w:val="00EB5BF7"/>
    <w:rsid w:val="00EB5E79"/>
    <w:rsid w:val="00EB6FAC"/>
    <w:rsid w:val="00EB7BAC"/>
    <w:rsid w:val="00EC03D7"/>
    <w:rsid w:val="00EC13A7"/>
    <w:rsid w:val="00EC2EB6"/>
    <w:rsid w:val="00ED0EF0"/>
    <w:rsid w:val="00ED12B9"/>
    <w:rsid w:val="00ED16B8"/>
    <w:rsid w:val="00ED1DF0"/>
    <w:rsid w:val="00ED2386"/>
    <w:rsid w:val="00ED2EA1"/>
    <w:rsid w:val="00ED3F10"/>
    <w:rsid w:val="00ED4D04"/>
    <w:rsid w:val="00ED566D"/>
    <w:rsid w:val="00ED5907"/>
    <w:rsid w:val="00ED5F5B"/>
    <w:rsid w:val="00ED62C6"/>
    <w:rsid w:val="00ED64C1"/>
    <w:rsid w:val="00EE2EB4"/>
    <w:rsid w:val="00EE3446"/>
    <w:rsid w:val="00EE3E78"/>
    <w:rsid w:val="00EE41FD"/>
    <w:rsid w:val="00EE460E"/>
    <w:rsid w:val="00EE4B1B"/>
    <w:rsid w:val="00EE5FBA"/>
    <w:rsid w:val="00EE6E06"/>
    <w:rsid w:val="00EE7179"/>
    <w:rsid w:val="00EF150D"/>
    <w:rsid w:val="00EF1F5A"/>
    <w:rsid w:val="00EF47BF"/>
    <w:rsid w:val="00EF59B1"/>
    <w:rsid w:val="00EF5A13"/>
    <w:rsid w:val="00EF5FF9"/>
    <w:rsid w:val="00EF77D4"/>
    <w:rsid w:val="00EF7CC7"/>
    <w:rsid w:val="00F00853"/>
    <w:rsid w:val="00F00866"/>
    <w:rsid w:val="00F0160B"/>
    <w:rsid w:val="00F0193E"/>
    <w:rsid w:val="00F03F8D"/>
    <w:rsid w:val="00F04811"/>
    <w:rsid w:val="00F0488C"/>
    <w:rsid w:val="00F073ED"/>
    <w:rsid w:val="00F07C4C"/>
    <w:rsid w:val="00F10F11"/>
    <w:rsid w:val="00F11159"/>
    <w:rsid w:val="00F115E4"/>
    <w:rsid w:val="00F12CFB"/>
    <w:rsid w:val="00F13E60"/>
    <w:rsid w:val="00F13FDB"/>
    <w:rsid w:val="00F15AAA"/>
    <w:rsid w:val="00F15BEF"/>
    <w:rsid w:val="00F17898"/>
    <w:rsid w:val="00F207C2"/>
    <w:rsid w:val="00F21337"/>
    <w:rsid w:val="00F219A1"/>
    <w:rsid w:val="00F23E20"/>
    <w:rsid w:val="00F24407"/>
    <w:rsid w:val="00F24FAA"/>
    <w:rsid w:val="00F25040"/>
    <w:rsid w:val="00F27071"/>
    <w:rsid w:val="00F27331"/>
    <w:rsid w:val="00F27EE5"/>
    <w:rsid w:val="00F27FD6"/>
    <w:rsid w:val="00F307CB"/>
    <w:rsid w:val="00F30C65"/>
    <w:rsid w:val="00F321D2"/>
    <w:rsid w:val="00F32649"/>
    <w:rsid w:val="00F33523"/>
    <w:rsid w:val="00F3364D"/>
    <w:rsid w:val="00F33914"/>
    <w:rsid w:val="00F349BF"/>
    <w:rsid w:val="00F34DDC"/>
    <w:rsid w:val="00F36191"/>
    <w:rsid w:val="00F37EDC"/>
    <w:rsid w:val="00F437CC"/>
    <w:rsid w:val="00F44537"/>
    <w:rsid w:val="00F46185"/>
    <w:rsid w:val="00F46423"/>
    <w:rsid w:val="00F4696A"/>
    <w:rsid w:val="00F47067"/>
    <w:rsid w:val="00F525AB"/>
    <w:rsid w:val="00F525EB"/>
    <w:rsid w:val="00F52CB5"/>
    <w:rsid w:val="00F53A68"/>
    <w:rsid w:val="00F54934"/>
    <w:rsid w:val="00F55A92"/>
    <w:rsid w:val="00F62BFF"/>
    <w:rsid w:val="00F63AAE"/>
    <w:rsid w:val="00F63DDE"/>
    <w:rsid w:val="00F63FB7"/>
    <w:rsid w:val="00F6421B"/>
    <w:rsid w:val="00F647F1"/>
    <w:rsid w:val="00F649D2"/>
    <w:rsid w:val="00F6602B"/>
    <w:rsid w:val="00F7150B"/>
    <w:rsid w:val="00F717E4"/>
    <w:rsid w:val="00F71DE6"/>
    <w:rsid w:val="00F72D71"/>
    <w:rsid w:val="00F7381C"/>
    <w:rsid w:val="00F73A0C"/>
    <w:rsid w:val="00F7549F"/>
    <w:rsid w:val="00F756DB"/>
    <w:rsid w:val="00F767A8"/>
    <w:rsid w:val="00F84E7D"/>
    <w:rsid w:val="00F85066"/>
    <w:rsid w:val="00F87A4D"/>
    <w:rsid w:val="00F93688"/>
    <w:rsid w:val="00F939F3"/>
    <w:rsid w:val="00F93C6E"/>
    <w:rsid w:val="00F93F2C"/>
    <w:rsid w:val="00F9644E"/>
    <w:rsid w:val="00FA0105"/>
    <w:rsid w:val="00FA05A0"/>
    <w:rsid w:val="00FA0AEF"/>
    <w:rsid w:val="00FA17CC"/>
    <w:rsid w:val="00FA1F01"/>
    <w:rsid w:val="00FA26DF"/>
    <w:rsid w:val="00FA32BC"/>
    <w:rsid w:val="00FA48A4"/>
    <w:rsid w:val="00FA4CB7"/>
    <w:rsid w:val="00FA5112"/>
    <w:rsid w:val="00FA5526"/>
    <w:rsid w:val="00FA5D4D"/>
    <w:rsid w:val="00FA6CB6"/>
    <w:rsid w:val="00FA70D3"/>
    <w:rsid w:val="00FA7AEC"/>
    <w:rsid w:val="00FB0AEA"/>
    <w:rsid w:val="00FB0EE2"/>
    <w:rsid w:val="00FB1A79"/>
    <w:rsid w:val="00FB208B"/>
    <w:rsid w:val="00FB2B2D"/>
    <w:rsid w:val="00FB542E"/>
    <w:rsid w:val="00FB564F"/>
    <w:rsid w:val="00FB7DBB"/>
    <w:rsid w:val="00FC05F8"/>
    <w:rsid w:val="00FC0E5F"/>
    <w:rsid w:val="00FC1266"/>
    <w:rsid w:val="00FC1A95"/>
    <w:rsid w:val="00FC1ED4"/>
    <w:rsid w:val="00FC3BEC"/>
    <w:rsid w:val="00FC440B"/>
    <w:rsid w:val="00FC56DE"/>
    <w:rsid w:val="00FC63D9"/>
    <w:rsid w:val="00FC64DE"/>
    <w:rsid w:val="00FC684B"/>
    <w:rsid w:val="00FC7D98"/>
    <w:rsid w:val="00FD1135"/>
    <w:rsid w:val="00FD3265"/>
    <w:rsid w:val="00FD3CF7"/>
    <w:rsid w:val="00FD4916"/>
    <w:rsid w:val="00FD4D12"/>
    <w:rsid w:val="00FD4F73"/>
    <w:rsid w:val="00FD595E"/>
    <w:rsid w:val="00FE27C7"/>
    <w:rsid w:val="00FE2C7E"/>
    <w:rsid w:val="00FE2F78"/>
    <w:rsid w:val="00FE3137"/>
    <w:rsid w:val="00FE346B"/>
    <w:rsid w:val="00FE346F"/>
    <w:rsid w:val="00FE48E4"/>
    <w:rsid w:val="00FE634C"/>
    <w:rsid w:val="00FE6E69"/>
    <w:rsid w:val="00FE6F59"/>
    <w:rsid w:val="00FF1136"/>
    <w:rsid w:val="00FF3D76"/>
    <w:rsid w:val="00FF5B8C"/>
    <w:rsid w:val="00FF63E6"/>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EEB6EC"/>
  <w15:docId w15:val="{02E7EBF8-5A4E-462D-AC4B-706FC6EE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chart" Target="charts/chart1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2" Type="http://schemas.openxmlformats.org/officeDocument/2006/relationships/customXml" Target="../customXml/item2.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header" Target="header2.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https://d.docs.live.net/dc6bece553a4e0ca/Plocha/Pr&#225;ce/Anal&#253;za/Q/2019Q4/Makroanal&#253;za%20graf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https://d.docs.live.net/dc6bece553a4e0ca/Plocha/Pr&#225;ce/Anal&#253;za/Q/2019Q4/Makroanal&#253;za%20graf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Dokumenty\Anal&#253;za\Q\2019Q4\Makroanal&#253;za%20graf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JKAM%20CSU\PUBLIKACE\PUBLIKACE\2019\QMakro\celorok-QMakro\Trh%20pr&#225;ce\Grafy-trh%20pr&#225;ce-rok-2019.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JKAM%20CSU\PUBLIKACE\PUBLIKACE\2019\QMakro\celorok-QMakro\Trh%20pr&#225;ce\Grafy-trh%20pr&#225;ce-rok-2019.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JKAM%20CSU\PUBLIKACE\PUBLIKACE\2019\QMakro\celorok\Trh%20pr&#225;ce\Grafy-trh%20pr&#225;ce-rok-2019.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Dokumenty\Anal&#253;za\Q\2019Q4\Makroanal&#253;za%20grafy.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JKAM%20CSU\PUBLIKACE\PUBLIKACE\2019\QMakro\celorok\Grafy-st&#225;tn&#237;%20rozpo&#269;et-rok-2019.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JKAM%20CSU\PUBLIKACE\PUBLIKACE\2019\QMakro\celorok\Grafy-st&#225;tn&#237;%20rozpo&#269;et-rok-201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d.docs.live.net/dc6bece553a4e0ca/Plocha/Pr&#225;ce/Anal&#253;za/Q/2019Q4/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d.docs.live.net/dc6bece553a4e0ca/Plocha/Pr&#225;ce/Anal&#253;za/Q/2019Q4/Makroanal&#253;za%20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G:\celorok-QMakro-2019\Odv&#283;tv&#237;\Odv&#283;tv&#237;%20grafy-rok-2019.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JKAM%20CSU\PUBLIKACE\PUBLIKACE\2019\QMakro\celorok-QMakro\Odv&#283;tv&#237;\Odv&#283;tv&#237;%20grafy-rok-2019.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JKAM%20CSU\PUBLIKACE\PUBLIKACE\2019\QMakro\celorok-QMakro\Odv&#283;tv&#237;\Odv&#283;tv&#237;%20grafy-rok-2019.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JKAM%20CSU\PUBLIKACE\PUBLIKACE\2019\QMakro\celorok-QMakro\Odv&#283;tv&#237;\Odv&#283;tv&#237;%20grafy-rok-2019.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Dokumenty\Anal&#253;za\Q\2019Q4\Makroanal&#253;za%20grafy.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Dokumenty\Anal&#253;za\Q\2019Q4\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324257007767645E-2"/>
          <c:y val="2.3046636085626952E-2"/>
          <c:w val="0.92008633063154344"/>
          <c:h val="0.74192840256671611"/>
        </c:manualLayout>
      </c:layout>
      <c:barChart>
        <c:barDir val="col"/>
        <c:grouping val="clustered"/>
        <c:varyColors val="0"/>
        <c:ser>
          <c:idx val="0"/>
          <c:order val="0"/>
          <c:tx>
            <c:strRef>
              <c:f>'[Makroanalýza grafy.xlsx]souhrnná výkonnost 1'!$C$4</c:f>
              <c:strCache>
                <c:ptCount val="1"/>
                <c:pt idx="0">
                  <c:v>ČR meziroční změna</c:v>
                </c:pt>
              </c:strCache>
            </c:strRef>
          </c:tx>
          <c:spPr>
            <a:solidFill>
              <a:srgbClr val="A6A6A6"/>
            </a:solidFill>
            <a:ln>
              <a:noFill/>
            </a:ln>
          </c:spPr>
          <c:invertIfNegative val="0"/>
          <c:cat>
            <c:multiLvlStrRef>
              <c:f>'[Makroanalýza grafy.xlsx]souhrnná výkonnost 1'!$A$13:$B$36</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grafy.xlsx]souhrnná výkonnost 1'!$C$13:$C$36</c:f>
              <c:numCache>
                <c:formatCode>#\ ##0.0</c:formatCode>
                <c:ptCount val="24"/>
                <c:pt idx="0">
                  <c:v>1.6119594488480402</c:v>
                </c:pt>
                <c:pt idx="1">
                  <c:v>2.4036725914780845</c:v>
                </c:pt>
                <c:pt idx="2">
                  <c:v>3.4025591515868712</c:v>
                </c:pt>
                <c:pt idx="3">
                  <c:v>3.4265917926533689</c:v>
                </c:pt>
                <c:pt idx="4">
                  <c:v>5.2291028386835023</c:v>
                </c:pt>
                <c:pt idx="5">
                  <c:v>5.8032839302925225</c:v>
                </c:pt>
                <c:pt idx="6">
                  <c:v>5.6129957330324913</c:v>
                </c:pt>
                <c:pt idx="7">
                  <c:v>4.9021515966682472</c:v>
                </c:pt>
                <c:pt idx="8">
                  <c:v>3.5397876725335777</c:v>
                </c:pt>
                <c:pt idx="9">
                  <c:v>2.3880974325794</c:v>
                </c:pt>
                <c:pt idx="10">
                  <c:v>1.7456220336081003</c:v>
                </c:pt>
                <c:pt idx="11">
                  <c:v>1.7908390550106787</c:v>
                </c:pt>
                <c:pt idx="12">
                  <c:v>2.9314543599314931</c:v>
                </c:pt>
                <c:pt idx="13">
                  <c:v>5.0765771064926923</c:v>
                </c:pt>
                <c:pt idx="14">
                  <c:v>5.1042926824662658</c:v>
                </c:pt>
                <c:pt idx="15">
                  <c:v>5.0625427043875106</c:v>
                </c:pt>
                <c:pt idx="16">
                  <c:v>4.1134039034848087</c:v>
                </c:pt>
                <c:pt idx="17" formatCode="General">
                  <c:v>2.2285818121587511</c:v>
                </c:pt>
                <c:pt idx="18" formatCode="General">
                  <c:v>2.3691205820336023</c:v>
                </c:pt>
                <c:pt idx="19">
                  <c:v>2.6297732768110222</c:v>
                </c:pt>
                <c:pt idx="20">
                  <c:v>2.7820874256218957</c:v>
                </c:pt>
                <c:pt idx="21" formatCode="General">
                  <c:v>2.6856608272710361</c:v>
                </c:pt>
                <c:pt idx="22" formatCode="General">
                  <c:v>2.4784474877561706</c:v>
                </c:pt>
                <c:pt idx="23" formatCode="General">
                  <c:v>2.0441326449706025</c:v>
                </c:pt>
              </c:numCache>
            </c:numRef>
          </c:val>
          <c:extLst>
            <c:ext xmlns:c16="http://schemas.microsoft.com/office/drawing/2014/chart" uri="{C3380CC4-5D6E-409C-BE32-E72D297353CC}">
              <c16:uniqueId val="{00000000-73CD-4A37-B748-74D62484A047}"/>
            </c:ext>
          </c:extLst>
        </c:ser>
        <c:ser>
          <c:idx val="1"/>
          <c:order val="1"/>
          <c:tx>
            <c:strRef>
              <c:f>'[Makroanalýza grafy.xlsx]souhrnná výkonnost 1'!$D$4</c:f>
              <c:strCache>
                <c:ptCount val="1"/>
                <c:pt idx="0">
                  <c:v>EU28 meziroční změna</c:v>
                </c:pt>
              </c:strCache>
            </c:strRef>
          </c:tx>
          <c:spPr>
            <a:solidFill>
              <a:srgbClr val="808080"/>
            </a:solidFill>
            <a:ln>
              <a:noFill/>
            </a:ln>
          </c:spPr>
          <c:invertIfNegative val="0"/>
          <c:cat>
            <c:multiLvlStrRef>
              <c:f>'[Makroanalýza grafy.xlsx]souhrnná výkonnost 1'!$A$13:$B$36</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grafy.xlsx]souhrnná výkonnost 1'!$D$13:$D$36</c:f>
              <c:numCache>
                <c:formatCode>#\ ##0.0</c:formatCode>
                <c:ptCount val="24"/>
                <c:pt idx="0">
                  <c:v>1.8</c:v>
                </c:pt>
                <c:pt idx="1">
                  <c:v>1.6</c:v>
                </c:pt>
                <c:pt idx="2">
                  <c:v>1.7</c:v>
                </c:pt>
                <c:pt idx="3">
                  <c:v>1.9</c:v>
                </c:pt>
                <c:pt idx="4">
                  <c:v>2.1</c:v>
                </c:pt>
                <c:pt idx="5">
                  <c:v>2.2999999999999998</c:v>
                </c:pt>
                <c:pt idx="6">
                  <c:v>2.2999999999999998</c:v>
                </c:pt>
                <c:pt idx="7">
                  <c:v>2.2999999999999998</c:v>
                </c:pt>
                <c:pt idx="8">
                  <c:v>2.1</c:v>
                </c:pt>
                <c:pt idx="9">
                  <c:v>2</c:v>
                </c:pt>
                <c:pt idx="10">
                  <c:v>1.9</c:v>
                </c:pt>
                <c:pt idx="11">
                  <c:v>2.1</c:v>
                </c:pt>
                <c:pt idx="12">
                  <c:v>2.2999999999999998</c:v>
                </c:pt>
                <c:pt idx="13">
                  <c:v>2.6</c:v>
                </c:pt>
                <c:pt idx="14">
                  <c:v>2.9</c:v>
                </c:pt>
                <c:pt idx="15">
                  <c:v>2.8</c:v>
                </c:pt>
                <c:pt idx="16">
                  <c:v>2.5</c:v>
                </c:pt>
                <c:pt idx="17">
                  <c:v>2.2000000000000002</c:v>
                </c:pt>
                <c:pt idx="18">
                  <c:v>1.8</c:v>
                </c:pt>
                <c:pt idx="19">
                  <c:v>1.5</c:v>
                </c:pt>
                <c:pt idx="20">
                  <c:v>1.7</c:v>
                </c:pt>
                <c:pt idx="21">
                  <c:v>1.4</c:v>
                </c:pt>
                <c:pt idx="22">
                  <c:v>1.5</c:v>
                </c:pt>
                <c:pt idx="23" formatCode="General">
                  <c:v>1.2</c:v>
                </c:pt>
              </c:numCache>
            </c:numRef>
          </c:val>
          <c:extLst>
            <c:ext xmlns:c16="http://schemas.microsoft.com/office/drawing/2014/chart" uri="{C3380CC4-5D6E-409C-BE32-E72D297353CC}">
              <c16:uniqueId val="{00000001-73CD-4A37-B748-74D62484A047}"/>
            </c:ext>
          </c:extLst>
        </c:ser>
        <c:dLbls>
          <c:showLegendKey val="0"/>
          <c:showVal val="0"/>
          <c:showCatName val="0"/>
          <c:showSerName val="0"/>
          <c:showPercent val="0"/>
          <c:showBubbleSize val="0"/>
        </c:dLbls>
        <c:gapWidth val="100"/>
        <c:axId val="267753344"/>
        <c:axId val="267767808"/>
      </c:barChart>
      <c:lineChart>
        <c:grouping val="standard"/>
        <c:varyColors val="0"/>
        <c:ser>
          <c:idx val="2"/>
          <c:order val="2"/>
          <c:tx>
            <c:strRef>
              <c:f>'[Makroanalýza grafy.xlsx]souhrnná výkonnost 1'!$E$4</c:f>
              <c:strCache>
                <c:ptCount val="1"/>
                <c:pt idx="0">
                  <c:v>ČR mezičtvrtletní změna</c:v>
                </c:pt>
              </c:strCache>
            </c:strRef>
          </c:tx>
          <c:spPr>
            <a:ln w="19050">
              <a:noFill/>
            </a:ln>
          </c:spPr>
          <c:marker>
            <c:symbol val="dash"/>
            <c:size val="8"/>
            <c:spPr>
              <a:solidFill>
                <a:srgbClr val="0071BC"/>
              </a:solidFill>
              <a:ln>
                <a:noFill/>
              </a:ln>
            </c:spPr>
          </c:marker>
          <c:cat>
            <c:multiLvlStrRef>
              <c:f>'[Makroanalýza grafy.xlsx]souhrnná výkonnost 1'!$A$13:$B$36</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grafy.xlsx]souhrnná výkonnost 1'!$E$13:$E$36</c:f>
              <c:numCache>
                <c:formatCode>#\ ##0.0</c:formatCode>
                <c:ptCount val="24"/>
                <c:pt idx="0">
                  <c:v>-0.13593182138201598</c:v>
                </c:pt>
                <c:pt idx="1">
                  <c:v>0.93023660386803897</c:v>
                </c:pt>
                <c:pt idx="2">
                  <c:v>1.2827633226979032</c:v>
                </c:pt>
                <c:pt idx="3">
                  <c:v>1.3132218465657672</c:v>
                </c:pt>
                <c:pt idx="4">
                  <c:v>1.6044918247373232</c:v>
                </c:pt>
                <c:pt idx="5">
                  <c:v>1.4809609934735306</c:v>
                </c:pt>
                <c:pt idx="6">
                  <c:v>1.100605324096577</c:v>
                </c:pt>
                <c:pt idx="7">
                  <c:v>0.63131798439482623</c:v>
                </c:pt>
                <c:pt idx="8">
                  <c:v>0.28495459804372558</c:v>
                </c:pt>
                <c:pt idx="9">
                  <c:v>0.35217142431780246</c:v>
                </c:pt>
                <c:pt idx="10">
                  <c:v>0.46620881346103715</c:v>
                </c:pt>
                <c:pt idx="11">
                  <c:v>0.67603979520221458</c:v>
                </c:pt>
                <c:pt idx="12">
                  <c:v>1.4086957434134035</c:v>
                </c:pt>
                <c:pt idx="13">
                  <c:v>2.4435411317384563</c:v>
                </c:pt>
                <c:pt idx="14">
                  <c:v>0.49270833333332575</c:v>
                </c:pt>
                <c:pt idx="15">
                  <c:v>0.63604882673431007</c:v>
                </c:pt>
                <c:pt idx="16">
                  <c:v>0.49256592776798414</c:v>
                </c:pt>
                <c:pt idx="17">
                  <c:v>0.58894948263854019</c:v>
                </c:pt>
                <c:pt idx="18">
                  <c:v>0.63086071068421745</c:v>
                </c:pt>
                <c:pt idx="19">
                  <c:v>0.89228876676017421</c:v>
                </c:pt>
                <c:pt idx="20">
                  <c:v>0.6417082200326405</c:v>
                </c:pt>
                <c:pt idx="21" formatCode="General">
                  <c:v>0.4945804104272753</c:v>
                </c:pt>
                <c:pt idx="22" formatCode="General">
                  <c:v>0.42779383125697734</c:v>
                </c:pt>
                <c:pt idx="23" formatCode="General">
                  <c:v>0.4646962377140369</c:v>
                </c:pt>
              </c:numCache>
            </c:numRef>
          </c:val>
          <c:smooth val="0"/>
          <c:extLst>
            <c:ext xmlns:c16="http://schemas.microsoft.com/office/drawing/2014/chart" uri="{C3380CC4-5D6E-409C-BE32-E72D297353CC}">
              <c16:uniqueId val="{00000002-73CD-4A37-B748-74D62484A047}"/>
            </c:ext>
          </c:extLst>
        </c:ser>
        <c:ser>
          <c:idx val="3"/>
          <c:order val="3"/>
          <c:tx>
            <c:strRef>
              <c:f>'[Makroanalýza grafy.xlsx]souhrnná výkonnost 1'!$F$4</c:f>
              <c:strCache>
                <c:ptCount val="1"/>
                <c:pt idx="0">
                  <c:v>EU28 mezičtvrtletní změna</c:v>
                </c:pt>
              </c:strCache>
            </c:strRef>
          </c:tx>
          <c:spPr>
            <a:ln w="19050">
              <a:noFill/>
            </a:ln>
          </c:spPr>
          <c:marker>
            <c:symbol val="dash"/>
            <c:size val="8"/>
            <c:spPr>
              <a:solidFill>
                <a:srgbClr val="BD1B21"/>
              </a:solidFill>
              <a:ln>
                <a:noFill/>
              </a:ln>
            </c:spPr>
          </c:marker>
          <c:cat>
            <c:multiLvlStrRef>
              <c:f>'[Makroanalýza grafy.xlsx]souhrnná výkonnost 1'!$A$13:$B$36</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grafy.xlsx]souhrnná výkonnost 1'!$F$13:$F$36</c:f>
              <c:numCache>
                <c:formatCode>#\ ##0.0</c:formatCode>
                <c:ptCount val="24"/>
                <c:pt idx="0">
                  <c:v>0.5</c:v>
                </c:pt>
                <c:pt idx="1">
                  <c:v>0.3</c:v>
                </c:pt>
                <c:pt idx="2">
                  <c:v>0.5</c:v>
                </c:pt>
                <c:pt idx="3">
                  <c:v>0.5</c:v>
                </c:pt>
                <c:pt idx="4">
                  <c:v>0.8</c:v>
                </c:pt>
                <c:pt idx="5">
                  <c:v>0.5</c:v>
                </c:pt>
                <c:pt idx="6">
                  <c:v>0.5</c:v>
                </c:pt>
                <c:pt idx="7">
                  <c:v>0.5</c:v>
                </c:pt>
                <c:pt idx="8">
                  <c:v>0.5</c:v>
                </c:pt>
                <c:pt idx="9">
                  <c:v>0.4</c:v>
                </c:pt>
                <c:pt idx="10">
                  <c:v>0.4</c:v>
                </c:pt>
                <c:pt idx="11">
                  <c:v>0.8</c:v>
                </c:pt>
                <c:pt idx="12">
                  <c:v>0.7</c:v>
                </c:pt>
                <c:pt idx="13">
                  <c:v>0.7</c:v>
                </c:pt>
                <c:pt idx="14">
                  <c:v>0.7</c:v>
                </c:pt>
                <c:pt idx="15">
                  <c:v>0.7</c:v>
                </c:pt>
                <c:pt idx="16">
                  <c:v>0.3</c:v>
                </c:pt>
                <c:pt idx="17">
                  <c:v>0.5</c:v>
                </c:pt>
                <c:pt idx="18">
                  <c:v>0.3</c:v>
                </c:pt>
                <c:pt idx="19">
                  <c:v>0.4</c:v>
                </c:pt>
                <c:pt idx="20">
                  <c:v>0.5</c:v>
                </c:pt>
                <c:pt idx="21">
                  <c:v>0.2</c:v>
                </c:pt>
                <c:pt idx="22">
                  <c:v>0.4</c:v>
                </c:pt>
                <c:pt idx="23" formatCode="General">
                  <c:v>0.1</c:v>
                </c:pt>
              </c:numCache>
            </c:numRef>
          </c:val>
          <c:smooth val="0"/>
          <c:extLst>
            <c:ext xmlns:c16="http://schemas.microsoft.com/office/drawing/2014/chart" uri="{C3380CC4-5D6E-409C-BE32-E72D297353CC}">
              <c16:uniqueId val="{00000003-73CD-4A37-B748-74D62484A047}"/>
            </c:ext>
          </c:extLst>
        </c:ser>
        <c:dLbls>
          <c:showLegendKey val="0"/>
          <c:showVal val="0"/>
          <c:showCatName val="0"/>
          <c:showSerName val="0"/>
          <c:showPercent val="0"/>
          <c:showBubbleSize val="0"/>
        </c:dLbls>
        <c:marker val="1"/>
        <c:smooth val="0"/>
        <c:axId val="267753344"/>
        <c:axId val="267767808"/>
      </c:lineChart>
      <c:catAx>
        <c:axId val="26775334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67767808"/>
        <c:crosses val="autoZero"/>
        <c:auto val="1"/>
        <c:lblAlgn val="ctr"/>
        <c:lblOffset val="100"/>
        <c:noMultiLvlLbl val="0"/>
      </c:catAx>
      <c:valAx>
        <c:axId val="267767808"/>
        <c:scaling>
          <c:orientation val="minMax"/>
          <c:max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753344"/>
        <c:crosses val="autoZero"/>
        <c:crossBetween val="between"/>
      </c:valAx>
      <c:spPr>
        <a:ln>
          <a:solidFill>
            <a:schemeClr val="tx1"/>
          </a:solidFill>
        </a:ln>
      </c:spPr>
    </c:plotArea>
    <c:legend>
      <c:legendPos val="b"/>
      <c:layout>
        <c:manualLayout>
          <c:xMode val="edge"/>
          <c:yMode val="edge"/>
          <c:x val="5.8431906450523471E-2"/>
          <c:y val="0.89437255125717996"/>
          <c:w val="0.91838441404930771"/>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070373184734885E-2"/>
          <c:y val="2.9569886214146503E-2"/>
          <c:w val="0.90493308848362042"/>
          <c:h val="0.73556653157716956"/>
        </c:manualLayout>
      </c:layout>
      <c:barChart>
        <c:barDir val="col"/>
        <c:grouping val="clustered"/>
        <c:varyColors val="0"/>
        <c:ser>
          <c:idx val="0"/>
          <c:order val="0"/>
          <c:tx>
            <c:strRef>
              <c:f>'[Makroanalýza grafy.xlsx]Ceny 1'!$C$5</c:f>
              <c:strCache>
                <c:ptCount val="1"/>
                <c:pt idx="0">
                  <c:v>Realizované ceny starších bytů, ČR</c:v>
                </c:pt>
              </c:strCache>
            </c:strRef>
          </c:tx>
          <c:spPr>
            <a:solidFill>
              <a:schemeClr val="bg1">
                <a:lumMod val="65000"/>
              </a:schemeClr>
            </a:solidFill>
            <a:ln w="19050">
              <a:noFill/>
            </a:ln>
          </c:spPr>
          <c:invertIfNegative val="0"/>
          <c:cat>
            <c:multiLvlStrRef>
              <c:f>'[Makroanalýza grafy.xlsx]Ceny 1'!$A$14:$B$37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grafy.xlsx]Ceny 1'!$C$14:$C$37</c:f>
              <c:numCache>
                <c:formatCode>General</c:formatCode>
                <c:ptCount val="24"/>
                <c:pt idx="0">
                  <c:v>1.2000000000000028</c:v>
                </c:pt>
                <c:pt idx="1">
                  <c:v>2.5</c:v>
                </c:pt>
                <c:pt idx="2">
                  <c:v>4.5</c:v>
                </c:pt>
                <c:pt idx="3">
                  <c:v>5.7000000000000028</c:v>
                </c:pt>
                <c:pt idx="4">
                  <c:v>4.2999999999999972</c:v>
                </c:pt>
                <c:pt idx="5">
                  <c:v>4.9000000000000057</c:v>
                </c:pt>
                <c:pt idx="6">
                  <c:v>6</c:v>
                </c:pt>
                <c:pt idx="7">
                  <c:v>6.7999999999999972</c:v>
                </c:pt>
                <c:pt idx="8">
                  <c:v>8.9000000000000057</c:v>
                </c:pt>
                <c:pt idx="9">
                  <c:v>10.299999999999997</c:v>
                </c:pt>
                <c:pt idx="10">
                  <c:v>12.299999999999997</c:v>
                </c:pt>
                <c:pt idx="11">
                  <c:v>14.599999999999994</c:v>
                </c:pt>
                <c:pt idx="12">
                  <c:v>17.200000000000003</c:v>
                </c:pt>
                <c:pt idx="13">
                  <c:v>18.700000000000003</c:v>
                </c:pt>
                <c:pt idx="14">
                  <c:v>15.799999999999997</c:v>
                </c:pt>
                <c:pt idx="15">
                  <c:v>12</c:v>
                </c:pt>
                <c:pt idx="16">
                  <c:v>9.2000000000000028</c:v>
                </c:pt>
                <c:pt idx="17">
                  <c:v>8</c:v>
                </c:pt>
                <c:pt idx="18">
                  <c:v>9.4000000000000057</c:v>
                </c:pt>
                <c:pt idx="19">
                  <c:v>11.400000000000006</c:v>
                </c:pt>
                <c:pt idx="20">
                  <c:v>11.299999999999997</c:v>
                </c:pt>
                <c:pt idx="21">
                  <c:v>10.599999999999994</c:v>
                </c:pt>
                <c:pt idx="22">
                  <c:v>9.5</c:v>
                </c:pt>
                <c:pt idx="23">
                  <c:v>9.4000000000000057</c:v>
                </c:pt>
              </c:numCache>
            </c:numRef>
          </c:val>
          <c:extLst>
            <c:ext xmlns:c16="http://schemas.microsoft.com/office/drawing/2014/chart" uri="{C3380CC4-5D6E-409C-BE32-E72D297353CC}">
              <c16:uniqueId val="{00000000-F79A-4F05-B1F7-1FDF48C7249B}"/>
            </c:ext>
          </c:extLst>
        </c:ser>
        <c:ser>
          <c:idx val="1"/>
          <c:order val="1"/>
          <c:tx>
            <c:strRef>
              <c:f>'[Makroanalýza grafy.xlsx]Ceny 1'!$D$5</c:f>
              <c:strCache>
                <c:ptCount val="1"/>
                <c:pt idx="0">
                  <c:v>Realizované ceny starších bytů, Praha</c:v>
                </c:pt>
              </c:strCache>
            </c:strRef>
          </c:tx>
          <c:spPr>
            <a:solidFill>
              <a:prstClr val="black">
                <a:lumMod val="50000"/>
                <a:lumOff val="50000"/>
              </a:prstClr>
            </a:solidFill>
            <a:ln w="19050">
              <a:noFill/>
            </a:ln>
          </c:spPr>
          <c:invertIfNegative val="0"/>
          <c:cat>
            <c:multiLvlStrRef>
              <c:f>'[Makroanalýza grafy.xlsx]Ceny 1'!$A$14:$B$37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grafy.xlsx]Ceny 1'!$D$14:$D$37</c:f>
              <c:numCache>
                <c:formatCode>General</c:formatCode>
                <c:ptCount val="24"/>
                <c:pt idx="0">
                  <c:v>2</c:v>
                </c:pt>
                <c:pt idx="1">
                  <c:v>2.0999999999999943</c:v>
                </c:pt>
                <c:pt idx="2">
                  <c:v>3.2000000000000028</c:v>
                </c:pt>
                <c:pt idx="3">
                  <c:v>5.2000000000000028</c:v>
                </c:pt>
                <c:pt idx="4">
                  <c:v>5</c:v>
                </c:pt>
                <c:pt idx="5">
                  <c:v>5.9000000000000057</c:v>
                </c:pt>
                <c:pt idx="6">
                  <c:v>5.5999999999999943</c:v>
                </c:pt>
                <c:pt idx="7">
                  <c:v>4.5999999999999943</c:v>
                </c:pt>
                <c:pt idx="8">
                  <c:v>5.7999999999999972</c:v>
                </c:pt>
                <c:pt idx="9">
                  <c:v>7.5</c:v>
                </c:pt>
                <c:pt idx="10">
                  <c:v>9.4000000000000057</c:v>
                </c:pt>
                <c:pt idx="11">
                  <c:v>13.900000000000006</c:v>
                </c:pt>
                <c:pt idx="12">
                  <c:v>16.200000000000003</c:v>
                </c:pt>
                <c:pt idx="13">
                  <c:v>19</c:v>
                </c:pt>
                <c:pt idx="14">
                  <c:v>16.400000000000006</c:v>
                </c:pt>
                <c:pt idx="15">
                  <c:v>11.099999999999994</c:v>
                </c:pt>
                <c:pt idx="16">
                  <c:v>8.2999999999999972</c:v>
                </c:pt>
                <c:pt idx="17">
                  <c:v>4</c:v>
                </c:pt>
                <c:pt idx="18">
                  <c:v>6</c:v>
                </c:pt>
                <c:pt idx="19">
                  <c:v>8.7000000000000028</c:v>
                </c:pt>
                <c:pt idx="20">
                  <c:v>9.4000000000000057</c:v>
                </c:pt>
                <c:pt idx="21">
                  <c:v>8.7000000000000028</c:v>
                </c:pt>
                <c:pt idx="22">
                  <c:v>6.5</c:v>
                </c:pt>
                <c:pt idx="23">
                  <c:v>7.2000000000000028</c:v>
                </c:pt>
              </c:numCache>
            </c:numRef>
          </c:val>
          <c:extLst>
            <c:ext xmlns:c16="http://schemas.microsoft.com/office/drawing/2014/chart" uri="{C3380CC4-5D6E-409C-BE32-E72D297353CC}">
              <c16:uniqueId val="{00000001-F79A-4F05-B1F7-1FDF48C7249B}"/>
            </c:ext>
          </c:extLst>
        </c:ser>
        <c:dLbls>
          <c:showLegendKey val="0"/>
          <c:showVal val="0"/>
          <c:showCatName val="0"/>
          <c:showSerName val="0"/>
          <c:showPercent val="0"/>
          <c:showBubbleSize val="0"/>
        </c:dLbls>
        <c:gapWidth val="95"/>
        <c:axId val="270057856"/>
        <c:axId val="270059392"/>
      </c:barChart>
      <c:lineChart>
        <c:grouping val="standard"/>
        <c:varyColors val="0"/>
        <c:ser>
          <c:idx val="2"/>
          <c:order val="2"/>
          <c:tx>
            <c:strRef>
              <c:f>'[Makroanalýza grafy.xlsx]Ceny 1'!$E$5</c:f>
              <c:strCache>
                <c:ptCount val="1"/>
                <c:pt idx="0">
                  <c:v>Nabídkové ceny bytů, ČR</c:v>
                </c:pt>
              </c:strCache>
            </c:strRef>
          </c:tx>
          <c:spPr>
            <a:ln w="19050">
              <a:solidFill>
                <a:schemeClr val="accent2"/>
              </a:solidFill>
            </a:ln>
          </c:spPr>
          <c:marker>
            <c:symbol val="none"/>
          </c:marker>
          <c:cat>
            <c:multiLvlStrRef>
              <c:f>'[Makroanalýza grafy.xlsx]Ceny 1'!$A$14:$B$37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grafy.xlsx]Ceny 1'!$E$14:$E$37</c:f>
              <c:numCache>
                <c:formatCode>0.0</c:formatCode>
                <c:ptCount val="24"/>
                <c:pt idx="0">
                  <c:v>3.0082987551867131</c:v>
                </c:pt>
                <c:pt idx="1">
                  <c:v>4.1407867494824018</c:v>
                </c:pt>
                <c:pt idx="2">
                  <c:v>4.6201232032854209</c:v>
                </c:pt>
                <c:pt idx="3">
                  <c:v>2.7411167512690384</c:v>
                </c:pt>
                <c:pt idx="4">
                  <c:v>3.6253776435045406</c:v>
                </c:pt>
                <c:pt idx="5">
                  <c:v>4.9701789264413518</c:v>
                </c:pt>
                <c:pt idx="6">
                  <c:v>6.0843964671246207</c:v>
                </c:pt>
                <c:pt idx="7">
                  <c:v>9.5849802371541539</c:v>
                </c:pt>
                <c:pt idx="8">
                  <c:v>10.204081632653059</c:v>
                </c:pt>
                <c:pt idx="9">
                  <c:v>10.321969696969703</c:v>
                </c:pt>
                <c:pt idx="10">
                  <c:v>9.8982423681776162</c:v>
                </c:pt>
                <c:pt idx="11">
                  <c:v>9.9188458070333638</c:v>
                </c:pt>
                <c:pt idx="12">
                  <c:v>9.5238095238095202</c:v>
                </c:pt>
                <c:pt idx="13" formatCode="General">
                  <c:v>9.5278969957081507</c:v>
                </c:pt>
                <c:pt idx="14" formatCode="General">
                  <c:v>12.542087542087534</c:v>
                </c:pt>
                <c:pt idx="15" formatCode="General">
                  <c:v>12.469237079573411</c:v>
                </c:pt>
                <c:pt idx="16" formatCode="General">
                  <c:v>12.801932367149751</c:v>
                </c:pt>
                <c:pt idx="17" formatCode="General">
                  <c:v>12.2257053291536</c:v>
                </c:pt>
                <c:pt idx="18" formatCode="General">
                  <c:v>9.4988780852655328</c:v>
                </c:pt>
                <c:pt idx="19" formatCode="General">
                  <c:v>8.4609773887673203</c:v>
                </c:pt>
                <c:pt idx="20" formatCode="General">
                  <c:v>7.4232690935046435</c:v>
                </c:pt>
                <c:pt idx="21" formatCode="General">
                  <c:v>5.7262569832402361</c:v>
                </c:pt>
                <c:pt idx="22" formatCode="General">
                  <c:v>5.1912568306010893</c:v>
                </c:pt>
                <c:pt idx="23" formatCode="General">
                  <c:v>5.5144586415601999</c:v>
                </c:pt>
              </c:numCache>
            </c:numRef>
          </c:val>
          <c:smooth val="0"/>
          <c:extLst>
            <c:ext xmlns:c16="http://schemas.microsoft.com/office/drawing/2014/chart" uri="{C3380CC4-5D6E-409C-BE32-E72D297353CC}">
              <c16:uniqueId val="{00000002-F79A-4F05-B1F7-1FDF48C7249B}"/>
            </c:ext>
          </c:extLst>
        </c:ser>
        <c:ser>
          <c:idx val="3"/>
          <c:order val="3"/>
          <c:tx>
            <c:strRef>
              <c:f>'[Makroanalýza grafy.xlsx]Ceny 1'!$F$5</c:f>
              <c:strCache>
                <c:ptCount val="1"/>
                <c:pt idx="0">
                  <c:v>Nabídkové ceny bytů, Praha</c:v>
                </c:pt>
              </c:strCache>
            </c:strRef>
          </c:tx>
          <c:spPr>
            <a:ln>
              <a:solidFill>
                <a:schemeClr val="accent1"/>
              </a:solidFill>
            </a:ln>
          </c:spPr>
          <c:marker>
            <c:symbol val="none"/>
          </c:marker>
          <c:cat>
            <c:multiLvlStrRef>
              <c:f>'[Makroanalýza grafy.xlsx]Ceny 1'!$A$14:$B$37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grafy.xlsx]Ceny 1'!$F$14:$F$37</c:f>
              <c:numCache>
                <c:formatCode>0.0</c:formatCode>
                <c:ptCount val="24"/>
                <c:pt idx="0">
                  <c:v>3.8310412573673931</c:v>
                </c:pt>
                <c:pt idx="1">
                  <c:v>5.2785923753665749</c:v>
                </c:pt>
                <c:pt idx="2">
                  <c:v>6.6731141199226212</c:v>
                </c:pt>
                <c:pt idx="3">
                  <c:v>5.1428571428571486</c:v>
                </c:pt>
                <c:pt idx="4">
                  <c:v>5.7710501419110631</c:v>
                </c:pt>
                <c:pt idx="5">
                  <c:v>6.4995357474466111</c:v>
                </c:pt>
                <c:pt idx="6">
                  <c:v>6.7089755213055353</c:v>
                </c:pt>
                <c:pt idx="7">
                  <c:v>8.7862318840579601</c:v>
                </c:pt>
                <c:pt idx="8">
                  <c:v>10.196779964221831</c:v>
                </c:pt>
                <c:pt idx="9">
                  <c:v>10.549258936355706</c:v>
                </c:pt>
                <c:pt idx="10">
                  <c:v>9.7706032285471416</c:v>
                </c:pt>
                <c:pt idx="11">
                  <c:v>11.323896752706073</c:v>
                </c:pt>
                <c:pt idx="12">
                  <c:v>13.636363636363633</c:v>
                </c:pt>
                <c:pt idx="13" formatCode="General">
                  <c:v>14.589905362776037</c:v>
                </c:pt>
                <c:pt idx="14" formatCode="General">
                  <c:v>18.266253869969059</c:v>
                </c:pt>
                <c:pt idx="15" formatCode="General">
                  <c:v>18.773373223635023</c:v>
                </c:pt>
                <c:pt idx="16" formatCode="General">
                  <c:v>15.071428571428566</c:v>
                </c:pt>
                <c:pt idx="17" formatCode="General">
                  <c:v>14.246386785960075</c:v>
                </c:pt>
                <c:pt idx="18" formatCode="General">
                  <c:v>10.732984293193702</c:v>
                </c:pt>
                <c:pt idx="19" formatCode="General">
                  <c:v>8.7531486146095574</c:v>
                </c:pt>
                <c:pt idx="20" formatCode="General">
                  <c:v>8.3178150217256395</c:v>
                </c:pt>
                <c:pt idx="21" formatCode="General">
                  <c:v>4.9397590361445713</c:v>
                </c:pt>
                <c:pt idx="22" formatCode="General">
                  <c:v>3.3096926713948127</c:v>
                </c:pt>
                <c:pt idx="23" formatCode="General">
                  <c:v>2.9530978575564695</c:v>
                </c:pt>
              </c:numCache>
            </c:numRef>
          </c:val>
          <c:smooth val="0"/>
          <c:extLst>
            <c:ext xmlns:c16="http://schemas.microsoft.com/office/drawing/2014/chart" uri="{C3380CC4-5D6E-409C-BE32-E72D297353CC}">
              <c16:uniqueId val="{00000003-F79A-4F05-B1F7-1FDF48C7249B}"/>
            </c:ext>
          </c:extLst>
        </c:ser>
        <c:dLbls>
          <c:showLegendKey val="0"/>
          <c:showVal val="0"/>
          <c:showCatName val="0"/>
          <c:showSerName val="0"/>
          <c:showPercent val="0"/>
          <c:showBubbleSize val="0"/>
        </c:dLbls>
        <c:marker val="1"/>
        <c:smooth val="0"/>
        <c:axId val="270057856"/>
        <c:axId val="270059392"/>
      </c:lineChart>
      <c:catAx>
        <c:axId val="27005785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70059392"/>
        <c:crosses val="autoZero"/>
        <c:auto val="1"/>
        <c:lblAlgn val="ctr"/>
        <c:lblOffset val="100"/>
        <c:noMultiLvlLbl val="0"/>
      </c:catAx>
      <c:valAx>
        <c:axId val="270059392"/>
        <c:scaling>
          <c:orientation val="minMax"/>
          <c:min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0057856"/>
        <c:crosses val="autoZero"/>
        <c:crossBetween val="between"/>
        <c:majorUnit val="2"/>
      </c:valAx>
      <c:spPr>
        <a:ln>
          <a:solidFill>
            <a:schemeClr val="tx1"/>
          </a:solidFill>
        </a:ln>
      </c:spPr>
    </c:plotArea>
    <c:legend>
      <c:legendPos val="b"/>
      <c:layout>
        <c:manualLayout>
          <c:xMode val="edge"/>
          <c:yMode val="edge"/>
          <c:x val="7.3334810874704504E-2"/>
          <c:y val="0.88817854328492629"/>
          <c:w val="0.89999282337048292"/>
          <c:h val="9.838061465721031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510469436001351E-2"/>
          <c:y val="2.181131592422042E-2"/>
          <c:w val="0.90860161263086792"/>
          <c:h val="0.71663233141956562"/>
        </c:manualLayout>
      </c:layout>
      <c:barChart>
        <c:barDir val="col"/>
        <c:grouping val="clustered"/>
        <c:varyColors val="0"/>
        <c:ser>
          <c:idx val="0"/>
          <c:order val="0"/>
          <c:tx>
            <c:strRef>
              <c:f>'Ceny 4'!$C$5</c:f>
              <c:strCache>
                <c:ptCount val="1"/>
                <c:pt idx="0">
                  <c:v>Celkem</c:v>
                </c:pt>
              </c:strCache>
            </c:strRef>
          </c:tx>
          <c:spPr>
            <a:solidFill>
              <a:schemeClr val="bg1">
                <a:lumMod val="65000"/>
              </a:schemeClr>
            </a:solidFill>
            <a:ln w="19050">
              <a:noFill/>
            </a:ln>
          </c:spPr>
          <c:invertIfNegative val="0"/>
          <c:cat>
            <c:multiLvlStrRef>
              <c:f>'Ceny 4'!$A$18:$B$89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2014</c:v>
                  </c:pt>
                  <c:pt idx="12">
                    <c:v>2015</c:v>
                  </c:pt>
                  <c:pt idx="24">
                    <c:v>2016</c:v>
                  </c:pt>
                  <c:pt idx="36">
                    <c:v>2017</c:v>
                  </c:pt>
                  <c:pt idx="48">
                    <c:v>2018</c:v>
                  </c:pt>
                  <c:pt idx="60">
                    <c:v>2019</c:v>
                  </c:pt>
                </c:lvl>
              </c:multiLvlStrCache>
            </c:multiLvlStrRef>
          </c:cat>
          <c:val>
            <c:numRef>
              <c:f>'Ceny 4'!$C$18:$C$89</c:f>
              <c:numCache>
                <c:formatCode>0.0</c:formatCode>
                <c:ptCount val="72"/>
                <c:pt idx="0">
                  <c:v>-0.70000000000000284</c:v>
                </c:pt>
                <c:pt idx="1">
                  <c:v>-0.70000000000000284</c:v>
                </c:pt>
                <c:pt idx="2">
                  <c:v>-0.79999999999999716</c:v>
                </c:pt>
                <c:pt idx="3">
                  <c:v>-0.29999999999999716</c:v>
                </c:pt>
                <c:pt idx="4">
                  <c:v>-9.9999999999994316E-2</c:v>
                </c:pt>
                <c:pt idx="5">
                  <c:v>-0.20000000000000284</c:v>
                </c:pt>
                <c:pt idx="6">
                  <c:v>-9.9999999999994316E-2</c:v>
                </c:pt>
                <c:pt idx="7">
                  <c:v>0</c:v>
                </c:pt>
                <c:pt idx="8">
                  <c:v>-0.29999999999999716</c:v>
                </c:pt>
                <c:pt idx="9">
                  <c:v>-0.29999999999999716</c:v>
                </c:pt>
                <c:pt idx="10">
                  <c:v>-1.7000000000000028</c:v>
                </c:pt>
                <c:pt idx="11">
                  <c:v>-3.7000000000000028</c:v>
                </c:pt>
                <c:pt idx="12">
                  <c:v>-3.5</c:v>
                </c:pt>
                <c:pt idx="13">
                  <c:v>-3.5999999999999943</c:v>
                </c:pt>
                <c:pt idx="14">
                  <c:v>-2.9000000000000057</c:v>
                </c:pt>
                <c:pt idx="15">
                  <c:v>-2.5999999999999943</c:v>
                </c:pt>
                <c:pt idx="16">
                  <c:v>-2.0999999999999943</c:v>
                </c:pt>
                <c:pt idx="17">
                  <c:v>-2.2999999999999972</c:v>
                </c:pt>
                <c:pt idx="18">
                  <c:v>-3</c:v>
                </c:pt>
                <c:pt idx="19">
                  <c:v>-3.7000000000000028</c:v>
                </c:pt>
                <c:pt idx="20">
                  <c:v>-4.2000000000000028</c:v>
                </c:pt>
                <c:pt idx="21">
                  <c:v>-3.9000000000000057</c:v>
                </c:pt>
                <c:pt idx="22">
                  <c:v>-3.7000000000000028</c:v>
                </c:pt>
                <c:pt idx="23">
                  <c:v>-2.9000000000000057</c:v>
                </c:pt>
                <c:pt idx="24">
                  <c:v>-3.4000000000000057</c:v>
                </c:pt>
                <c:pt idx="25">
                  <c:v>-4</c:v>
                </c:pt>
                <c:pt idx="26">
                  <c:v>-4.5</c:v>
                </c:pt>
                <c:pt idx="27">
                  <c:v>-4.7000000000000028</c:v>
                </c:pt>
                <c:pt idx="28">
                  <c:v>-4.7999999999999972</c:v>
                </c:pt>
                <c:pt idx="29">
                  <c:v>-4.4000000000000057</c:v>
                </c:pt>
                <c:pt idx="30">
                  <c:v>-4</c:v>
                </c:pt>
                <c:pt idx="31">
                  <c:v>-3.4000000000000057</c:v>
                </c:pt>
                <c:pt idx="32">
                  <c:v>-2.4000000000000057</c:v>
                </c:pt>
                <c:pt idx="33">
                  <c:v>-1.7000000000000028</c:v>
                </c:pt>
                <c:pt idx="34">
                  <c:v>-1.2999999999999972</c:v>
                </c:pt>
                <c:pt idx="35">
                  <c:v>-0.40000000000000568</c:v>
                </c:pt>
                <c:pt idx="36" formatCode="General">
                  <c:v>2.0999999999999943</c:v>
                </c:pt>
                <c:pt idx="37" formatCode="General">
                  <c:v>3.0999999999999943</c:v>
                </c:pt>
                <c:pt idx="38">
                  <c:v>3</c:v>
                </c:pt>
                <c:pt idx="39">
                  <c:v>3.2000000000000028</c:v>
                </c:pt>
                <c:pt idx="40" formatCode="General">
                  <c:v>2.2999999999999972</c:v>
                </c:pt>
                <c:pt idx="41" formatCode="General">
                  <c:v>1.2999999999999972</c:v>
                </c:pt>
                <c:pt idx="42" formatCode="General">
                  <c:v>1.1000000000000001</c:v>
                </c:pt>
                <c:pt idx="43" formatCode="General">
                  <c:v>1.4</c:v>
                </c:pt>
                <c:pt idx="44" formatCode="General">
                  <c:v>1.7</c:v>
                </c:pt>
                <c:pt idx="45" formatCode="General">
                  <c:v>1.1000000000000001</c:v>
                </c:pt>
                <c:pt idx="46" formatCode="General">
                  <c:v>0.9</c:v>
                </c:pt>
                <c:pt idx="47" formatCode="General">
                  <c:v>0.7</c:v>
                </c:pt>
                <c:pt idx="48" formatCode="General">
                  <c:v>0.5</c:v>
                </c:pt>
                <c:pt idx="49" formatCode="General">
                  <c:v>-0.3</c:v>
                </c:pt>
                <c:pt idx="50" formatCode="General">
                  <c:v>0.1</c:v>
                </c:pt>
                <c:pt idx="51" formatCode="General">
                  <c:v>0</c:v>
                </c:pt>
                <c:pt idx="52" formatCode="General">
                  <c:v>1.5</c:v>
                </c:pt>
                <c:pt idx="53" formatCode="General">
                  <c:v>2.9</c:v>
                </c:pt>
                <c:pt idx="54" formatCode="General">
                  <c:v>3.4</c:v>
                </c:pt>
                <c:pt idx="55" formatCode="General">
                  <c:v>3.3</c:v>
                </c:pt>
                <c:pt idx="56" formatCode="General">
                  <c:v>3.2</c:v>
                </c:pt>
                <c:pt idx="57" formatCode="General">
                  <c:v>3.9</c:v>
                </c:pt>
                <c:pt idx="58" formatCode="General">
                  <c:v>3.9</c:v>
                </c:pt>
                <c:pt idx="59" formatCode="General">
                  <c:v>2.4</c:v>
                </c:pt>
                <c:pt idx="60" formatCode="General">
                  <c:v>2.9</c:v>
                </c:pt>
                <c:pt idx="61" formatCode="General">
                  <c:v>3.6</c:v>
                </c:pt>
                <c:pt idx="62" formatCode="General">
                  <c:v>3.8</c:v>
                </c:pt>
                <c:pt idx="63" formatCode="General">
                  <c:v>4.3</c:v>
                </c:pt>
                <c:pt idx="64" formatCode="General">
                  <c:v>3.8</c:v>
                </c:pt>
                <c:pt idx="65" formatCode="General">
                  <c:v>2.5</c:v>
                </c:pt>
                <c:pt idx="66" formatCode="General">
                  <c:v>2.1</c:v>
                </c:pt>
                <c:pt idx="67" formatCode="General">
                  <c:v>2.1</c:v>
                </c:pt>
                <c:pt idx="68" formatCode="General">
                  <c:v>1.9</c:v>
                </c:pt>
                <c:pt idx="69" formatCode="General">
                  <c:v>0.9</c:v>
                </c:pt>
                <c:pt idx="70" formatCode="General">
                  <c:v>0.9</c:v>
                </c:pt>
                <c:pt idx="71" formatCode="General">
                  <c:v>2.1</c:v>
                </c:pt>
              </c:numCache>
            </c:numRef>
          </c:val>
          <c:extLst>
            <c:ext xmlns:c16="http://schemas.microsoft.com/office/drawing/2014/chart" uri="{C3380CC4-5D6E-409C-BE32-E72D297353CC}">
              <c16:uniqueId val="{00000000-78B1-4C4B-A0D9-7B249D2424D5}"/>
            </c:ext>
          </c:extLst>
        </c:ser>
        <c:dLbls>
          <c:showLegendKey val="0"/>
          <c:showVal val="0"/>
          <c:showCatName val="0"/>
          <c:showSerName val="0"/>
          <c:showPercent val="0"/>
          <c:showBubbleSize val="0"/>
        </c:dLbls>
        <c:gapWidth val="96"/>
        <c:axId val="271374208"/>
        <c:axId val="271375744"/>
      </c:barChart>
      <c:lineChart>
        <c:grouping val="standard"/>
        <c:varyColors val="0"/>
        <c:ser>
          <c:idx val="1"/>
          <c:order val="1"/>
          <c:tx>
            <c:strRef>
              <c:f>'Ceny 4'!$D$5</c:f>
              <c:strCache>
                <c:ptCount val="1"/>
                <c:pt idx="0">
                  <c:v>Těžba a dobývání</c:v>
                </c:pt>
              </c:strCache>
            </c:strRef>
          </c:tx>
          <c:spPr>
            <a:ln w="19050">
              <a:solidFill>
                <a:srgbClr val="7DBB2D"/>
              </a:solidFill>
            </a:ln>
          </c:spPr>
          <c:marker>
            <c:symbol val="none"/>
          </c:marker>
          <c:cat>
            <c:multiLvlStrRef>
              <c:f>'Ceny 4'!$A$18:$B$89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2014</c:v>
                  </c:pt>
                  <c:pt idx="12">
                    <c:v>2015</c:v>
                  </c:pt>
                  <c:pt idx="24">
                    <c:v>2016</c:v>
                  </c:pt>
                  <c:pt idx="36">
                    <c:v>2017</c:v>
                  </c:pt>
                  <c:pt idx="48">
                    <c:v>2018</c:v>
                  </c:pt>
                  <c:pt idx="60">
                    <c:v>2019</c:v>
                  </c:pt>
                </c:lvl>
              </c:multiLvlStrCache>
            </c:multiLvlStrRef>
          </c:cat>
          <c:val>
            <c:numRef>
              <c:f>'Ceny 4'!$D$18:$D$89</c:f>
              <c:numCache>
                <c:formatCode>0.0</c:formatCode>
                <c:ptCount val="72"/>
                <c:pt idx="0">
                  <c:v>-3</c:v>
                </c:pt>
                <c:pt idx="1">
                  <c:v>-3.0999999999999943</c:v>
                </c:pt>
                <c:pt idx="2">
                  <c:v>-4</c:v>
                </c:pt>
                <c:pt idx="3">
                  <c:v>-4.0999999999999943</c:v>
                </c:pt>
                <c:pt idx="4">
                  <c:v>-4.5999999999999943</c:v>
                </c:pt>
                <c:pt idx="5">
                  <c:v>-4.7999999999999972</c:v>
                </c:pt>
                <c:pt idx="6">
                  <c:v>-3</c:v>
                </c:pt>
                <c:pt idx="7">
                  <c:v>-3.5999999999999943</c:v>
                </c:pt>
                <c:pt idx="8">
                  <c:v>-1.9000000000000057</c:v>
                </c:pt>
                <c:pt idx="9">
                  <c:v>-2.0999999999999943</c:v>
                </c:pt>
                <c:pt idx="10">
                  <c:v>-2.2999999999999972</c:v>
                </c:pt>
                <c:pt idx="11">
                  <c:v>-2.7999999999999972</c:v>
                </c:pt>
                <c:pt idx="12">
                  <c:v>-0.90000000000000568</c:v>
                </c:pt>
                <c:pt idx="13">
                  <c:v>-1.5</c:v>
                </c:pt>
                <c:pt idx="14">
                  <c:v>-0.90000000000000568</c:v>
                </c:pt>
                <c:pt idx="15">
                  <c:v>-0.90000000000000568</c:v>
                </c:pt>
                <c:pt idx="16">
                  <c:v>0.29999999999999716</c:v>
                </c:pt>
                <c:pt idx="17">
                  <c:v>0.59999999999999432</c:v>
                </c:pt>
                <c:pt idx="18">
                  <c:v>0.40000000000000568</c:v>
                </c:pt>
                <c:pt idx="19">
                  <c:v>-0.29999999999999716</c:v>
                </c:pt>
                <c:pt idx="20">
                  <c:v>-1.7000000000000028</c:v>
                </c:pt>
                <c:pt idx="21">
                  <c:v>-1.4000000000000057</c:v>
                </c:pt>
                <c:pt idx="22">
                  <c:v>-0.59999999999999432</c:v>
                </c:pt>
                <c:pt idx="23">
                  <c:v>-0.5</c:v>
                </c:pt>
                <c:pt idx="24">
                  <c:v>-6.5999999999999943</c:v>
                </c:pt>
                <c:pt idx="25">
                  <c:v>-6.0999999999999943</c:v>
                </c:pt>
                <c:pt idx="26">
                  <c:v>-6.5</c:v>
                </c:pt>
                <c:pt idx="27">
                  <c:v>-7</c:v>
                </c:pt>
                <c:pt idx="28">
                  <c:v>-7.0999999999999943</c:v>
                </c:pt>
                <c:pt idx="29">
                  <c:v>-7.2999999999999972</c:v>
                </c:pt>
                <c:pt idx="30">
                  <c:v>-6.5999999999999943</c:v>
                </c:pt>
                <c:pt idx="31">
                  <c:v>-6</c:v>
                </c:pt>
                <c:pt idx="32">
                  <c:v>-4.9000000000000057</c:v>
                </c:pt>
                <c:pt idx="33">
                  <c:v>-5.2000000000000028</c:v>
                </c:pt>
                <c:pt idx="34">
                  <c:v>-5.2999999999999972</c:v>
                </c:pt>
                <c:pt idx="35">
                  <c:v>-5.0999999999999943</c:v>
                </c:pt>
                <c:pt idx="36" formatCode="General">
                  <c:v>2.2999999999999972</c:v>
                </c:pt>
                <c:pt idx="37" formatCode="General">
                  <c:v>5.7999999999999972</c:v>
                </c:pt>
                <c:pt idx="38">
                  <c:v>6.2000000000000028</c:v>
                </c:pt>
                <c:pt idx="39">
                  <c:v>6.4000000000000057</c:v>
                </c:pt>
                <c:pt idx="40" formatCode="General">
                  <c:v>4.2999999999999972</c:v>
                </c:pt>
                <c:pt idx="41" formatCode="General">
                  <c:v>4.0999999999999943</c:v>
                </c:pt>
                <c:pt idx="42" formatCode="General">
                  <c:v>2.9</c:v>
                </c:pt>
                <c:pt idx="43" formatCode="General">
                  <c:v>1.7</c:v>
                </c:pt>
                <c:pt idx="44" formatCode="General">
                  <c:v>1.9</c:v>
                </c:pt>
                <c:pt idx="45" formatCode="General">
                  <c:v>3.4</c:v>
                </c:pt>
                <c:pt idx="46" formatCode="General">
                  <c:v>3.3</c:v>
                </c:pt>
                <c:pt idx="47" formatCode="General">
                  <c:v>3.6</c:v>
                </c:pt>
                <c:pt idx="48" formatCode="General">
                  <c:v>6.7</c:v>
                </c:pt>
                <c:pt idx="49" formatCode="General">
                  <c:v>5</c:v>
                </c:pt>
                <c:pt idx="50" formatCode="General">
                  <c:v>4.3</c:v>
                </c:pt>
                <c:pt idx="51" formatCode="General">
                  <c:v>4.5999999999999996</c:v>
                </c:pt>
                <c:pt idx="52" formatCode="General">
                  <c:v>7.4</c:v>
                </c:pt>
                <c:pt idx="53" formatCode="General">
                  <c:v>8</c:v>
                </c:pt>
                <c:pt idx="54" formatCode="General">
                  <c:v>8.4</c:v>
                </c:pt>
                <c:pt idx="55" formatCode="General">
                  <c:v>10.1</c:v>
                </c:pt>
                <c:pt idx="56" formatCode="General">
                  <c:v>9.9</c:v>
                </c:pt>
                <c:pt idx="57" formatCode="General">
                  <c:v>9</c:v>
                </c:pt>
                <c:pt idx="58" formatCode="General">
                  <c:v>9.1999999999999993</c:v>
                </c:pt>
                <c:pt idx="59" formatCode="General">
                  <c:v>8.3000000000000007</c:v>
                </c:pt>
                <c:pt idx="60" formatCode="General">
                  <c:v>7.9</c:v>
                </c:pt>
                <c:pt idx="61" formatCode="General">
                  <c:v>7.4</c:v>
                </c:pt>
                <c:pt idx="62" formatCode="General">
                  <c:v>8</c:v>
                </c:pt>
                <c:pt idx="63" formatCode="General">
                  <c:v>8.4</c:v>
                </c:pt>
                <c:pt idx="64" formatCode="General">
                  <c:v>7.5</c:v>
                </c:pt>
                <c:pt idx="65" formatCode="General">
                  <c:v>7.1</c:v>
                </c:pt>
                <c:pt idx="66" formatCode="General">
                  <c:v>6.9</c:v>
                </c:pt>
                <c:pt idx="67" formatCode="General">
                  <c:v>6.8</c:v>
                </c:pt>
                <c:pt idx="68" formatCode="General">
                  <c:v>6.6</c:v>
                </c:pt>
                <c:pt idx="69" formatCode="General">
                  <c:v>3.6</c:v>
                </c:pt>
                <c:pt idx="70" formatCode="General">
                  <c:v>3.2</c:v>
                </c:pt>
                <c:pt idx="71" formatCode="General">
                  <c:v>4.3</c:v>
                </c:pt>
              </c:numCache>
            </c:numRef>
          </c:val>
          <c:smooth val="0"/>
          <c:extLst>
            <c:ext xmlns:c16="http://schemas.microsoft.com/office/drawing/2014/chart" uri="{C3380CC4-5D6E-409C-BE32-E72D297353CC}">
              <c16:uniqueId val="{00000001-78B1-4C4B-A0D9-7B249D2424D5}"/>
            </c:ext>
          </c:extLst>
        </c:ser>
        <c:ser>
          <c:idx val="2"/>
          <c:order val="2"/>
          <c:tx>
            <c:strRef>
              <c:f>'Ceny 4'!$E$5</c:f>
              <c:strCache>
                <c:ptCount val="1"/>
                <c:pt idx="0">
                  <c:v>Zpracovatelský průmysl</c:v>
                </c:pt>
              </c:strCache>
            </c:strRef>
          </c:tx>
          <c:spPr>
            <a:ln w="19050">
              <a:solidFill>
                <a:srgbClr val="BD1B21"/>
              </a:solidFill>
            </a:ln>
          </c:spPr>
          <c:marker>
            <c:symbol val="none"/>
          </c:marker>
          <c:cat>
            <c:multiLvlStrRef>
              <c:f>'Ceny 4'!$A$18:$B$89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2014</c:v>
                  </c:pt>
                  <c:pt idx="12">
                    <c:v>2015</c:v>
                  </c:pt>
                  <c:pt idx="24">
                    <c:v>2016</c:v>
                  </c:pt>
                  <c:pt idx="36">
                    <c:v>2017</c:v>
                  </c:pt>
                  <c:pt idx="48">
                    <c:v>2018</c:v>
                  </c:pt>
                  <c:pt idx="60">
                    <c:v>2019</c:v>
                  </c:pt>
                </c:lvl>
              </c:multiLvlStrCache>
            </c:multiLvlStrRef>
          </c:cat>
          <c:val>
            <c:numRef>
              <c:f>'Ceny 4'!$E$18:$E$89</c:f>
              <c:numCache>
                <c:formatCode>0.0</c:formatCode>
                <c:ptCount val="72"/>
                <c:pt idx="0">
                  <c:v>1.0999999999999943</c:v>
                </c:pt>
                <c:pt idx="1">
                  <c:v>1.2000000000000028</c:v>
                </c:pt>
                <c:pt idx="2">
                  <c:v>1</c:v>
                </c:pt>
                <c:pt idx="3">
                  <c:v>1.5999999999999943</c:v>
                </c:pt>
                <c:pt idx="4">
                  <c:v>1.9000000000000057</c:v>
                </c:pt>
                <c:pt idx="5">
                  <c:v>1.9000000000000057</c:v>
                </c:pt>
                <c:pt idx="6">
                  <c:v>1.7999999999999972</c:v>
                </c:pt>
                <c:pt idx="7">
                  <c:v>2.0999999999999943</c:v>
                </c:pt>
                <c:pt idx="8">
                  <c:v>1.5</c:v>
                </c:pt>
                <c:pt idx="9">
                  <c:v>1.5</c:v>
                </c:pt>
                <c:pt idx="10">
                  <c:v>-9.9999999999994316E-2</c:v>
                </c:pt>
                <c:pt idx="11">
                  <c:v>-2.7999999999999972</c:v>
                </c:pt>
                <c:pt idx="12">
                  <c:v>-4.2999999999999972</c:v>
                </c:pt>
                <c:pt idx="13">
                  <c:v>-4.4000000000000057</c:v>
                </c:pt>
                <c:pt idx="14">
                  <c:v>-3.5</c:v>
                </c:pt>
                <c:pt idx="15">
                  <c:v>-3.0999999999999943</c:v>
                </c:pt>
                <c:pt idx="16">
                  <c:v>-2.7000000000000028</c:v>
                </c:pt>
                <c:pt idx="17">
                  <c:v>-2.7999999999999972</c:v>
                </c:pt>
                <c:pt idx="18">
                  <c:v>-3.5999999999999943</c:v>
                </c:pt>
                <c:pt idx="19">
                  <c:v>-4.7000000000000028</c:v>
                </c:pt>
                <c:pt idx="20">
                  <c:v>-5.2000000000000028</c:v>
                </c:pt>
                <c:pt idx="21">
                  <c:v>-4.9000000000000057</c:v>
                </c:pt>
                <c:pt idx="22">
                  <c:v>-4.5999999999999943</c:v>
                </c:pt>
                <c:pt idx="23">
                  <c:v>-3.5</c:v>
                </c:pt>
                <c:pt idx="24">
                  <c:v>-3.2999999999999972</c:v>
                </c:pt>
                <c:pt idx="25">
                  <c:v>-4.0999999999999943</c:v>
                </c:pt>
                <c:pt idx="26">
                  <c:v>-4.5999999999999943</c:v>
                </c:pt>
                <c:pt idx="27">
                  <c:v>-4.9000000000000057</c:v>
                </c:pt>
                <c:pt idx="28">
                  <c:v>-5</c:v>
                </c:pt>
                <c:pt idx="29">
                  <c:v>-4.5</c:v>
                </c:pt>
                <c:pt idx="30">
                  <c:v>-4</c:v>
                </c:pt>
                <c:pt idx="31">
                  <c:v>-3.2000000000000028</c:v>
                </c:pt>
                <c:pt idx="32">
                  <c:v>-2</c:v>
                </c:pt>
                <c:pt idx="33">
                  <c:v>-1.0999999999999943</c:v>
                </c:pt>
                <c:pt idx="34">
                  <c:v>-0.59999999999999432</c:v>
                </c:pt>
                <c:pt idx="35">
                  <c:v>0.59999999999999432</c:v>
                </c:pt>
                <c:pt idx="36" formatCode="General">
                  <c:v>2.5999999999999943</c:v>
                </c:pt>
                <c:pt idx="37" formatCode="General">
                  <c:v>4</c:v>
                </c:pt>
                <c:pt idx="38">
                  <c:v>3.7999999999999972</c:v>
                </c:pt>
                <c:pt idx="39">
                  <c:v>4</c:v>
                </c:pt>
                <c:pt idx="40" formatCode="General">
                  <c:v>2.7999999999999972</c:v>
                </c:pt>
                <c:pt idx="41" formatCode="General">
                  <c:v>1.5</c:v>
                </c:pt>
                <c:pt idx="42" formatCode="General">
                  <c:v>1.4</c:v>
                </c:pt>
                <c:pt idx="43" formatCode="General">
                  <c:v>2</c:v>
                </c:pt>
                <c:pt idx="44" formatCode="General">
                  <c:v>2.1</c:v>
                </c:pt>
                <c:pt idx="45" formatCode="General">
                  <c:v>1.4</c:v>
                </c:pt>
                <c:pt idx="46" formatCode="General">
                  <c:v>1.1000000000000001</c:v>
                </c:pt>
                <c:pt idx="47" formatCode="General">
                  <c:v>0.9</c:v>
                </c:pt>
                <c:pt idx="48" formatCode="General">
                  <c:v>0.2</c:v>
                </c:pt>
                <c:pt idx="49" formatCode="General">
                  <c:v>-0.9</c:v>
                </c:pt>
                <c:pt idx="50" formatCode="General">
                  <c:v>-0.5</c:v>
                </c:pt>
                <c:pt idx="51" formatCode="General">
                  <c:v>-0.5</c:v>
                </c:pt>
                <c:pt idx="52" formatCode="General">
                  <c:v>1.3</c:v>
                </c:pt>
                <c:pt idx="53" formatCode="General">
                  <c:v>2.8</c:v>
                </c:pt>
                <c:pt idx="54" formatCode="General">
                  <c:v>3.4</c:v>
                </c:pt>
                <c:pt idx="55" formatCode="General">
                  <c:v>3.2</c:v>
                </c:pt>
                <c:pt idx="56" formatCode="General">
                  <c:v>3</c:v>
                </c:pt>
                <c:pt idx="57" formatCode="General">
                  <c:v>3.8</c:v>
                </c:pt>
                <c:pt idx="58" formatCode="General">
                  <c:v>3.9</c:v>
                </c:pt>
                <c:pt idx="59" formatCode="General">
                  <c:v>2.2000000000000002</c:v>
                </c:pt>
                <c:pt idx="60" formatCode="General">
                  <c:v>1.9</c:v>
                </c:pt>
                <c:pt idx="61" formatCode="General">
                  <c:v>2.9</c:v>
                </c:pt>
                <c:pt idx="62" formatCode="General">
                  <c:v>3</c:v>
                </c:pt>
                <c:pt idx="63" formatCode="General">
                  <c:v>3.5</c:v>
                </c:pt>
                <c:pt idx="64" formatCode="General">
                  <c:v>2.9</c:v>
                </c:pt>
                <c:pt idx="65" formatCode="General">
                  <c:v>1.4</c:v>
                </c:pt>
                <c:pt idx="66" formatCode="General">
                  <c:v>0.9</c:v>
                </c:pt>
                <c:pt idx="67" formatCode="General">
                  <c:v>0.8</c:v>
                </c:pt>
                <c:pt idx="68" formatCode="General">
                  <c:v>0.7</c:v>
                </c:pt>
                <c:pt idx="69" formatCode="General">
                  <c:v>-0.4</c:v>
                </c:pt>
                <c:pt idx="70" formatCode="General">
                  <c:v>-0.7</c:v>
                </c:pt>
                <c:pt idx="71" formatCode="General">
                  <c:v>0.8</c:v>
                </c:pt>
              </c:numCache>
            </c:numRef>
          </c:val>
          <c:smooth val="0"/>
          <c:extLst>
            <c:ext xmlns:c16="http://schemas.microsoft.com/office/drawing/2014/chart" uri="{C3380CC4-5D6E-409C-BE32-E72D297353CC}">
              <c16:uniqueId val="{00000002-78B1-4C4B-A0D9-7B249D2424D5}"/>
            </c:ext>
          </c:extLst>
        </c:ser>
        <c:ser>
          <c:idx val="3"/>
          <c:order val="3"/>
          <c:tx>
            <c:strRef>
              <c:f>'Ceny 4'!$F$5</c:f>
              <c:strCache>
                <c:ptCount val="1"/>
                <c:pt idx="0">
                  <c:v>Elektřina, plyn, pára a klim. vzduch</c:v>
                </c:pt>
              </c:strCache>
            </c:strRef>
          </c:tx>
          <c:spPr>
            <a:ln w="19050">
              <a:solidFill>
                <a:srgbClr val="F8A124"/>
              </a:solidFill>
            </a:ln>
          </c:spPr>
          <c:marker>
            <c:symbol val="none"/>
          </c:marker>
          <c:cat>
            <c:multiLvlStrRef>
              <c:f>'Ceny 4'!$A$18:$B$89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2014</c:v>
                  </c:pt>
                  <c:pt idx="12">
                    <c:v>2015</c:v>
                  </c:pt>
                  <c:pt idx="24">
                    <c:v>2016</c:v>
                  </c:pt>
                  <c:pt idx="36">
                    <c:v>2017</c:v>
                  </c:pt>
                  <c:pt idx="48">
                    <c:v>2018</c:v>
                  </c:pt>
                  <c:pt idx="60">
                    <c:v>2019</c:v>
                  </c:pt>
                </c:lvl>
              </c:multiLvlStrCache>
            </c:multiLvlStrRef>
          </c:cat>
          <c:val>
            <c:numRef>
              <c:f>'Ceny 4'!$F$18:$F$89</c:f>
              <c:numCache>
                <c:formatCode>0.0</c:formatCode>
                <c:ptCount val="72"/>
                <c:pt idx="0">
                  <c:v>-8.7999999999999972</c:v>
                </c:pt>
                <c:pt idx="1">
                  <c:v>-8.7999999999999972</c:v>
                </c:pt>
                <c:pt idx="2">
                  <c:v>-8.7999999999999972</c:v>
                </c:pt>
                <c:pt idx="3">
                  <c:v>-8.5999999999999943</c:v>
                </c:pt>
                <c:pt idx="4">
                  <c:v>-8.5999999999999943</c:v>
                </c:pt>
                <c:pt idx="5">
                  <c:v>-8.7000000000000028</c:v>
                </c:pt>
                <c:pt idx="6">
                  <c:v>-8.7000000000000028</c:v>
                </c:pt>
                <c:pt idx="7">
                  <c:v>-8.5999999999999943</c:v>
                </c:pt>
                <c:pt idx="8">
                  <c:v>-8.5999999999999943</c:v>
                </c:pt>
                <c:pt idx="9">
                  <c:v>-8.9000000000000057</c:v>
                </c:pt>
                <c:pt idx="10">
                  <c:v>-8.9000000000000057</c:v>
                </c:pt>
                <c:pt idx="11">
                  <c:v>-8.5999999999999943</c:v>
                </c:pt>
                <c:pt idx="12">
                  <c:v>-0.79999999999999716</c:v>
                </c:pt>
                <c:pt idx="13">
                  <c:v>-0.79999999999999716</c:v>
                </c:pt>
                <c:pt idx="14">
                  <c:v>-0.79999999999999716</c:v>
                </c:pt>
                <c:pt idx="15">
                  <c:v>-0.70000000000000284</c:v>
                </c:pt>
                <c:pt idx="16">
                  <c:v>-0.70000000000000284</c:v>
                </c:pt>
                <c:pt idx="17">
                  <c:v>-0.70000000000000284</c:v>
                </c:pt>
                <c:pt idx="18">
                  <c:v>-0.70000000000000284</c:v>
                </c:pt>
                <c:pt idx="19">
                  <c:v>-0.79999999999999716</c:v>
                </c:pt>
                <c:pt idx="20">
                  <c:v>-0.79999999999999716</c:v>
                </c:pt>
                <c:pt idx="21">
                  <c:v>-0.90000000000000568</c:v>
                </c:pt>
                <c:pt idx="22">
                  <c:v>-0.90000000000000568</c:v>
                </c:pt>
                <c:pt idx="23">
                  <c:v>-0.90000000000000568</c:v>
                </c:pt>
                <c:pt idx="24">
                  <c:v>-4</c:v>
                </c:pt>
                <c:pt idx="25">
                  <c:v>-4.0999999999999943</c:v>
                </c:pt>
                <c:pt idx="26">
                  <c:v>-4.0999999999999943</c:v>
                </c:pt>
                <c:pt idx="27">
                  <c:v>-4</c:v>
                </c:pt>
                <c:pt idx="28">
                  <c:v>-4</c:v>
                </c:pt>
                <c:pt idx="29">
                  <c:v>-4.0999999999999943</c:v>
                </c:pt>
                <c:pt idx="30">
                  <c:v>-4</c:v>
                </c:pt>
                <c:pt idx="31">
                  <c:v>-4</c:v>
                </c:pt>
                <c:pt idx="32">
                  <c:v>-4.0999999999999943</c:v>
                </c:pt>
                <c:pt idx="33">
                  <c:v>-4.0999999999999943</c:v>
                </c:pt>
                <c:pt idx="34">
                  <c:v>-4.0999999999999943</c:v>
                </c:pt>
                <c:pt idx="35">
                  <c:v>-4.0999999999999943</c:v>
                </c:pt>
                <c:pt idx="36" formatCode="General">
                  <c:v>-1.0999999999999943</c:v>
                </c:pt>
                <c:pt idx="37" formatCode="General">
                  <c:v>-1.2000000000000028</c:v>
                </c:pt>
                <c:pt idx="38">
                  <c:v>-1.2000000000000028</c:v>
                </c:pt>
                <c:pt idx="39">
                  <c:v>-1.4000000000000057</c:v>
                </c:pt>
                <c:pt idx="40" formatCode="General">
                  <c:v>-1.2999999999999972</c:v>
                </c:pt>
                <c:pt idx="41" formatCode="General">
                  <c:v>-1.0999999999999943</c:v>
                </c:pt>
                <c:pt idx="42" formatCode="General">
                  <c:v>-1.1000000000000001</c:v>
                </c:pt>
                <c:pt idx="43" formatCode="General">
                  <c:v>-1.3</c:v>
                </c:pt>
                <c:pt idx="44" formatCode="General">
                  <c:v>-1.1000000000000001</c:v>
                </c:pt>
                <c:pt idx="45" formatCode="General">
                  <c:v>-1.1000000000000001</c:v>
                </c:pt>
                <c:pt idx="46" formatCode="General">
                  <c:v>-1.1000000000000001</c:v>
                </c:pt>
                <c:pt idx="47" formatCode="General">
                  <c:v>-1.1000000000000001</c:v>
                </c:pt>
                <c:pt idx="48" formatCode="General">
                  <c:v>1.5</c:v>
                </c:pt>
                <c:pt idx="49" formatCode="General">
                  <c:v>1.6</c:v>
                </c:pt>
                <c:pt idx="50" formatCode="General">
                  <c:v>1.6</c:v>
                </c:pt>
                <c:pt idx="51" formatCode="General">
                  <c:v>1.7</c:v>
                </c:pt>
                <c:pt idx="52" formatCode="General">
                  <c:v>1.7</c:v>
                </c:pt>
                <c:pt idx="53" formatCode="General">
                  <c:v>2.2999999999999998</c:v>
                </c:pt>
                <c:pt idx="54" formatCode="General">
                  <c:v>2.2999999999999998</c:v>
                </c:pt>
                <c:pt idx="55" formatCode="General">
                  <c:v>2.6</c:v>
                </c:pt>
                <c:pt idx="56" formatCode="General">
                  <c:v>2.7</c:v>
                </c:pt>
                <c:pt idx="57" formatCode="General">
                  <c:v>2.8</c:v>
                </c:pt>
                <c:pt idx="58" formatCode="General">
                  <c:v>2.8</c:v>
                </c:pt>
                <c:pt idx="59" formatCode="General">
                  <c:v>2.8</c:v>
                </c:pt>
                <c:pt idx="60" formatCode="General">
                  <c:v>7.2</c:v>
                </c:pt>
                <c:pt idx="61" formatCode="General">
                  <c:v>7.5</c:v>
                </c:pt>
                <c:pt idx="62" formatCode="General">
                  <c:v>8.4</c:v>
                </c:pt>
                <c:pt idx="63" formatCode="General">
                  <c:v>8.1999999999999993</c:v>
                </c:pt>
                <c:pt idx="64" formatCode="General">
                  <c:v>8.6</c:v>
                </c:pt>
                <c:pt idx="65" formatCode="General">
                  <c:v>7.9</c:v>
                </c:pt>
                <c:pt idx="66" formatCode="General">
                  <c:v>8</c:v>
                </c:pt>
                <c:pt idx="67" formatCode="General">
                  <c:v>7.7</c:v>
                </c:pt>
                <c:pt idx="68" formatCode="General">
                  <c:v>7.7</c:v>
                </c:pt>
                <c:pt idx="69" formatCode="General">
                  <c:v>7.5</c:v>
                </c:pt>
                <c:pt idx="70" formatCode="General">
                  <c:v>8.6999999999999993</c:v>
                </c:pt>
                <c:pt idx="71" formatCode="General">
                  <c:v>8.8000000000000007</c:v>
                </c:pt>
              </c:numCache>
            </c:numRef>
          </c:val>
          <c:smooth val="0"/>
          <c:extLst>
            <c:ext xmlns:c16="http://schemas.microsoft.com/office/drawing/2014/chart" uri="{C3380CC4-5D6E-409C-BE32-E72D297353CC}">
              <c16:uniqueId val="{00000003-78B1-4C4B-A0D9-7B249D2424D5}"/>
            </c:ext>
          </c:extLst>
        </c:ser>
        <c:ser>
          <c:idx val="4"/>
          <c:order val="4"/>
          <c:tx>
            <c:strRef>
              <c:f>'Ceny 4'!$G$5</c:f>
              <c:strCache>
                <c:ptCount val="1"/>
                <c:pt idx="0">
                  <c:v>Zás. vodou; odpadní vody</c:v>
                </c:pt>
              </c:strCache>
            </c:strRef>
          </c:tx>
          <c:spPr>
            <a:ln w="19050">
              <a:solidFill>
                <a:schemeClr val="accent1"/>
              </a:solidFill>
            </a:ln>
          </c:spPr>
          <c:marker>
            <c:symbol val="none"/>
          </c:marker>
          <c:cat>
            <c:multiLvlStrRef>
              <c:f>'Ceny 4'!$A$18:$B$89</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2014</c:v>
                  </c:pt>
                  <c:pt idx="12">
                    <c:v>2015</c:v>
                  </c:pt>
                  <c:pt idx="24">
                    <c:v>2016</c:v>
                  </c:pt>
                  <c:pt idx="36">
                    <c:v>2017</c:v>
                  </c:pt>
                  <c:pt idx="48">
                    <c:v>2018</c:v>
                  </c:pt>
                  <c:pt idx="60">
                    <c:v>2019</c:v>
                  </c:pt>
                </c:lvl>
              </c:multiLvlStrCache>
            </c:multiLvlStrRef>
          </c:cat>
          <c:val>
            <c:numRef>
              <c:f>'Ceny 4'!$G$18:$G$89</c:f>
              <c:numCache>
                <c:formatCode>General</c:formatCode>
                <c:ptCount val="72"/>
                <c:pt idx="0">
                  <c:v>3.4000000000000057</c:v>
                </c:pt>
                <c:pt idx="1">
                  <c:v>3.4000000000000057</c:v>
                </c:pt>
                <c:pt idx="2">
                  <c:v>3.4000000000000057</c:v>
                </c:pt>
                <c:pt idx="3">
                  <c:v>3.4000000000000057</c:v>
                </c:pt>
                <c:pt idx="4">
                  <c:v>3.4000000000000057</c:v>
                </c:pt>
                <c:pt idx="5">
                  <c:v>3.4000000000000057</c:v>
                </c:pt>
                <c:pt idx="6">
                  <c:v>3.4000000000000057</c:v>
                </c:pt>
                <c:pt idx="7">
                  <c:v>3.4000000000000057</c:v>
                </c:pt>
                <c:pt idx="8">
                  <c:v>3.4000000000000057</c:v>
                </c:pt>
                <c:pt idx="9">
                  <c:v>3.4000000000000057</c:v>
                </c:pt>
                <c:pt idx="10">
                  <c:v>3.4000000000000057</c:v>
                </c:pt>
                <c:pt idx="11">
                  <c:v>3.4000000000000057</c:v>
                </c:pt>
                <c:pt idx="12">
                  <c:v>3.4000000000000057</c:v>
                </c:pt>
                <c:pt idx="13">
                  <c:v>3.4000000000000057</c:v>
                </c:pt>
                <c:pt idx="14">
                  <c:v>3.4000000000000057</c:v>
                </c:pt>
                <c:pt idx="15">
                  <c:v>3.4000000000000057</c:v>
                </c:pt>
                <c:pt idx="16">
                  <c:v>3.4000000000000057</c:v>
                </c:pt>
                <c:pt idx="17">
                  <c:v>3.4000000000000057</c:v>
                </c:pt>
                <c:pt idx="18">
                  <c:v>3.4000000000000057</c:v>
                </c:pt>
                <c:pt idx="19">
                  <c:v>3.4000000000000057</c:v>
                </c:pt>
                <c:pt idx="20">
                  <c:v>3.4000000000000057</c:v>
                </c:pt>
                <c:pt idx="21">
                  <c:v>3.4000000000000057</c:v>
                </c:pt>
                <c:pt idx="22">
                  <c:v>3.4000000000000057</c:v>
                </c:pt>
                <c:pt idx="23">
                  <c:v>3.4000000000000057</c:v>
                </c:pt>
                <c:pt idx="24">
                  <c:v>0.5</c:v>
                </c:pt>
                <c:pt idx="25">
                  <c:v>0.5</c:v>
                </c:pt>
                <c:pt idx="26">
                  <c:v>0.5</c:v>
                </c:pt>
                <c:pt idx="27">
                  <c:v>1.5999999999999943</c:v>
                </c:pt>
                <c:pt idx="28">
                  <c:v>1.5999999999999943</c:v>
                </c:pt>
                <c:pt idx="29">
                  <c:v>1.5999999999999943</c:v>
                </c:pt>
                <c:pt idx="30">
                  <c:v>1.5999999999999943</c:v>
                </c:pt>
                <c:pt idx="31">
                  <c:v>1.5999999999999943</c:v>
                </c:pt>
                <c:pt idx="32">
                  <c:v>1.5999999999999943</c:v>
                </c:pt>
                <c:pt idx="33">
                  <c:v>1.5999999999999943</c:v>
                </c:pt>
                <c:pt idx="34">
                  <c:v>1.5999999999999943</c:v>
                </c:pt>
                <c:pt idx="35">
                  <c:v>1.5999999999999943</c:v>
                </c:pt>
                <c:pt idx="36">
                  <c:v>2.0999999999999943</c:v>
                </c:pt>
                <c:pt idx="37">
                  <c:v>2.0999999999999943</c:v>
                </c:pt>
                <c:pt idx="38" formatCode="0.0">
                  <c:v>2.0999999999999943</c:v>
                </c:pt>
                <c:pt idx="39" formatCode="0.0">
                  <c:v>1</c:v>
                </c:pt>
                <c:pt idx="40">
                  <c:v>1</c:v>
                </c:pt>
                <c:pt idx="41">
                  <c:v>1</c:v>
                </c:pt>
                <c:pt idx="42">
                  <c:v>1</c:v>
                </c:pt>
                <c:pt idx="43">
                  <c:v>1</c:v>
                </c:pt>
                <c:pt idx="44">
                  <c:v>1</c:v>
                </c:pt>
                <c:pt idx="45">
                  <c:v>1</c:v>
                </c:pt>
                <c:pt idx="46">
                  <c:v>1</c:v>
                </c:pt>
                <c:pt idx="47">
                  <c:v>1</c:v>
                </c:pt>
                <c:pt idx="48">
                  <c:v>1.9</c:v>
                </c:pt>
                <c:pt idx="49">
                  <c:v>1.9</c:v>
                </c:pt>
                <c:pt idx="50">
                  <c:v>1.9</c:v>
                </c:pt>
                <c:pt idx="51">
                  <c:v>1.9</c:v>
                </c:pt>
                <c:pt idx="52">
                  <c:v>1.9</c:v>
                </c:pt>
                <c:pt idx="53">
                  <c:v>1.9</c:v>
                </c:pt>
                <c:pt idx="54">
                  <c:v>1.9</c:v>
                </c:pt>
                <c:pt idx="55">
                  <c:v>1.9</c:v>
                </c:pt>
                <c:pt idx="56">
                  <c:v>1.9</c:v>
                </c:pt>
                <c:pt idx="57">
                  <c:v>1.9</c:v>
                </c:pt>
                <c:pt idx="58">
                  <c:v>1.9</c:v>
                </c:pt>
                <c:pt idx="59">
                  <c:v>1.9</c:v>
                </c:pt>
                <c:pt idx="60">
                  <c:v>2.9</c:v>
                </c:pt>
                <c:pt idx="61">
                  <c:v>2.9</c:v>
                </c:pt>
                <c:pt idx="62">
                  <c:v>2.9</c:v>
                </c:pt>
                <c:pt idx="63">
                  <c:v>2.9</c:v>
                </c:pt>
                <c:pt idx="64">
                  <c:v>2.9</c:v>
                </c:pt>
                <c:pt idx="65">
                  <c:v>2.9</c:v>
                </c:pt>
                <c:pt idx="66">
                  <c:v>2.9</c:v>
                </c:pt>
                <c:pt idx="67">
                  <c:v>2.9</c:v>
                </c:pt>
                <c:pt idx="68">
                  <c:v>2.9</c:v>
                </c:pt>
                <c:pt idx="69">
                  <c:v>2.9</c:v>
                </c:pt>
                <c:pt idx="70">
                  <c:v>2.9</c:v>
                </c:pt>
                <c:pt idx="71">
                  <c:v>2.9</c:v>
                </c:pt>
              </c:numCache>
            </c:numRef>
          </c:val>
          <c:smooth val="0"/>
          <c:extLst>
            <c:ext xmlns:c16="http://schemas.microsoft.com/office/drawing/2014/chart" uri="{C3380CC4-5D6E-409C-BE32-E72D297353CC}">
              <c16:uniqueId val="{00000004-78B1-4C4B-A0D9-7B249D2424D5}"/>
            </c:ext>
          </c:extLst>
        </c:ser>
        <c:dLbls>
          <c:showLegendKey val="0"/>
          <c:showVal val="0"/>
          <c:showCatName val="0"/>
          <c:showSerName val="0"/>
          <c:showPercent val="0"/>
          <c:showBubbleSize val="0"/>
        </c:dLbls>
        <c:marker val="1"/>
        <c:smooth val="0"/>
        <c:axId val="271374208"/>
        <c:axId val="271375744"/>
      </c:lineChart>
      <c:catAx>
        <c:axId val="271374208"/>
        <c:scaling>
          <c:orientation val="minMax"/>
        </c:scaling>
        <c:delete val="0"/>
        <c:axPos val="b"/>
        <c:numFmt formatCode="General" sourceLinked="0"/>
        <c:majorTickMark val="out"/>
        <c:minorTickMark val="none"/>
        <c:tickLblPos val="low"/>
        <c:spPr>
          <a:ln>
            <a:solidFill>
              <a:schemeClr val="tx1"/>
            </a:solidFill>
          </a:ln>
        </c:spPr>
        <c:crossAx val="271375744"/>
        <c:crosses val="autoZero"/>
        <c:auto val="1"/>
        <c:lblAlgn val="ctr"/>
        <c:lblOffset val="100"/>
        <c:noMultiLvlLbl val="0"/>
      </c:catAx>
      <c:valAx>
        <c:axId val="271375744"/>
        <c:scaling>
          <c:orientation val="minMax"/>
          <c:max val="12"/>
          <c:min val="-10"/>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1374208"/>
        <c:crosses val="autoZero"/>
        <c:crossBetween val="between"/>
        <c:majorUnit val="2"/>
      </c:valAx>
      <c:spPr>
        <a:ln>
          <a:solidFill>
            <a:schemeClr val="tx1"/>
          </a:solidFill>
        </a:ln>
      </c:spPr>
    </c:plotArea>
    <c:legend>
      <c:legendPos val="b"/>
      <c:layout>
        <c:manualLayout>
          <c:xMode val="edge"/>
          <c:yMode val="edge"/>
          <c:x val="6.1319022289766968E-2"/>
          <c:y val="0.86223931272106069"/>
          <c:w val="0.90901046943600139"/>
          <c:h val="0.12109402425765226"/>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2048E-2"/>
          <c:y val="1.6549886621315374E-2"/>
          <c:w val="0.83420125451377358"/>
          <c:h val="0.65992692395395358"/>
        </c:manualLayout>
      </c:layout>
      <c:barChart>
        <c:barDir val="col"/>
        <c:grouping val="stacked"/>
        <c:varyColors val="0"/>
        <c:ser>
          <c:idx val="0"/>
          <c:order val="0"/>
          <c:tx>
            <c:strRef>
              <c:f>'Trh práce 1'!$AC$7</c:f>
              <c:strCache>
                <c:ptCount val="1"/>
                <c:pt idx="0">
                  <c:v>Zemědělství, lesnictví a rybářství</c:v>
                </c:pt>
              </c:strCache>
            </c:strRef>
          </c:tx>
          <c:spPr>
            <a:solidFill>
              <a:srgbClr val="7DBB2D"/>
            </a:solidFill>
            <a:ln>
              <a:noFill/>
            </a:ln>
          </c:spPr>
          <c:invertIfNegative val="0"/>
          <c:cat>
            <c:multiLvlStrRef>
              <c:f>'Trh práce 1'!$AA$8:$AB$47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1'!$AC$8:$AC$47</c:f>
              <c:numCache>
                <c:formatCode>#\ ##0.0</c:formatCode>
                <c:ptCount val="40"/>
                <c:pt idx="0">
                  <c:v>-0.23222275006944557</c:v>
                </c:pt>
                <c:pt idx="1">
                  <c:v>-0.17702219112179116</c:v>
                </c:pt>
                <c:pt idx="2">
                  <c:v>-0.14250343705609567</c:v>
                </c:pt>
                <c:pt idx="3">
                  <c:v>-0.13702544848549178</c:v>
                </c:pt>
                <c:pt idx="4">
                  <c:v>0.1037453953799244</c:v>
                </c:pt>
                <c:pt idx="5">
                  <c:v>9.5690938460221892E-2</c:v>
                </c:pt>
                <c:pt idx="6">
                  <c:v>5.9112721211504203E-2</c:v>
                </c:pt>
                <c:pt idx="7">
                  <c:v>4.0223421388449546E-2</c:v>
                </c:pt>
                <c:pt idx="8">
                  <c:v>2.8804620165849455E-2</c:v>
                </c:pt>
                <c:pt idx="9">
                  <c:v>3.177048919427123E-2</c:v>
                </c:pt>
                <c:pt idx="10">
                  <c:v>6.237877948427753E-2</c:v>
                </c:pt>
                <c:pt idx="11">
                  <c:v>7.8876524967668338E-2</c:v>
                </c:pt>
                <c:pt idx="12">
                  <c:v>3.4897043795591033E-2</c:v>
                </c:pt>
                <c:pt idx="13">
                  <c:v>7.6139985329269341E-2</c:v>
                </c:pt>
                <c:pt idx="14">
                  <c:v>1.9508115947107659E-2</c:v>
                </c:pt>
                <c:pt idx="15">
                  <c:v>9.8416227024961307E-4</c:v>
                </c:pt>
                <c:pt idx="16">
                  <c:v>-9.957760523367349E-3</c:v>
                </c:pt>
                <c:pt idx="17">
                  <c:v>-7.2593422082177228E-2</c:v>
                </c:pt>
                <c:pt idx="18">
                  <c:v>-3.1543675502894435E-2</c:v>
                </c:pt>
                <c:pt idx="19">
                  <c:v>-7.4973080531714953E-3</c:v>
                </c:pt>
                <c:pt idx="20">
                  <c:v>-2.5406394237287376E-2</c:v>
                </c:pt>
                <c:pt idx="21">
                  <c:v>-3.2519642707587761E-2</c:v>
                </c:pt>
                <c:pt idx="22">
                  <c:v>-4.2746377552347073E-2</c:v>
                </c:pt>
                <c:pt idx="23">
                  <c:v>-7.6345605918714074E-2</c:v>
                </c:pt>
                <c:pt idx="24">
                  <c:v>-0.12683499341762042</c:v>
                </c:pt>
                <c:pt idx="25">
                  <c:v>-5.8796404821536856E-2</c:v>
                </c:pt>
                <c:pt idx="26">
                  <c:v>-5.7660818239794312E-2</c:v>
                </c:pt>
                <c:pt idx="27">
                  <c:v>5.9750731023664044E-2</c:v>
                </c:pt>
                <c:pt idx="28">
                  <c:v>0.10980047025694589</c:v>
                </c:pt>
                <c:pt idx="29">
                  <c:v>3.9673148008215947E-2</c:v>
                </c:pt>
                <c:pt idx="30">
                  <c:v>4.4749740495190864E-2</c:v>
                </c:pt>
                <c:pt idx="31">
                  <c:v>-8.0513245505165226E-2</c:v>
                </c:pt>
                <c:pt idx="32">
                  <c:v>-4.9594408084622732E-2</c:v>
                </c:pt>
                <c:pt idx="33">
                  <c:v>-3.6268874254650578E-2</c:v>
                </c:pt>
                <c:pt idx="34">
                  <c:v>-3.4145790790807366E-2</c:v>
                </c:pt>
                <c:pt idx="35">
                  <c:v>8.1553326472674614E-3</c:v>
                </c:pt>
                <c:pt idx="36">
                  <c:v>1.998992344675227E-2</c:v>
                </c:pt>
                <c:pt idx="37">
                  <c:v>-3.1167959337801001E-2</c:v>
                </c:pt>
                <c:pt idx="38">
                  <c:v>-6.7747190069060145E-2</c:v>
                </c:pt>
                <c:pt idx="39">
                  <c:v>-9.3795432163190626E-2</c:v>
                </c:pt>
              </c:numCache>
            </c:numRef>
          </c:val>
          <c:extLst>
            <c:ext xmlns:c16="http://schemas.microsoft.com/office/drawing/2014/chart" uri="{C3380CC4-5D6E-409C-BE32-E72D297353CC}">
              <c16:uniqueId val="{00000000-80D1-4BD7-89D3-D93415D2B3B8}"/>
            </c:ext>
          </c:extLst>
        </c:ser>
        <c:ser>
          <c:idx val="1"/>
          <c:order val="1"/>
          <c:tx>
            <c:strRef>
              <c:f>'Trh práce 1'!$AD$7</c:f>
              <c:strCache>
                <c:ptCount val="1"/>
                <c:pt idx="0">
                  <c:v>Zpracovatelský průmysl</c:v>
                </c:pt>
              </c:strCache>
            </c:strRef>
          </c:tx>
          <c:spPr>
            <a:solidFill>
              <a:srgbClr val="A6CDE8"/>
            </a:solidFill>
            <a:ln>
              <a:noFill/>
            </a:ln>
          </c:spPr>
          <c:invertIfNegative val="0"/>
          <c:cat>
            <c:multiLvlStrRef>
              <c:f>'Trh práce 1'!$AA$8:$AB$47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1'!$AD$8:$AD$47</c:f>
              <c:numCache>
                <c:formatCode>#\ ##0.0</c:formatCode>
                <c:ptCount val="40"/>
                <c:pt idx="0">
                  <c:v>-1.8445397057469495</c:v>
                </c:pt>
                <c:pt idx="1">
                  <c:v>-0.84745414755720305</c:v>
                </c:pt>
                <c:pt idx="2">
                  <c:v>-0.30166542154199055</c:v>
                </c:pt>
                <c:pt idx="3">
                  <c:v>-0.14324221591641931</c:v>
                </c:pt>
                <c:pt idx="4">
                  <c:v>0.97895076203027409</c:v>
                </c:pt>
                <c:pt idx="5">
                  <c:v>1.0641212428356823</c:v>
                </c:pt>
                <c:pt idx="6">
                  <c:v>0.95618180752734216</c:v>
                </c:pt>
                <c:pt idx="7">
                  <c:v>0.5768511843825882</c:v>
                </c:pt>
                <c:pt idx="8">
                  <c:v>0.15618372903976085</c:v>
                </c:pt>
                <c:pt idx="9">
                  <c:v>0.13240673035543943</c:v>
                </c:pt>
                <c:pt idx="10">
                  <c:v>0.31011051427221831</c:v>
                </c:pt>
                <c:pt idx="11">
                  <c:v>0.41899305405892623</c:v>
                </c:pt>
                <c:pt idx="12">
                  <c:v>-4.4405396456619534E-2</c:v>
                </c:pt>
                <c:pt idx="13">
                  <c:v>4.3158507126686806E-2</c:v>
                </c:pt>
                <c:pt idx="14">
                  <c:v>-0.10553280483596787</c:v>
                </c:pt>
                <c:pt idx="15">
                  <c:v>-5.7317610619337468E-2</c:v>
                </c:pt>
                <c:pt idx="16">
                  <c:v>0.20769043377309043</c:v>
                </c:pt>
                <c:pt idx="17">
                  <c:v>0.19941112781211218</c:v>
                </c:pt>
                <c:pt idx="18">
                  <c:v>0.39457126264967202</c:v>
                </c:pt>
                <c:pt idx="19">
                  <c:v>0.53106915941992727</c:v>
                </c:pt>
                <c:pt idx="20">
                  <c:v>0.90470735488586451</c:v>
                </c:pt>
                <c:pt idx="21">
                  <c:v>0.96187925091846294</c:v>
                </c:pt>
                <c:pt idx="22">
                  <c:v>0.80659111223260493</c:v>
                </c:pt>
                <c:pt idx="23">
                  <c:v>0.97639755522586114</c:v>
                </c:pt>
                <c:pt idx="24">
                  <c:v>0.88338166621127856</c:v>
                </c:pt>
                <c:pt idx="25">
                  <c:v>0.66590302024601555</c:v>
                </c:pt>
                <c:pt idx="26">
                  <c:v>0.72234156147423934</c:v>
                </c:pt>
                <c:pt idx="27">
                  <c:v>0.58981738346396817</c:v>
                </c:pt>
                <c:pt idx="28">
                  <c:v>0.19983341803764565</c:v>
                </c:pt>
                <c:pt idx="29">
                  <c:v>0.32012257424933233</c:v>
                </c:pt>
                <c:pt idx="30">
                  <c:v>0.43319496242521982</c:v>
                </c:pt>
                <c:pt idx="31">
                  <c:v>0.42405404961421206</c:v>
                </c:pt>
                <c:pt idx="32">
                  <c:v>0.458169516510046</c:v>
                </c:pt>
                <c:pt idx="33">
                  <c:v>0.37335936790891328</c:v>
                </c:pt>
                <c:pt idx="34">
                  <c:v>0.19923035052246851</c:v>
                </c:pt>
                <c:pt idx="35">
                  <c:v>0.17982694682034051</c:v>
                </c:pt>
                <c:pt idx="36">
                  <c:v>0.26239092464892816</c:v>
                </c:pt>
                <c:pt idx="37">
                  <c:v>0.1448849044720501</c:v>
                </c:pt>
                <c:pt idx="38">
                  <c:v>-6.9795103494350363E-2</c:v>
                </c:pt>
                <c:pt idx="39">
                  <c:v>-0.47627849151571522</c:v>
                </c:pt>
              </c:numCache>
            </c:numRef>
          </c:val>
          <c:extLst>
            <c:ext xmlns:c16="http://schemas.microsoft.com/office/drawing/2014/chart" uri="{C3380CC4-5D6E-409C-BE32-E72D297353CC}">
              <c16:uniqueId val="{00000001-80D1-4BD7-89D3-D93415D2B3B8}"/>
            </c:ext>
          </c:extLst>
        </c:ser>
        <c:ser>
          <c:idx val="2"/>
          <c:order val="2"/>
          <c:tx>
            <c:strRef>
              <c:f>'Trh práce 1'!$AE$7</c:f>
              <c:strCache>
                <c:ptCount val="1"/>
                <c:pt idx="0">
                  <c:v>Stavebnictví</c:v>
                </c:pt>
              </c:strCache>
            </c:strRef>
          </c:tx>
          <c:spPr>
            <a:solidFill>
              <a:srgbClr val="48AEE7"/>
            </a:solidFill>
            <a:ln w="19050">
              <a:noFill/>
            </a:ln>
          </c:spPr>
          <c:invertIfNegative val="0"/>
          <c:cat>
            <c:multiLvlStrRef>
              <c:f>'Trh práce 1'!$AA$8:$AB$47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1'!$AE$8:$AE$47</c:f>
              <c:numCache>
                <c:formatCode>#\ ##0.0</c:formatCode>
                <c:ptCount val="40"/>
                <c:pt idx="0">
                  <c:v>9.387358550188811E-2</c:v>
                </c:pt>
                <c:pt idx="1">
                  <c:v>0.14259143360406704</c:v>
                </c:pt>
                <c:pt idx="2">
                  <c:v>0.18371660463360129</c:v>
                </c:pt>
                <c:pt idx="3">
                  <c:v>0.1878450552621217</c:v>
                </c:pt>
                <c:pt idx="4">
                  <c:v>-0.46459117644017811</c:v>
                </c:pt>
                <c:pt idx="5">
                  <c:v>-0.4616879929060313</c:v>
                </c:pt>
                <c:pt idx="6">
                  <c:v>-0.50318816056641913</c:v>
                </c:pt>
                <c:pt idx="7">
                  <c:v>-0.48534290072386538</c:v>
                </c:pt>
                <c:pt idx="8">
                  <c:v>-8.5917913180643249E-2</c:v>
                </c:pt>
                <c:pt idx="9">
                  <c:v>-5.8137026020918761E-2</c:v>
                </c:pt>
                <c:pt idx="10">
                  <c:v>-0.1483774780108863</c:v>
                </c:pt>
                <c:pt idx="11">
                  <c:v>-0.16295719235324882</c:v>
                </c:pt>
                <c:pt idx="12">
                  <c:v>-0.2112283521210945</c:v>
                </c:pt>
                <c:pt idx="13">
                  <c:v>-0.32386665444105767</c:v>
                </c:pt>
                <c:pt idx="14">
                  <c:v>-0.19405752472914969</c:v>
                </c:pt>
                <c:pt idx="15">
                  <c:v>-9.30623842748034E-2</c:v>
                </c:pt>
                <c:pt idx="16">
                  <c:v>-0.43150295601258509</c:v>
                </c:pt>
                <c:pt idx="17">
                  <c:v>-0.30664293593782627</c:v>
                </c:pt>
                <c:pt idx="18">
                  <c:v>-0.36558411945062813</c:v>
                </c:pt>
                <c:pt idx="19">
                  <c:v>-0.44482059984761591</c:v>
                </c:pt>
                <c:pt idx="20">
                  <c:v>-9.9424868399593299E-3</c:v>
                </c:pt>
                <c:pt idx="21">
                  <c:v>-3.353955912543732E-3</c:v>
                </c:pt>
                <c:pt idx="22">
                  <c:v>-5.6760622044817514E-2</c:v>
                </c:pt>
                <c:pt idx="23">
                  <c:v>-7.885928207070847E-2</c:v>
                </c:pt>
                <c:pt idx="24">
                  <c:v>-0.17401000397426594</c:v>
                </c:pt>
                <c:pt idx="25">
                  <c:v>-0.19657276720170863</c:v>
                </c:pt>
                <c:pt idx="26">
                  <c:v>-9.6037081884339681E-2</c:v>
                </c:pt>
                <c:pt idx="27">
                  <c:v>-6.2672903197279528E-2</c:v>
                </c:pt>
                <c:pt idx="28">
                  <c:v>-3.5906224401297321E-3</c:v>
                </c:pt>
                <c:pt idx="29">
                  <c:v>3.1746122268193882E-3</c:v>
                </c:pt>
                <c:pt idx="30">
                  <c:v>5.6715927469711346E-2</c:v>
                </c:pt>
                <c:pt idx="31">
                  <c:v>-8.3930904378625562E-2</c:v>
                </c:pt>
                <c:pt idx="32">
                  <c:v>9.0907396982439395E-2</c:v>
                </c:pt>
                <c:pt idx="33">
                  <c:v>3.6175107775191812E-2</c:v>
                </c:pt>
                <c:pt idx="34">
                  <c:v>3.0662286765776824E-2</c:v>
                </c:pt>
                <c:pt idx="35">
                  <c:v>0.1033567386415107</c:v>
                </c:pt>
                <c:pt idx="36">
                  <c:v>6.199101491882452E-2</c:v>
                </c:pt>
                <c:pt idx="37">
                  <c:v>9.138298137207336E-2</c:v>
                </c:pt>
                <c:pt idx="38">
                  <c:v>0.11484919885073513</c:v>
                </c:pt>
                <c:pt idx="39">
                  <c:v>0.1802343598429938</c:v>
                </c:pt>
              </c:numCache>
            </c:numRef>
          </c:val>
          <c:extLst>
            <c:ext xmlns:c16="http://schemas.microsoft.com/office/drawing/2014/chart" uri="{C3380CC4-5D6E-409C-BE32-E72D297353CC}">
              <c16:uniqueId val="{00000002-80D1-4BD7-89D3-D93415D2B3B8}"/>
            </c:ext>
          </c:extLst>
        </c:ser>
        <c:ser>
          <c:idx val="3"/>
          <c:order val="3"/>
          <c:tx>
            <c:strRef>
              <c:f>'Trh práce 1'!$AF$7</c:f>
              <c:strCache>
                <c:ptCount val="1"/>
                <c:pt idx="0">
                  <c:v>Obchod, doprava, ubytování a pohost.</c:v>
                </c:pt>
              </c:strCache>
            </c:strRef>
          </c:tx>
          <c:spPr>
            <a:solidFill>
              <a:srgbClr val="FDDEB3"/>
            </a:solidFill>
            <a:ln w="19050">
              <a:noFill/>
            </a:ln>
          </c:spPr>
          <c:invertIfNegative val="0"/>
          <c:cat>
            <c:multiLvlStrRef>
              <c:f>'Trh práce 1'!$AA$8:$AB$47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1'!$AF$8:$AF$47</c:f>
              <c:numCache>
                <c:formatCode>#\ ##0.0</c:formatCode>
                <c:ptCount val="40"/>
                <c:pt idx="0">
                  <c:v>-0.36020586170372859</c:v>
                </c:pt>
                <c:pt idx="1">
                  <c:v>-0.12853367400426938</c:v>
                </c:pt>
                <c:pt idx="2">
                  <c:v>0.13275641462376633</c:v>
                </c:pt>
                <c:pt idx="3">
                  <c:v>0.29832589360603395</c:v>
                </c:pt>
                <c:pt idx="4">
                  <c:v>-6.8329822215403707E-2</c:v>
                </c:pt>
                <c:pt idx="5">
                  <c:v>-7.5578817344047838E-2</c:v>
                </c:pt>
                <c:pt idx="6">
                  <c:v>-9.226004151702058E-2</c:v>
                </c:pt>
                <c:pt idx="7">
                  <c:v>-0.1522180456464855</c:v>
                </c:pt>
                <c:pt idx="8">
                  <c:v>-0.13386609977903038</c:v>
                </c:pt>
                <c:pt idx="9">
                  <c:v>-9.5588593345255934E-2</c:v>
                </c:pt>
                <c:pt idx="10">
                  <c:v>-9.2577400810211111E-2</c:v>
                </c:pt>
                <c:pt idx="11">
                  <c:v>-0.19122243914977163</c:v>
                </c:pt>
                <c:pt idx="12">
                  <c:v>0.21176431354457628</c:v>
                </c:pt>
                <c:pt idx="13">
                  <c:v>0.1456797227737798</c:v>
                </c:pt>
                <c:pt idx="14">
                  <c:v>1.7303364195265018E-2</c:v>
                </c:pt>
                <c:pt idx="15">
                  <c:v>2.2222384062236263E-2</c:v>
                </c:pt>
                <c:pt idx="16">
                  <c:v>-7.053413704051871E-2</c:v>
                </c:pt>
                <c:pt idx="17">
                  <c:v>-0.25891457624497549</c:v>
                </c:pt>
                <c:pt idx="18">
                  <c:v>-0.1085542947481155</c:v>
                </c:pt>
                <c:pt idx="19">
                  <c:v>0.17354005176094336</c:v>
                </c:pt>
                <c:pt idx="20">
                  <c:v>0.11952598309777195</c:v>
                </c:pt>
                <c:pt idx="21">
                  <c:v>0.37489773866877718</c:v>
                </c:pt>
                <c:pt idx="22">
                  <c:v>0.24119355235297801</c:v>
                </c:pt>
                <c:pt idx="23">
                  <c:v>7.7144526246092138E-2</c:v>
                </c:pt>
                <c:pt idx="24">
                  <c:v>0.14837520802801801</c:v>
                </c:pt>
                <c:pt idx="25">
                  <c:v>0.19616793949638001</c:v>
                </c:pt>
                <c:pt idx="26">
                  <c:v>1.7240391808152546E-2</c:v>
                </c:pt>
                <c:pt idx="27">
                  <c:v>6.7594456331789829E-2</c:v>
                </c:pt>
                <c:pt idx="28">
                  <c:v>0.34445146653053038</c:v>
                </c:pt>
                <c:pt idx="29">
                  <c:v>0.15720983901674454</c:v>
                </c:pt>
                <c:pt idx="30">
                  <c:v>0.4899108898949312</c:v>
                </c:pt>
                <c:pt idx="31">
                  <c:v>0.35079152790688539</c:v>
                </c:pt>
                <c:pt idx="32">
                  <c:v>0.23711208844405207</c:v>
                </c:pt>
                <c:pt idx="33">
                  <c:v>0.4946556857367726</c:v>
                </c:pt>
                <c:pt idx="34">
                  <c:v>0.32977792382414767</c:v>
                </c:pt>
                <c:pt idx="35">
                  <c:v>0.3623723378564368</c:v>
                </c:pt>
                <c:pt idx="36">
                  <c:v>0.42364544625649564</c:v>
                </c:pt>
                <c:pt idx="37">
                  <c:v>0.10943826669261016</c:v>
                </c:pt>
                <c:pt idx="38">
                  <c:v>-6.5108887187830408E-2</c:v>
                </c:pt>
                <c:pt idx="39">
                  <c:v>-0.13120325746121608</c:v>
                </c:pt>
              </c:numCache>
            </c:numRef>
          </c:val>
          <c:extLst>
            <c:ext xmlns:c16="http://schemas.microsoft.com/office/drawing/2014/chart" uri="{C3380CC4-5D6E-409C-BE32-E72D297353CC}">
              <c16:uniqueId val="{00000003-80D1-4BD7-89D3-D93415D2B3B8}"/>
            </c:ext>
          </c:extLst>
        </c:ser>
        <c:ser>
          <c:idx val="4"/>
          <c:order val="4"/>
          <c:tx>
            <c:strRef>
              <c:f>'Trh práce 1'!$AG$7</c:f>
              <c:strCache>
                <c:ptCount val="1"/>
                <c:pt idx="0">
                  <c:v>Informační a komunikač. čin.</c:v>
                </c:pt>
              </c:strCache>
            </c:strRef>
          </c:tx>
          <c:spPr>
            <a:solidFill>
              <a:srgbClr val="F8A124"/>
            </a:solidFill>
            <a:ln w="19050">
              <a:noFill/>
            </a:ln>
          </c:spPr>
          <c:invertIfNegative val="0"/>
          <c:cat>
            <c:multiLvlStrRef>
              <c:f>'Trh práce 1'!$AA$8:$AB$47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1'!$AG$8:$AG$47</c:f>
              <c:numCache>
                <c:formatCode>#\ ##0.0</c:formatCode>
                <c:ptCount val="40"/>
                <c:pt idx="0">
                  <c:v>-6.5149774021976622E-2</c:v>
                </c:pt>
                <c:pt idx="1">
                  <c:v>-7.6291207174423364E-2</c:v>
                </c:pt>
                <c:pt idx="2">
                  <c:v>-6.7461209804364208E-2</c:v>
                </c:pt>
                <c:pt idx="3">
                  <c:v>-8.1706086235047659E-2</c:v>
                </c:pt>
                <c:pt idx="4">
                  <c:v>-4.2740879497316732E-2</c:v>
                </c:pt>
                <c:pt idx="5">
                  <c:v>-8.5021220663353964E-2</c:v>
                </c:pt>
                <c:pt idx="6">
                  <c:v>-0.13312200601268986</c:v>
                </c:pt>
                <c:pt idx="7">
                  <c:v>-0.16262881353526068</c:v>
                </c:pt>
                <c:pt idx="8">
                  <c:v>2.0452867349167209E-2</c:v>
                </c:pt>
                <c:pt idx="9">
                  <c:v>3.5175177132847339E-2</c:v>
                </c:pt>
                <c:pt idx="10">
                  <c:v>5.3501494475079202E-2</c:v>
                </c:pt>
                <c:pt idx="11">
                  <c:v>7.2421004792777327E-2</c:v>
                </c:pt>
                <c:pt idx="12">
                  <c:v>4.0772769030798621E-2</c:v>
                </c:pt>
                <c:pt idx="13">
                  <c:v>7.3946489774753668E-2</c:v>
                </c:pt>
                <c:pt idx="14">
                  <c:v>3.1102747927780131E-2</c:v>
                </c:pt>
                <c:pt idx="15">
                  <c:v>3.2260839218782318E-2</c:v>
                </c:pt>
                <c:pt idx="16">
                  <c:v>0.10151383644655047</c:v>
                </c:pt>
                <c:pt idx="17">
                  <c:v>6.5783495760869989E-2</c:v>
                </c:pt>
                <c:pt idx="18">
                  <c:v>8.4444228559494197E-2</c:v>
                </c:pt>
                <c:pt idx="19">
                  <c:v>8.3631389044563922E-2</c:v>
                </c:pt>
                <c:pt idx="20">
                  <c:v>8.1544111434449038E-3</c:v>
                </c:pt>
                <c:pt idx="21">
                  <c:v>5.1741144428598618E-2</c:v>
                </c:pt>
                <c:pt idx="22">
                  <c:v>7.441036092445602E-2</c:v>
                </c:pt>
                <c:pt idx="23">
                  <c:v>0.1002157864318393</c:v>
                </c:pt>
                <c:pt idx="24">
                  <c:v>0.13486891129933629</c:v>
                </c:pt>
                <c:pt idx="25">
                  <c:v>0.11759280964307371</c:v>
                </c:pt>
                <c:pt idx="26">
                  <c:v>0.14031441923503124</c:v>
                </c:pt>
                <c:pt idx="27">
                  <c:v>0.17559947785397279</c:v>
                </c:pt>
                <c:pt idx="28">
                  <c:v>9.0644117557743126E-2</c:v>
                </c:pt>
                <c:pt idx="29">
                  <c:v>7.406161218975052E-2</c:v>
                </c:pt>
                <c:pt idx="30">
                  <c:v>8.9214571776702667E-2</c:v>
                </c:pt>
                <c:pt idx="31">
                  <c:v>6.8674173054007012E-2</c:v>
                </c:pt>
                <c:pt idx="32">
                  <c:v>9.412585762094812E-2</c:v>
                </c:pt>
                <c:pt idx="33">
                  <c:v>0.10668750032818362</c:v>
                </c:pt>
                <c:pt idx="34">
                  <c:v>0.10715034840628693</c:v>
                </c:pt>
                <c:pt idx="35">
                  <c:v>0.13284999643436834</c:v>
                </c:pt>
                <c:pt idx="36">
                  <c:v>0.14821842125221787</c:v>
                </c:pt>
                <c:pt idx="37">
                  <c:v>8.0206778201240558E-2</c:v>
                </c:pt>
                <c:pt idx="38">
                  <c:v>0.13577112519559195</c:v>
                </c:pt>
                <c:pt idx="39">
                  <c:v>0.15148881857415711</c:v>
                </c:pt>
              </c:numCache>
            </c:numRef>
          </c:val>
          <c:extLst>
            <c:ext xmlns:c16="http://schemas.microsoft.com/office/drawing/2014/chart" uri="{C3380CC4-5D6E-409C-BE32-E72D297353CC}">
              <c16:uniqueId val="{00000004-80D1-4BD7-89D3-D93415D2B3B8}"/>
            </c:ext>
          </c:extLst>
        </c:ser>
        <c:ser>
          <c:idx val="5"/>
          <c:order val="5"/>
          <c:tx>
            <c:strRef>
              <c:f>'Trh práce 1'!$AH$7</c:f>
              <c:strCache>
                <c:ptCount val="1"/>
                <c:pt idx="0">
                  <c:v>Profesní, vědec., techn. a admin. čin.</c:v>
                </c:pt>
              </c:strCache>
            </c:strRef>
          </c:tx>
          <c:spPr>
            <a:solidFill>
              <a:srgbClr val="E8C0BE"/>
            </a:solidFill>
            <a:ln w="19050">
              <a:noFill/>
            </a:ln>
          </c:spPr>
          <c:invertIfNegative val="0"/>
          <c:cat>
            <c:multiLvlStrRef>
              <c:f>'Trh práce 1'!$AA$8:$AB$47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1'!$AH$8:$AH$47</c:f>
              <c:numCache>
                <c:formatCode>#\ ##0.0</c:formatCode>
                <c:ptCount val="40"/>
                <c:pt idx="0">
                  <c:v>-0.14466145378390899</c:v>
                </c:pt>
                <c:pt idx="1">
                  <c:v>-5.9633055325984424E-2</c:v>
                </c:pt>
                <c:pt idx="2">
                  <c:v>-1.1086007332124065E-2</c:v>
                </c:pt>
                <c:pt idx="3">
                  <c:v>-4.8017127490306996E-2</c:v>
                </c:pt>
                <c:pt idx="4">
                  <c:v>-0.20814589945627768</c:v>
                </c:pt>
                <c:pt idx="5">
                  <c:v>-0.2444929211671909</c:v>
                </c:pt>
                <c:pt idx="6">
                  <c:v>-0.38620574265486762</c:v>
                </c:pt>
                <c:pt idx="7">
                  <c:v>-0.28641442112187154</c:v>
                </c:pt>
                <c:pt idx="8">
                  <c:v>0.11845205716961922</c:v>
                </c:pt>
                <c:pt idx="9">
                  <c:v>0.13220878338226641</c:v>
                </c:pt>
                <c:pt idx="10">
                  <c:v>0.20877472066275349</c:v>
                </c:pt>
                <c:pt idx="11">
                  <c:v>0.25063308789776856</c:v>
                </c:pt>
                <c:pt idx="12">
                  <c:v>4.9745160268345343E-2</c:v>
                </c:pt>
                <c:pt idx="13">
                  <c:v>0.1597497122766191</c:v>
                </c:pt>
                <c:pt idx="14">
                  <c:v>0.21476644296967162</c:v>
                </c:pt>
                <c:pt idx="15">
                  <c:v>0.19659625510506271</c:v>
                </c:pt>
                <c:pt idx="16">
                  <c:v>0.32279740363249154</c:v>
                </c:pt>
                <c:pt idx="17">
                  <c:v>0.2331663822001481</c:v>
                </c:pt>
                <c:pt idx="18">
                  <c:v>0.12619436764468428</c:v>
                </c:pt>
                <c:pt idx="19">
                  <c:v>7.9184166944782405E-2</c:v>
                </c:pt>
                <c:pt idx="20">
                  <c:v>0.1111161325691107</c:v>
                </c:pt>
                <c:pt idx="21">
                  <c:v>0.1162900854121157</c:v>
                </c:pt>
                <c:pt idx="22">
                  <c:v>0.22348517646709484</c:v>
                </c:pt>
                <c:pt idx="23">
                  <c:v>0.33878119053158823</c:v>
                </c:pt>
                <c:pt idx="24">
                  <c:v>0.28107069226756642</c:v>
                </c:pt>
                <c:pt idx="25">
                  <c:v>0.26149942013250738</c:v>
                </c:pt>
                <c:pt idx="26">
                  <c:v>0.25212626677828454</c:v>
                </c:pt>
                <c:pt idx="27">
                  <c:v>0.25247952076376445</c:v>
                </c:pt>
                <c:pt idx="28">
                  <c:v>0.21874148301492455</c:v>
                </c:pt>
                <c:pt idx="29">
                  <c:v>0.15224831930896096</c:v>
                </c:pt>
                <c:pt idx="30">
                  <c:v>9.899645477968369E-2</c:v>
                </c:pt>
                <c:pt idx="31">
                  <c:v>-3.5385042700909856E-2</c:v>
                </c:pt>
                <c:pt idx="32">
                  <c:v>0.34514696601738587</c:v>
                </c:pt>
                <c:pt idx="33">
                  <c:v>0.34022229406818549</c:v>
                </c:pt>
                <c:pt idx="34">
                  <c:v>0.27519681797741252</c:v>
                </c:pt>
                <c:pt idx="35">
                  <c:v>0.4022366465272123</c:v>
                </c:pt>
                <c:pt idx="36">
                  <c:v>2.3809890264962812E-2</c:v>
                </c:pt>
                <c:pt idx="37">
                  <c:v>2.5819611285752314E-3</c:v>
                </c:pt>
                <c:pt idx="38">
                  <c:v>7.3798681992440251E-5</c:v>
                </c:pt>
                <c:pt idx="39">
                  <c:v>-0.17048699140250534</c:v>
                </c:pt>
              </c:numCache>
            </c:numRef>
          </c:val>
          <c:extLst>
            <c:ext xmlns:c16="http://schemas.microsoft.com/office/drawing/2014/chart" uri="{C3380CC4-5D6E-409C-BE32-E72D297353CC}">
              <c16:uniqueId val="{00000005-80D1-4BD7-89D3-D93415D2B3B8}"/>
            </c:ext>
          </c:extLst>
        </c:ser>
        <c:ser>
          <c:idx val="6"/>
          <c:order val="6"/>
          <c:tx>
            <c:strRef>
              <c:f>'Trh práce 1'!$AI$7</c:f>
              <c:strCache>
                <c:ptCount val="1"/>
                <c:pt idx="0">
                  <c:v>Veř.spr.,obrana, vzděl.,zdrav.a soc.péče</c:v>
                </c:pt>
              </c:strCache>
            </c:strRef>
          </c:tx>
          <c:spPr>
            <a:solidFill>
              <a:srgbClr val="D58D8B"/>
            </a:solidFill>
            <a:ln>
              <a:noFill/>
            </a:ln>
          </c:spPr>
          <c:invertIfNegative val="0"/>
          <c:cat>
            <c:multiLvlStrRef>
              <c:f>'Trh práce 1'!$AA$8:$AB$47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1'!$AI$8:$AI$47</c:f>
              <c:numCache>
                <c:formatCode>#\ ##0.0</c:formatCode>
                <c:ptCount val="40"/>
                <c:pt idx="0">
                  <c:v>-1.6350180324922726E-2</c:v>
                </c:pt>
                <c:pt idx="1">
                  <c:v>-4.5849021226043764E-2</c:v>
                </c:pt>
                <c:pt idx="2">
                  <c:v>-4.0523984173199502E-2</c:v>
                </c:pt>
                <c:pt idx="3">
                  <c:v>-3.1932475248383371E-2</c:v>
                </c:pt>
                <c:pt idx="4">
                  <c:v>-9.5506907227863813E-2</c:v>
                </c:pt>
                <c:pt idx="5">
                  <c:v>-0.1383104234632955</c:v>
                </c:pt>
                <c:pt idx="6">
                  <c:v>-0.17645028898347198</c:v>
                </c:pt>
                <c:pt idx="7">
                  <c:v>-0.12798540599628724</c:v>
                </c:pt>
                <c:pt idx="8">
                  <c:v>-0.43655266623256417</c:v>
                </c:pt>
                <c:pt idx="9">
                  <c:v>-0.32948273684650758</c:v>
                </c:pt>
                <c:pt idx="10">
                  <c:v>-6.1942841381147244E-2</c:v>
                </c:pt>
                <c:pt idx="11">
                  <c:v>4.6658513510212274E-2</c:v>
                </c:pt>
                <c:pt idx="12">
                  <c:v>0.15564716746372542</c:v>
                </c:pt>
                <c:pt idx="13">
                  <c:v>0.36566163730412671</c:v>
                </c:pt>
                <c:pt idx="14">
                  <c:v>0.18966770650896297</c:v>
                </c:pt>
                <c:pt idx="15">
                  <c:v>0.15604876957077865</c:v>
                </c:pt>
                <c:pt idx="16">
                  <c:v>0.27053891834616883</c:v>
                </c:pt>
                <c:pt idx="17">
                  <c:v>0.15953282727926973</c:v>
                </c:pt>
                <c:pt idx="18">
                  <c:v>0.34979261606607437</c:v>
                </c:pt>
                <c:pt idx="19">
                  <c:v>0.3530031736636311</c:v>
                </c:pt>
                <c:pt idx="20">
                  <c:v>0.24091863862597104</c:v>
                </c:pt>
                <c:pt idx="21">
                  <c:v>0.23116797886105511</c:v>
                </c:pt>
                <c:pt idx="22">
                  <c:v>0.10859573556508476</c:v>
                </c:pt>
                <c:pt idx="23">
                  <c:v>0.11701259916842215</c:v>
                </c:pt>
                <c:pt idx="24">
                  <c:v>0.35147420452569472</c:v>
                </c:pt>
                <c:pt idx="25">
                  <c:v>0.3579255240398278</c:v>
                </c:pt>
                <c:pt idx="26">
                  <c:v>0.45544332587599407</c:v>
                </c:pt>
                <c:pt idx="27">
                  <c:v>0.56982357385502003</c:v>
                </c:pt>
                <c:pt idx="28">
                  <c:v>0.51153000432975859</c:v>
                </c:pt>
                <c:pt idx="29">
                  <c:v>0.56363624266583745</c:v>
                </c:pt>
                <c:pt idx="30">
                  <c:v>0.64341997422520825</c:v>
                </c:pt>
                <c:pt idx="31">
                  <c:v>0.65113010272047789</c:v>
                </c:pt>
                <c:pt idx="32">
                  <c:v>0.23568166149360376</c:v>
                </c:pt>
                <c:pt idx="33">
                  <c:v>0.26710319338624</c:v>
                </c:pt>
                <c:pt idx="34">
                  <c:v>0.15582626293786339</c:v>
                </c:pt>
                <c:pt idx="35">
                  <c:v>0.13238450941112251</c:v>
                </c:pt>
                <c:pt idx="36">
                  <c:v>0.45637477360669765</c:v>
                </c:pt>
                <c:pt idx="37">
                  <c:v>0.37051142195054565</c:v>
                </c:pt>
                <c:pt idx="38">
                  <c:v>0.43360415604658264</c:v>
                </c:pt>
                <c:pt idx="39">
                  <c:v>0.42853477741853035</c:v>
                </c:pt>
              </c:numCache>
            </c:numRef>
          </c:val>
          <c:extLst>
            <c:ext xmlns:c16="http://schemas.microsoft.com/office/drawing/2014/chart" uri="{C3380CC4-5D6E-409C-BE32-E72D297353CC}">
              <c16:uniqueId val="{00000006-80D1-4BD7-89D3-D93415D2B3B8}"/>
            </c:ext>
          </c:extLst>
        </c:ser>
        <c:ser>
          <c:idx val="7"/>
          <c:order val="7"/>
          <c:tx>
            <c:strRef>
              <c:f>'Trh práce 1'!$AJ$7</c:f>
              <c:strCache>
                <c:ptCount val="1"/>
                <c:pt idx="0">
                  <c:v>Ostatní odvětví*</c:v>
                </c:pt>
              </c:strCache>
            </c:strRef>
          </c:tx>
          <c:spPr>
            <a:solidFill>
              <a:schemeClr val="bg1">
                <a:lumMod val="85000"/>
              </a:schemeClr>
            </a:solidFill>
            <a:ln>
              <a:noFill/>
            </a:ln>
          </c:spPr>
          <c:invertIfNegative val="0"/>
          <c:cat>
            <c:multiLvlStrRef>
              <c:f>'Trh práce 1'!$AA$8:$AB$47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1'!$AJ$8:$AJ$47</c:f>
              <c:numCache>
                <c:formatCode>#\ ##0.0</c:formatCode>
                <c:ptCount val="40"/>
                <c:pt idx="0">
                  <c:v>-0.1919167565411827</c:v>
                </c:pt>
                <c:pt idx="1">
                  <c:v>-3.8262914515721808E-2</c:v>
                </c:pt>
                <c:pt idx="2">
                  <c:v>4.6096524270874649E-2</c:v>
                </c:pt>
                <c:pt idx="3">
                  <c:v>4.9102594819516579E-2</c:v>
                </c:pt>
                <c:pt idx="4">
                  <c:v>-0.13338410094866282</c:v>
                </c:pt>
                <c:pt idx="5">
                  <c:v>-0.15119722547769443</c:v>
                </c:pt>
                <c:pt idx="6">
                  <c:v>-0.15212252354495906</c:v>
                </c:pt>
                <c:pt idx="7">
                  <c:v>-0.13638500281563989</c:v>
                </c:pt>
                <c:pt idx="8">
                  <c:v>0.26931923097215715</c:v>
                </c:pt>
                <c:pt idx="9">
                  <c:v>0.32105019578933652</c:v>
                </c:pt>
                <c:pt idx="10">
                  <c:v>0.32895492954844063</c:v>
                </c:pt>
                <c:pt idx="11">
                  <c:v>0.4005401979282377</c:v>
                </c:pt>
                <c:pt idx="12">
                  <c:v>0.23332187302239876</c:v>
                </c:pt>
                <c:pt idx="13">
                  <c:v>0.15289256851610614</c:v>
                </c:pt>
                <c:pt idx="14">
                  <c:v>-7.2835548944801556E-2</c:v>
                </c:pt>
                <c:pt idx="15">
                  <c:v>-0.23094351833677418</c:v>
                </c:pt>
                <c:pt idx="16">
                  <c:v>0.16050961605523087</c:v>
                </c:pt>
                <c:pt idx="17">
                  <c:v>3.822978810924068E-2</c:v>
                </c:pt>
                <c:pt idx="18">
                  <c:v>0.16444402403690977</c:v>
                </c:pt>
                <c:pt idx="19">
                  <c:v>0.21779581504593729</c:v>
                </c:pt>
                <c:pt idx="20">
                  <c:v>-9.3844500291790034E-2</c:v>
                </c:pt>
                <c:pt idx="21">
                  <c:v>4.4248681512857657E-2</c:v>
                </c:pt>
                <c:pt idx="22">
                  <c:v>-7.6228108118039234E-4</c:v>
                </c:pt>
                <c:pt idx="23">
                  <c:v>-9.6493986857956113E-2</c:v>
                </c:pt>
                <c:pt idx="24">
                  <c:v>0.10669198191708645</c:v>
                </c:pt>
                <c:pt idx="25">
                  <c:v>6.5331480636127343E-2</c:v>
                </c:pt>
                <c:pt idx="26">
                  <c:v>9.622992743029217E-2</c:v>
                </c:pt>
                <c:pt idx="27">
                  <c:v>0.16268040087588326</c:v>
                </c:pt>
                <c:pt idx="28">
                  <c:v>3.7625139399231622E-3</c:v>
                </c:pt>
                <c:pt idx="29">
                  <c:v>5.6876884926009626E-2</c:v>
                </c:pt>
                <c:pt idx="30">
                  <c:v>0.10630912459744621</c:v>
                </c:pt>
                <c:pt idx="31">
                  <c:v>0.11559617471449846</c:v>
                </c:pt>
                <c:pt idx="32">
                  <c:v>8.6973722868706513E-2</c:v>
                </c:pt>
                <c:pt idx="33">
                  <c:v>0.10284307467037421</c:v>
                </c:pt>
                <c:pt idx="34">
                  <c:v>-9.5153682138267318E-2</c:v>
                </c:pt>
                <c:pt idx="35">
                  <c:v>-8.0268582288516049E-2</c:v>
                </c:pt>
                <c:pt idx="36">
                  <c:v>-5.4629234206059543E-2</c:v>
                </c:pt>
                <c:pt idx="37">
                  <c:v>1.8922086556558474E-2</c:v>
                </c:pt>
                <c:pt idx="38">
                  <c:v>0.10627010206911397</c:v>
                </c:pt>
                <c:pt idx="39">
                  <c:v>0.11327177778295903</c:v>
                </c:pt>
              </c:numCache>
            </c:numRef>
          </c:val>
          <c:extLst>
            <c:ext xmlns:c16="http://schemas.microsoft.com/office/drawing/2014/chart" uri="{C3380CC4-5D6E-409C-BE32-E72D297353CC}">
              <c16:uniqueId val="{00000007-80D1-4BD7-89D3-D93415D2B3B8}"/>
            </c:ext>
          </c:extLst>
        </c:ser>
        <c:dLbls>
          <c:showLegendKey val="0"/>
          <c:showVal val="0"/>
          <c:showCatName val="0"/>
          <c:showSerName val="0"/>
          <c:showPercent val="0"/>
          <c:showBubbleSize val="0"/>
        </c:dLbls>
        <c:gapWidth val="47"/>
        <c:overlap val="100"/>
        <c:axId val="101898496"/>
        <c:axId val="101781504"/>
      </c:barChart>
      <c:lineChart>
        <c:grouping val="standard"/>
        <c:varyColors val="0"/>
        <c:ser>
          <c:idx val="8"/>
          <c:order val="8"/>
          <c:tx>
            <c:strRef>
              <c:f>'Trh práce 1'!$AK$7</c:f>
              <c:strCache>
                <c:ptCount val="1"/>
                <c:pt idx="0">
                  <c:v>Zaměstnanost celkem</c:v>
                </c:pt>
              </c:strCache>
            </c:strRef>
          </c:tx>
          <c:spPr>
            <a:ln w="22225">
              <a:solidFill>
                <a:schemeClr val="tx1">
                  <a:lumMod val="95000"/>
                  <a:lumOff val="5000"/>
                </a:schemeClr>
              </a:solidFill>
            </a:ln>
          </c:spPr>
          <c:marker>
            <c:symbol val="none"/>
          </c:marker>
          <c:cat>
            <c:multiLvlStrRef>
              <c:f>'Trh práce 1'!$AA$8:$AB$47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1'!$AK$8:$AK$47</c:f>
              <c:numCache>
                <c:formatCode>#\ ##0.0</c:formatCode>
                <c:ptCount val="40"/>
                <c:pt idx="0">
                  <c:v>-2.7611728966902263</c:v>
                </c:pt>
                <c:pt idx="1">
                  <c:v>-1.2304547773213699</c:v>
                </c:pt>
                <c:pt idx="2">
                  <c:v>-0.2006705163795317</c:v>
                </c:pt>
                <c:pt idx="3">
                  <c:v>9.3350190312023074E-2</c:v>
                </c:pt>
                <c:pt idx="4">
                  <c:v>6.9997371624495486E-2</c:v>
                </c:pt>
                <c:pt idx="5">
                  <c:v>3.5235802742903388E-3</c:v>
                </c:pt>
                <c:pt idx="6">
                  <c:v>-0.428054234540582</c:v>
                </c:pt>
                <c:pt idx="7">
                  <c:v>-0.73389998406837265</c:v>
                </c:pt>
                <c:pt idx="8">
                  <c:v>-6.312417449568386E-2</c:v>
                </c:pt>
                <c:pt idx="9">
                  <c:v>0.16940301964147864</c:v>
                </c:pt>
                <c:pt idx="10">
                  <c:v>0.66082271824052441</c:v>
                </c:pt>
                <c:pt idx="11">
                  <c:v>0.91394275165257</c:v>
                </c:pt>
                <c:pt idx="12">
                  <c:v>0.47051457854772138</c:v>
                </c:pt>
                <c:pt idx="13">
                  <c:v>0.69336196866028388</c:v>
                </c:pt>
                <c:pt idx="14">
                  <c:v>9.9922499038868295E-2</c:v>
                </c:pt>
                <c:pt idx="15">
                  <c:v>2.6788896996194467E-2</c:v>
                </c:pt>
                <c:pt idx="16">
                  <c:v>0.5510553546770609</c:v>
                </c:pt>
                <c:pt idx="17">
                  <c:v>5.7972686896661685E-2</c:v>
                </c:pt>
                <c:pt idx="18">
                  <c:v>0.6137644092551966</c:v>
                </c:pt>
                <c:pt idx="19">
                  <c:v>0.98590584797899794</c:v>
                </c:pt>
                <c:pt idx="20">
                  <c:v>1.2552291389531263</c:v>
                </c:pt>
                <c:pt idx="21">
                  <c:v>1.7443512811817357</c:v>
                </c:pt>
                <c:pt idx="22">
                  <c:v>1.3540066568638736</c:v>
                </c:pt>
                <c:pt idx="23">
                  <c:v>1.3578527827564244</c:v>
                </c:pt>
                <c:pt idx="24">
                  <c:v>1.6050176668570941</c:v>
                </c:pt>
                <c:pt idx="25">
                  <c:v>1.4090510221706865</c:v>
                </c:pt>
                <c:pt idx="26">
                  <c:v>1.5299979924778597</c:v>
                </c:pt>
                <c:pt idx="27">
                  <c:v>1.8150726409707829</c:v>
                </c:pt>
                <c:pt idx="28">
                  <c:v>1.4751728512273417</c:v>
                </c:pt>
                <c:pt idx="29">
                  <c:v>1.3670032325916708</c:v>
                </c:pt>
                <c:pt idx="30">
                  <c:v>1.9625116456640939</c:v>
                </c:pt>
                <c:pt idx="31">
                  <c:v>1.4104168354253801</c:v>
                </c:pt>
                <c:pt idx="32">
                  <c:v>1.4985228018525589</c:v>
                </c:pt>
                <c:pt idx="33">
                  <c:v>1.6847773496192104</c:v>
                </c:pt>
                <c:pt idx="34">
                  <c:v>0.96854451750488124</c:v>
                </c:pt>
                <c:pt idx="35">
                  <c:v>1.2409139260497426</c:v>
                </c:pt>
                <c:pt idx="36">
                  <c:v>1.3417911601888193</c:v>
                </c:pt>
                <c:pt idx="37">
                  <c:v>0.78676044103585241</c:v>
                </c:pt>
                <c:pt idx="38">
                  <c:v>0.58791720009277526</c:v>
                </c:pt>
                <c:pt idx="39">
                  <c:v>1.7655610760130003E-3</c:v>
                </c:pt>
              </c:numCache>
            </c:numRef>
          </c:val>
          <c:smooth val="0"/>
          <c:extLst>
            <c:ext xmlns:c16="http://schemas.microsoft.com/office/drawing/2014/chart" uri="{C3380CC4-5D6E-409C-BE32-E72D297353CC}">
              <c16:uniqueId val="{00000008-80D1-4BD7-89D3-D93415D2B3B8}"/>
            </c:ext>
          </c:extLst>
        </c:ser>
        <c:dLbls>
          <c:showLegendKey val="0"/>
          <c:showVal val="0"/>
          <c:showCatName val="0"/>
          <c:showSerName val="0"/>
          <c:showPercent val="0"/>
          <c:showBubbleSize val="0"/>
        </c:dLbls>
        <c:marker val="1"/>
        <c:smooth val="0"/>
        <c:axId val="101898496"/>
        <c:axId val="101781504"/>
      </c:lineChart>
      <c:lineChart>
        <c:grouping val="standard"/>
        <c:varyColors val="0"/>
        <c:ser>
          <c:idx val="9"/>
          <c:order val="9"/>
          <c:tx>
            <c:strRef>
              <c:f>'Trh práce 1'!$AL$7</c:f>
              <c:strCache>
                <c:ptCount val="1"/>
              </c:strCache>
            </c:strRef>
          </c:tx>
          <c:spPr>
            <a:ln>
              <a:noFill/>
            </a:ln>
          </c:spPr>
          <c:marker>
            <c:symbol val="none"/>
          </c:marker>
          <c:cat>
            <c:multiLvlStrRef>
              <c:f>'Trh práce 1'!$AA$8:$AB$47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1'!$AL$8:$AL$47</c:f>
              <c:numCache>
                <c:formatCode>General</c:formatCode>
                <c:ptCount val="40"/>
              </c:numCache>
            </c:numRef>
          </c:val>
          <c:smooth val="0"/>
          <c:extLst>
            <c:ext xmlns:c16="http://schemas.microsoft.com/office/drawing/2014/chart" uri="{C3380CC4-5D6E-409C-BE32-E72D297353CC}">
              <c16:uniqueId val="{00000009-80D1-4BD7-89D3-D93415D2B3B8}"/>
            </c:ext>
          </c:extLst>
        </c:ser>
        <c:ser>
          <c:idx val="10"/>
          <c:order val="10"/>
          <c:tx>
            <c:strRef>
              <c:f>'Trh práce 1'!$AM$7</c:f>
              <c:strCache>
                <c:ptCount val="1"/>
                <c:pt idx="0">
                  <c:v>Očekávání zaměstnanosti (průmysl)</c:v>
                </c:pt>
              </c:strCache>
            </c:strRef>
          </c:tx>
          <c:spPr>
            <a:ln w="15875">
              <a:solidFill>
                <a:schemeClr val="tx1">
                  <a:lumMod val="95000"/>
                  <a:lumOff val="5000"/>
                </a:schemeClr>
              </a:solidFill>
              <a:prstDash val="sysDot"/>
            </a:ln>
          </c:spPr>
          <c:marker>
            <c:symbol val="none"/>
          </c:marker>
          <c:cat>
            <c:multiLvlStrRef>
              <c:f>'Trh práce 1'!$AA$8:$AB$47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1'!$AM$8:$AM$47</c:f>
              <c:numCache>
                <c:formatCode>#\ ##0.0</c:formatCode>
                <c:ptCount val="40"/>
                <c:pt idx="0">
                  <c:v>-12.033333333333333</c:v>
                </c:pt>
                <c:pt idx="1">
                  <c:v>-8.6</c:v>
                </c:pt>
                <c:pt idx="2">
                  <c:v>-0.5333333333333331</c:v>
                </c:pt>
                <c:pt idx="3">
                  <c:v>5</c:v>
                </c:pt>
                <c:pt idx="4">
                  <c:v>14.766666666666666</c:v>
                </c:pt>
                <c:pt idx="5">
                  <c:v>4.166666666666667</c:v>
                </c:pt>
                <c:pt idx="6">
                  <c:v>3.0333333333333337</c:v>
                </c:pt>
                <c:pt idx="7">
                  <c:v>-0.66666666666666663</c:v>
                </c:pt>
                <c:pt idx="8">
                  <c:v>0.13333333333333341</c:v>
                </c:pt>
                <c:pt idx="9">
                  <c:v>-8.1666666666666661</c:v>
                </c:pt>
                <c:pt idx="10">
                  <c:v>-15.466666666666669</c:v>
                </c:pt>
                <c:pt idx="11">
                  <c:v>-14.033333333333333</c:v>
                </c:pt>
                <c:pt idx="12">
                  <c:v>-11.566666666666668</c:v>
                </c:pt>
                <c:pt idx="13">
                  <c:v>-10.833333333333334</c:v>
                </c:pt>
                <c:pt idx="14">
                  <c:v>-9.3333333333333339</c:v>
                </c:pt>
                <c:pt idx="15">
                  <c:v>-1.0333333333333334</c:v>
                </c:pt>
                <c:pt idx="16">
                  <c:v>-4.5</c:v>
                </c:pt>
                <c:pt idx="17">
                  <c:v>2.8666666666666667</c:v>
                </c:pt>
                <c:pt idx="18">
                  <c:v>2.3666666666666667</c:v>
                </c:pt>
                <c:pt idx="19">
                  <c:v>5.2666666666666666</c:v>
                </c:pt>
                <c:pt idx="20">
                  <c:v>0.66666666666666663</c:v>
                </c:pt>
                <c:pt idx="21">
                  <c:v>4.5</c:v>
                </c:pt>
                <c:pt idx="22">
                  <c:v>5.8666666666666671</c:v>
                </c:pt>
                <c:pt idx="23">
                  <c:v>9.6666666666666661</c:v>
                </c:pt>
                <c:pt idx="24">
                  <c:v>10.466666666666667</c:v>
                </c:pt>
                <c:pt idx="25">
                  <c:v>9.6666666666666661</c:v>
                </c:pt>
                <c:pt idx="26">
                  <c:v>4.833333333333333</c:v>
                </c:pt>
                <c:pt idx="27">
                  <c:v>8.7666666666666657</c:v>
                </c:pt>
                <c:pt idx="28">
                  <c:v>10.933333333333332</c:v>
                </c:pt>
                <c:pt idx="29">
                  <c:v>7.666666666666667</c:v>
                </c:pt>
                <c:pt idx="30">
                  <c:v>8.6999999999999993</c:v>
                </c:pt>
                <c:pt idx="31">
                  <c:v>8.5</c:v>
                </c:pt>
                <c:pt idx="32">
                  <c:v>12.266666666666666</c:v>
                </c:pt>
                <c:pt idx="33">
                  <c:v>8.4</c:v>
                </c:pt>
                <c:pt idx="34">
                  <c:v>7.5333333333333341</c:v>
                </c:pt>
                <c:pt idx="35">
                  <c:v>5.3666666666666671</c:v>
                </c:pt>
                <c:pt idx="36">
                  <c:v>2.2000000000000002</c:v>
                </c:pt>
                <c:pt idx="37">
                  <c:v>-0.53333333333333333</c:v>
                </c:pt>
                <c:pt idx="38">
                  <c:v>1.7</c:v>
                </c:pt>
                <c:pt idx="39">
                  <c:v>-3.6333333333333333</c:v>
                </c:pt>
              </c:numCache>
            </c:numRef>
          </c:val>
          <c:smooth val="0"/>
          <c:extLst>
            <c:ext xmlns:c16="http://schemas.microsoft.com/office/drawing/2014/chart" uri="{C3380CC4-5D6E-409C-BE32-E72D297353CC}">
              <c16:uniqueId val="{0000000A-80D1-4BD7-89D3-D93415D2B3B8}"/>
            </c:ext>
          </c:extLst>
        </c:ser>
        <c:ser>
          <c:idx val="11"/>
          <c:order val="11"/>
          <c:tx>
            <c:strRef>
              <c:f>'Trh práce 1'!$AN$7</c:f>
              <c:strCache>
                <c:ptCount val="1"/>
                <c:pt idx="0">
                  <c:v>Očekávání zaměstnanosti (stavebnictví)</c:v>
                </c:pt>
              </c:strCache>
            </c:strRef>
          </c:tx>
          <c:spPr>
            <a:ln w="15875">
              <a:solidFill>
                <a:srgbClr val="00B0F0"/>
              </a:solidFill>
              <a:prstDash val="sysDot"/>
            </a:ln>
          </c:spPr>
          <c:marker>
            <c:symbol val="none"/>
          </c:marker>
          <c:cat>
            <c:multiLvlStrRef>
              <c:f>'Trh práce 1'!$AA$8:$AB$47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1'!$AN$8:$AN$47</c:f>
              <c:numCache>
                <c:formatCode>#\ ##0.0</c:formatCode>
                <c:ptCount val="40"/>
                <c:pt idx="0">
                  <c:v>-21.533333333333331</c:v>
                </c:pt>
                <c:pt idx="1">
                  <c:v>-26.166666666666668</c:v>
                </c:pt>
                <c:pt idx="2">
                  <c:v>-28.866666666666664</c:v>
                </c:pt>
                <c:pt idx="3">
                  <c:v>-33.833333333333336</c:v>
                </c:pt>
                <c:pt idx="4">
                  <c:v>-26.866666666666664</c:v>
                </c:pt>
                <c:pt idx="5">
                  <c:v>-28.7</c:v>
                </c:pt>
                <c:pt idx="6">
                  <c:v>-24.899999999999995</c:v>
                </c:pt>
                <c:pt idx="7">
                  <c:v>-23.533333333333331</c:v>
                </c:pt>
                <c:pt idx="8">
                  <c:v>-30.833333333333332</c:v>
                </c:pt>
                <c:pt idx="9">
                  <c:v>-30.633333333333336</c:v>
                </c:pt>
                <c:pt idx="10">
                  <c:v>-24.400000000000002</c:v>
                </c:pt>
                <c:pt idx="11">
                  <c:v>-30.8</c:v>
                </c:pt>
                <c:pt idx="12">
                  <c:v>-33.199999999999996</c:v>
                </c:pt>
                <c:pt idx="13">
                  <c:v>-40.1</c:v>
                </c:pt>
                <c:pt idx="14">
                  <c:v>-38.1</c:v>
                </c:pt>
                <c:pt idx="15">
                  <c:v>-27.433333333333337</c:v>
                </c:pt>
                <c:pt idx="16">
                  <c:v>-24.599999999999998</c:v>
                </c:pt>
                <c:pt idx="17">
                  <c:v>-16.599999999999998</c:v>
                </c:pt>
                <c:pt idx="18">
                  <c:v>-13.233333333333333</c:v>
                </c:pt>
                <c:pt idx="19">
                  <c:v>-8.9666666666666668</c:v>
                </c:pt>
                <c:pt idx="20">
                  <c:v>6.6666666666666693E-2</c:v>
                </c:pt>
                <c:pt idx="21">
                  <c:v>6.2666666666666666</c:v>
                </c:pt>
                <c:pt idx="22">
                  <c:v>3.0333333333333337</c:v>
                </c:pt>
                <c:pt idx="23">
                  <c:v>2.8333333333333335</c:v>
                </c:pt>
                <c:pt idx="24">
                  <c:v>-3.3333333333333361E-2</c:v>
                </c:pt>
                <c:pt idx="25">
                  <c:v>-5.833333333333333</c:v>
                </c:pt>
                <c:pt idx="26">
                  <c:v>-7.9333333333333336</c:v>
                </c:pt>
                <c:pt idx="27">
                  <c:v>-9.2666666666666657</c:v>
                </c:pt>
                <c:pt idx="28">
                  <c:v>-10.033333333333333</c:v>
                </c:pt>
                <c:pt idx="29">
                  <c:v>-11</c:v>
                </c:pt>
                <c:pt idx="30">
                  <c:v>-10.5</c:v>
                </c:pt>
                <c:pt idx="31">
                  <c:v>-3.2666666666666671</c:v>
                </c:pt>
                <c:pt idx="32">
                  <c:v>3.0666666666666664</c:v>
                </c:pt>
                <c:pt idx="33">
                  <c:v>5.0999999999999996</c:v>
                </c:pt>
                <c:pt idx="34">
                  <c:v>7.5999999999999988</c:v>
                </c:pt>
                <c:pt idx="35">
                  <c:v>12.133333333333335</c:v>
                </c:pt>
                <c:pt idx="36">
                  <c:v>11.800000000000002</c:v>
                </c:pt>
                <c:pt idx="37">
                  <c:v>12.033333333333333</c:v>
                </c:pt>
                <c:pt idx="38">
                  <c:v>6.1000000000000005</c:v>
                </c:pt>
                <c:pt idx="39">
                  <c:v>12.466666666666667</c:v>
                </c:pt>
              </c:numCache>
            </c:numRef>
          </c:val>
          <c:smooth val="0"/>
          <c:extLst>
            <c:ext xmlns:c16="http://schemas.microsoft.com/office/drawing/2014/chart" uri="{C3380CC4-5D6E-409C-BE32-E72D297353CC}">
              <c16:uniqueId val="{0000000B-80D1-4BD7-89D3-D93415D2B3B8}"/>
            </c:ext>
          </c:extLst>
        </c:ser>
        <c:ser>
          <c:idx val="12"/>
          <c:order val="12"/>
          <c:tx>
            <c:strRef>
              <c:f>'Trh práce 1'!$AO$7</c:f>
              <c:strCache>
                <c:ptCount val="1"/>
                <c:pt idx="0">
                  <c:v>Očekávání zaměstnanosti (obchod)</c:v>
                </c:pt>
              </c:strCache>
            </c:strRef>
          </c:tx>
          <c:spPr>
            <a:ln w="15875">
              <a:solidFill>
                <a:schemeClr val="accent6">
                  <a:lumMod val="75000"/>
                </a:schemeClr>
              </a:solidFill>
              <a:prstDash val="sysDot"/>
            </a:ln>
          </c:spPr>
          <c:marker>
            <c:symbol val="none"/>
          </c:marker>
          <c:cat>
            <c:multiLvlStrRef>
              <c:f>'Trh práce 1'!$AA$8:$AB$47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1'!$AO$8:$AO$47</c:f>
              <c:numCache>
                <c:formatCode>#\ ##0.0</c:formatCode>
                <c:ptCount val="40"/>
                <c:pt idx="0">
                  <c:v>9.0333333333333332</c:v>
                </c:pt>
                <c:pt idx="1">
                  <c:v>2.9</c:v>
                </c:pt>
                <c:pt idx="2">
                  <c:v>1.3</c:v>
                </c:pt>
                <c:pt idx="3">
                  <c:v>8.9666666666666668</c:v>
                </c:pt>
                <c:pt idx="4">
                  <c:v>10.866666666666667</c:v>
                </c:pt>
                <c:pt idx="5">
                  <c:v>9.8666666666666671</c:v>
                </c:pt>
                <c:pt idx="6">
                  <c:v>2.7666666666666671</c:v>
                </c:pt>
                <c:pt idx="7">
                  <c:v>12.233333333333334</c:v>
                </c:pt>
                <c:pt idx="8">
                  <c:v>0.46666666666666679</c:v>
                </c:pt>
                <c:pt idx="9">
                  <c:v>7.2</c:v>
                </c:pt>
                <c:pt idx="10">
                  <c:v>0.56666666666666676</c:v>
                </c:pt>
                <c:pt idx="11">
                  <c:v>7.4000000000000012</c:v>
                </c:pt>
                <c:pt idx="12">
                  <c:v>0.9</c:v>
                </c:pt>
                <c:pt idx="13">
                  <c:v>3.2333333333333329</c:v>
                </c:pt>
                <c:pt idx="14">
                  <c:v>7.166666666666667</c:v>
                </c:pt>
                <c:pt idx="15">
                  <c:v>1.3666666666666665</c:v>
                </c:pt>
                <c:pt idx="16">
                  <c:v>6</c:v>
                </c:pt>
                <c:pt idx="17">
                  <c:v>-5.7333333333333334</c:v>
                </c:pt>
                <c:pt idx="18">
                  <c:v>3.6999999999999997</c:v>
                </c:pt>
                <c:pt idx="19">
                  <c:v>7.2333333333333334</c:v>
                </c:pt>
                <c:pt idx="20">
                  <c:v>13.266666666666666</c:v>
                </c:pt>
                <c:pt idx="21">
                  <c:v>7.5333333333333341</c:v>
                </c:pt>
                <c:pt idx="22">
                  <c:v>4.4333333333333336</c:v>
                </c:pt>
                <c:pt idx="23">
                  <c:v>4.5</c:v>
                </c:pt>
                <c:pt idx="24">
                  <c:v>15.633333333333333</c:v>
                </c:pt>
                <c:pt idx="25">
                  <c:v>21.466666666666669</c:v>
                </c:pt>
                <c:pt idx="26">
                  <c:v>20.633333333333333</c:v>
                </c:pt>
                <c:pt idx="27">
                  <c:v>16.933333333333334</c:v>
                </c:pt>
                <c:pt idx="28">
                  <c:v>16.633333333333336</c:v>
                </c:pt>
                <c:pt idx="29">
                  <c:v>18.8</c:v>
                </c:pt>
                <c:pt idx="30">
                  <c:v>19.266666666666666</c:v>
                </c:pt>
                <c:pt idx="31">
                  <c:v>13.733333333333334</c:v>
                </c:pt>
                <c:pt idx="32">
                  <c:v>24.333333333333332</c:v>
                </c:pt>
                <c:pt idx="33">
                  <c:v>28.833333333333332</c:v>
                </c:pt>
                <c:pt idx="34">
                  <c:v>24.866666666666664</c:v>
                </c:pt>
                <c:pt idx="35">
                  <c:v>18.766666666666669</c:v>
                </c:pt>
                <c:pt idx="36">
                  <c:v>15.633333333333335</c:v>
                </c:pt>
                <c:pt idx="37">
                  <c:v>14.033333333333333</c:v>
                </c:pt>
                <c:pt idx="38">
                  <c:v>15.200000000000001</c:v>
                </c:pt>
                <c:pt idx="39">
                  <c:v>13.233333333333334</c:v>
                </c:pt>
              </c:numCache>
            </c:numRef>
          </c:val>
          <c:smooth val="0"/>
          <c:extLst>
            <c:ext xmlns:c16="http://schemas.microsoft.com/office/drawing/2014/chart" uri="{C3380CC4-5D6E-409C-BE32-E72D297353CC}">
              <c16:uniqueId val="{0000000C-80D1-4BD7-89D3-D93415D2B3B8}"/>
            </c:ext>
          </c:extLst>
        </c:ser>
        <c:ser>
          <c:idx val="13"/>
          <c:order val="13"/>
          <c:tx>
            <c:strRef>
              <c:f>'Trh práce 1'!$AP$7</c:f>
              <c:strCache>
                <c:ptCount val="1"/>
                <c:pt idx="0">
                  <c:v>Očekávání zaměstnanosti (vybr. služby)</c:v>
                </c:pt>
              </c:strCache>
            </c:strRef>
          </c:tx>
          <c:spPr>
            <a:ln w="15875">
              <a:solidFill>
                <a:srgbClr val="C00000"/>
              </a:solidFill>
              <a:prstDash val="sysDot"/>
            </a:ln>
          </c:spPr>
          <c:marker>
            <c:symbol val="none"/>
          </c:marker>
          <c:cat>
            <c:multiLvlStrRef>
              <c:f>'Trh práce 1'!$AA$8:$AB$47</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1'!$AP$8:$AP$47</c:f>
              <c:numCache>
                <c:formatCode>#\ ##0.0</c:formatCode>
                <c:ptCount val="40"/>
                <c:pt idx="0">
                  <c:v>-8.2333333333333325</c:v>
                </c:pt>
                <c:pt idx="1">
                  <c:v>-8.2666666666666657</c:v>
                </c:pt>
                <c:pt idx="2">
                  <c:v>-2.2666666666666666</c:v>
                </c:pt>
                <c:pt idx="3">
                  <c:v>-11.6</c:v>
                </c:pt>
                <c:pt idx="4">
                  <c:v>-16.033333333333335</c:v>
                </c:pt>
                <c:pt idx="5">
                  <c:v>-11.266666666666666</c:v>
                </c:pt>
                <c:pt idx="6">
                  <c:v>-8.8333333333333339</c:v>
                </c:pt>
                <c:pt idx="7">
                  <c:v>-4.2</c:v>
                </c:pt>
                <c:pt idx="8">
                  <c:v>-3.3000000000000003</c:v>
                </c:pt>
                <c:pt idx="9">
                  <c:v>-10.033333333333333</c:v>
                </c:pt>
                <c:pt idx="10">
                  <c:v>-8.6333333333333329</c:v>
                </c:pt>
                <c:pt idx="11">
                  <c:v>-3.1666666666666665</c:v>
                </c:pt>
                <c:pt idx="12">
                  <c:v>-9.5</c:v>
                </c:pt>
                <c:pt idx="13">
                  <c:v>-33.133333333333333</c:v>
                </c:pt>
                <c:pt idx="14">
                  <c:v>-24.033333333333331</c:v>
                </c:pt>
                <c:pt idx="15">
                  <c:v>-14.366666666666665</c:v>
                </c:pt>
                <c:pt idx="16">
                  <c:v>-14.4</c:v>
                </c:pt>
                <c:pt idx="17">
                  <c:v>-8.8999999999999986</c:v>
                </c:pt>
                <c:pt idx="18">
                  <c:v>-12.833333333333334</c:v>
                </c:pt>
                <c:pt idx="19">
                  <c:v>-10.066666666666668</c:v>
                </c:pt>
                <c:pt idx="20">
                  <c:v>-15.933333333333332</c:v>
                </c:pt>
                <c:pt idx="21">
                  <c:v>-17.366666666666667</c:v>
                </c:pt>
                <c:pt idx="22">
                  <c:v>0.16666666666666666</c:v>
                </c:pt>
                <c:pt idx="23">
                  <c:v>1.6000000000000003</c:v>
                </c:pt>
                <c:pt idx="24">
                  <c:v>2.2333333333333329</c:v>
                </c:pt>
                <c:pt idx="25">
                  <c:v>22.833333333333332</c:v>
                </c:pt>
                <c:pt idx="26">
                  <c:v>-0.33333333333333331</c:v>
                </c:pt>
                <c:pt idx="27">
                  <c:v>7.6000000000000005</c:v>
                </c:pt>
                <c:pt idx="28">
                  <c:v>11.633333333333333</c:v>
                </c:pt>
                <c:pt idx="29">
                  <c:v>9.7666666666666675</c:v>
                </c:pt>
                <c:pt idx="30">
                  <c:v>17.733333333333331</c:v>
                </c:pt>
                <c:pt idx="31">
                  <c:v>3.5666666666666664</c:v>
                </c:pt>
                <c:pt idx="32">
                  <c:v>14.299999999999999</c:v>
                </c:pt>
                <c:pt idx="33">
                  <c:v>10.1</c:v>
                </c:pt>
                <c:pt idx="34">
                  <c:v>6.0666666666666664</c:v>
                </c:pt>
                <c:pt idx="35">
                  <c:v>-6.9666666666666659</c:v>
                </c:pt>
                <c:pt idx="36">
                  <c:v>-12.033333333333331</c:v>
                </c:pt>
                <c:pt idx="37">
                  <c:v>-6.4666666666666677</c:v>
                </c:pt>
                <c:pt idx="38">
                  <c:v>-7.9666666666666677</c:v>
                </c:pt>
                <c:pt idx="39">
                  <c:v>-11.799999999999999</c:v>
                </c:pt>
              </c:numCache>
            </c:numRef>
          </c:val>
          <c:smooth val="0"/>
          <c:extLst>
            <c:ext xmlns:c16="http://schemas.microsoft.com/office/drawing/2014/chart" uri="{C3380CC4-5D6E-409C-BE32-E72D297353CC}">
              <c16:uniqueId val="{0000000D-80D1-4BD7-89D3-D93415D2B3B8}"/>
            </c:ext>
          </c:extLst>
        </c:ser>
        <c:dLbls>
          <c:showLegendKey val="0"/>
          <c:showVal val="0"/>
          <c:showCatName val="0"/>
          <c:showSerName val="0"/>
          <c:showPercent val="0"/>
          <c:showBubbleSize val="0"/>
        </c:dLbls>
        <c:marker val="1"/>
        <c:smooth val="0"/>
        <c:axId val="332941824"/>
        <c:axId val="332936832"/>
      </c:lineChart>
      <c:catAx>
        <c:axId val="101898496"/>
        <c:scaling>
          <c:orientation val="minMax"/>
        </c:scaling>
        <c:delete val="0"/>
        <c:axPos val="b"/>
        <c:numFmt formatCode="General" sourceLinked="1"/>
        <c:majorTickMark val="out"/>
        <c:minorTickMark val="none"/>
        <c:tickLblPos val="low"/>
        <c:spPr>
          <a:ln>
            <a:solidFill>
              <a:schemeClr val="tx1"/>
            </a:solidFill>
          </a:ln>
        </c:spPr>
        <c:crossAx val="101781504"/>
        <c:crosses val="autoZero"/>
        <c:auto val="1"/>
        <c:lblAlgn val="ctr"/>
        <c:lblOffset val="10"/>
        <c:noMultiLvlLbl val="0"/>
      </c:catAx>
      <c:valAx>
        <c:axId val="101781504"/>
        <c:scaling>
          <c:orientation val="minMax"/>
          <c:max val="2"/>
          <c:min val="-3"/>
        </c:scaling>
        <c:delete val="0"/>
        <c:axPos val="l"/>
        <c:majorGridlines>
          <c:spPr>
            <a:ln w="6350">
              <a:solidFill>
                <a:schemeClr val="bg1">
                  <a:lumMod val="75000"/>
                </a:schemeClr>
              </a:solidFill>
            </a:ln>
          </c:spPr>
        </c:majorGridlines>
        <c:title>
          <c:tx>
            <c:rich>
              <a:bodyPr/>
              <a:lstStyle/>
              <a:p>
                <a:pPr>
                  <a:defRPr sz="700" b="0" i="1"/>
                </a:pPr>
                <a:r>
                  <a:rPr lang="cs-CZ" sz="700" b="0" i="1"/>
                  <a:t>Příspěvek</a:t>
                </a:r>
                <a:r>
                  <a:rPr lang="cs-CZ" sz="700" b="0" i="1" baseline="0"/>
                  <a:t> k růstu zaměstnanosti</a:t>
                </a:r>
                <a:endParaRPr lang="cs-CZ" sz="700" b="0" i="1"/>
              </a:p>
            </c:rich>
          </c:tx>
          <c:layout>
            <c:manualLayout>
              <c:xMode val="edge"/>
              <c:yMode val="edge"/>
              <c:x val="0"/>
              <c:y val="0.15110810581510684"/>
            </c:manualLayout>
          </c:layout>
          <c:overlay val="0"/>
        </c:title>
        <c:numFmt formatCode="0.0" sourceLinked="0"/>
        <c:majorTickMark val="out"/>
        <c:minorTickMark val="none"/>
        <c:tickLblPos val="nextTo"/>
        <c:spPr>
          <a:ln>
            <a:solidFill>
              <a:schemeClr val="tx1"/>
            </a:solidFill>
          </a:ln>
        </c:spPr>
        <c:crossAx val="101898496"/>
        <c:crosses val="autoZero"/>
        <c:crossBetween val="between"/>
        <c:majorUnit val="0.5"/>
      </c:valAx>
      <c:valAx>
        <c:axId val="332936832"/>
        <c:scaling>
          <c:orientation val="minMax"/>
          <c:max val="120"/>
          <c:min val="-80"/>
        </c:scaling>
        <c:delete val="0"/>
        <c:axPos val="r"/>
        <c:title>
          <c:tx>
            <c:rich>
              <a:bodyPr/>
              <a:lstStyle/>
              <a:p>
                <a:pPr>
                  <a:defRPr sz="700" b="0" i="1"/>
                </a:pPr>
                <a:r>
                  <a:rPr lang="cs-CZ" sz="700" b="0" i="1"/>
                  <a:t>Očekávání</a:t>
                </a:r>
                <a:r>
                  <a:rPr lang="cs-CZ" sz="700" b="0" i="1" baseline="0"/>
                  <a:t> vývoje zaměstnanosti</a:t>
                </a:r>
                <a:endParaRPr lang="cs-CZ" sz="700" b="0" i="1"/>
              </a:p>
            </c:rich>
          </c:tx>
          <c:layout>
            <c:manualLayout>
              <c:xMode val="edge"/>
              <c:yMode val="edge"/>
              <c:x val="0.97040343782834393"/>
              <c:y val="0.19420735772001382"/>
            </c:manualLayout>
          </c:layout>
          <c:overlay val="0"/>
        </c:title>
        <c:numFmt formatCode="#,##0" sourceLinked="0"/>
        <c:majorTickMark val="out"/>
        <c:minorTickMark val="none"/>
        <c:tickLblPos val="nextTo"/>
        <c:crossAx val="332941824"/>
        <c:crosses val="max"/>
        <c:crossBetween val="between"/>
        <c:majorUnit val="20"/>
      </c:valAx>
      <c:catAx>
        <c:axId val="332941824"/>
        <c:scaling>
          <c:orientation val="minMax"/>
        </c:scaling>
        <c:delete val="1"/>
        <c:axPos val="b"/>
        <c:numFmt formatCode="General" sourceLinked="1"/>
        <c:majorTickMark val="out"/>
        <c:minorTickMark val="none"/>
        <c:tickLblPos val="nextTo"/>
        <c:crossAx val="332936832"/>
        <c:crosses val="autoZero"/>
        <c:auto val="1"/>
        <c:lblAlgn val="ctr"/>
        <c:lblOffset val="100"/>
        <c:noMultiLvlLbl val="0"/>
      </c:catAx>
      <c:spPr>
        <a:ln>
          <a:solidFill>
            <a:schemeClr val="tx1"/>
          </a:solidFill>
        </a:ln>
      </c:spPr>
    </c:plotArea>
    <c:legend>
      <c:legendPos val="b"/>
      <c:layout>
        <c:manualLayout>
          <c:xMode val="edge"/>
          <c:yMode val="edge"/>
          <c:x val="4.692510837063792E-3"/>
          <c:y val="0.7737351285059999"/>
          <c:w val="0.96005692595618608"/>
          <c:h val="0.2119461831534994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2697263565753378E-2"/>
          <c:y val="1.643251153889452E-2"/>
          <c:w val="0.85454194986526066"/>
          <c:h val="0.7575347819089191"/>
        </c:manualLayout>
      </c:layout>
      <c:barChart>
        <c:barDir val="col"/>
        <c:grouping val="clustered"/>
        <c:varyColors val="0"/>
        <c:ser>
          <c:idx val="0"/>
          <c:order val="0"/>
          <c:tx>
            <c:strRef>
              <c:f>'Trh práce-2b'!$A$31</c:f>
              <c:strCache>
                <c:ptCount val="1"/>
                <c:pt idx="0">
                  <c:v>Míra nezaměstnanosti mužů (levá osa)</c:v>
                </c:pt>
              </c:strCache>
            </c:strRef>
          </c:tx>
          <c:spPr>
            <a:solidFill>
              <a:srgbClr val="BCBCBC"/>
            </a:solidFill>
          </c:spPr>
          <c:invertIfNegative val="0"/>
          <c:cat>
            <c:multiLvlStrRef>
              <c:f>'Trh práce-2b'!$B$29:$AO$30</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práce-2b'!$B$31:$AO$31</c:f>
              <c:numCache>
                <c:formatCode>0.0</c:formatCode>
                <c:ptCount val="40"/>
                <c:pt idx="0">
                  <c:v>7.1222310587771291</c:v>
                </c:pt>
                <c:pt idx="1">
                  <c:v>6.5040963590294716</c:v>
                </c:pt>
                <c:pt idx="2">
                  <c:v>6.1868298155356714</c:v>
                </c:pt>
                <c:pt idx="3">
                  <c:v>6.0848882855580584</c:v>
                </c:pt>
                <c:pt idx="4">
                  <c:v>6.0823251809830436</c:v>
                </c:pt>
                <c:pt idx="5">
                  <c:v>5.9928759221196399</c:v>
                </c:pt>
                <c:pt idx="6">
                  <c:v>5.7708185494822901</c:v>
                </c:pt>
                <c:pt idx="7">
                  <c:v>5.7014641222192459</c:v>
                </c:pt>
                <c:pt idx="8">
                  <c:v>6.0239816383476628</c:v>
                </c:pt>
                <c:pt idx="9">
                  <c:v>5.9801789293095675</c:v>
                </c:pt>
                <c:pt idx="10">
                  <c:v>6.0589931989742736</c:v>
                </c:pt>
                <c:pt idx="11">
                  <c:v>6.2657814315983247</c:v>
                </c:pt>
                <c:pt idx="12">
                  <c:v>6.2974849295155861</c:v>
                </c:pt>
                <c:pt idx="13">
                  <c:v>5.8901278612560946</c:v>
                </c:pt>
                <c:pt idx="14">
                  <c:v>5.9288110102844094</c:v>
                </c:pt>
                <c:pt idx="15">
                  <c:v>5.7714934517862053</c:v>
                </c:pt>
                <c:pt idx="16">
                  <c:v>5.559785395869663</c:v>
                </c:pt>
                <c:pt idx="17">
                  <c:v>5.2121421394263416</c:v>
                </c:pt>
                <c:pt idx="18">
                  <c:v>4.9395151914829318</c:v>
                </c:pt>
                <c:pt idx="19">
                  <c:v>5.0388256676825582</c:v>
                </c:pt>
                <c:pt idx="20">
                  <c:v>5.0131874044559908</c:v>
                </c:pt>
                <c:pt idx="21">
                  <c:v>4.3665973324378511</c:v>
                </c:pt>
                <c:pt idx="22">
                  <c:v>4.0729915934785934</c:v>
                </c:pt>
                <c:pt idx="23">
                  <c:v>3.7787875638426542</c:v>
                </c:pt>
                <c:pt idx="24">
                  <c:v>3.6311432847180378</c:v>
                </c:pt>
                <c:pt idx="25">
                  <c:v>3.5884049321478262</c:v>
                </c:pt>
                <c:pt idx="26">
                  <c:v>3.3848774667099542</c:v>
                </c:pt>
                <c:pt idx="27">
                  <c:v>3.1582150231520685</c:v>
                </c:pt>
                <c:pt idx="28">
                  <c:v>2.6944030725801049</c:v>
                </c:pt>
                <c:pt idx="29">
                  <c:v>2.4854239584490876</c:v>
                </c:pt>
                <c:pt idx="30">
                  <c:v>2.2612852951801585</c:v>
                </c:pt>
                <c:pt idx="31">
                  <c:v>2.040692712952787</c:v>
                </c:pt>
                <c:pt idx="32">
                  <c:v>1.8847925419201967</c:v>
                </c:pt>
                <c:pt idx="33">
                  <c:v>1.8540598888851292</c:v>
                </c:pt>
                <c:pt idx="34">
                  <c:v>1.9092987517683013</c:v>
                </c:pt>
                <c:pt idx="35">
                  <c:v>1.6599173719031948</c:v>
                </c:pt>
                <c:pt idx="36">
                  <c:v>1.7882609909945124</c:v>
                </c:pt>
                <c:pt idx="37">
                  <c:v>1.7098991555637735</c:v>
                </c:pt>
                <c:pt idx="38">
                  <c:v>1.7645142593045797</c:v>
                </c:pt>
                <c:pt idx="39">
                  <c:v>1.8360188093062124</c:v>
                </c:pt>
              </c:numCache>
            </c:numRef>
          </c:val>
          <c:extLst>
            <c:ext xmlns:c16="http://schemas.microsoft.com/office/drawing/2014/chart" uri="{C3380CC4-5D6E-409C-BE32-E72D297353CC}">
              <c16:uniqueId val="{00000000-EDA3-4A7F-814E-96B020043071}"/>
            </c:ext>
          </c:extLst>
        </c:ser>
        <c:ser>
          <c:idx val="1"/>
          <c:order val="1"/>
          <c:tx>
            <c:strRef>
              <c:f>'Trh práce-2b'!$A$32</c:f>
              <c:strCache>
                <c:ptCount val="1"/>
                <c:pt idx="0">
                  <c:v>Míra nezaměstnanosti žen (levá osa)</c:v>
                </c:pt>
              </c:strCache>
            </c:strRef>
          </c:tx>
          <c:spPr>
            <a:solidFill>
              <a:srgbClr val="DBDBDB"/>
            </a:solidFill>
          </c:spPr>
          <c:invertIfNegative val="0"/>
          <c:cat>
            <c:multiLvlStrRef>
              <c:f>'Trh práce-2b'!$B$29:$AO$30</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práce-2b'!$B$32:$AO$32</c:f>
              <c:numCache>
                <c:formatCode>0.0</c:formatCode>
                <c:ptCount val="40"/>
                <c:pt idx="0">
                  <c:v>8.7733402383789016</c:v>
                </c:pt>
                <c:pt idx="1">
                  <c:v>8.5938620698086066</c:v>
                </c:pt>
                <c:pt idx="2">
                  <c:v>8.4905329595836481</c:v>
                </c:pt>
                <c:pt idx="3">
                  <c:v>8.2864813825391987</c:v>
                </c:pt>
                <c:pt idx="4">
                  <c:v>8.1849032102688568</c:v>
                </c:pt>
                <c:pt idx="5">
                  <c:v>8.1327892524667682</c:v>
                </c:pt>
                <c:pt idx="6">
                  <c:v>7.7852582093109755</c:v>
                </c:pt>
                <c:pt idx="7">
                  <c:v>7.7218638220286584</c:v>
                </c:pt>
                <c:pt idx="8">
                  <c:v>8.0487235217360134</c:v>
                </c:pt>
                <c:pt idx="9">
                  <c:v>8.1767532390671356</c:v>
                </c:pt>
                <c:pt idx="10">
                  <c:v>8.3337721655396795</c:v>
                </c:pt>
                <c:pt idx="11">
                  <c:v>8.5386853099826521</c:v>
                </c:pt>
                <c:pt idx="12">
                  <c:v>8.5152821206058942</c:v>
                </c:pt>
                <c:pt idx="13">
                  <c:v>8.4036038465033425</c:v>
                </c:pt>
                <c:pt idx="14">
                  <c:v>8.3854818028639304</c:v>
                </c:pt>
                <c:pt idx="15">
                  <c:v>8.2646869829213596</c:v>
                </c:pt>
                <c:pt idx="16">
                  <c:v>8.0359917337276272</c:v>
                </c:pt>
                <c:pt idx="17">
                  <c:v>7.6400306885858456</c:v>
                </c:pt>
                <c:pt idx="18">
                  <c:v>7.3084030205244295</c:v>
                </c:pt>
                <c:pt idx="19">
                  <c:v>7.0236358007751685</c:v>
                </c:pt>
                <c:pt idx="20">
                  <c:v>6.9017066920912056</c:v>
                </c:pt>
                <c:pt idx="21">
                  <c:v>6.2230788817730209</c:v>
                </c:pt>
                <c:pt idx="22">
                  <c:v>5.9454546131348947</c:v>
                </c:pt>
                <c:pt idx="23">
                  <c:v>5.6469230753439321</c:v>
                </c:pt>
                <c:pt idx="24">
                  <c:v>5.0811354114478666</c:v>
                </c:pt>
                <c:pt idx="25">
                  <c:v>4.8144257379947879</c:v>
                </c:pt>
                <c:pt idx="26">
                  <c:v>4.8107664564398975</c:v>
                </c:pt>
                <c:pt idx="27">
                  <c:v>4.3670752340835293</c:v>
                </c:pt>
                <c:pt idx="28">
                  <c:v>4.2774258523174993</c:v>
                </c:pt>
                <c:pt idx="29">
                  <c:v>3.9233706935585384</c:v>
                </c:pt>
                <c:pt idx="30">
                  <c:v>3.3879677757094817</c:v>
                </c:pt>
                <c:pt idx="31">
                  <c:v>3.0614906274190763</c:v>
                </c:pt>
                <c:pt idx="32">
                  <c:v>2.925945543020672</c:v>
                </c:pt>
                <c:pt idx="33">
                  <c:v>2.8766197502061659</c:v>
                </c:pt>
                <c:pt idx="34">
                  <c:v>2.8424748719260826</c:v>
                </c:pt>
                <c:pt idx="35">
                  <c:v>2.6569960181597883</c:v>
                </c:pt>
                <c:pt idx="36">
                  <c:v>2.2907914537077962</c:v>
                </c:pt>
                <c:pt idx="37">
                  <c:v>2.4938344627531768</c:v>
                </c:pt>
                <c:pt idx="38">
                  <c:v>2.5519285145904789</c:v>
                </c:pt>
                <c:pt idx="39">
                  <c:v>2.4255311475670802</c:v>
                </c:pt>
              </c:numCache>
            </c:numRef>
          </c:val>
          <c:extLst>
            <c:ext xmlns:c16="http://schemas.microsoft.com/office/drawing/2014/chart" uri="{C3380CC4-5D6E-409C-BE32-E72D297353CC}">
              <c16:uniqueId val="{00000001-EDA3-4A7F-814E-96B020043071}"/>
            </c:ext>
          </c:extLst>
        </c:ser>
        <c:dLbls>
          <c:showLegendKey val="0"/>
          <c:showVal val="0"/>
          <c:showCatName val="0"/>
          <c:showSerName val="0"/>
          <c:showPercent val="0"/>
          <c:showBubbleSize val="0"/>
        </c:dLbls>
        <c:gapWidth val="68"/>
        <c:axId val="100654464"/>
        <c:axId val="101647488"/>
      </c:barChart>
      <c:lineChart>
        <c:grouping val="standard"/>
        <c:varyColors val="0"/>
        <c:ser>
          <c:idx val="2"/>
          <c:order val="2"/>
          <c:tx>
            <c:strRef>
              <c:f>'Trh práce-2b'!$A$33</c:f>
              <c:strCache>
                <c:ptCount val="1"/>
                <c:pt idx="0">
                  <c:v>Podíl nezam. déle než 1 rok (v %, pr. osa)</c:v>
                </c:pt>
              </c:strCache>
            </c:strRef>
          </c:tx>
          <c:spPr>
            <a:ln w="22225"/>
          </c:spPr>
          <c:marker>
            <c:symbol val="none"/>
          </c:marker>
          <c:cat>
            <c:multiLvlStrRef>
              <c:f>'Trh práce-2b'!$B$29:$AO$30</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práce-2b'!$B$33:$AO$33</c:f>
              <c:numCache>
                <c:formatCode>0.0</c:formatCode>
                <c:ptCount val="40"/>
                <c:pt idx="0">
                  <c:v>35.786982248520715</c:v>
                </c:pt>
                <c:pt idx="1">
                  <c:v>41.548731642189587</c:v>
                </c:pt>
                <c:pt idx="2">
                  <c:v>43.063352044907781</c:v>
                </c:pt>
                <c:pt idx="3">
                  <c:v>44.061724993111056</c:v>
                </c:pt>
                <c:pt idx="4">
                  <c:v>40.032197477864237</c:v>
                </c:pt>
                <c:pt idx="5">
                  <c:v>39.10073989755265</c:v>
                </c:pt>
                <c:pt idx="6">
                  <c:v>40.443536620951271</c:v>
                </c:pt>
                <c:pt idx="7">
                  <c:v>42.797494780793315</c:v>
                </c:pt>
                <c:pt idx="8">
                  <c:v>43.093174431202605</c:v>
                </c:pt>
                <c:pt idx="9">
                  <c:v>44.343117697349683</c:v>
                </c:pt>
                <c:pt idx="10">
                  <c:v>43.272628431639035</c:v>
                </c:pt>
                <c:pt idx="11">
                  <c:v>42.710255734247298</c:v>
                </c:pt>
                <c:pt idx="12">
                  <c:v>43.264578558696208</c:v>
                </c:pt>
                <c:pt idx="13">
                  <c:v>44.41340782122905</c:v>
                </c:pt>
                <c:pt idx="14">
                  <c:v>43.695887445887443</c:v>
                </c:pt>
                <c:pt idx="15">
                  <c:v>42.290377039954983</c:v>
                </c:pt>
                <c:pt idx="16">
                  <c:v>41.140301844605929</c:v>
                </c:pt>
                <c:pt idx="17">
                  <c:v>43.188951663527931</c:v>
                </c:pt>
                <c:pt idx="18">
                  <c:v>43.811960345378957</c:v>
                </c:pt>
                <c:pt idx="19">
                  <c:v>46.249590566655755</c:v>
                </c:pt>
                <c:pt idx="20">
                  <c:v>45.762175838077162</c:v>
                </c:pt>
                <c:pt idx="21">
                  <c:v>46.715049656226128</c:v>
                </c:pt>
                <c:pt idx="22">
                  <c:v>48.521400778210108</c:v>
                </c:pt>
                <c:pt idx="23">
                  <c:v>48.542458808618512</c:v>
                </c:pt>
                <c:pt idx="24">
                  <c:v>45.847750865051907</c:v>
                </c:pt>
                <c:pt idx="25">
                  <c:v>43.490701001430608</c:v>
                </c:pt>
                <c:pt idx="26">
                  <c:v>39.295774647887328</c:v>
                </c:pt>
                <c:pt idx="27">
                  <c:v>39.196242171189979</c:v>
                </c:pt>
                <c:pt idx="28">
                  <c:v>37.093275488069416</c:v>
                </c:pt>
                <c:pt idx="29">
                  <c:v>37.366099558916197</c:v>
                </c:pt>
                <c:pt idx="30">
                  <c:v>32.798931195724784</c:v>
                </c:pt>
                <c:pt idx="31">
                  <c:v>31.546231546231553</c:v>
                </c:pt>
                <c:pt idx="32">
                  <c:v>31.741140215716484</c:v>
                </c:pt>
                <c:pt idx="33">
                  <c:v>30.28764805414551</c:v>
                </c:pt>
                <c:pt idx="34">
                  <c:v>28.796223446105422</c:v>
                </c:pt>
                <c:pt idx="35">
                  <c:v>31.317689530685922</c:v>
                </c:pt>
                <c:pt idx="36">
                  <c:v>32.360984503190522</c:v>
                </c:pt>
                <c:pt idx="37">
                  <c:v>32.2265625</c:v>
                </c:pt>
                <c:pt idx="38">
                  <c:v>26.979982593559615</c:v>
                </c:pt>
                <c:pt idx="39">
                  <c:v>28.623853211009177</c:v>
                </c:pt>
              </c:numCache>
            </c:numRef>
          </c:val>
          <c:smooth val="0"/>
          <c:extLst>
            <c:ext xmlns:c16="http://schemas.microsoft.com/office/drawing/2014/chart" uri="{C3380CC4-5D6E-409C-BE32-E72D297353CC}">
              <c16:uniqueId val="{00000002-EDA3-4A7F-814E-96B020043071}"/>
            </c:ext>
          </c:extLst>
        </c:ser>
        <c:ser>
          <c:idx val="3"/>
          <c:order val="3"/>
          <c:tx>
            <c:strRef>
              <c:f>'Trh práce-2b'!$A$34</c:f>
              <c:strCache>
                <c:ptCount val="1"/>
                <c:pt idx="0">
                  <c:v>Podíl nezam. ve věku 50+  (v %, pr. osa)</c:v>
                </c:pt>
              </c:strCache>
            </c:strRef>
          </c:tx>
          <c:spPr>
            <a:ln w="22225"/>
          </c:spPr>
          <c:marker>
            <c:symbol val="none"/>
          </c:marker>
          <c:cat>
            <c:multiLvlStrRef>
              <c:f>'Trh práce-2b'!$B$29:$AO$30</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práce-2b'!$B$34:$AO$34</c:f>
              <c:numCache>
                <c:formatCode>0.0</c:formatCode>
                <c:ptCount val="40"/>
                <c:pt idx="0">
                  <c:v>22.485207100591715</c:v>
                </c:pt>
                <c:pt idx="1">
                  <c:v>23.791722296395193</c:v>
                </c:pt>
                <c:pt idx="2">
                  <c:v>23.656776263031272</c:v>
                </c:pt>
                <c:pt idx="3">
                  <c:v>24.221548635987876</c:v>
                </c:pt>
                <c:pt idx="4">
                  <c:v>24.577408103031928</c:v>
                </c:pt>
                <c:pt idx="5">
                  <c:v>23.107569721115539</c:v>
                </c:pt>
                <c:pt idx="6">
                  <c:v>22.935512109716953</c:v>
                </c:pt>
                <c:pt idx="7">
                  <c:v>22.875037280047721</c:v>
                </c:pt>
                <c:pt idx="8">
                  <c:v>22.914409534127845</c:v>
                </c:pt>
                <c:pt idx="9">
                  <c:v>22.969506982046166</c:v>
                </c:pt>
                <c:pt idx="10">
                  <c:v>20.76651263930416</c:v>
                </c:pt>
                <c:pt idx="11">
                  <c:v>23.912470340100185</c:v>
                </c:pt>
                <c:pt idx="12">
                  <c:v>22.969187675070028</c:v>
                </c:pt>
                <c:pt idx="13">
                  <c:v>22.793296089385471</c:v>
                </c:pt>
                <c:pt idx="14">
                  <c:v>21.13095238095238</c:v>
                </c:pt>
                <c:pt idx="15">
                  <c:v>22.059651097355097</c:v>
                </c:pt>
                <c:pt idx="16">
                  <c:v>23.141419787590831</c:v>
                </c:pt>
                <c:pt idx="17">
                  <c:v>21.720025109855616</c:v>
                </c:pt>
                <c:pt idx="18">
                  <c:v>22.161816437480013</c:v>
                </c:pt>
                <c:pt idx="19">
                  <c:v>20.962987225679658</c:v>
                </c:pt>
                <c:pt idx="20">
                  <c:v>23.213156230234031</c:v>
                </c:pt>
                <c:pt idx="21">
                  <c:v>24.140565317035907</c:v>
                </c:pt>
                <c:pt idx="22">
                  <c:v>22.451361867704282</c:v>
                </c:pt>
                <c:pt idx="23">
                  <c:v>23.954372623574148</c:v>
                </c:pt>
                <c:pt idx="24">
                  <c:v>28.157439446366784</c:v>
                </c:pt>
                <c:pt idx="25">
                  <c:v>26.180257510729614</c:v>
                </c:pt>
                <c:pt idx="26">
                  <c:v>22.86384976525822</c:v>
                </c:pt>
                <c:pt idx="27">
                  <c:v>24.947807933194156</c:v>
                </c:pt>
                <c:pt idx="28">
                  <c:v>26.138828633405641</c:v>
                </c:pt>
                <c:pt idx="29">
                  <c:v>24.763705103969755</c:v>
                </c:pt>
                <c:pt idx="30">
                  <c:v>23.380093520374086</c:v>
                </c:pt>
                <c:pt idx="31">
                  <c:v>23.931623931623935</c:v>
                </c:pt>
                <c:pt idx="32">
                  <c:v>25.808936825885976</c:v>
                </c:pt>
                <c:pt idx="33">
                  <c:v>24.957698815566832</c:v>
                </c:pt>
                <c:pt idx="34">
                  <c:v>24.311565696302122</c:v>
                </c:pt>
                <c:pt idx="35">
                  <c:v>23.285198555956679</c:v>
                </c:pt>
                <c:pt idx="36">
                  <c:v>26.253418413855972</c:v>
                </c:pt>
                <c:pt idx="37">
                  <c:v>24.609374999999996</c:v>
                </c:pt>
                <c:pt idx="38">
                  <c:v>26.02262837249782</c:v>
                </c:pt>
                <c:pt idx="39">
                  <c:v>25.596330275229356</c:v>
                </c:pt>
              </c:numCache>
            </c:numRef>
          </c:val>
          <c:smooth val="0"/>
          <c:extLst>
            <c:ext xmlns:c16="http://schemas.microsoft.com/office/drawing/2014/chart" uri="{C3380CC4-5D6E-409C-BE32-E72D297353CC}">
              <c16:uniqueId val="{00000003-EDA3-4A7F-814E-96B020043071}"/>
            </c:ext>
          </c:extLst>
        </c:ser>
        <c:ser>
          <c:idx val="4"/>
          <c:order val="4"/>
          <c:tx>
            <c:strRef>
              <c:f>'Trh práce-2b'!$A$35</c:f>
              <c:strCache>
                <c:ptCount val="1"/>
                <c:pt idx="0">
                  <c:v>Ekon.neaktiv.chtějící pracovat (pr. osa)*</c:v>
                </c:pt>
              </c:strCache>
            </c:strRef>
          </c:tx>
          <c:spPr>
            <a:ln w="22225"/>
          </c:spPr>
          <c:marker>
            <c:symbol val="none"/>
          </c:marker>
          <c:cat>
            <c:multiLvlStrRef>
              <c:f>'Trh práce-2b'!$B$29:$AO$30</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práce-2b'!$B$35:$AO$35</c:f>
              <c:numCache>
                <c:formatCode>0.0</c:formatCode>
                <c:ptCount val="40"/>
                <c:pt idx="0">
                  <c:v>183.00000000000003</c:v>
                </c:pt>
                <c:pt idx="1">
                  <c:v>183.20000000000002</c:v>
                </c:pt>
                <c:pt idx="2">
                  <c:v>172.5</c:v>
                </c:pt>
                <c:pt idx="3">
                  <c:v>172.00000000000003</c:v>
                </c:pt>
                <c:pt idx="4">
                  <c:v>193.70000000000002</c:v>
                </c:pt>
                <c:pt idx="5">
                  <c:v>184.4</c:v>
                </c:pt>
                <c:pt idx="6">
                  <c:v>188.9</c:v>
                </c:pt>
                <c:pt idx="7">
                  <c:v>183.20000000000002</c:v>
                </c:pt>
                <c:pt idx="8">
                  <c:v>196.60000000000002</c:v>
                </c:pt>
                <c:pt idx="9">
                  <c:v>176.5</c:v>
                </c:pt>
                <c:pt idx="10">
                  <c:v>166.9</c:v>
                </c:pt>
                <c:pt idx="11">
                  <c:v>154.60000000000002</c:v>
                </c:pt>
                <c:pt idx="12">
                  <c:v>167.8</c:v>
                </c:pt>
                <c:pt idx="13">
                  <c:v>147.19999999999999</c:v>
                </c:pt>
                <c:pt idx="14">
                  <c:v>138.80000000000001</c:v>
                </c:pt>
                <c:pt idx="15">
                  <c:v>139.30000000000001</c:v>
                </c:pt>
                <c:pt idx="16">
                  <c:v>145.4</c:v>
                </c:pt>
                <c:pt idx="17">
                  <c:v>137.1</c:v>
                </c:pt>
                <c:pt idx="18">
                  <c:v>129</c:v>
                </c:pt>
                <c:pt idx="19">
                  <c:v>127.10000000000001</c:v>
                </c:pt>
                <c:pt idx="20" formatCode="General">
                  <c:v>138.5</c:v>
                </c:pt>
                <c:pt idx="21" formatCode="General">
                  <c:v>141.4</c:v>
                </c:pt>
                <c:pt idx="22" formatCode="General">
                  <c:v>137.1</c:v>
                </c:pt>
                <c:pt idx="23" formatCode="General">
                  <c:v>130.4</c:v>
                </c:pt>
                <c:pt idx="24" formatCode="General">
                  <c:v>141</c:v>
                </c:pt>
                <c:pt idx="25" formatCode="General">
                  <c:v>126.4</c:v>
                </c:pt>
                <c:pt idx="26" formatCode="General">
                  <c:v>129.69999999999999</c:v>
                </c:pt>
                <c:pt idx="27" formatCode="General">
                  <c:v>127.1</c:v>
                </c:pt>
                <c:pt idx="28">
                  <c:v>133.1</c:v>
                </c:pt>
                <c:pt idx="29">
                  <c:v>120.1</c:v>
                </c:pt>
                <c:pt idx="30">
                  <c:v>121.3</c:v>
                </c:pt>
                <c:pt idx="31">
                  <c:v>119.1</c:v>
                </c:pt>
                <c:pt idx="32">
                  <c:v>113.5</c:v>
                </c:pt>
                <c:pt idx="33">
                  <c:v>108.4</c:v>
                </c:pt>
                <c:pt idx="34">
                  <c:v>110.3</c:v>
                </c:pt>
                <c:pt idx="35">
                  <c:v>101.7</c:v>
                </c:pt>
                <c:pt idx="36">
                  <c:v>104.6</c:v>
                </c:pt>
                <c:pt idx="37">
                  <c:v>104.6</c:v>
                </c:pt>
                <c:pt idx="38">
                  <c:v>98</c:v>
                </c:pt>
                <c:pt idx="39">
                  <c:v>99.9</c:v>
                </c:pt>
              </c:numCache>
            </c:numRef>
          </c:val>
          <c:smooth val="0"/>
          <c:extLst>
            <c:ext xmlns:c16="http://schemas.microsoft.com/office/drawing/2014/chart" uri="{C3380CC4-5D6E-409C-BE32-E72D297353CC}">
              <c16:uniqueId val="{00000004-EDA3-4A7F-814E-96B020043071}"/>
            </c:ext>
          </c:extLst>
        </c:ser>
        <c:ser>
          <c:idx val="5"/>
          <c:order val="5"/>
          <c:tx>
            <c:strRef>
              <c:f>'Trh práce-2b'!$A$36</c:f>
              <c:strCache>
                <c:ptCount val="1"/>
                <c:pt idx="0">
                  <c:v>Saldo očekávání vývoje nezam. (pr. osa)**</c:v>
                </c:pt>
              </c:strCache>
            </c:strRef>
          </c:tx>
          <c:spPr>
            <a:ln w="22225">
              <a:noFill/>
              <a:prstDash val="sysDot"/>
            </a:ln>
          </c:spPr>
          <c:marker>
            <c:symbol val="diamond"/>
            <c:size val="6"/>
            <c:spPr>
              <a:solidFill>
                <a:schemeClr val="tx1">
                  <a:lumMod val="50000"/>
                  <a:lumOff val="50000"/>
                </a:schemeClr>
              </a:solidFill>
              <a:ln>
                <a:noFill/>
              </a:ln>
            </c:spPr>
          </c:marker>
          <c:cat>
            <c:multiLvlStrRef>
              <c:f>'Trh práce-2b'!$B$29:$AO$30</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práce-2b'!$B$36:$AO$36</c:f>
              <c:numCache>
                <c:formatCode>#\ ##0.0</c:formatCode>
                <c:ptCount val="40"/>
                <c:pt idx="0">
                  <c:v>32.5</c:v>
                </c:pt>
                <c:pt idx="1">
                  <c:v>18.766666666666666</c:v>
                </c:pt>
                <c:pt idx="2">
                  <c:v>24.533333333333331</c:v>
                </c:pt>
                <c:pt idx="3">
                  <c:v>27.900000000000002</c:v>
                </c:pt>
                <c:pt idx="4">
                  <c:v>26.533333333333331</c:v>
                </c:pt>
                <c:pt idx="5">
                  <c:v>21.733333333333334</c:v>
                </c:pt>
                <c:pt idx="6">
                  <c:v>25.166666666666668</c:v>
                </c:pt>
                <c:pt idx="7">
                  <c:v>42.79999999999999</c:v>
                </c:pt>
                <c:pt idx="8">
                  <c:v>42.233333333333334</c:v>
                </c:pt>
                <c:pt idx="9">
                  <c:v>35.833333333333336</c:v>
                </c:pt>
                <c:pt idx="10">
                  <c:v>39.93333333333333</c:v>
                </c:pt>
                <c:pt idx="11">
                  <c:v>43.1</c:v>
                </c:pt>
                <c:pt idx="12">
                  <c:v>44.733333333333327</c:v>
                </c:pt>
                <c:pt idx="13">
                  <c:v>33.4</c:v>
                </c:pt>
                <c:pt idx="14">
                  <c:v>31.766666666666666</c:v>
                </c:pt>
                <c:pt idx="15">
                  <c:v>32.43333333333333</c:v>
                </c:pt>
                <c:pt idx="16">
                  <c:v>21.099999999999998</c:v>
                </c:pt>
                <c:pt idx="17">
                  <c:v>15.433333333333332</c:v>
                </c:pt>
                <c:pt idx="18">
                  <c:v>18.466666666666665</c:v>
                </c:pt>
                <c:pt idx="19">
                  <c:v>14.566666666666668</c:v>
                </c:pt>
                <c:pt idx="20">
                  <c:v>10.833333333333334</c:v>
                </c:pt>
                <c:pt idx="21">
                  <c:v>6.3999999999999995</c:v>
                </c:pt>
                <c:pt idx="22">
                  <c:v>10.366666666666667</c:v>
                </c:pt>
                <c:pt idx="23">
                  <c:v>5.1333333333333337</c:v>
                </c:pt>
                <c:pt idx="24">
                  <c:v>0.20000000000000004</c:v>
                </c:pt>
                <c:pt idx="25">
                  <c:v>5.3666666666666671</c:v>
                </c:pt>
                <c:pt idx="26">
                  <c:v>7.0333333333333341</c:v>
                </c:pt>
                <c:pt idx="27">
                  <c:v>4.166666666666667</c:v>
                </c:pt>
                <c:pt idx="28">
                  <c:v>-1.8</c:v>
                </c:pt>
                <c:pt idx="29">
                  <c:v>-2.6666666666666665</c:v>
                </c:pt>
                <c:pt idx="30">
                  <c:v>1.8666666666666669</c:v>
                </c:pt>
                <c:pt idx="31">
                  <c:v>1.5333333333333332</c:v>
                </c:pt>
                <c:pt idx="32">
                  <c:v>-2</c:v>
                </c:pt>
                <c:pt idx="33">
                  <c:v>-2.4666666666666668</c:v>
                </c:pt>
                <c:pt idx="34">
                  <c:v>1.8999999999999997</c:v>
                </c:pt>
                <c:pt idx="35">
                  <c:v>3.7999999999999994</c:v>
                </c:pt>
                <c:pt idx="36">
                  <c:v>6.5</c:v>
                </c:pt>
                <c:pt idx="37">
                  <c:v>6.5666666666666664</c:v>
                </c:pt>
                <c:pt idx="38">
                  <c:v>12.200000000000001</c:v>
                </c:pt>
                <c:pt idx="39">
                  <c:v>15</c:v>
                </c:pt>
              </c:numCache>
            </c:numRef>
          </c:val>
          <c:smooth val="0"/>
          <c:extLst>
            <c:ext xmlns:c16="http://schemas.microsoft.com/office/drawing/2014/chart" uri="{C3380CC4-5D6E-409C-BE32-E72D297353CC}">
              <c16:uniqueId val="{00000005-EDA3-4A7F-814E-96B020043071}"/>
            </c:ext>
          </c:extLst>
        </c:ser>
        <c:dLbls>
          <c:showLegendKey val="0"/>
          <c:showVal val="0"/>
          <c:showCatName val="0"/>
          <c:showSerName val="0"/>
          <c:showPercent val="0"/>
          <c:showBubbleSize val="0"/>
        </c:dLbls>
        <c:marker val="1"/>
        <c:smooth val="0"/>
        <c:axId val="331670576"/>
        <c:axId val="323971328"/>
      </c:lineChart>
      <c:catAx>
        <c:axId val="100654464"/>
        <c:scaling>
          <c:orientation val="minMax"/>
        </c:scaling>
        <c:delete val="0"/>
        <c:axPos val="b"/>
        <c:numFmt formatCode="General" sourceLinked="0"/>
        <c:majorTickMark val="out"/>
        <c:minorTickMark val="none"/>
        <c:tickLblPos val="low"/>
        <c:spPr>
          <a:ln>
            <a:solidFill>
              <a:schemeClr val="tx1"/>
            </a:solidFill>
          </a:ln>
        </c:spPr>
        <c:crossAx val="101647488"/>
        <c:crossesAt val="-50"/>
        <c:auto val="1"/>
        <c:lblAlgn val="ctr"/>
        <c:lblOffset val="0"/>
        <c:noMultiLvlLbl val="0"/>
      </c:catAx>
      <c:valAx>
        <c:axId val="101647488"/>
        <c:scaling>
          <c:orientation val="minMax"/>
          <c:max val="11"/>
          <c:min val="0"/>
        </c:scaling>
        <c:delete val="0"/>
        <c:axPos val="l"/>
        <c:majorGridlines>
          <c:spPr>
            <a:ln w="6350">
              <a:solidFill>
                <a:schemeClr val="bg1">
                  <a:lumMod val="75000"/>
                </a:schemeClr>
              </a:solidFill>
            </a:ln>
          </c:spPr>
        </c:majorGridlines>
        <c:title>
          <c:tx>
            <c:rich>
              <a:bodyPr/>
              <a:lstStyle/>
              <a:p>
                <a:pPr>
                  <a:defRPr sz="650" b="0" i="1"/>
                </a:pPr>
                <a:r>
                  <a:rPr lang="cs-CZ" sz="650" b="0" i="1"/>
                  <a:t>Míra</a:t>
                </a:r>
                <a:r>
                  <a:rPr lang="cs-CZ" sz="650" b="0" i="1" baseline="0"/>
                  <a:t> nezaměstnanosti</a:t>
                </a:r>
                <a:endParaRPr lang="cs-CZ" sz="650" b="0" i="1"/>
              </a:p>
            </c:rich>
          </c:tx>
          <c:overlay val="0"/>
        </c:title>
        <c:numFmt formatCode="0" sourceLinked="0"/>
        <c:majorTickMark val="out"/>
        <c:minorTickMark val="none"/>
        <c:tickLblPos val="nextTo"/>
        <c:spPr>
          <a:ln>
            <a:solidFill>
              <a:schemeClr val="tx1"/>
            </a:solidFill>
          </a:ln>
        </c:spPr>
        <c:crossAx val="100654464"/>
        <c:crosses val="autoZero"/>
        <c:crossBetween val="between"/>
        <c:majorUnit val="1"/>
      </c:valAx>
      <c:valAx>
        <c:axId val="323971328"/>
        <c:scaling>
          <c:orientation val="minMax"/>
          <c:max val="200"/>
        </c:scaling>
        <c:delete val="0"/>
        <c:axPos val="r"/>
        <c:title>
          <c:tx>
            <c:rich>
              <a:bodyPr/>
              <a:lstStyle/>
              <a:p>
                <a:pPr>
                  <a:defRPr sz="650" b="0" i="1"/>
                </a:pPr>
                <a:r>
                  <a:rPr lang="cs-CZ" sz="650" b="0" i="1"/>
                  <a:t>Počet</a:t>
                </a:r>
                <a:r>
                  <a:rPr lang="cs-CZ" sz="650" b="0" i="1" baseline="0"/>
                  <a:t> ek. neaktivních, p</a:t>
                </a:r>
                <a:r>
                  <a:rPr lang="cs-CZ" sz="650" b="0" i="1"/>
                  <a:t>odíl</a:t>
                </a:r>
                <a:r>
                  <a:rPr lang="cs-CZ" sz="650" b="0" i="1" baseline="0"/>
                  <a:t> nezaměstnaných, očekávání nezam.</a:t>
                </a:r>
                <a:endParaRPr lang="cs-CZ" sz="650" b="0" i="1"/>
              </a:p>
            </c:rich>
          </c:tx>
          <c:overlay val="0"/>
        </c:title>
        <c:numFmt formatCode="#,##0" sourceLinked="0"/>
        <c:majorTickMark val="out"/>
        <c:minorTickMark val="none"/>
        <c:tickLblPos val="nextTo"/>
        <c:crossAx val="331670576"/>
        <c:crosses val="max"/>
        <c:crossBetween val="between"/>
        <c:majorUnit val="20"/>
      </c:valAx>
      <c:catAx>
        <c:axId val="331670576"/>
        <c:scaling>
          <c:orientation val="minMax"/>
        </c:scaling>
        <c:delete val="1"/>
        <c:axPos val="b"/>
        <c:numFmt formatCode="General" sourceLinked="1"/>
        <c:majorTickMark val="out"/>
        <c:minorTickMark val="none"/>
        <c:tickLblPos val="nextTo"/>
        <c:crossAx val="323971328"/>
        <c:crosses val="autoZero"/>
        <c:auto val="1"/>
        <c:lblAlgn val="ctr"/>
        <c:lblOffset val="100"/>
        <c:noMultiLvlLbl val="0"/>
      </c:catAx>
      <c:spPr>
        <a:ln>
          <a:solidFill>
            <a:schemeClr val="tx1"/>
          </a:solidFill>
        </a:ln>
      </c:spPr>
    </c:plotArea>
    <c:legend>
      <c:legendPos val="b"/>
      <c:layout>
        <c:manualLayout>
          <c:xMode val="edge"/>
          <c:yMode val="edge"/>
          <c:x val="1.2332445249685521E-2"/>
          <c:y val="0.87379008846527229"/>
          <c:w val="0.96494720270615286"/>
          <c:h val="0.1191505687089034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0091348527306885E-2"/>
          <c:y val="1.6549886621315273E-2"/>
          <c:w val="0.94100987714831696"/>
          <c:h val="0.76395209750566906"/>
        </c:manualLayout>
      </c:layout>
      <c:barChart>
        <c:barDir val="col"/>
        <c:grouping val="clustered"/>
        <c:varyColors val="0"/>
        <c:ser>
          <c:idx val="4"/>
          <c:order val="1"/>
          <c:tx>
            <c:strRef>
              <c:f>'Trh práce 3'!$D$8</c:f>
              <c:strCache>
                <c:ptCount val="1"/>
                <c:pt idx="0">
                  <c:v>Průměrná mzda celkem (reálně)</c:v>
                </c:pt>
              </c:strCache>
            </c:strRef>
          </c:tx>
          <c:spPr>
            <a:solidFill>
              <a:srgbClr val="DBDBDB"/>
            </a:solidFill>
            <a:ln w="19050">
              <a:noFill/>
            </a:ln>
          </c:spPr>
          <c:invertIfNegative val="0"/>
          <c:cat>
            <c:multiLvlStrRef>
              <c:f>'Trh práce 3'!$A$9:$B$48</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3'!$D$9:$D$48</c:f>
              <c:numCache>
                <c:formatCode>#\ ##0.0</c:formatCode>
                <c:ptCount val="40"/>
                <c:pt idx="0">
                  <c:v>2.0999999999999943</c:v>
                </c:pt>
                <c:pt idx="1">
                  <c:v>1.9000000000000057</c:v>
                </c:pt>
                <c:pt idx="2">
                  <c:v>0.29999999999999716</c:v>
                </c:pt>
                <c:pt idx="3">
                  <c:v>-1.4000000000000057</c:v>
                </c:pt>
                <c:pt idx="4">
                  <c:v>1.0999999999999943</c:v>
                </c:pt>
                <c:pt idx="5">
                  <c:v>0.79999999999999716</c:v>
                </c:pt>
                <c:pt idx="6">
                  <c:v>0.29999999999999716</c:v>
                </c:pt>
                <c:pt idx="7">
                  <c:v>0</c:v>
                </c:pt>
                <c:pt idx="8">
                  <c:v>-0.5</c:v>
                </c:pt>
                <c:pt idx="9">
                  <c:v>-1.2999999999999972</c:v>
                </c:pt>
                <c:pt idx="10">
                  <c:v>-1.7999999999999972</c:v>
                </c:pt>
                <c:pt idx="11">
                  <c:v>0.40000000000000568</c:v>
                </c:pt>
                <c:pt idx="12">
                  <c:v>-2.4000000000000057</c:v>
                </c:pt>
                <c:pt idx="13">
                  <c:v>-0.5</c:v>
                </c:pt>
                <c:pt idx="14">
                  <c:v>0</c:v>
                </c:pt>
                <c:pt idx="15">
                  <c:v>-3.0999999999999943</c:v>
                </c:pt>
                <c:pt idx="16">
                  <c:v>3.7000000000000028</c:v>
                </c:pt>
                <c:pt idx="17">
                  <c:v>2.5999999999999943</c:v>
                </c:pt>
                <c:pt idx="18">
                  <c:v>1.5999999999999943</c:v>
                </c:pt>
                <c:pt idx="19">
                  <c:v>2.2999999999999972</c:v>
                </c:pt>
                <c:pt idx="20">
                  <c:v>2.2000000000000028</c:v>
                </c:pt>
                <c:pt idx="21">
                  <c:v>2.5999999999999943</c:v>
                </c:pt>
                <c:pt idx="22">
                  <c:v>3.0999999999999943</c:v>
                </c:pt>
                <c:pt idx="23">
                  <c:v>3.5999999999999943</c:v>
                </c:pt>
                <c:pt idx="24">
                  <c:v>4.2000000000000028</c:v>
                </c:pt>
                <c:pt idx="25">
                  <c:v>3.7999999999999972</c:v>
                </c:pt>
                <c:pt idx="26">
                  <c:v>4.2000000000000028</c:v>
                </c:pt>
                <c:pt idx="27">
                  <c:v>3</c:v>
                </c:pt>
                <c:pt idx="28">
                  <c:v>2.5999999999999943</c:v>
                </c:pt>
                <c:pt idx="29">
                  <c:v>4.9000000000000057</c:v>
                </c:pt>
                <c:pt idx="30">
                  <c:v>4.0999999999999943</c:v>
                </c:pt>
                <c:pt idx="31">
                  <c:v>5.0999999999999943</c:v>
                </c:pt>
                <c:pt idx="32">
                  <c:v>5.7999999999999972</c:v>
                </c:pt>
                <c:pt idx="33">
                  <c:v>5.7000000000000028</c:v>
                </c:pt>
                <c:pt idx="34">
                  <c:v>5.4000000000000057</c:v>
                </c:pt>
                <c:pt idx="35">
                  <c:v>4.2999999999999972</c:v>
                </c:pt>
                <c:pt idx="36">
                  <c:v>4.7000000000000028</c:v>
                </c:pt>
                <c:pt idx="37">
                  <c:v>4.2999999999999972</c:v>
                </c:pt>
                <c:pt idx="38">
                  <c:v>4.0999999999999943</c:v>
                </c:pt>
                <c:pt idx="39">
                  <c:v>3.5999999999999943</c:v>
                </c:pt>
              </c:numCache>
            </c:numRef>
          </c:val>
          <c:extLst>
            <c:ext xmlns:c16="http://schemas.microsoft.com/office/drawing/2014/chart" uri="{C3380CC4-5D6E-409C-BE32-E72D297353CC}">
              <c16:uniqueId val="{00000000-36F0-46EA-9248-610334FDCE73}"/>
            </c:ext>
          </c:extLst>
        </c:ser>
        <c:dLbls>
          <c:showLegendKey val="0"/>
          <c:showVal val="0"/>
          <c:showCatName val="0"/>
          <c:showSerName val="0"/>
          <c:showPercent val="0"/>
          <c:showBubbleSize val="0"/>
        </c:dLbls>
        <c:gapWidth val="37"/>
        <c:axId val="100688640"/>
        <c:axId val="100690560"/>
      </c:barChart>
      <c:lineChart>
        <c:grouping val="standard"/>
        <c:varyColors val="0"/>
        <c:ser>
          <c:idx val="0"/>
          <c:order val="0"/>
          <c:tx>
            <c:strRef>
              <c:f>'Trh práce 3'!$C$8</c:f>
              <c:strCache>
                <c:ptCount val="1"/>
                <c:pt idx="0">
                  <c:v>Průměrná mzda celkem (nominálně)</c:v>
                </c:pt>
              </c:strCache>
            </c:strRef>
          </c:tx>
          <c:spPr>
            <a:ln w="19050">
              <a:solidFill>
                <a:schemeClr val="tx1">
                  <a:lumMod val="95000"/>
                  <a:lumOff val="5000"/>
                </a:schemeClr>
              </a:solidFill>
            </a:ln>
          </c:spPr>
          <c:marker>
            <c:symbol val="none"/>
          </c:marker>
          <c:cat>
            <c:multiLvlStrRef>
              <c:f>'Trh práce 3'!$A$9:$B$48</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3'!$C$9:$C$48</c:f>
              <c:numCache>
                <c:formatCode>0.0</c:formatCode>
                <c:ptCount val="40"/>
                <c:pt idx="0">
                  <c:v>2.8496471865388173</c:v>
                </c:pt>
                <c:pt idx="1">
                  <c:v>3.1058080364976206</c:v>
                </c:pt>
                <c:pt idx="2">
                  <c:v>2.2043220302282265</c:v>
                </c:pt>
                <c:pt idx="3">
                  <c:v>0.68062003304744678</c:v>
                </c:pt>
                <c:pt idx="4">
                  <c:v>2.7882839299850417</c:v>
                </c:pt>
                <c:pt idx="5">
                  <c:v>2.6038121170864486</c:v>
                </c:pt>
                <c:pt idx="6">
                  <c:v>2.1483050847457719</c:v>
                </c:pt>
                <c:pt idx="7">
                  <c:v>2.4227267398694892</c:v>
                </c:pt>
                <c:pt idx="8">
                  <c:v>3.247475611843214</c:v>
                </c:pt>
                <c:pt idx="9">
                  <c:v>2.1189251948913608</c:v>
                </c:pt>
                <c:pt idx="10">
                  <c:v>1.3771933463309551</c:v>
                </c:pt>
                <c:pt idx="11">
                  <c:v>3.2200221281141381</c:v>
                </c:pt>
                <c:pt idx="12">
                  <c:v>-0.60503087315071014</c:v>
                </c:pt>
                <c:pt idx="13">
                  <c:v>1.0151459779916365</c:v>
                </c:pt>
                <c:pt idx="14">
                  <c:v>1.2111788534719068</c:v>
                </c:pt>
                <c:pt idx="15">
                  <c:v>-1.9589724635002739</c:v>
                </c:pt>
                <c:pt idx="16">
                  <c:v>3.9441317490097987</c:v>
                </c:pt>
                <c:pt idx="17">
                  <c:v>2.7816858946014378</c:v>
                </c:pt>
                <c:pt idx="18">
                  <c:v>2.1993127147766245</c:v>
                </c:pt>
                <c:pt idx="19">
                  <c:v>2.7747408105560822</c:v>
                </c:pt>
                <c:pt idx="20">
                  <c:v>2.2702659339777824</c:v>
                </c:pt>
                <c:pt idx="21">
                  <c:v>3.2813172200711875</c:v>
                </c:pt>
                <c:pt idx="22">
                  <c:v>3.4969737726967054</c:v>
                </c:pt>
                <c:pt idx="23">
                  <c:v>3.657239279556876</c:v>
                </c:pt>
                <c:pt idx="24">
                  <c:v>4.6515276307016507</c:v>
                </c:pt>
                <c:pt idx="25">
                  <c:v>3.9533474704634983</c:v>
                </c:pt>
                <c:pt idx="26">
                  <c:v>4.7127622979016053</c:v>
                </c:pt>
                <c:pt idx="27">
                  <c:v>4.3633661264066887</c:v>
                </c:pt>
                <c:pt idx="28">
                  <c:v>5.0631488213469282</c:v>
                </c:pt>
                <c:pt idx="29">
                  <c:v>7.2125892466851269</c:v>
                </c:pt>
                <c:pt idx="30">
                  <c:v>6.7090086143962679</c:v>
                </c:pt>
                <c:pt idx="31">
                  <c:v>7.8362890373334153</c:v>
                </c:pt>
                <c:pt idx="32">
                  <c:v>7.8333452236569912</c:v>
                </c:pt>
                <c:pt idx="33">
                  <c:v>8.0966295188910067</c:v>
                </c:pt>
                <c:pt idx="34">
                  <c:v>7.864130806595071</c:v>
                </c:pt>
                <c:pt idx="35">
                  <c:v>6.5058801333249363</c:v>
                </c:pt>
                <c:pt idx="36">
                  <c:v>7.4727092292424828</c:v>
                </c:pt>
                <c:pt idx="37">
                  <c:v>7.2292943580072375</c:v>
                </c:pt>
                <c:pt idx="38">
                  <c:v>6.9736466558843091</c:v>
                </c:pt>
                <c:pt idx="39">
                  <c:v>6.7107555135661698</c:v>
                </c:pt>
              </c:numCache>
            </c:numRef>
          </c:val>
          <c:smooth val="0"/>
          <c:extLst>
            <c:ext xmlns:c16="http://schemas.microsoft.com/office/drawing/2014/chart" uri="{C3380CC4-5D6E-409C-BE32-E72D297353CC}">
              <c16:uniqueId val="{00000001-36F0-46EA-9248-610334FDCE73}"/>
            </c:ext>
          </c:extLst>
        </c:ser>
        <c:ser>
          <c:idx val="5"/>
          <c:order val="2"/>
          <c:tx>
            <c:strRef>
              <c:f>'Trh práce 3'!$E$8</c:f>
              <c:strCache>
                <c:ptCount val="1"/>
                <c:pt idx="0">
                  <c:v>Prům. mzda ve zprac. průmyslu (nomin.)</c:v>
                </c:pt>
              </c:strCache>
            </c:strRef>
          </c:tx>
          <c:spPr>
            <a:ln w="15875">
              <a:prstDash val="sysDash"/>
            </a:ln>
          </c:spPr>
          <c:marker>
            <c:symbol val="none"/>
          </c:marker>
          <c:cat>
            <c:multiLvlStrRef>
              <c:f>'Trh práce 3'!$A$9:$B$48</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3'!$E$9:$E$48</c:f>
              <c:numCache>
                <c:formatCode>0.0</c:formatCode>
                <c:ptCount val="40"/>
                <c:pt idx="0">
                  <c:v>5.5741522340270677</c:v>
                </c:pt>
                <c:pt idx="1">
                  <c:v>4.6596136154553705</c:v>
                </c:pt>
                <c:pt idx="2">
                  <c:v>3.4155684253727827</c:v>
                </c:pt>
                <c:pt idx="3">
                  <c:v>4.1331027793007422</c:v>
                </c:pt>
                <c:pt idx="4">
                  <c:v>4.0529363110008347</c:v>
                </c:pt>
                <c:pt idx="5">
                  <c:v>4.5092954775194301</c:v>
                </c:pt>
                <c:pt idx="6">
                  <c:v>3.2013405062174769</c:v>
                </c:pt>
                <c:pt idx="7">
                  <c:v>2.3814345308006892</c:v>
                </c:pt>
                <c:pt idx="8">
                  <c:v>3.8288288288288186</c:v>
                </c:pt>
                <c:pt idx="9">
                  <c:v>3.0152655704613238</c:v>
                </c:pt>
                <c:pt idx="10">
                  <c:v>1.9056571526234762</c:v>
                </c:pt>
                <c:pt idx="11">
                  <c:v>2.9589778076664572</c:v>
                </c:pt>
                <c:pt idx="12">
                  <c:v>0.506146059291396</c:v>
                </c:pt>
                <c:pt idx="13">
                  <c:v>1.9962442847811843</c:v>
                </c:pt>
                <c:pt idx="14">
                  <c:v>2.259958071278831</c:v>
                </c:pt>
                <c:pt idx="15">
                  <c:v>0.53021861912630186</c:v>
                </c:pt>
                <c:pt idx="16">
                  <c:v>4.7947524333474405</c:v>
                </c:pt>
                <c:pt idx="17">
                  <c:v>3.366019611767058</c:v>
                </c:pt>
                <c:pt idx="18">
                  <c:v>2.8824470047972568</c:v>
                </c:pt>
                <c:pt idx="19">
                  <c:v>3.6690235046818316</c:v>
                </c:pt>
                <c:pt idx="20">
                  <c:v>1.9747203489076384</c:v>
                </c:pt>
                <c:pt idx="21">
                  <c:v>3.0821652598156817</c:v>
                </c:pt>
                <c:pt idx="22">
                  <c:v>3.263988522238165</c:v>
                </c:pt>
                <c:pt idx="23">
                  <c:v>3.2258064516128968</c:v>
                </c:pt>
                <c:pt idx="24">
                  <c:v>4.9619832092507465</c:v>
                </c:pt>
                <c:pt idx="25">
                  <c:v>4.2070468033956985</c:v>
                </c:pt>
                <c:pt idx="26">
                  <c:v>4.939986878159857</c:v>
                </c:pt>
                <c:pt idx="27">
                  <c:v>4.4500000000000028</c:v>
                </c:pt>
                <c:pt idx="28">
                  <c:v>5.3386153555932765</c:v>
                </c:pt>
                <c:pt idx="29">
                  <c:v>8.1825391103741651</c:v>
                </c:pt>
                <c:pt idx="30">
                  <c:v>6.9545070059946283</c:v>
                </c:pt>
                <c:pt idx="31">
                  <c:v>6.9958284893660618</c:v>
                </c:pt>
                <c:pt idx="32">
                  <c:v>7.0128939828080235</c:v>
                </c:pt>
                <c:pt idx="33">
                  <c:v>7.5503132080501132</c:v>
                </c:pt>
                <c:pt idx="34">
                  <c:v>6.6914242486761424</c:v>
                </c:pt>
                <c:pt idx="35">
                  <c:v>7.0241595295922394</c:v>
                </c:pt>
                <c:pt idx="36">
                  <c:v>6.5533168217417455</c:v>
                </c:pt>
                <c:pt idx="37">
                  <c:v>6.4873907924902312</c:v>
                </c:pt>
                <c:pt idx="38">
                  <c:v>6.0268144901379372</c:v>
                </c:pt>
                <c:pt idx="39">
                  <c:v>4.9596894595401579</c:v>
                </c:pt>
              </c:numCache>
            </c:numRef>
          </c:val>
          <c:smooth val="0"/>
          <c:extLst>
            <c:ext xmlns:c16="http://schemas.microsoft.com/office/drawing/2014/chart" uri="{C3380CC4-5D6E-409C-BE32-E72D297353CC}">
              <c16:uniqueId val="{00000002-36F0-46EA-9248-610334FDCE73}"/>
            </c:ext>
          </c:extLst>
        </c:ser>
        <c:ser>
          <c:idx val="1"/>
          <c:order val="3"/>
          <c:tx>
            <c:strRef>
              <c:f>'Trh práce 3'!$F$8</c:f>
              <c:strCache>
                <c:ptCount val="1"/>
                <c:pt idx="0">
                  <c:v>Prům. mzda v obchodu (nominálně)</c:v>
                </c:pt>
              </c:strCache>
            </c:strRef>
          </c:tx>
          <c:spPr>
            <a:ln w="15875">
              <a:solidFill>
                <a:schemeClr val="accent1"/>
              </a:solidFill>
              <a:prstDash val="sysDash"/>
            </a:ln>
          </c:spPr>
          <c:marker>
            <c:symbol val="none"/>
          </c:marker>
          <c:cat>
            <c:multiLvlStrRef>
              <c:f>'Trh práce 3'!$A$9:$B$48</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3'!$F$9:$F$48</c:f>
              <c:numCache>
                <c:formatCode>0.0</c:formatCode>
                <c:ptCount val="40"/>
                <c:pt idx="0">
                  <c:v>2.4757068216221541</c:v>
                </c:pt>
                <c:pt idx="1">
                  <c:v>3.7727708533077617</c:v>
                </c:pt>
                <c:pt idx="2">
                  <c:v>2.8297025064417909</c:v>
                </c:pt>
                <c:pt idx="3">
                  <c:v>3.460238001141704</c:v>
                </c:pt>
                <c:pt idx="4">
                  <c:v>3.2593157342990509</c:v>
                </c:pt>
                <c:pt idx="5">
                  <c:v>3.7187601053263677</c:v>
                </c:pt>
                <c:pt idx="6">
                  <c:v>2.6743815207982209</c:v>
                </c:pt>
                <c:pt idx="7">
                  <c:v>4.3291880650227199</c:v>
                </c:pt>
                <c:pt idx="8">
                  <c:v>4.0793724042454897</c:v>
                </c:pt>
                <c:pt idx="9">
                  <c:v>0.74380901478710371</c:v>
                </c:pt>
                <c:pt idx="10">
                  <c:v>0.80315938942136711</c:v>
                </c:pt>
                <c:pt idx="11">
                  <c:v>3.3521825800414859</c:v>
                </c:pt>
                <c:pt idx="12">
                  <c:v>-0.36357187195176266</c:v>
                </c:pt>
                <c:pt idx="13">
                  <c:v>0.83115964454663072</c:v>
                </c:pt>
                <c:pt idx="14">
                  <c:v>1.2941849716071658</c:v>
                </c:pt>
                <c:pt idx="15">
                  <c:v>-4.6290100373942096</c:v>
                </c:pt>
                <c:pt idx="16">
                  <c:v>3.4576361694553128</c:v>
                </c:pt>
                <c:pt idx="17">
                  <c:v>4.1785416758012985</c:v>
                </c:pt>
                <c:pt idx="18">
                  <c:v>2.8899222111164136</c:v>
                </c:pt>
                <c:pt idx="19">
                  <c:v>2.761153989021409</c:v>
                </c:pt>
                <c:pt idx="20">
                  <c:v>3.1055099144049194</c:v>
                </c:pt>
                <c:pt idx="21">
                  <c:v>3.9141414141414117</c:v>
                </c:pt>
                <c:pt idx="22">
                  <c:v>3.949146815340427</c:v>
                </c:pt>
                <c:pt idx="23">
                  <c:v>5.7916298497871423</c:v>
                </c:pt>
                <c:pt idx="24">
                  <c:v>5.6443202202661524</c:v>
                </c:pt>
                <c:pt idx="25">
                  <c:v>3.9570676387201189</c:v>
                </c:pt>
                <c:pt idx="26">
                  <c:v>4.9977652269310511</c:v>
                </c:pt>
                <c:pt idx="27">
                  <c:v>4.4950645406226215</c:v>
                </c:pt>
                <c:pt idx="28">
                  <c:v>5.6231243089559229</c:v>
                </c:pt>
                <c:pt idx="29">
                  <c:v>7.9284684614485457</c:v>
                </c:pt>
                <c:pt idx="30">
                  <c:v>7.693200727526019</c:v>
                </c:pt>
                <c:pt idx="31">
                  <c:v>8.3926754832146457</c:v>
                </c:pt>
                <c:pt idx="32">
                  <c:v>7.2416629280693883</c:v>
                </c:pt>
                <c:pt idx="33">
                  <c:v>6.9272976680384062</c:v>
                </c:pt>
                <c:pt idx="34">
                  <c:v>6.7016421718351324</c:v>
                </c:pt>
                <c:pt idx="35">
                  <c:v>6.4389622578266312</c:v>
                </c:pt>
                <c:pt idx="36">
                  <c:v>8.3806867700889001</c:v>
                </c:pt>
                <c:pt idx="37">
                  <c:v>6.0092501941190477</c:v>
                </c:pt>
                <c:pt idx="38">
                  <c:v>6.9475314878426673</c:v>
                </c:pt>
                <c:pt idx="39">
                  <c:v>4.704770902220119</c:v>
                </c:pt>
              </c:numCache>
            </c:numRef>
          </c:val>
          <c:smooth val="0"/>
          <c:extLst>
            <c:ext xmlns:c16="http://schemas.microsoft.com/office/drawing/2014/chart" uri="{C3380CC4-5D6E-409C-BE32-E72D297353CC}">
              <c16:uniqueId val="{00000003-36F0-46EA-9248-610334FDCE73}"/>
            </c:ext>
          </c:extLst>
        </c:ser>
        <c:ser>
          <c:idx val="2"/>
          <c:order val="4"/>
          <c:tx>
            <c:strRef>
              <c:f>'Trh práce 3'!$G$8</c:f>
              <c:strCache>
                <c:ptCount val="1"/>
                <c:pt idx="0">
                  <c:v>Prům. mzda ve veř. službách (nomin.)*</c:v>
                </c:pt>
              </c:strCache>
            </c:strRef>
          </c:tx>
          <c:spPr>
            <a:ln w="15875">
              <a:prstDash val="sysDash"/>
            </a:ln>
          </c:spPr>
          <c:marker>
            <c:symbol val="none"/>
          </c:marker>
          <c:cat>
            <c:multiLvlStrRef>
              <c:f>'Trh práce 3'!$A$9:$B$48</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3'!$G$9:$G$48</c:f>
              <c:numCache>
                <c:formatCode>0.0</c:formatCode>
                <c:ptCount val="40"/>
                <c:pt idx="0">
                  <c:v>4.1711124485526927</c:v>
                </c:pt>
                <c:pt idx="1">
                  <c:v>1.6767766823809593</c:v>
                </c:pt>
                <c:pt idx="2">
                  <c:v>-0.43902053467353946</c:v>
                </c:pt>
                <c:pt idx="3">
                  <c:v>-3.6166135148511689</c:v>
                </c:pt>
                <c:pt idx="4">
                  <c:v>1.2329962882450228E-3</c:v>
                </c:pt>
                <c:pt idx="5">
                  <c:v>1.1328852086516361</c:v>
                </c:pt>
                <c:pt idx="6">
                  <c:v>2.397948860924628</c:v>
                </c:pt>
                <c:pt idx="7">
                  <c:v>3.139137288107821</c:v>
                </c:pt>
                <c:pt idx="8">
                  <c:v>3.317698985560027</c:v>
                </c:pt>
                <c:pt idx="9">
                  <c:v>1.8126282295065337</c:v>
                </c:pt>
                <c:pt idx="10">
                  <c:v>2.043381387387051</c:v>
                </c:pt>
                <c:pt idx="11">
                  <c:v>1.2181683242264376</c:v>
                </c:pt>
                <c:pt idx="12">
                  <c:v>2.3538775240305843E-2</c:v>
                </c:pt>
                <c:pt idx="13">
                  <c:v>1.5581583268922845</c:v>
                </c:pt>
                <c:pt idx="14">
                  <c:v>0.6075912505151323</c:v>
                </c:pt>
                <c:pt idx="15">
                  <c:v>0.11001449422403142</c:v>
                </c:pt>
                <c:pt idx="16">
                  <c:v>2.269026119165368</c:v>
                </c:pt>
                <c:pt idx="17">
                  <c:v>1.7831306827168456</c:v>
                </c:pt>
                <c:pt idx="18">
                  <c:v>1.9833555108015588</c:v>
                </c:pt>
                <c:pt idx="19">
                  <c:v>4.0071119221970513</c:v>
                </c:pt>
                <c:pt idx="20">
                  <c:v>3.2530785072835906</c:v>
                </c:pt>
                <c:pt idx="21">
                  <c:v>4.2345225255887042</c:v>
                </c:pt>
                <c:pt idx="22">
                  <c:v>3.7826123610902629</c:v>
                </c:pt>
                <c:pt idx="23">
                  <c:v>3.6520863050351235</c:v>
                </c:pt>
                <c:pt idx="24">
                  <c:v>4.5612595293778977</c:v>
                </c:pt>
                <c:pt idx="25">
                  <c:v>3.7795053104986027</c:v>
                </c:pt>
                <c:pt idx="26">
                  <c:v>4.8333320772190307</c:v>
                </c:pt>
                <c:pt idx="27">
                  <c:v>6.1391055152858494</c:v>
                </c:pt>
                <c:pt idx="28">
                  <c:v>5.4601382386938617</c:v>
                </c:pt>
                <c:pt idx="29">
                  <c:v>7.3051156068769734</c:v>
                </c:pt>
                <c:pt idx="30">
                  <c:v>7.9977324017314544</c:v>
                </c:pt>
                <c:pt idx="31">
                  <c:v>10.560301374473843</c:v>
                </c:pt>
                <c:pt idx="32">
                  <c:v>11.711321801907827</c:v>
                </c:pt>
                <c:pt idx="33">
                  <c:v>11.517964430852357</c:v>
                </c:pt>
                <c:pt idx="34">
                  <c:v>11.054338232306719</c:v>
                </c:pt>
                <c:pt idx="35">
                  <c:v>5.7087521833103789</c:v>
                </c:pt>
                <c:pt idx="36">
                  <c:v>9.069940074213795</c:v>
                </c:pt>
                <c:pt idx="37">
                  <c:v>8.8763414495049116</c:v>
                </c:pt>
                <c:pt idx="38">
                  <c:v>8.0313314538348077</c:v>
                </c:pt>
                <c:pt idx="39">
                  <c:v>10.645148682396274</c:v>
                </c:pt>
              </c:numCache>
            </c:numRef>
          </c:val>
          <c:smooth val="0"/>
          <c:extLst>
            <c:ext xmlns:c16="http://schemas.microsoft.com/office/drawing/2014/chart" uri="{C3380CC4-5D6E-409C-BE32-E72D297353CC}">
              <c16:uniqueId val="{00000004-36F0-46EA-9248-610334FDCE73}"/>
            </c:ext>
          </c:extLst>
        </c:ser>
        <c:ser>
          <c:idx val="3"/>
          <c:order val="5"/>
          <c:tx>
            <c:strRef>
              <c:f>'Trh práce 3'!$H$8</c:f>
              <c:strCache>
                <c:ptCount val="1"/>
                <c:pt idx="0">
                  <c:v>Produktivita práce v NH (reálně)**</c:v>
                </c:pt>
              </c:strCache>
            </c:strRef>
          </c:tx>
          <c:spPr>
            <a:ln w="19050">
              <a:noFill/>
            </a:ln>
          </c:spPr>
          <c:marker>
            <c:symbol val="diamond"/>
            <c:size val="5"/>
            <c:spPr>
              <a:solidFill>
                <a:srgbClr val="F6F000"/>
              </a:solidFill>
              <a:ln w="6350">
                <a:solidFill>
                  <a:schemeClr val="bg1">
                    <a:lumMod val="50000"/>
                  </a:schemeClr>
                </a:solidFill>
              </a:ln>
            </c:spPr>
          </c:marker>
          <c:cat>
            <c:multiLvlStrRef>
              <c:f>'Trh práce 3'!$A$9:$B$48</c:f>
              <c:multiLvlStrCache>
                <c:ptCount val="4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pt idx="36">
                    <c:v>1</c:v>
                  </c:pt>
                  <c:pt idx="37">
                    <c:v>2</c:v>
                  </c:pt>
                  <c:pt idx="38">
                    <c:v>3</c:v>
                  </c:pt>
                  <c:pt idx="39">
                    <c:v>4</c:v>
                  </c:pt>
                </c:lvl>
                <c:lvl>
                  <c:pt idx="0">
                    <c:v>2010</c:v>
                  </c:pt>
                  <c:pt idx="4">
                    <c:v>2011</c:v>
                  </c:pt>
                  <c:pt idx="8">
                    <c:v>2012</c:v>
                  </c:pt>
                  <c:pt idx="12">
                    <c:v>2013</c:v>
                  </c:pt>
                  <c:pt idx="16">
                    <c:v>2014</c:v>
                  </c:pt>
                  <c:pt idx="20">
                    <c:v>2015</c:v>
                  </c:pt>
                  <c:pt idx="24">
                    <c:v>2016</c:v>
                  </c:pt>
                  <c:pt idx="28">
                    <c:v>2017</c:v>
                  </c:pt>
                  <c:pt idx="32">
                    <c:v>2018</c:v>
                  </c:pt>
                  <c:pt idx="36">
                    <c:v>2019</c:v>
                  </c:pt>
                </c:lvl>
              </c:multiLvlStrCache>
            </c:multiLvlStrRef>
          </c:cat>
          <c:val>
            <c:numRef>
              <c:f>'Trh práce 3'!$H$9:$H$48</c:f>
              <c:numCache>
                <c:formatCode>0.0</c:formatCode>
                <c:ptCount val="40"/>
                <c:pt idx="0">
                  <c:v>3.5332846838865208</c:v>
                </c:pt>
                <c:pt idx="1">
                  <c:v>4.425122650740704</c:v>
                </c:pt>
                <c:pt idx="2">
                  <c:v>2.3152819998793319</c:v>
                </c:pt>
                <c:pt idx="3">
                  <c:v>2.9717863026053948</c:v>
                </c:pt>
                <c:pt idx="4">
                  <c:v>2.9527260280244576</c:v>
                </c:pt>
                <c:pt idx="5">
                  <c:v>2.0923191727528945</c:v>
                </c:pt>
                <c:pt idx="6">
                  <c:v>1.8080251400873806</c:v>
                </c:pt>
                <c:pt idx="7">
                  <c:v>1.5019620723850409</c:v>
                </c:pt>
                <c:pt idx="8">
                  <c:v>0.41537995919813397</c:v>
                </c:pt>
                <c:pt idx="9">
                  <c:v>-1.2819231607881107</c:v>
                </c:pt>
                <c:pt idx="10">
                  <c:v>-1.8249350322319771</c:v>
                </c:pt>
                <c:pt idx="11">
                  <c:v>-2.0588258996494346</c:v>
                </c:pt>
                <c:pt idx="12">
                  <c:v>-2.8802810421720295</c:v>
                </c:pt>
                <c:pt idx="13">
                  <c:v>-1.8279480046633836</c:v>
                </c:pt>
                <c:pt idx="14">
                  <c:v>0.4046193699375209</c:v>
                </c:pt>
                <c:pt idx="15">
                  <c:v>0.95515229453815209</c:v>
                </c:pt>
                <c:pt idx="16">
                  <c:v>1.7448585072078089</c:v>
                </c:pt>
                <c:pt idx="17">
                  <c:v>2.7515963261383547</c:v>
                </c:pt>
                <c:pt idx="18">
                  <c:v>3.0294730201186439</c:v>
                </c:pt>
                <c:pt idx="19">
                  <c:v>1.0840279704352724</c:v>
                </c:pt>
                <c:pt idx="20">
                  <c:v>3.7518410336967918</c:v>
                </c:pt>
                <c:pt idx="21">
                  <c:v>4.1202609165826658</c:v>
                </c:pt>
                <c:pt idx="22">
                  <c:v>3.76028698995718</c:v>
                </c:pt>
                <c:pt idx="23">
                  <c:v>3.6745015563024737</c:v>
                </c:pt>
                <c:pt idx="24">
                  <c:v>1.4752745888902723</c:v>
                </c:pt>
                <c:pt idx="25">
                  <c:v>2.0687313721092977</c:v>
                </c:pt>
                <c:pt idx="26">
                  <c:v>6.7689948363209851E-2</c:v>
                </c:pt>
                <c:pt idx="27">
                  <c:v>-0.12588932224844029</c:v>
                </c:pt>
                <c:pt idx="28">
                  <c:v>2.1906602546173986</c:v>
                </c:pt>
                <c:pt idx="29">
                  <c:v>2.4032448321291326</c:v>
                </c:pt>
                <c:pt idx="30">
                  <c:v>2.7730189049163272</c:v>
                </c:pt>
                <c:pt idx="31">
                  <c:v>3.598660449921212</c:v>
                </c:pt>
                <c:pt idx="32">
                  <c:v>1.861141408768475</c:v>
                </c:pt>
                <c:pt idx="33">
                  <c:v>0.88927516359949266</c:v>
                </c:pt>
                <c:pt idx="34">
                  <c:v>1.4687747488576264</c:v>
                </c:pt>
                <c:pt idx="35">
                  <c:v>1.7348990509101299</c:v>
                </c:pt>
                <c:pt idx="36">
                  <c:v>1.3677883176795689</c:v>
                </c:pt>
                <c:pt idx="37">
                  <c:v>1.5376137121939593</c:v>
                </c:pt>
                <c:pt idx="38">
                  <c:v>2.653863108224769</c:v>
                </c:pt>
                <c:pt idx="39">
                  <c:v>1.5144868351771237</c:v>
                </c:pt>
              </c:numCache>
            </c:numRef>
          </c:val>
          <c:smooth val="0"/>
          <c:extLst>
            <c:ext xmlns:c16="http://schemas.microsoft.com/office/drawing/2014/chart" uri="{C3380CC4-5D6E-409C-BE32-E72D297353CC}">
              <c16:uniqueId val="{00000005-36F0-46EA-9248-610334FDCE73}"/>
            </c:ext>
          </c:extLst>
        </c:ser>
        <c:dLbls>
          <c:showLegendKey val="0"/>
          <c:showVal val="0"/>
          <c:showCatName val="0"/>
          <c:showSerName val="0"/>
          <c:showPercent val="0"/>
          <c:showBubbleSize val="0"/>
        </c:dLbls>
        <c:marker val="1"/>
        <c:smooth val="0"/>
        <c:axId val="100688640"/>
        <c:axId val="100690560"/>
      </c:lineChart>
      <c:catAx>
        <c:axId val="100688640"/>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100690560"/>
        <c:crosses val="autoZero"/>
        <c:auto val="1"/>
        <c:lblAlgn val="ctr"/>
        <c:lblOffset val="0"/>
        <c:tickMarkSkip val="4"/>
        <c:noMultiLvlLbl val="0"/>
      </c:catAx>
      <c:valAx>
        <c:axId val="100690560"/>
        <c:scaling>
          <c:orientation val="minMax"/>
          <c:max val="12"/>
          <c:min val="-5"/>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100688640"/>
        <c:crosses val="autoZero"/>
        <c:crossBetween val="between"/>
        <c:majorUnit val="1"/>
      </c:valAx>
      <c:spPr>
        <a:ln>
          <a:solidFill>
            <a:schemeClr val="tx1"/>
          </a:solidFill>
        </a:ln>
      </c:spPr>
    </c:plotArea>
    <c:legend>
      <c:legendPos val="b"/>
      <c:layout>
        <c:manualLayout>
          <c:xMode val="edge"/>
          <c:yMode val="edge"/>
          <c:x val="3.1246167703413017E-2"/>
          <c:y val="0.87578174603174608"/>
          <c:w val="0.95532757942632895"/>
          <c:h val="0.11341893424036281"/>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581433637284705E-2"/>
          <c:y val="2.1711264016309892E-2"/>
          <c:w val="0.93508633063154345"/>
          <c:h val="0.73130361364405005"/>
        </c:manualLayout>
      </c:layout>
      <c:barChart>
        <c:barDir val="col"/>
        <c:grouping val="clustered"/>
        <c:varyColors val="0"/>
        <c:ser>
          <c:idx val="0"/>
          <c:order val="0"/>
          <c:tx>
            <c:strRef>
              <c:f>'Měnové podmínky 1'!$C$5</c:f>
              <c:strCache>
                <c:ptCount val="1"/>
                <c:pt idx="0">
                  <c:v>2T repo sazba</c:v>
                </c:pt>
              </c:strCache>
            </c:strRef>
          </c:tx>
          <c:spPr>
            <a:solidFill>
              <a:schemeClr val="bg1">
                <a:lumMod val="65000"/>
              </a:schemeClr>
            </a:solidFill>
          </c:spPr>
          <c:invertIfNegative val="0"/>
          <c:cat>
            <c:multiLvlStrRef>
              <c:f>'Měnové podmínky 1'!$A$30:$B$101</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2014</c:v>
                  </c:pt>
                  <c:pt idx="12">
                    <c:v>2015</c:v>
                  </c:pt>
                  <c:pt idx="24">
                    <c:v>2016</c:v>
                  </c:pt>
                  <c:pt idx="36">
                    <c:v>2017</c:v>
                  </c:pt>
                  <c:pt idx="48">
                    <c:v>2018</c:v>
                  </c:pt>
                  <c:pt idx="60">
                    <c:v>2019</c:v>
                  </c:pt>
                </c:lvl>
              </c:multiLvlStrCache>
            </c:multiLvlStrRef>
          </c:cat>
          <c:val>
            <c:numRef>
              <c:f>'Měnové podmínky 1'!$C$30:$C$101</c:f>
              <c:numCache>
                <c:formatCode>0.00</c:formatCode>
                <c:ptCount val="72"/>
                <c:pt idx="0">
                  <c:v>0.05</c:v>
                </c:pt>
                <c:pt idx="1">
                  <c:v>0.05</c:v>
                </c:pt>
                <c:pt idx="2">
                  <c:v>0.05</c:v>
                </c:pt>
                <c:pt idx="3">
                  <c:v>0.05</c:v>
                </c:pt>
                <c:pt idx="4">
                  <c:v>0.05</c:v>
                </c:pt>
                <c:pt idx="5">
                  <c:v>0.05</c:v>
                </c:pt>
                <c:pt idx="6">
                  <c:v>0.05</c:v>
                </c:pt>
                <c:pt idx="7">
                  <c:v>0.05</c:v>
                </c:pt>
                <c:pt idx="8">
                  <c:v>0.05</c:v>
                </c:pt>
                <c:pt idx="9">
                  <c:v>0.05</c:v>
                </c:pt>
                <c:pt idx="10">
                  <c:v>0.05</c:v>
                </c:pt>
                <c:pt idx="11">
                  <c:v>0.05</c:v>
                </c:pt>
                <c:pt idx="12">
                  <c:v>0.05</c:v>
                </c:pt>
                <c:pt idx="13">
                  <c:v>0.05</c:v>
                </c:pt>
                <c:pt idx="14">
                  <c:v>0.05</c:v>
                </c:pt>
                <c:pt idx="15">
                  <c:v>0.05</c:v>
                </c:pt>
                <c:pt idx="16">
                  <c:v>0.05</c:v>
                </c:pt>
                <c:pt idx="17">
                  <c:v>0.05</c:v>
                </c:pt>
                <c:pt idx="18">
                  <c:v>0.05</c:v>
                </c:pt>
                <c:pt idx="19">
                  <c:v>0.05</c:v>
                </c:pt>
                <c:pt idx="20">
                  <c:v>0.05</c:v>
                </c:pt>
                <c:pt idx="21">
                  <c:v>0.05</c:v>
                </c:pt>
                <c:pt idx="22">
                  <c:v>0.05</c:v>
                </c:pt>
                <c:pt idx="23">
                  <c:v>0.05</c:v>
                </c:pt>
                <c:pt idx="24" formatCode="General">
                  <c:v>0.05</c:v>
                </c:pt>
                <c:pt idx="25" formatCode="General">
                  <c:v>0.05</c:v>
                </c:pt>
                <c:pt idx="26" formatCode="General">
                  <c:v>0.05</c:v>
                </c:pt>
                <c:pt idx="27" formatCode="General">
                  <c:v>0.05</c:v>
                </c:pt>
                <c:pt idx="28" formatCode="General">
                  <c:v>0.05</c:v>
                </c:pt>
                <c:pt idx="29" formatCode="General">
                  <c:v>0.05</c:v>
                </c:pt>
                <c:pt idx="30" formatCode="General">
                  <c:v>0.05</c:v>
                </c:pt>
                <c:pt idx="31" formatCode="General">
                  <c:v>0.05</c:v>
                </c:pt>
                <c:pt idx="32" formatCode="General">
                  <c:v>0.05</c:v>
                </c:pt>
                <c:pt idx="33" formatCode="General">
                  <c:v>0.05</c:v>
                </c:pt>
                <c:pt idx="34" formatCode="General">
                  <c:v>0.05</c:v>
                </c:pt>
                <c:pt idx="35" formatCode="General">
                  <c:v>0.05</c:v>
                </c:pt>
                <c:pt idx="36" formatCode="General">
                  <c:v>0.05</c:v>
                </c:pt>
                <c:pt idx="37" formatCode="General">
                  <c:v>0.05</c:v>
                </c:pt>
                <c:pt idx="38" formatCode="General">
                  <c:v>0.05</c:v>
                </c:pt>
                <c:pt idx="39" formatCode="General">
                  <c:v>0.05</c:v>
                </c:pt>
                <c:pt idx="40" formatCode="General">
                  <c:v>0.05</c:v>
                </c:pt>
                <c:pt idx="41" formatCode="General">
                  <c:v>0.05</c:v>
                </c:pt>
                <c:pt idx="42" formatCode="General">
                  <c:v>0.05</c:v>
                </c:pt>
                <c:pt idx="43" formatCode="General">
                  <c:v>0.25</c:v>
                </c:pt>
                <c:pt idx="44" formatCode="General">
                  <c:v>0.25</c:v>
                </c:pt>
                <c:pt idx="45" formatCode="General">
                  <c:v>0.25</c:v>
                </c:pt>
                <c:pt idx="46" formatCode="General">
                  <c:v>0.5</c:v>
                </c:pt>
                <c:pt idx="47" formatCode="General">
                  <c:v>0.5</c:v>
                </c:pt>
                <c:pt idx="48" formatCode="General">
                  <c:v>0.5</c:v>
                </c:pt>
                <c:pt idx="49" formatCode="General">
                  <c:v>0.75</c:v>
                </c:pt>
                <c:pt idx="50" formatCode="General">
                  <c:v>0.75</c:v>
                </c:pt>
                <c:pt idx="51" formatCode="General">
                  <c:v>0.75</c:v>
                </c:pt>
                <c:pt idx="52" formatCode="General">
                  <c:v>0.75</c:v>
                </c:pt>
                <c:pt idx="53" formatCode="General">
                  <c:v>1</c:v>
                </c:pt>
                <c:pt idx="54" formatCode="General">
                  <c:v>1</c:v>
                </c:pt>
                <c:pt idx="55" formatCode="General">
                  <c:v>1.25</c:v>
                </c:pt>
                <c:pt idx="56" formatCode="General">
                  <c:v>1.5</c:v>
                </c:pt>
                <c:pt idx="57" formatCode="General">
                  <c:v>1.5</c:v>
                </c:pt>
                <c:pt idx="58" formatCode="General">
                  <c:v>1.75</c:v>
                </c:pt>
                <c:pt idx="59" formatCode="General">
                  <c:v>1.75</c:v>
                </c:pt>
                <c:pt idx="60" formatCode="General">
                  <c:v>1.75</c:v>
                </c:pt>
                <c:pt idx="61" formatCode="General">
                  <c:v>1.75</c:v>
                </c:pt>
                <c:pt idx="62" formatCode="General">
                  <c:v>1.75</c:v>
                </c:pt>
                <c:pt idx="63" formatCode="General">
                  <c:v>1.75</c:v>
                </c:pt>
                <c:pt idx="64" formatCode="General">
                  <c:v>2</c:v>
                </c:pt>
                <c:pt idx="65" formatCode="General">
                  <c:v>2</c:v>
                </c:pt>
                <c:pt idx="66" formatCode="General">
                  <c:v>2</c:v>
                </c:pt>
                <c:pt idx="67" formatCode="General">
                  <c:v>2</c:v>
                </c:pt>
                <c:pt idx="68" formatCode="General">
                  <c:v>2</c:v>
                </c:pt>
                <c:pt idx="69" formatCode="General">
                  <c:v>2</c:v>
                </c:pt>
                <c:pt idx="70" formatCode="General">
                  <c:v>2</c:v>
                </c:pt>
                <c:pt idx="71" formatCode="General">
                  <c:v>2</c:v>
                </c:pt>
              </c:numCache>
            </c:numRef>
          </c:val>
          <c:extLst>
            <c:ext xmlns:c16="http://schemas.microsoft.com/office/drawing/2014/chart" uri="{C3380CC4-5D6E-409C-BE32-E72D297353CC}">
              <c16:uniqueId val="{00000000-F089-41A3-B746-515727A29FE2}"/>
            </c:ext>
          </c:extLst>
        </c:ser>
        <c:dLbls>
          <c:showLegendKey val="0"/>
          <c:showVal val="0"/>
          <c:showCatName val="0"/>
          <c:showSerName val="0"/>
          <c:showPercent val="0"/>
          <c:showBubbleSize val="0"/>
        </c:dLbls>
        <c:gapWidth val="31"/>
        <c:axId val="271742464"/>
        <c:axId val="271744000"/>
      </c:barChart>
      <c:lineChart>
        <c:grouping val="standard"/>
        <c:varyColors val="0"/>
        <c:ser>
          <c:idx val="3"/>
          <c:order val="1"/>
          <c:tx>
            <c:strRef>
              <c:f>'Měnové podmínky 1'!$F$5</c:f>
              <c:strCache>
                <c:ptCount val="1"/>
                <c:pt idx="0">
                  <c:v>Průměrný výnos státních dluhopisů (2Y)</c:v>
                </c:pt>
              </c:strCache>
            </c:strRef>
          </c:tx>
          <c:spPr>
            <a:ln w="19050">
              <a:solidFill>
                <a:srgbClr val="7DBB2D"/>
              </a:solidFill>
            </a:ln>
          </c:spPr>
          <c:marker>
            <c:symbol val="none"/>
          </c:marker>
          <c:cat>
            <c:multiLvlStrRef>
              <c:f>'Měnové podmínky 1'!$A$30:$B$101</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2014</c:v>
                  </c:pt>
                  <c:pt idx="12">
                    <c:v>2015</c:v>
                  </c:pt>
                  <c:pt idx="24">
                    <c:v>2016</c:v>
                  </c:pt>
                  <c:pt idx="36">
                    <c:v>2017</c:v>
                  </c:pt>
                  <c:pt idx="48">
                    <c:v>2018</c:v>
                  </c:pt>
                  <c:pt idx="60">
                    <c:v>2019</c:v>
                  </c:pt>
                </c:lvl>
              </c:multiLvlStrCache>
            </c:multiLvlStrRef>
          </c:cat>
          <c:val>
            <c:numRef>
              <c:f>'Měnové podmínky 1'!$F$30:$F$101</c:f>
              <c:numCache>
                <c:formatCode>General</c:formatCode>
                <c:ptCount val="72"/>
                <c:pt idx="0">
                  <c:v>0.23</c:v>
                </c:pt>
                <c:pt idx="1">
                  <c:v>0.28000000000000003</c:v>
                </c:pt>
                <c:pt idx="2">
                  <c:v>0.26</c:v>
                </c:pt>
                <c:pt idx="3">
                  <c:v>0.23</c:v>
                </c:pt>
                <c:pt idx="4">
                  <c:v>0.21</c:v>
                </c:pt>
                <c:pt idx="5">
                  <c:v>0.24</c:v>
                </c:pt>
                <c:pt idx="6">
                  <c:v>0.23</c:v>
                </c:pt>
                <c:pt idx="7">
                  <c:v>0.18</c:v>
                </c:pt>
                <c:pt idx="8">
                  <c:v>0.14000000000000001</c:v>
                </c:pt>
                <c:pt idx="9">
                  <c:v>0.1</c:v>
                </c:pt>
                <c:pt idx="10">
                  <c:v>0.12</c:v>
                </c:pt>
                <c:pt idx="11">
                  <c:v>0.13</c:v>
                </c:pt>
                <c:pt idx="12">
                  <c:v>0.09</c:v>
                </c:pt>
                <c:pt idx="13">
                  <c:v>0.06</c:v>
                </c:pt>
                <c:pt idx="14">
                  <c:v>0.04</c:v>
                </c:pt>
                <c:pt idx="15">
                  <c:v>-0.03</c:v>
                </c:pt>
                <c:pt idx="16">
                  <c:v>0.04</c:v>
                </c:pt>
                <c:pt idx="17">
                  <c:v>0.11</c:v>
                </c:pt>
                <c:pt idx="18">
                  <c:v>0.02</c:v>
                </c:pt>
                <c:pt idx="19">
                  <c:v>-7.0000000000000007E-2</c:v>
                </c:pt>
                <c:pt idx="20">
                  <c:v>-0.3</c:v>
                </c:pt>
                <c:pt idx="21">
                  <c:v>-0.28000000000000003</c:v>
                </c:pt>
                <c:pt idx="22">
                  <c:v>-0.33</c:v>
                </c:pt>
                <c:pt idx="23">
                  <c:v>-0.38</c:v>
                </c:pt>
                <c:pt idx="24">
                  <c:v>-0.21</c:v>
                </c:pt>
                <c:pt idx="25">
                  <c:v>-0.18</c:v>
                </c:pt>
                <c:pt idx="26">
                  <c:v>-0.17</c:v>
                </c:pt>
                <c:pt idx="27">
                  <c:v>-0.08</c:v>
                </c:pt>
                <c:pt idx="28">
                  <c:v>-0.04</c:v>
                </c:pt>
                <c:pt idx="29">
                  <c:v>-0.05</c:v>
                </c:pt>
                <c:pt idx="30">
                  <c:v>-0.13</c:v>
                </c:pt>
                <c:pt idx="31">
                  <c:v>-0.22</c:v>
                </c:pt>
                <c:pt idx="32">
                  <c:v>-0.5</c:v>
                </c:pt>
                <c:pt idx="33">
                  <c:v>-0.74</c:v>
                </c:pt>
                <c:pt idx="34">
                  <c:v>-0.73</c:v>
                </c:pt>
                <c:pt idx="35">
                  <c:v>-0.81</c:v>
                </c:pt>
                <c:pt idx="36">
                  <c:v>-0.88</c:v>
                </c:pt>
                <c:pt idx="37">
                  <c:v>-0.53</c:v>
                </c:pt>
                <c:pt idx="38">
                  <c:v>-0.44</c:v>
                </c:pt>
                <c:pt idx="39">
                  <c:v>-0.23</c:v>
                </c:pt>
                <c:pt idx="40">
                  <c:v>-0.24</c:v>
                </c:pt>
                <c:pt idx="41">
                  <c:v>-0.25</c:v>
                </c:pt>
                <c:pt idx="42">
                  <c:v>-0.28999999999999998</c:v>
                </c:pt>
                <c:pt idx="43">
                  <c:v>-0.33</c:v>
                </c:pt>
                <c:pt idx="44">
                  <c:v>-0.28999999999999998</c:v>
                </c:pt>
                <c:pt idx="45">
                  <c:v>0.12</c:v>
                </c:pt>
                <c:pt idx="46">
                  <c:v>0.31</c:v>
                </c:pt>
                <c:pt idx="47">
                  <c:v>0.19</c:v>
                </c:pt>
                <c:pt idx="48">
                  <c:v>0.46</c:v>
                </c:pt>
                <c:pt idx="49">
                  <c:v>0.55000000000000004</c:v>
                </c:pt>
                <c:pt idx="50">
                  <c:v>0.62</c:v>
                </c:pt>
                <c:pt idx="51">
                  <c:v>0.6</c:v>
                </c:pt>
                <c:pt idx="52">
                  <c:v>0.7</c:v>
                </c:pt>
                <c:pt idx="53">
                  <c:v>0.89</c:v>
                </c:pt>
                <c:pt idx="54">
                  <c:v>1.0900000000000001</c:v>
                </c:pt>
                <c:pt idx="55">
                  <c:v>1.26</c:v>
                </c:pt>
                <c:pt idx="56">
                  <c:v>1.34</c:v>
                </c:pt>
                <c:pt idx="57">
                  <c:v>1.44</c:v>
                </c:pt>
                <c:pt idx="58">
                  <c:v>1.49</c:v>
                </c:pt>
                <c:pt idx="59">
                  <c:v>1.52</c:v>
                </c:pt>
                <c:pt idx="60">
                  <c:v>1.66</c:v>
                </c:pt>
                <c:pt idx="61">
                  <c:v>1.74</c:v>
                </c:pt>
                <c:pt idx="62">
                  <c:v>1.71</c:v>
                </c:pt>
                <c:pt idx="63">
                  <c:v>1.63</c:v>
                </c:pt>
                <c:pt idx="64">
                  <c:v>1.62</c:v>
                </c:pt>
                <c:pt idx="65">
                  <c:v>1.52</c:v>
                </c:pt>
                <c:pt idx="66">
                  <c:v>1.35</c:v>
                </c:pt>
                <c:pt idx="67">
                  <c:v>0.85</c:v>
                </c:pt>
                <c:pt idx="68">
                  <c:v>1.07</c:v>
                </c:pt>
                <c:pt idx="69">
                  <c:v>1.17</c:v>
                </c:pt>
                <c:pt idx="70">
                  <c:v>1.33</c:v>
                </c:pt>
                <c:pt idx="71">
                  <c:v>1.36</c:v>
                </c:pt>
              </c:numCache>
            </c:numRef>
          </c:val>
          <c:smooth val="0"/>
          <c:extLst>
            <c:ext xmlns:c16="http://schemas.microsoft.com/office/drawing/2014/chart" uri="{C3380CC4-5D6E-409C-BE32-E72D297353CC}">
              <c16:uniqueId val="{00000001-F089-41A3-B746-515727A29FE2}"/>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1'!$A$30:$B$101</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2014</c:v>
                  </c:pt>
                  <c:pt idx="12">
                    <c:v>2015</c:v>
                  </c:pt>
                  <c:pt idx="24">
                    <c:v>2016</c:v>
                  </c:pt>
                  <c:pt idx="36">
                    <c:v>2017</c:v>
                  </c:pt>
                  <c:pt idx="48">
                    <c:v>2018</c:v>
                  </c:pt>
                  <c:pt idx="60">
                    <c:v>2019</c:v>
                  </c:pt>
                </c:lvl>
              </c:multiLvlStrCache>
            </c:multiLvlStrRef>
          </c:cat>
          <c:val>
            <c:numRef>
              <c:f>'Měnové podmínky 1'!$D$30:$D$101</c:f>
              <c:numCache>
                <c:formatCode>General</c:formatCode>
                <c:ptCount val="72"/>
                <c:pt idx="0">
                  <c:v>0.37</c:v>
                </c:pt>
                <c:pt idx="1">
                  <c:v>0.37</c:v>
                </c:pt>
                <c:pt idx="2">
                  <c:v>0.37</c:v>
                </c:pt>
                <c:pt idx="3">
                  <c:v>0.37</c:v>
                </c:pt>
                <c:pt idx="4">
                  <c:v>0.37</c:v>
                </c:pt>
                <c:pt idx="5">
                  <c:v>0.35</c:v>
                </c:pt>
                <c:pt idx="6">
                  <c:v>0.35</c:v>
                </c:pt>
                <c:pt idx="7">
                  <c:v>0.35</c:v>
                </c:pt>
                <c:pt idx="8">
                  <c:v>0.35</c:v>
                </c:pt>
                <c:pt idx="9">
                  <c:v>0.35</c:v>
                </c:pt>
                <c:pt idx="10">
                  <c:v>0.34</c:v>
                </c:pt>
                <c:pt idx="11">
                  <c:v>0.34</c:v>
                </c:pt>
                <c:pt idx="12">
                  <c:v>0.33</c:v>
                </c:pt>
                <c:pt idx="13">
                  <c:v>0.33</c:v>
                </c:pt>
                <c:pt idx="14">
                  <c:v>0.32</c:v>
                </c:pt>
                <c:pt idx="15">
                  <c:v>0.31</c:v>
                </c:pt>
                <c:pt idx="16">
                  <c:v>0.31</c:v>
                </c:pt>
                <c:pt idx="17">
                  <c:v>0.31</c:v>
                </c:pt>
                <c:pt idx="18">
                  <c:v>0.31</c:v>
                </c:pt>
                <c:pt idx="19">
                  <c:v>0.31</c:v>
                </c:pt>
                <c:pt idx="20">
                  <c:v>0.3</c:v>
                </c:pt>
                <c:pt idx="21">
                  <c:v>0.28999999999999998</c:v>
                </c:pt>
                <c:pt idx="22">
                  <c:v>0.28999999999999998</c:v>
                </c:pt>
                <c:pt idx="23">
                  <c:v>0.28999999999999998</c:v>
                </c:pt>
                <c:pt idx="24">
                  <c:v>0.28999999999999998</c:v>
                </c:pt>
                <c:pt idx="25">
                  <c:v>0.28000000000000003</c:v>
                </c:pt>
                <c:pt idx="26">
                  <c:v>0.28999999999999998</c:v>
                </c:pt>
                <c:pt idx="27">
                  <c:v>0.28999999999999998</c:v>
                </c:pt>
                <c:pt idx="28">
                  <c:v>0.28999999999999998</c:v>
                </c:pt>
                <c:pt idx="29">
                  <c:v>0.28999999999999998</c:v>
                </c:pt>
                <c:pt idx="30">
                  <c:v>0.28999999999999998</c:v>
                </c:pt>
                <c:pt idx="31">
                  <c:v>0.28999999999999998</c:v>
                </c:pt>
                <c:pt idx="32">
                  <c:v>0.28999999999999998</c:v>
                </c:pt>
                <c:pt idx="33">
                  <c:v>0.28999999999999998</c:v>
                </c:pt>
                <c:pt idx="34">
                  <c:v>0.28999999999999998</c:v>
                </c:pt>
                <c:pt idx="35">
                  <c:v>0.28999999999999998</c:v>
                </c:pt>
                <c:pt idx="36">
                  <c:v>0.28000000000000003</c:v>
                </c:pt>
                <c:pt idx="37">
                  <c:v>0.28000000000000003</c:v>
                </c:pt>
                <c:pt idx="38">
                  <c:v>0.28000000000000003</c:v>
                </c:pt>
                <c:pt idx="39">
                  <c:v>0.28999999999999998</c:v>
                </c:pt>
                <c:pt idx="40">
                  <c:v>0.3</c:v>
                </c:pt>
                <c:pt idx="41">
                  <c:v>0.3</c:v>
                </c:pt>
                <c:pt idx="42">
                  <c:v>0.3</c:v>
                </c:pt>
                <c:pt idx="43">
                  <c:v>0.43</c:v>
                </c:pt>
                <c:pt idx="44">
                  <c:v>0.46</c:v>
                </c:pt>
                <c:pt idx="45">
                  <c:v>0.51</c:v>
                </c:pt>
                <c:pt idx="46">
                  <c:v>0.71</c:v>
                </c:pt>
                <c:pt idx="47">
                  <c:v>0.75</c:v>
                </c:pt>
                <c:pt idx="48">
                  <c:v>0.77</c:v>
                </c:pt>
                <c:pt idx="49">
                  <c:v>0.9</c:v>
                </c:pt>
                <c:pt idx="50">
                  <c:v>0.9</c:v>
                </c:pt>
                <c:pt idx="51">
                  <c:v>0.9</c:v>
                </c:pt>
                <c:pt idx="52">
                  <c:v>0.9</c:v>
                </c:pt>
                <c:pt idx="53">
                  <c:v>0.93</c:v>
                </c:pt>
                <c:pt idx="54">
                  <c:v>1.18</c:v>
                </c:pt>
                <c:pt idx="55">
                  <c:v>1.45</c:v>
                </c:pt>
                <c:pt idx="56">
                  <c:v>1.54</c:v>
                </c:pt>
                <c:pt idx="57">
                  <c:v>1.76</c:v>
                </c:pt>
                <c:pt idx="58">
                  <c:v>1.99</c:v>
                </c:pt>
                <c:pt idx="59">
                  <c:v>2.0099999999999998</c:v>
                </c:pt>
                <c:pt idx="60">
                  <c:v>2.0099999999999998</c:v>
                </c:pt>
                <c:pt idx="61">
                  <c:v>2.0099999999999998</c:v>
                </c:pt>
                <c:pt idx="62">
                  <c:v>2.0299999999999998</c:v>
                </c:pt>
                <c:pt idx="63">
                  <c:v>2.02</c:v>
                </c:pt>
                <c:pt idx="64">
                  <c:v>2.19</c:v>
                </c:pt>
                <c:pt idx="65">
                  <c:v>2.17</c:v>
                </c:pt>
                <c:pt idx="66">
                  <c:v>2.16</c:v>
                </c:pt>
                <c:pt idx="67">
                  <c:v>2.14</c:v>
                </c:pt>
                <c:pt idx="68">
                  <c:v>2.14</c:v>
                </c:pt>
                <c:pt idx="69">
                  <c:v>2.17</c:v>
                </c:pt>
                <c:pt idx="70">
                  <c:v>2.1800000000000002</c:v>
                </c:pt>
                <c:pt idx="71">
                  <c:v>2.1800000000000002</c:v>
                </c:pt>
              </c:numCache>
            </c:numRef>
          </c:val>
          <c:smooth val="0"/>
          <c:extLst>
            <c:ext xmlns:c16="http://schemas.microsoft.com/office/drawing/2014/chart" uri="{C3380CC4-5D6E-409C-BE32-E72D297353CC}">
              <c16:uniqueId val="{00000002-F089-41A3-B746-515727A29FE2}"/>
            </c:ext>
          </c:extLst>
        </c:ser>
        <c:ser>
          <c:idx val="4"/>
          <c:order val="3"/>
          <c:tx>
            <c:strRef>
              <c:f>'Měnové podmínky 1'!$G$5</c:f>
              <c:strCache>
                <c:ptCount val="1"/>
                <c:pt idx="0">
                  <c:v>Průměrný výnos státních dluhopisů (5Y)</c:v>
                </c:pt>
              </c:strCache>
            </c:strRef>
          </c:tx>
          <c:spPr>
            <a:ln w="19050">
              <a:solidFill>
                <a:srgbClr val="F8A124"/>
              </a:solidFill>
            </a:ln>
          </c:spPr>
          <c:marker>
            <c:symbol val="none"/>
          </c:marker>
          <c:cat>
            <c:multiLvlStrRef>
              <c:f>'Měnové podmínky 1'!$A$30:$B$101</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2014</c:v>
                  </c:pt>
                  <c:pt idx="12">
                    <c:v>2015</c:v>
                  </c:pt>
                  <c:pt idx="24">
                    <c:v>2016</c:v>
                  </c:pt>
                  <c:pt idx="36">
                    <c:v>2017</c:v>
                  </c:pt>
                  <c:pt idx="48">
                    <c:v>2018</c:v>
                  </c:pt>
                  <c:pt idx="60">
                    <c:v>2019</c:v>
                  </c:pt>
                </c:lvl>
              </c:multiLvlStrCache>
            </c:multiLvlStrRef>
          </c:cat>
          <c:val>
            <c:numRef>
              <c:f>'Měnové podmínky 1'!$G$30:$G$101</c:f>
              <c:numCache>
                <c:formatCode>General</c:formatCode>
                <c:ptCount val="72"/>
                <c:pt idx="0">
                  <c:v>1.0900000000000001</c:v>
                </c:pt>
                <c:pt idx="1">
                  <c:v>1.2</c:v>
                </c:pt>
                <c:pt idx="2">
                  <c:v>1.1399999999999999</c:v>
                </c:pt>
                <c:pt idx="3">
                  <c:v>0.99</c:v>
                </c:pt>
                <c:pt idx="4">
                  <c:v>0.8</c:v>
                </c:pt>
                <c:pt idx="5">
                  <c:v>0.68</c:v>
                </c:pt>
                <c:pt idx="6">
                  <c:v>0.65</c:v>
                </c:pt>
                <c:pt idx="7">
                  <c:v>0.62</c:v>
                </c:pt>
                <c:pt idx="8">
                  <c:v>0.51</c:v>
                </c:pt>
                <c:pt idx="9">
                  <c:v>0.37</c:v>
                </c:pt>
                <c:pt idx="10">
                  <c:v>0.24</c:v>
                </c:pt>
                <c:pt idx="11">
                  <c:v>0.22</c:v>
                </c:pt>
                <c:pt idx="12">
                  <c:v>0.13</c:v>
                </c:pt>
                <c:pt idx="13">
                  <c:v>0.17</c:v>
                </c:pt>
                <c:pt idx="14">
                  <c:v>0.14000000000000001</c:v>
                </c:pt>
                <c:pt idx="15">
                  <c:v>0.05</c:v>
                </c:pt>
                <c:pt idx="16">
                  <c:v>0.22</c:v>
                </c:pt>
                <c:pt idx="17">
                  <c:v>0.43</c:v>
                </c:pt>
                <c:pt idx="18">
                  <c:v>0.35</c:v>
                </c:pt>
                <c:pt idx="19">
                  <c:v>0.2</c:v>
                </c:pt>
                <c:pt idx="20">
                  <c:v>0.06</c:v>
                </c:pt>
                <c:pt idx="21">
                  <c:v>-0.05</c:v>
                </c:pt>
                <c:pt idx="22">
                  <c:v>-0.05</c:v>
                </c:pt>
                <c:pt idx="23">
                  <c:v>-0.11</c:v>
                </c:pt>
                <c:pt idx="24">
                  <c:v>0.04</c:v>
                </c:pt>
                <c:pt idx="25">
                  <c:v>-0.08</c:v>
                </c:pt>
                <c:pt idx="26">
                  <c:v>-0.1</c:v>
                </c:pt>
                <c:pt idx="27">
                  <c:v>0.04</c:v>
                </c:pt>
                <c:pt idx="28">
                  <c:v>7.0000000000000007E-2</c:v>
                </c:pt>
                <c:pt idx="29">
                  <c:v>0.05</c:v>
                </c:pt>
                <c:pt idx="30">
                  <c:v>-0.02</c:v>
                </c:pt>
                <c:pt idx="31">
                  <c:v>-0.09</c:v>
                </c:pt>
                <c:pt idx="32">
                  <c:v>-0.19</c:v>
                </c:pt>
                <c:pt idx="33">
                  <c:v>-0.17</c:v>
                </c:pt>
                <c:pt idx="34">
                  <c:v>-0.17</c:v>
                </c:pt>
                <c:pt idx="35">
                  <c:v>-0.21</c:v>
                </c:pt>
                <c:pt idx="36">
                  <c:v>-0.22</c:v>
                </c:pt>
                <c:pt idx="37">
                  <c:v>0.09</c:v>
                </c:pt>
                <c:pt idx="38">
                  <c:v>0.1</c:v>
                </c:pt>
                <c:pt idx="39">
                  <c:v>0.16</c:v>
                </c:pt>
                <c:pt idx="40">
                  <c:v>0.04</c:v>
                </c:pt>
                <c:pt idx="41">
                  <c:v>-0.03</c:v>
                </c:pt>
                <c:pt idx="42">
                  <c:v>0.14000000000000001</c:v>
                </c:pt>
                <c:pt idx="43">
                  <c:v>0.09</c:v>
                </c:pt>
                <c:pt idx="44">
                  <c:v>0.1</c:v>
                </c:pt>
                <c:pt idx="45">
                  <c:v>0.63</c:v>
                </c:pt>
                <c:pt idx="46">
                  <c:v>0.87</c:v>
                </c:pt>
                <c:pt idx="47">
                  <c:v>0.68</c:v>
                </c:pt>
                <c:pt idx="48">
                  <c:v>0.99</c:v>
                </c:pt>
                <c:pt idx="49">
                  <c:v>1.07</c:v>
                </c:pt>
                <c:pt idx="50">
                  <c:v>1.0900000000000001</c:v>
                </c:pt>
                <c:pt idx="51">
                  <c:v>1.05</c:v>
                </c:pt>
                <c:pt idx="52">
                  <c:v>1.21</c:v>
                </c:pt>
                <c:pt idx="53">
                  <c:v>1.41</c:v>
                </c:pt>
                <c:pt idx="54">
                  <c:v>1.44</c:v>
                </c:pt>
                <c:pt idx="55">
                  <c:v>1.55</c:v>
                </c:pt>
                <c:pt idx="56">
                  <c:v>1.7</c:v>
                </c:pt>
                <c:pt idx="57">
                  <c:v>1.81</c:v>
                </c:pt>
                <c:pt idx="58">
                  <c:v>1.79</c:v>
                </c:pt>
                <c:pt idx="59">
                  <c:v>1.71</c:v>
                </c:pt>
                <c:pt idx="60">
                  <c:v>1.6</c:v>
                </c:pt>
                <c:pt idx="61">
                  <c:v>1.61</c:v>
                </c:pt>
                <c:pt idx="62">
                  <c:v>1.7</c:v>
                </c:pt>
                <c:pt idx="63">
                  <c:v>1.63</c:v>
                </c:pt>
                <c:pt idx="64">
                  <c:v>1.57</c:v>
                </c:pt>
                <c:pt idx="65">
                  <c:v>1.43</c:v>
                </c:pt>
                <c:pt idx="66">
                  <c:v>1.31</c:v>
                </c:pt>
                <c:pt idx="67">
                  <c:v>0.89</c:v>
                </c:pt>
                <c:pt idx="68">
                  <c:v>1.1299999999999999</c:v>
                </c:pt>
                <c:pt idx="69">
                  <c:v>1.23</c:v>
                </c:pt>
                <c:pt idx="70">
                  <c:v>1.32</c:v>
                </c:pt>
                <c:pt idx="71">
                  <c:v>1.31</c:v>
                </c:pt>
              </c:numCache>
            </c:numRef>
          </c:val>
          <c:smooth val="0"/>
          <c:extLst>
            <c:ext xmlns:c16="http://schemas.microsoft.com/office/drawing/2014/chart" uri="{C3380CC4-5D6E-409C-BE32-E72D297353CC}">
              <c16:uniqueId val="{00000003-F089-41A3-B746-515727A29FE2}"/>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1'!$A$30:$B$101</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2014</c:v>
                  </c:pt>
                  <c:pt idx="12">
                    <c:v>2015</c:v>
                  </c:pt>
                  <c:pt idx="24">
                    <c:v>2016</c:v>
                  </c:pt>
                  <c:pt idx="36">
                    <c:v>2017</c:v>
                  </c:pt>
                  <c:pt idx="48">
                    <c:v>2018</c:v>
                  </c:pt>
                  <c:pt idx="60">
                    <c:v>2019</c:v>
                  </c:pt>
                </c:lvl>
              </c:multiLvlStrCache>
            </c:multiLvlStrRef>
          </c:cat>
          <c:val>
            <c:numRef>
              <c:f>'Měnové podmínky 1'!$E$30:$E$101</c:f>
              <c:numCache>
                <c:formatCode>General</c:formatCode>
                <c:ptCount val="72"/>
                <c:pt idx="0">
                  <c:v>0.57999999999999996</c:v>
                </c:pt>
                <c:pt idx="1">
                  <c:v>0.55000000000000004</c:v>
                </c:pt>
                <c:pt idx="2">
                  <c:v>0.55000000000000004</c:v>
                </c:pt>
                <c:pt idx="3">
                  <c:v>0.55000000000000004</c:v>
                </c:pt>
                <c:pt idx="4">
                  <c:v>0.54</c:v>
                </c:pt>
                <c:pt idx="5">
                  <c:v>0.53</c:v>
                </c:pt>
                <c:pt idx="6">
                  <c:v>0.52</c:v>
                </c:pt>
                <c:pt idx="7">
                  <c:v>0.52</c:v>
                </c:pt>
                <c:pt idx="8">
                  <c:v>0.52</c:v>
                </c:pt>
                <c:pt idx="9">
                  <c:v>0.52</c:v>
                </c:pt>
                <c:pt idx="10">
                  <c:v>0.51</c:v>
                </c:pt>
                <c:pt idx="11">
                  <c:v>0.51</c:v>
                </c:pt>
                <c:pt idx="12">
                  <c:v>0.51</c:v>
                </c:pt>
                <c:pt idx="13">
                  <c:v>0.51</c:v>
                </c:pt>
                <c:pt idx="14">
                  <c:v>0.49</c:v>
                </c:pt>
                <c:pt idx="15">
                  <c:v>0.48</c:v>
                </c:pt>
                <c:pt idx="16">
                  <c:v>0.48</c:v>
                </c:pt>
                <c:pt idx="17">
                  <c:v>0.48</c:v>
                </c:pt>
                <c:pt idx="18">
                  <c:v>0.48</c:v>
                </c:pt>
                <c:pt idx="19">
                  <c:v>0.48</c:v>
                </c:pt>
                <c:pt idx="20">
                  <c:v>0.47</c:v>
                </c:pt>
                <c:pt idx="21">
                  <c:v>0.46</c:v>
                </c:pt>
                <c:pt idx="22">
                  <c:v>0.46</c:v>
                </c:pt>
                <c:pt idx="23">
                  <c:v>0.46</c:v>
                </c:pt>
                <c:pt idx="24">
                  <c:v>0.45</c:v>
                </c:pt>
                <c:pt idx="25">
                  <c:v>0.45</c:v>
                </c:pt>
                <c:pt idx="26">
                  <c:v>0.45</c:v>
                </c:pt>
                <c:pt idx="27">
                  <c:v>0.45</c:v>
                </c:pt>
                <c:pt idx="28">
                  <c:v>0.45</c:v>
                </c:pt>
                <c:pt idx="29">
                  <c:v>0.45</c:v>
                </c:pt>
                <c:pt idx="30">
                  <c:v>0.45</c:v>
                </c:pt>
                <c:pt idx="31">
                  <c:v>0.45</c:v>
                </c:pt>
                <c:pt idx="32">
                  <c:v>0.45</c:v>
                </c:pt>
                <c:pt idx="33">
                  <c:v>0.45</c:v>
                </c:pt>
                <c:pt idx="34">
                  <c:v>0.45</c:v>
                </c:pt>
                <c:pt idx="35">
                  <c:v>0.45</c:v>
                </c:pt>
                <c:pt idx="36">
                  <c:v>0.44</c:v>
                </c:pt>
                <c:pt idx="37">
                  <c:v>0.44</c:v>
                </c:pt>
                <c:pt idx="38">
                  <c:v>0.44</c:v>
                </c:pt>
                <c:pt idx="39">
                  <c:v>0.45</c:v>
                </c:pt>
                <c:pt idx="40">
                  <c:v>0.46</c:v>
                </c:pt>
                <c:pt idx="41">
                  <c:v>0.46</c:v>
                </c:pt>
                <c:pt idx="42">
                  <c:v>0.47</c:v>
                </c:pt>
                <c:pt idx="43">
                  <c:v>0.6</c:v>
                </c:pt>
                <c:pt idx="44">
                  <c:v>0.64</c:v>
                </c:pt>
                <c:pt idx="45">
                  <c:v>0.69</c:v>
                </c:pt>
                <c:pt idx="46">
                  <c:v>0.91</c:v>
                </c:pt>
                <c:pt idx="47">
                  <c:v>0.96</c:v>
                </c:pt>
                <c:pt idx="48">
                  <c:v>0.98</c:v>
                </c:pt>
                <c:pt idx="49">
                  <c:v>1.1100000000000001</c:v>
                </c:pt>
                <c:pt idx="50">
                  <c:v>1.1200000000000001</c:v>
                </c:pt>
                <c:pt idx="51">
                  <c:v>1.1200000000000001</c:v>
                </c:pt>
                <c:pt idx="52">
                  <c:v>1.1200000000000001</c:v>
                </c:pt>
                <c:pt idx="53">
                  <c:v>1.1499999999999999</c:v>
                </c:pt>
                <c:pt idx="54">
                  <c:v>1.39</c:v>
                </c:pt>
                <c:pt idx="55">
                  <c:v>1.67</c:v>
                </c:pt>
                <c:pt idx="56">
                  <c:v>1.79</c:v>
                </c:pt>
                <c:pt idx="57">
                  <c:v>1.95</c:v>
                </c:pt>
                <c:pt idx="58">
                  <c:v>2.1800000000000002</c:v>
                </c:pt>
                <c:pt idx="59">
                  <c:v>2.21</c:v>
                </c:pt>
                <c:pt idx="60">
                  <c:v>2.21</c:v>
                </c:pt>
                <c:pt idx="61">
                  <c:v>2.2000000000000002</c:v>
                </c:pt>
                <c:pt idx="62">
                  <c:v>2.2000000000000002</c:v>
                </c:pt>
                <c:pt idx="63">
                  <c:v>2.21</c:v>
                </c:pt>
                <c:pt idx="64">
                  <c:v>2.3199999999999998</c:v>
                </c:pt>
                <c:pt idx="65">
                  <c:v>2.29</c:v>
                </c:pt>
                <c:pt idx="66">
                  <c:v>2.2799999999999998</c:v>
                </c:pt>
                <c:pt idx="67">
                  <c:v>2.2200000000000002</c:v>
                </c:pt>
                <c:pt idx="68">
                  <c:v>2.2000000000000002</c:v>
                </c:pt>
                <c:pt idx="69">
                  <c:v>2.2799999999999998</c:v>
                </c:pt>
                <c:pt idx="70">
                  <c:v>2.2799999999999998</c:v>
                </c:pt>
                <c:pt idx="71">
                  <c:v>2.27</c:v>
                </c:pt>
              </c:numCache>
            </c:numRef>
          </c:val>
          <c:smooth val="0"/>
          <c:extLst>
            <c:ext xmlns:c16="http://schemas.microsoft.com/office/drawing/2014/chart" uri="{C3380CC4-5D6E-409C-BE32-E72D297353CC}">
              <c16:uniqueId val="{00000004-F089-41A3-B746-515727A29FE2}"/>
            </c:ext>
          </c:extLst>
        </c:ser>
        <c:ser>
          <c:idx val="5"/>
          <c:order val="5"/>
          <c:tx>
            <c:strRef>
              <c:f>'Měnové podmínky 1'!$H$5</c:f>
              <c:strCache>
                <c:ptCount val="1"/>
                <c:pt idx="0">
                  <c:v>Průměrný výnos státních dluhopisů (10Y)</c:v>
                </c:pt>
              </c:strCache>
            </c:strRef>
          </c:tx>
          <c:spPr>
            <a:ln w="19050">
              <a:solidFill>
                <a:srgbClr val="48AEE7"/>
              </a:solidFill>
            </a:ln>
          </c:spPr>
          <c:marker>
            <c:symbol val="none"/>
          </c:marker>
          <c:cat>
            <c:multiLvlStrRef>
              <c:f>'Měnové podmínky 1'!$A$30:$B$101</c:f>
              <c:multiLvlStrCache>
                <c:ptCount val="72"/>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pt idx="66">
                    <c:v>7</c:v>
                  </c:pt>
                  <c:pt idx="67">
                    <c:v>8</c:v>
                  </c:pt>
                  <c:pt idx="68">
                    <c:v>9</c:v>
                  </c:pt>
                  <c:pt idx="69">
                    <c:v>10</c:v>
                  </c:pt>
                  <c:pt idx="70">
                    <c:v>11</c:v>
                  </c:pt>
                  <c:pt idx="71">
                    <c:v>12</c:v>
                  </c:pt>
                </c:lvl>
                <c:lvl>
                  <c:pt idx="0">
                    <c:v>2014</c:v>
                  </c:pt>
                  <c:pt idx="12">
                    <c:v>2015</c:v>
                  </c:pt>
                  <c:pt idx="24">
                    <c:v>2016</c:v>
                  </c:pt>
                  <c:pt idx="36">
                    <c:v>2017</c:v>
                  </c:pt>
                  <c:pt idx="48">
                    <c:v>2018</c:v>
                  </c:pt>
                  <c:pt idx="60">
                    <c:v>2019</c:v>
                  </c:pt>
                </c:lvl>
              </c:multiLvlStrCache>
            </c:multiLvlStrRef>
          </c:cat>
          <c:val>
            <c:numRef>
              <c:f>'Měnové podmínky 1'!$H$30:$H$101</c:f>
              <c:numCache>
                <c:formatCode>General</c:formatCode>
                <c:ptCount val="72"/>
                <c:pt idx="0">
                  <c:v>2.4300000000000002</c:v>
                </c:pt>
                <c:pt idx="1">
                  <c:v>2.2799999999999998</c:v>
                </c:pt>
                <c:pt idx="2">
                  <c:v>2.2000000000000002</c:v>
                </c:pt>
                <c:pt idx="3">
                  <c:v>2</c:v>
                </c:pt>
                <c:pt idx="4">
                  <c:v>1.73</c:v>
                </c:pt>
                <c:pt idx="5">
                  <c:v>1.55</c:v>
                </c:pt>
                <c:pt idx="6">
                  <c:v>1.49</c:v>
                </c:pt>
                <c:pt idx="7">
                  <c:v>1.38</c:v>
                </c:pt>
                <c:pt idx="8">
                  <c:v>1.21</c:v>
                </c:pt>
                <c:pt idx="9">
                  <c:v>1.1000000000000001</c:v>
                </c:pt>
                <c:pt idx="10">
                  <c:v>0.87</c:v>
                </c:pt>
                <c:pt idx="11">
                  <c:v>0.67</c:v>
                </c:pt>
                <c:pt idx="12">
                  <c:v>0.35</c:v>
                </c:pt>
                <c:pt idx="13">
                  <c:v>0.4</c:v>
                </c:pt>
                <c:pt idx="14">
                  <c:v>0.35</c:v>
                </c:pt>
                <c:pt idx="15">
                  <c:v>0.26</c:v>
                </c:pt>
                <c:pt idx="16">
                  <c:v>0.6</c:v>
                </c:pt>
                <c:pt idx="17">
                  <c:v>1.01</c:v>
                </c:pt>
                <c:pt idx="18">
                  <c:v>0.97</c:v>
                </c:pt>
                <c:pt idx="19">
                  <c:v>0.74</c:v>
                </c:pt>
                <c:pt idx="20">
                  <c:v>0.68</c:v>
                </c:pt>
                <c:pt idx="21">
                  <c:v>0.56000000000000005</c:v>
                </c:pt>
                <c:pt idx="22">
                  <c:v>0.49</c:v>
                </c:pt>
                <c:pt idx="23">
                  <c:v>0.49</c:v>
                </c:pt>
                <c:pt idx="24">
                  <c:v>0.62</c:v>
                </c:pt>
                <c:pt idx="25">
                  <c:v>0.46</c:v>
                </c:pt>
                <c:pt idx="26">
                  <c:v>0.35</c:v>
                </c:pt>
                <c:pt idx="27">
                  <c:v>0.43</c:v>
                </c:pt>
                <c:pt idx="28">
                  <c:v>0.46</c:v>
                </c:pt>
                <c:pt idx="29">
                  <c:v>0.45</c:v>
                </c:pt>
                <c:pt idx="30">
                  <c:v>0.37</c:v>
                </c:pt>
                <c:pt idx="31">
                  <c:v>0.28999999999999998</c:v>
                </c:pt>
                <c:pt idx="32">
                  <c:v>0.25</c:v>
                </c:pt>
                <c:pt idx="33">
                  <c:v>0.37</c:v>
                </c:pt>
                <c:pt idx="34">
                  <c:v>0.55000000000000004</c:v>
                </c:pt>
                <c:pt idx="35">
                  <c:v>0.53</c:v>
                </c:pt>
                <c:pt idx="36">
                  <c:v>0.47</c:v>
                </c:pt>
                <c:pt idx="37">
                  <c:v>0.63</c:v>
                </c:pt>
                <c:pt idx="38">
                  <c:v>0.87</c:v>
                </c:pt>
                <c:pt idx="39">
                  <c:v>0.96</c:v>
                </c:pt>
                <c:pt idx="40">
                  <c:v>0.74</c:v>
                </c:pt>
                <c:pt idx="41">
                  <c:v>0.77</c:v>
                </c:pt>
                <c:pt idx="42">
                  <c:v>0.9</c:v>
                </c:pt>
                <c:pt idx="43">
                  <c:v>0.83</c:v>
                </c:pt>
                <c:pt idx="44">
                  <c:v>0.97</c:v>
                </c:pt>
                <c:pt idx="45">
                  <c:v>1.45</c:v>
                </c:pt>
                <c:pt idx="46">
                  <c:v>1.68</c:v>
                </c:pt>
                <c:pt idx="47">
                  <c:v>1.5</c:v>
                </c:pt>
                <c:pt idx="48">
                  <c:v>1.77</c:v>
                </c:pt>
                <c:pt idx="49">
                  <c:v>1.82</c:v>
                </c:pt>
                <c:pt idx="50">
                  <c:v>1.81</c:v>
                </c:pt>
                <c:pt idx="51">
                  <c:v>1.74</c:v>
                </c:pt>
                <c:pt idx="52">
                  <c:v>1.89</c:v>
                </c:pt>
                <c:pt idx="53">
                  <c:v>2.14</c:v>
                </c:pt>
                <c:pt idx="54">
                  <c:v>2.11</c:v>
                </c:pt>
                <c:pt idx="55">
                  <c:v>2.14</c:v>
                </c:pt>
                <c:pt idx="56">
                  <c:v>2.14</c:v>
                </c:pt>
                <c:pt idx="57">
                  <c:v>2.14</c:v>
                </c:pt>
                <c:pt idx="58">
                  <c:v>2.0699999999999998</c:v>
                </c:pt>
                <c:pt idx="59">
                  <c:v>2.0099999999999998</c:v>
                </c:pt>
                <c:pt idx="60">
                  <c:v>1.85</c:v>
                </c:pt>
                <c:pt idx="61">
                  <c:v>1.76</c:v>
                </c:pt>
                <c:pt idx="62">
                  <c:v>1.82</c:v>
                </c:pt>
                <c:pt idx="63">
                  <c:v>1.82</c:v>
                </c:pt>
                <c:pt idx="64">
                  <c:v>1.86</c:v>
                </c:pt>
                <c:pt idx="65">
                  <c:v>1.58</c:v>
                </c:pt>
                <c:pt idx="66">
                  <c:v>1.36</c:v>
                </c:pt>
                <c:pt idx="67">
                  <c:v>0.99</c:v>
                </c:pt>
                <c:pt idx="68">
                  <c:v>1.24</c:v>
                </c:pt>
                <c:pt idx="69">
                  <c:v>1.32</c:v>
                </c:pt>
                <c:pt idx="70">
                  <c:v>1.47</c:v>
                </c:pt>
                <c:pt idx="71">
                  <c:v>1.51</c:v>
                </c:pt>
              </c:numCache>
            </c:numRef>
          </c:val>
          <c:smooth val="0"/>
          <c:extLst>
            <c:ext xmlns:c16="http://schemas.microsoft.com/office/drawing/2014/chart" uri="{C3380CC4-5D6E-409C-BE32-E72D297353CC}">
              <c16:uniqueId val="{00000005-F089-41A3-B746-515727A29FE2}"/>
            </c:ext>
          </c:extLst>
        </c:ser>
        <c:dLbls>
          <c:showLegendKey val="0"/>
          <c:showVal val="0"/>
          <c:showCatName val="0"/>
          <c:showSerName val="0"/>
          <c:showPercent val="0"/>
          <c:showBubbleSize val="0"/>
        </c:dLbls>
        <c:marker val="1"/>
        <c:smooth val="0"/>
        <c:axId val="271742464"/>
        <c:axId val="271744000"/>
      </c:lineChart>
      <c:catAx>
        <c:axId val="271742464"/>
        <c:scaling>
          <c:orientation val="minMax"/>
        </c:scaling>
        <c:delete val="0"/>
        <c:axPos val="b"/>
        <c:numFmt formatCode="General" sourceLinked="0"/>
        <c:majorTickMark val="out"/>
        <c:minorTickMark val="none"/>
        <c:tickLblPos val="low"/>
        <c:spPr>
          <a:ln>
            <a:solidFill>
              <a:schemeClr val="tx1"/>
            </a:solidFill>
          </a:ln>
        </c:spPr>
        <c:crossAx val="271744000"/>
        <c:crosses val="autoZero"/>
        <c:auto val="1"/>
        <c:lblAlgn val="ctr"/>
        <c:lblOffset val="100"/>
        <c:noMultiLvlLbl val="0"/>
      </c:catAx>
      <c:valAx>
        <c:axId val="271744000"/>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1742464"/>
        <c:crosses val="autoZero"/>
        <c:crossBetween val="between"/>
        <c:majorUnit val="1"/>
      </c:valAx>
      <c:spPr>
        <a:ln>
          <a:solidFill>
            <a:schemeClr val="tx1"/>
          </a:solidFill>
        </a:ln>
      </c:spPr>
    </c:plotArea>
    <c:legend>
      <c:legendPos val="b"/>
      <c:layout>
        <c:manualLayout>
          <c:xMode val="edge"/>
          <c:yMode val="edge"/>
          <c:x val="4.7501055386693677E-2"/>
          <c:y val="0.87558269120103249"/>
          <c:w val="0.93350515028706516"/>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935993017189728E-2"/>
          <c:y val="1.7107238390107405E-2"/>
          <c:w val="0.84623987743766005"/>
          <c:h val="0.82188956339158548"/>
        </c:manualLayout>
      </c:layout>
      <c:barChart>
        <c:barDir val="col"/>
        <c:grouping val="clustered"/>
        <c:varyColors val="0"/>
        <c:ser>
          <c:idx val="2"/>
          <c:order val="4"/>
          <c:tx>
            <c:strRef>
              <c:f>'Státní rozpočet-příjmy'!$A$40</c:f>
              <c:strCache>
                <c:ptCount val="1"/>
                <c:pt idx="0">
                  <c:v>Saldo státního rozpočtu (pravá osa)</c:v>
                </c:pt>
              </c:strCache>
            </c:strRef>
          </c:tx>
          <c:spPr>
            <a:solidFill>
              <a:srgbClr val="DCDCDC"/>
            </a:solidFill>
          </c:spPr>
          <c:invertIfNegative val="0"/>
          <c:cat>
            <c:strRef>
              <c:f>'Státní rozpočet-příjmy'!$B$34:$P$35</c:f>
              <c:strCach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strCache>
            </c:strRef>
          </c:cat>
          <c:val>
            <c:numRef>
              <c:f>'Státní rozpočet-příjmy'!$B$40:$P$40</c:f>
              <c:numCache>
                <c:formatCode>#\ ##0.0</c:formatCode>
                <c:ptCount val="15"/>
                <c:pt idx="0">
                  <c:v>-56.36</c:v>
                </c:pt>
                <c:pt idx="1">
                  <c:v>-97.3</c:v>
                </c:pt>
                <c:pt idx="2">
                  <c:v>-66.391999999999996</c:v>
                </c:pt>
                <c:pt idx="3">
                  <c:v>-20.003</c:v>
                </c:pt>
                <c:pt idx="4">
                  <c:v>-192.39400000000001</c:v>
                </c:pt>
                <c:pt idx="5">
                  <c:v>-156.416</c:v>
                </c:pt>
                <c:pt idx="6">
                  <c:v>-142.77099999999999</c:v>
                </c:pt>
                <c:pt idx="7">
                  <c:v>-101</c:v>
                </c:pt>
                <c:pt idx="8">
                  <c:v>-81.263999999999996</c:v>
                </c:pt>
                <c:pt idx="9">
                  <c:v>-77.78</c:v>
                </c:pt>
                <c:pt idx="10">
                  <c:v>-62.8</c:v>
                </c:pt>
                <c:pt idx="11">
                  <c:v>61.77</c:v>
                </c:pt>
                <c:pt idx="12">
                  <c:v>-6.15</c:v>
                </c:pt>
                <c:pt idx="13">
                  <c:v>2.94</c:v>
                </c:pt>
                <c:pt idx="14">
                  <c:v>-28.52</c:v>
                </c:pt>
              </c:numCache>
            </c:numRef>
          </c:val>
          <c:extLst>
            <c:ext xmlns:c16="http://schemas.microsoft.com/office/drawing/2014/chart" uri="{C3380CC4-5D6E-409C-BE32-E72D297353CC}">
              <c16:uniqueId val="{00000000-B93E-4AB9-9A10-BFE066ACFE72}"/>
            </c:ext>
          </c:extLst>
        </c:ser>
        <c:dLbls>
          <c:showLegendKey val="0"/>
          <c:showVal val="0"/>
          <c:showCatName val="0"/>
          <c:showSerName val="0"/>
          <c:showPercent val="0"/>
          <c:showBubbleSize val="0"/>
        </c:dLbls>
        <c:gapWidth val="43"/>
        <c:axId val="194477056"/>
        <c:axId val="194475520"/>
      </c:barChart>
      <c:lineChart>
        <c:grouping val="standard"/>
        <c:varyColors val="0"/>
        <c:ser>
          <c:idx val="0"/>
          <c:order val="0"/>
          <c:tx>
            <c:strRef>
              <c:f>'Státní rozpočet-příjmy'!$A$36</c:f>
              <c:strCache>
                <c:ptCount val="1"/>
                <c:pt idx="0">
                  <c:v>DPH</c:v>
                </c:pt>
              </c:strCache>
            </c:strRef>
          </c:tx>
          <c:spPr>
            <a:ln w="19050">
              <a:solidFill>
                <a:srgbClr val="BD1B25"/>
              </a:solidFill>
            </a:ln>
          </c:spPr>
          <c:marker>
            <c:symbol val="none"/>
          </c:marker>
          <c:cat>
            <c:strRef>
              <c:f>'Státní rozpočet-příjmy'!$B$34:$P$35</c:f>
              <c:strCach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strCache>
            </c:strRef>
          </c:cat>
          <c:val>
            <c:numRef>
              <c:f>'Státní rozpočet-příjmy'!$B$36:$P$36</c:f>
              <c:numCache>
                <c:formatCode>0.0</c:formatCode>
                <c:ptCount val="15"/>
                <c:pt idx="0">
                  <c:v>13.155608643718097</c:v>
                </c:pt>
                <c:pt idx="1">
                  <c:v>4.4959454920589224</c:v>
                </c:pt>
                <c:pt idx="2">
                  <c:v>8.540729176232901</c:v>
                </c:pt>
                <c:pt idx="3">
                  <c:v>7.9575260174295579</c:v>
                </c:pt>
                <c:pt idx="4">
                  <c:v>-0.61914651828048761</c:v>
                </c:pt>
                <c:pt idx="5">
                  <c:v>6.2852411182524435</c:v>
                </c:pt>
                <c:pt idx="6">
                  <c:v>2.1665739194954341</c:v>
                </c:pt>
                <c:pt idx="7">
                  <c:v>1.0312647518065461</c:v>
                </c:pt>
                <c:pt idx="8">
                  <c:v>10.865111598317938</c:v>
                </c:pt>
                <c:pt idx="9">
                  <c:v>4.674836283472743</c:v>
                </c:pt>
                <c:pt idx="10">
                  <c:v>2.7750247770069336</c:v>
                </c:pt>
                <c:pt idx="11">
                  <c:v>5.3881388621022381</c:v>
                </c:pt>
                <c:pt idx="12">
                  <c:v>9.138739563079028</c:v>
                </c:pt>
                <c:pt idx="13">
                  <c:v>8.2844267449172122</c:v>
                </c:pt>
                <c:pt idx="14">
                  <c:v>4.4229373336559235</c:v>
                </c:pt>
              </c:numCache>
            </c:numRef>
          </c:val>
          <c:smooth val="0"/>
          <c:extLst>
            <c:ext xmlns:c16="http://schemas.microsoft.com/office/drawing/2014/chart" uri="{C3380CC4-5D6E-409C-BE32-E72D297353CC}">
              <c16:uniqueId val="{00000001-B93E-4AB9-9A10-BFE066ACFE72}"/>
            </c:ext>
          </c:extLst>
        </c:ser>
        <c:ser>
          <c:idx val="1"/>
          <c:order val="1"/>
          <c:tx>
            <c:strRef>
              <c:f>'Státní rozpočet-příjmy'!$A$37</c:f>
              <c:strCache>
                <c:ptCount val="1"/>
                <c:pt idx="0">
                  <c:v>Spotřební daň</c:v>
                </c:pt>
              </c:strCache>
            </c:strRef>
          </c:tx>
          <c:spPr>
            <a:ln w="19050">
              <a:solidFill>
                <a:srgbClr val="7DBB2D"/>
              </a:solidFill>
              <a:prstDash val="solid"/>
            </a:ln>
          </c:spPr>
          <c:marker>
            <c:symbol val="none"/>
          </c:marker>
          <c:cat>
            <c:strRef>
              <c:f>'Státní rozpočet-příjmy'!$B$34:$P$35</c:f>
              <c:strCach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strCache>
            </c:strRef>
          </c:cat>
          <c:val>
            <c:numRef>
              <c:f>'Státní rozpočet-příjmy'!$B$37:$P$37</c:f>
              <c:numCache>
                <c:formatCode>0.0</c:formatCode>
                <c:ptCount val="15"/>
                <c:pt idx="0">
                  <c:v>15.148989372785991</c:v>
                </c:pt>
                <c:pt idx="1">
                  <c:v>8.1704668838219305</c:v>
                </c:pt>
                <c:pt idx="2">
                  <c:v>16.227519866164769</c:v>
                </c:pt>
                <c:pt idx="3">
                  <c:v>-4.2605253688377047</c:v>
                </c:pt>
                <c:pt idx="4">
                  <c:v>-1.4733518755167978</c:v>
                </c:pt>
                <c:pt idx="5">
                  <c:v>5.4932478828107207</c:v>
                </c:pt>
                <c:pt idx="6">
                  <c:v>6.0099804729876354</c:v>
                </c:pt>
                <c:pt idx="7">
                  <c:v>0.13644426251875075</c:v>
                </c:pt>
                <c:pt idx="8">
                  <c:v>-2.2891402098378535</c:v>
                </c:pt>
                <c:pt idx="9">
                  <c:v>-1.4712034583739921</c:v>
                </c:pt>
                <c:pt idx="10">
                  <c:v>6.5034321704055031</c:v>
                </c:pt>
                <c:pt idx="11">
                  <c:v>5.1362126245847008</c:v>
                </c:pt>
                <c:pt idx="12">
                  <c:v>2.9071604626177248</c:v>
                </c:pt>
                <c:pt idx="13">
                  <c:v>2.8495977399742003</c:v>
                </c:pt>
                <c:pt idx="14">
                  <c:v>-0.19705021794949573</c:v>
                </c:pt>
              </c:numCache>
            </c:numRef>
          </c:val>
          <c:smooth val="0"/>
          <c:extLst>
            <c:ext xmlns:c16="http://schemas.microsoft.com/office/drawing/2014/chart" uri="{C3380CC4-5D6E-409C-BE32-E72D297353CC}">
              <c16:uniqueId val="{00000002-B93E-4AB9-9A10-BFE066ACFE72}"/>
            </c:ext>
          </c:extLst>
        </c:ser>
        <c:ser>
          <c:idx val="3"/>
          <c:order val="2"/>
          <c:tx>
            <c:strRef>
              <c:f>'Státní rozpočet-příjmy'!$A$38</c:f>
              <c:strCache>
                <c:ptCount val="1"/>
                <c:pt idx="0">
                  <c:v>Daně z příjmů FO ze závislé činnosti</c:v>
                </c:pt>
              </c:strCache>
            </c:strRef>
          </c:tx>
          <c:spPr>
            <a:ln w="19050">
              <a:solidFill>
                <a:srgbClr val="0071BC"/>
              </a:solidFill>
              <a:prstDash val="solid"/>
            </a:ln>
          </c:spPr>
          <c:marker>
            <c:symbol val="none"/>
          </c:marker>
          <c:cat>
            <c:strRef>
              <c:f>'Státní rozpočet-příjmy'!$B$34:$P$35</c:f>
              <c:strCach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strCache>
            </c:strRef>
          </c:cat>
          <c:val>
            <c:numRef>
              <c:f>'Státní rozpočet-příjmy'!$B$38:$P$38</c:f>
              <c:numCache>
                <c:formatCode>0.0</c:formatCode>
                <c:ptCount val="15"/>
                <c:pt idx="0">
                  <c:v>7.8339666764104123</c:v>
                </c:pt>
                <c:pt idx="1">
                  <c:v>0.86744375169422483</c:v>
                </c:pt>
                <c:pt idx="2">
                  <c:v>13.222252082773451</c:v>
                </c:pt>
                <c:pt idx="3">
                  <c:v>-8.8693725769443859</c:v>
                </c:pt>
                <c:pt idx="4">
                  <c:v>-3.5943740232679318</c:v>
                </c:pt>
                <c:pt idx="5">
                  <c:v>0.72046109510085898</c:v>
                </c:pt>
                <c:pt idx="6">
                  <c:v>6.7328326180257534</c:v>
                </c:pt>
                <c:pt idx="7">
                  <c:v>0.35184719778837348</c:v>
                </c:pt>
                <c:pt idx="8">
                  <c:v>5.2925953752399835</c:v>
                </c:pt>
                <c:pt idx="9">
                  <c:v>3.7580274320145861</c:v>
                </c:pt>
                <c:pt idx="10">
                  <c:v>4.011614579353548</c:v>
                </c:pt>
                <c:pt idx="11">
                  <c:v>9.7487511019688498</c:v>
                </c:pt>
                <c:pt idx="12">
                  <c:v>13.2873686324386</c:v>
                </c:pt>
                <c:pt idx="13">
                  <c:v>14.441030489246032</c:v>
                </c:pt>
                <c:pt idx="14">
                  <c:v>11.673895084675763</c:v>
                </c:pt>
              </c:numCache>
            </c:numRef>
          </c:val>
          <c:smooth val="0"/>
          <c:extLst>
            <c:ext xmlns:c16="http://schemas.microsoft.com/office/drawing/2014/chart" uri="{C3380CC4-5D6E-409C-BE32-E72D297353CC}">
              <c16:uniqueId val="{00000003-B93E-4AB9-9A10-BFE066ACFE72}"/>
            </c:ext>
          </c:extLst>
        </c:ser>
        <c:ser>
          <c:idx val="4"/>
          <c:order val="3"/>
          <c:tx>
            <c:strRef>
              <c:f>'Státní rozpočet-příjmy'!$A$39</c:f>
              <c:strCache>
                <c:ptCount val="1"/>
                <c:pt idx="0">
                  <c:v>Daně z příjmů právnických osob (PO)</c:v>
                </c:pt>
              </c:strCache>
            </c:strRef>
          </c:tx>
          <c:spPr>
            <a:ln w="19050">
              <a:noFill/>
            </a:ln>
          </c:spPr>
          <c:marker>
            <c:symbol val="diamond"/>
            <c:size val="6"/>
            <c:spPr>
              <a:solidFill>
                <a:srgbClr val="984807"/>
              </a:solidFill>
              <a:ln>
                <a:noFill/>
              </a:ln>
            </c:spPr>
          </c:marker>
          <c:cat>
            <c:strRef>
              <c:f>'Státní rozpočet-příjmy'!$B$34:$P$35</c:f>
              <c:strCach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strCache>
            </c:strRef>
          </c:cat>
          <c:val>
            <c:numRef>
              <c:f>'Státní rozpočet-příjmy'!$B$39:$P$39</c:f>
              <c:numCache>
                <c:formatCode>0.0</c:formatCode>
                <c:ptCount val="15"/>
                <c:pt idx="0">
                  <c:v>26.963584434130652</c:v>
                </c:pt>
                <c:pt idx="1">
                  <c:v>-4.7873462214411262</c:v>
                </c:pt>
                <c:pt idx="2">
                  <c:v>20.193443591258116</c:v>
                </c:pt>
                <c:pt idx="3">
                  <c:v>12.113766201855157</c:v>
                </c:pt>
                <c:pt idx="4">
                  <c:v>-34.469344145526264</c:v>
                </c:pt>
                <c:pt idx="5">
                  <c:v>3.5618729096990052</c:v>
                </c:pt>
                <c:pt idx="6">
                  <c:v>-4.6423381236880346</c:v>
                </c:pt>
                <c:pt idx="7">
                  <c:v>8.3735500804335032</c:v>
                </c:pt>
                <c:pt idx="8">
                  <c:v>-5.6875</c:v>
                </c:pt>
                <c:pt idx="9">
                  <c:v>9.6752816434725162</c:v>
                </c:pt>
                <c:pt idx="10">
                  <c:v>11.412386706948624</c:v>
                </c:pt>
                <c:pt idx="11">
                  <c:v>11.667005626737165</c:v>
                </c:pt>
                <c:pt idx="12">
                  <c:v>3.6000485672656595</c:v>
                </c:pt>
                <c:pt idx="13">
                  <c:v>1.9689422795194673</c:v>
                </c:pt>
                <c:pt idx="14">
                  <c:v>5.1089017872536004</c:v>
                </c:pt>
              </c:numCache>
            </c:numRef>
          </c:val>
          <c:smooth val="0"/>
          <c:extLst>
            <c:ext xmlns:c16="http://schemas.microsoft.com/office/drawing/2014/chart" uri="{C3380CC4-5D6E-409C-BE32-E72D297353CC}">
              <c16:uniqueId val="{00000004-B93E-4AB9-9A10-BFE066ACFE72}"/>
            </c:ext>
          </c:extLst>
        </c:ser>
        <c:dLbls>
          <c:showLegendKey val="0"/>
          <c:showVal val="0"/>
          <c:showCatName val="0"/>
          <c:showSerName val="0"/>
          <c:showPercent val="0"/>
          <c:showBubbleSize val="0"/>
        </c:dLbls>
        <c:marker val="1"/>
        <c:smooth val="0"/>
        <c:axId val="194467712"/>
        <c:axId val="194473984"/>
      </c:lineChart>
      <c:catAx>
        <c:axId val="194467712"/>
        <c:scaling>
          <c:orientation val="minMax"/>
        </c:scaling>
        <c:delete val="0"/>
        <c:axPos val="b"/>
        <c:numFmt formatCode="General" sourceLinked="1"/>
        <c:majorTickMark val="out"/>
        <c:minorTickMark val="none"/>
        <c:tickLblPos val="low"/>
        <c:spPr>
          <a:ln w="6350">
            <a:solidFill>
              <a:schemeClr val="tx1"/>
            </a:solidFill>
          </a:ln>
        </c:spPr>
        <c:crossAx val="194473984"/>
        <c:crosses val="autoZero"/>
        <c:auto val="1"/>
        <c:lblAlgn val="ctr"/>
        <c:lblOffset val="0"/>
        <c:noMultiLvlLbl val="0"/>
      </c:catAx>
      <c:valAx>
        <c:axId val="194473984"/>
        <c:scaling>
          <c:orientation val="minMax"/>
          <c:max val="30"/>
          <c:min val="-50"/>
        </c:scaling>
        <c:delete val="0"/>
        <c:axPos val="l"/>
        <c:majorGridlines>
          <c:spPr>
            <a:ln w="6350">
              <a:solidFill>
                <a:schemeClr val="bg1">
                  <a:lumMod val="75000"/>
                </a:schemeClr>
              </a:solidFill>
            </a:ln>
          </c:spPr>
        </c:majorGridlines>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baseline="0">
                    <a:effectLst/>
                  </a:rPr>
                  <a:t>Vybrané druhy daňových příjmů (v</a:t>
                </a:r>
                <a:r>
                  <a:rPr lang="cs-CZ" sz="700" b="0" i="1" u="none" strike="noStrike" kern="1200" baseline="0">
                    <a:solidFill>
                      <a:sysClr val="windowText" lastClr="000000"/>
                    </a:solidFill>
                    <a:effectLst/>
                    <a:latin typeface="Arial" panose="020B0604020202020204" pitchFamily="34" charset="0"/>
                    <a:ea typeface="+mn-ea"/>
                    <a:cs typeface="Arial" panose="020B0604020202020204" pitchFamily="34" charset="0"/>
                  </a:rPr>
                  <a:t> %</a:t>
                </a:r>
                <a:r>
                  <a:rPr lang="cs-CZ" sz="700" b="0" i="1" baseline="0">
                    <a:effectLst/>
                  </a:rPr>
                  <a:t>)</a:t>
                </a:r>
                <a:endParaRPr lang="cs-CZ" sz="700" i="1">
                  <a:effectLst/>
                </a:endParaRPr>
              </a:p>
            </c:rich>
          </c:tx>
          <c:layout>
            <c:manualLayout>
              <c:xMode val="edge"/>
              <c:yMode val="edge"/>
              <c:x val="0"/>
              <c:y val="9.6294846522106445E-2"/>
            </c:manualLayout>
          </c:layout>
          <c:overlay val="0"/>
        </c:title>
        <c:numFmt formatCode="0" sourceLinked="0"/>
        <c:majorTickMark val="out"/>
        <c:minorTickMark val="none"/>
        <c:tickLblPos val="nextTo"/>
        <c:spPr>
          <a:ln w="6350">
            <a:solidFill>
              <a:schemeClr val="tx1"/>
            </a:solidFill>
          </a:ln>
        </c:spPr>
        <c:crossAx val="194467712"/>
        <c:crosses val="autoZero"/>
        <c:crossBetween val="between"/>
        <c:majorUnit val="5"/>
      </c:valAx>
      <c:valAx>
        <c:axId val="194475520"/>
        <c:scaling>
          <c:orientation val="minMax"/>
          <c:max val="120"/>
          <c:min val="-20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baseline="0">
                    <a:effectLst/>
                  </a:rPr>
                  <a:t>Saldo státního rozpočtu (v</a:t>
                </a:r>
                <a:r>
                  <a:rPr lang="cs-CZ" sz="700" b="0" i="1" u="none" strike="noStrike" kern="1200" baseline="0">
                    <a:solidFill>
                      <a:sysClr val="windowText" lastClr="000000"/>
                    </a:solidFill>
                    <a:effectLst/>
                    <a:latin typeface="Arial" panose="020B0604020202020204" pitchFamily="34" charset="0"/>
                    <a:ea typeface="+mn-ea"/>
                    <a:cs typeface="Arial" panose="020B0604020202020204" pitchFamily="34" charset="0"/>
                  </a:rPr>
                  <a:t> mld.</a:t>
                </a:r>
                <a:r>
                  <a:rPr lang="cs-CZ" sz="700" b="0" i="1" baseline="0">
                    <a:effectLst/>
                  </a:rPr>
                  <a:t> korun)</a:t>
                </a:r>
                <a:endParaRPr lang="cs-CZ" sz="700">
                  <a:effectLst/>
                </a:endParaRPr>
              </a:p>
            </c:rich>
          </c:tx>
          <c:layout>
            <c:manualLayout>
              <c:xMode val="edge"/>
              <c:yMode val="edge"/>
              <c:x val="0.97036971818347273"/>
              <c:y val="8.7863418755280198E-2"/>
            </c:manualLayout>
          </c:layout>
          <c:overlay val="0"/>
        </c:title>
        <c:numFmt formatCode="#,##0" sourceLinked="0"/>
        <c:majorTickMark val="out"/>
        <c:minorTickMark val="none"/>
        <c:tickLblPos val="nextTo"/>
        <c:crossAx val="194477056"/>
        <c:crosses val="max"/>
        <c:crossBetween val="between"/>
        <c:majorUnit val="20"/>
      </c:valAx>
      <c:catAx>
        <c:axId val="194477056"/>
        <c:scaling>
          <c:orientation val="minMax"/>
        </c:scaling>
        <c:delete val="1"/>
        <c:axPos val="b"/>
        <c:numFmt formatCode="General" sourceLinked="1"/>
        <c:majorTickMark val="out"/>
        <c:minorTickMark val="none"/>
        <c:tickLblPos val="none"/>
        <c:crossAx val="194475520"/>
        <c:crosses val="autoZero"/>
        <c:auto val="1"/>
        <c:lblAlgn val="ctr"/>
        <c:lblOffset val="100"/>
        <c:noMultiLvlLbl val="0"/>
      </c:catAx>
      <c:spPr>
        <a:ln w="6350">
          <a:solidFill>
            <a:schemeClr val="tx1"/>
          </a:solidFill>
        </a:ln>
      </c:spPr>
    </c:plotArea>
    <c:legend>
      <c:legendPos val="b"/>
      <c:layout>
        <c:manualLayout>
          <c:xMode val="edge"/>
          <c:yMode val="edge"/>
          <c:x val="7.0244980765903686E-2"/>
          <c:y val="0.88660317791021404"/>
          <c:w val="0.84974909589484104"/>
          <c:h val="0.10979813644594019"/>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9233554716266127E-2"/>
          <c:y val="1.7112323287741892E-2"/>
          <c:w val="0.82968371809808084"/>
          <c:h val="0.76067747074773961"/>
        </c:manualLayout>
      </c:layout>
      <c:barChart>
        <c:barDir val="col"/>
        <c:grouping val="clustered"/>
        <c:varyColors val="0"/>
        <c:ser>
          <c:idx val="0"/>
          <c:order val="0"/>
          <c:tx>
            <c:strRef>
              <c:f>'SR-výdaje-celorok-2019'!$B$31</c:f>
              <c:strCache>
                <c:ptCount val="1"/>
                <c:pt idx="0">
                  <c:v>Běžné výdaje celkem (pravá osa)</c:v>
                </c:pt>
              </c:strCache>
            </c:strRef>
          </c:tx>
          <c:spPr>
            <a:solidFill>
              <a:srgbClr val="DCDCDC"/>
            </a:solidFill>
            <a:ln>
              <a:noFill/>
            </a:ln>
          </c:spPr>
          <c:invertIfNegative val="0"/>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'SR-výdaje-celorok-2019'!$B$32:$B$46</c:f>
              <c:numCache>
                <c:formatCode>0.0</c:formatCode>
                <c:ptCount val="15"/>
                <c:pt idx="0">
                  <c:v>840.86</c:v>
                </c:pt>
                <c:pt idx="1">
                  <c:v>912.08</c:v>
                </c:pt>
                <c:pt idx="2">
                  <c:v>973.85</c:v>
                </c:pt>
                <c:pt idx="3">
                  <c:v>975.86</c:v>
                </c:pt>
                <c:pt idx="4">
                  <c:v>1032.78</c:v>
                </c:pt>
                <c:pt idx="5">
                  <c:v>1021.89</c:v>
                </c:pt>
                <c:pt idx="6">
                  <c:v>1031.83</c:v>
                </c:pt>
                <c:pt idx="7">
                  <c:v>1038.76</c:v>
                </c:pt>
                <c:pt idx="8">
                  <c:v>1070.8130000000001</c:v>
                </c:pt>
                <c:pt idx="9">
                  <c:v>1100.1020000000001</c:v>
                </c:pt>
                <c:pt idx="10">
                  <c:v>1121.6600000000001</c:v>
                </c:pt>
                <c:pt idx="11">
                  <c:v>1135.57</c:v>
                </c:pt>
                <c:pt idx="12">
                  <c:v>1198.05</c:v>
                </c:pt>
                <c:pt idx="13">
                  <c:v>1284.5</c:v>
                </c:pt>
                <c:pt idx="14">
                  <c:v>1412.48</c:v>
                </c:pt>
              </c:numCache>
            </c:numRef>
          </c:val>
          <c:extLst>
            <c:ext xmlns:c16="http://schemas.microsoft.com/office/drawing/2014/chart" uri="{C3380CC4-5D6E-409C-BE32-E72D297353CC}">
              <c16:uniqueId val="{00000000-DEF1-4F1C-895F-026A9B485256}"/>
            </c:ext>
          </c:extLst>
        </c:ser>
        <c:dLbls>
          <c:showLegendKey val="0"/>
          <c:showVal val="0"/>
          <c:showCatName val="0"/>
          <c:showSerName val="0"/>
          <c:showPercent val="0"/>
          <c:showBubbleSize val="0"/>
        </c:dLbls>
        <c:gapWidth val="70"/>
        <c:axId val="72836608"/>
        <c:axId val="72835072"/>
      </c:barChart>
      <c:lineChart>
        <c:grouping val="standard"/>
        <c:varyColors val="0"/>
        <c:ser>
          <c:idx val="1"/>
          <c:order val="1"/>
          <c:tx>
            <c:strRef>
              <c:f>'SR-výdaje-celorok-2019'!$C$31</c:f>
              <c:strCache>
                <c:ptCount val="1"/>
                <c:pt idx="0">
                  <c:v>Platy státních zaměstnanců*</c:v>
                </c:pt>
              </c:strCache>
            </c:strRef>
          </c:tx>
          <c:spPr>
            <a:ln w="15875">
              <a:solidFill>
                <a:srgbClr val="984807"/>
              </a:solidFill>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'SR-výdaje-celorok-2019'!$C$32:$C$46</c:f>
              <c:numCache>
                <c:formatCode>0.0</c:formatCode>
                <c:ptCount val="15"/>
                <c:pt idx="0">
                  <c:v>88.07</c:v>
                </c:pt>
                <c:pt idx="1">
                  <c:v>89.99</c:v>
                </c:pt>
                <c:pt idx="2">
                  <c:v>95.76</c:v>
                </c:pt>
                <c:pt idx="3">
                  <c:v>97.33</c:v>
                </c:pt>
                <c:pt idx="4">
                  <c:v>100.19</c:v>
                </c:pt>
                <c:pt idx="5">
                  <c:v>97.67</c:v>
                </c:pt>
                <c:pt idx="6">
                  <c:v>89.6</c:v>
                </c:pt>
                <c:pt idx="7">
                  <c:v>90.45</c:v>
                </c:pt>
                <c:pt idx="8">
                  <c:v>92.375</c:v>
                </c:pt>
                <c:pt idx="9">
                  <c:v>96.582999999999998</c:v>
                </c:pt>
                <c:pt idx="10">
                  <c:v>104.19</c:v>
                </c:pt>
                <c:pt idx="11">
                  <c:v>109.86</c:v>
                </c:pt>
                <c:pt idx="12">
                  <c:v>120.08</c:v>
                </c:pt>
                <c:pt idx="13">
                  <c:v>133.9</c:v>
                </c:pt>
                <c:pt idx="14">
                  <c:v>143.46</c:v>
                </c:pt>
              </c:numCache>
            </c:numRef>
          </c:val>
          <c:smooth val="0"/>
          <c:extLst>
            <c:ext xmlns:c16="http://schemas.microsoft.com/office/drawing/2014/chart" uri="{C3380CC4-5D6E-409C-BE32-E72D297353CC}">
              <c16:uniqueId val="{00000001-DEF1-4F1C-895F-026A9B485256}"/>
            </c:ext>
          </c:extLst>
        </c:ser>
        <c:ser>
          <c:idx val="6"/>
          <c:order val="2"/>
          <c:tx>
            <c:strRef>
              <c:f>'SR-výdaje-celorok-2019'!$D$31</c:f>
              <c:strCache>
                <c:ptCount val="1"/>
                <c:pt idx="0">
                  <c:v>Podpora v nezaměstnanosti</c:v>
                </c:pt>
              </c:strCache>
            </c:strRef>
          </c:tx>
          <c:spPr>
            <a:ln w="15875">
              <a:solidFill>
                <a:srgbClr val="48AEE7"/>
              </a:solidFill>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'SR-výdaje-celorok-2019'!$D$32:$D$46</c:f>
              <c:numCache>
                <c:formatCode>0.0</c:formatCode>
                <c:ptCount val="15"/>
                <c:pt idx="0">
                  <c:v>7.11</c:v>
                </c:pt>
                <c:pt idx="1">
                  <c:v>7.36</c:v>
                </c:pt>
                <c:pt idx="2">
                  <c:v>7.24</c:v>
                </c:pt>
                <c:pt idx="3">
                  <c:v>7.11</c:v>
                </c:pt>
                <c:pt idx="4">
                  <c:v>15.077999999999999</c:v>
                </c:pt>
                <c:pt idx="5">
                  <c:v>13.355</c:v>
                </c:pt>
                <c:pt idx="6">
                  <c:v>10.349</c:v>
                </c:pt>
                <c:pt idx="7">
                  <c:v>8.76</c:v>
                </c:pt>
                <c:pt idx="8">
                  <c:v>9.65</c:v>
                </c:pt>
                <c:pt idx="9">
                  <c:v>9.2620000000000005</c:v>
                </c:pt>
                <c:pt idx="10">
                  <c:v>8.2759999999999998</c:v>
                </c:pt>
                <c:pt idx="11">
                  <c:v>8.2200000000000006</c:v>
                </c:pt>
                <c:pt idx="12">
                  <c:v>7.82</c:v>
                </c:pt>
                <c:pt idx="13">
                  <c:v>7.51</c:v>
                </c:pt>
                <c:pt idx="14">
                  <c:v>8.1199999999999992</c:v>
                </c:pt>
              </c:numCache>
            </c:numRef>
          </c:val>
          <c:smooth val="0"/>
          <c:extLst>
            <c:ext xmlns:c16="http://schemas.microsoft.com/office/drawing/2014/chart" uri="{C3380CC4-5D6E-409C-BE32-E72D297353CC}">
              <c16:uniqueId val="{00000002-DEF1-4F1C-895F-026A9B485256}"/>
            </c:ext>
          </c:extLst>
        </c:ser>
        <c:ser>
          <c:idx val="7"/>
          <c:order val="3"/>
          <c:tx>
            <c:strRef>
              <c:f>'SR-výdaje-celorok-2019'!$E$31</c:f>
              <c:strCache>
                <c:ptCount val="1"/>
                <c:pt idx="0">
                  <c:v>Státní sociální podpora**</c:v>
                </c:pt>
              </c:strCache>
            </c:strRef>
          </c:tx>
          <c:spPr>
            <a:ln w="15875">
              <a:solidFill>
                <a:srgbClr val="00B050"/>
              </a:solidFill>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'SR-výdaje-celorok-2019'!$E$32:$E$46</c:f>
              <c:numCache>
                <c:formatCode>General</c:formatCode>
                <c:ptCount val="15"/>
                <c:pt idx="0" formatCode="0.00">
                  <c:v>33.14</c:v>
                </c:pt>
                <c:pt idx="1">
                  <c:v>34.35</c:v>
                </c:pt>
                <c:pt idx="2">
                  <c:v>49.47</c:v>
                </c:pt>
                <c:pt idx="3">
                  <c:v>41.97</c:v>
                </c:pt>
                <c:pt idx="4">
                  <c:v>41.167999999999999</c:v>
                </c:pt>
                <c:pt idx="5">
                  <c:v>40.881</c:v>
                </c:pt>
                <c:pt idx="6">
                  <c:v>36.094000000000001</c:v>
                </c:pt>
                <c:pt idx="7">
                  <c:v>35.554000000000002</c:v>
                </c:pt>
                <c:pt idx="8">
                  <c:v>37.423000000000002</c:v>
                </c:pt>
                <c:pt idx="9">
                  <c:v>37.543999999999997</c:v>
                </c:pt>
                <c:pt idx="10">
                  <c:v>37.65</c:v>
                </c:pt>
                <c:pt idx="11">
                  <c:v>37.78</c:v>
                </c:pt>
                <c:pt idx="12">
                  <c:v>37.22</c:v>
                </c:pt>
                <c:pt idx="13">
                  <c:v>39.22</c:v>
                </c:pt>
                <c:pt idx="14">
                  <c:v>37.909999999999997</c:v>
                </c:pt>
              </c:numCache>
            </c:numRef>
          </c:val>
          <c:smooth val="0"/>
          <c:extLst>
            <c:ext xmlns:c16="http://schemas.microsoft.com/office/drawing/2014/chart" uri="{C3380CC4-5D6E-409C-BE32-E72D297353CC}">
              <c16:uniqueId val="{00000003-DEF1-4F1C-895F-026A9B485256}"/>
            </c:ext>
          </c:extLst>
        </c:ser>
        <c:ser>
          <c:idx val="2"/>
          <c:order val="4"/>
          <c:tx>
            <c:strRef>
              <c:f>'SR-výdaje-celorok-2019'!$F$31</c:f>
              <c:strCache>
                <c:ptCount val="1"/>
                <c:pt idx="0">
                  <c:v>Dávky nemocenského pojištění</c:v>
                </c:pt>
              </c:strCache>
            </c:strRef>
          </c:tx>
          <c:spPr>
            <a:ln w="15875">
              <a:solidFill>
                <a:srgbClr val="0071BC"/>
              </a:solidFill>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'SR-výdaje-celorok-2019'!$F$32:$F$46</c:f>
              <c:numCache>
                <c:formatCode>0.00</c:formatCode>
                <c:ptCount val="15"/>
                <c:pt idx="0">
                  <c:v>31.66</c:v>
                </c:pt>
                <c:pt idx="1">
                  <c:v>32.773000000000003</c:v>
                </c:pt>
                <c:pt idx="2">
                  <c:v>34.670999999999999</c:v>
                </c:pt>
                <c:pt idx="3">
                  <c:v>31.882000000000001</c:v>
                </c:pt>
                <c:pt idx="4">
                  <c:v>26.233000000000001</c:v>
                </c:pt>
                <c:pt idx="5">
                  <c:v>22.995999999999999</c:v>
                </c:pt>
                <c:pt idx="6">
                  <c:v>21.734000000000002</c:v>
                </c:pt>
                <c:pt idx="7">
                  <c:v>19.602</c:v>
                </c:pt>
                <c:pt idx="8">
                  <c:v>20.350000000000001</c:v>
                </c:pt>
                <c:pt idx="9">
                  <c:v>22.283000000000001</c:v>
                </c:pt>
                <c:pt idx="10">
                  <c:v>24.31</c:v>
                </c:pt>
                <c:pt idx="11">
                  <c:v>26.5</c:v>
                </c:pt>
                <c:pt idx="12">
                  <c:v>28.57</c:v>
                </c:pt>
                <c:pt idx="13">
                  <c:v>34.173699999999997</c:v>
                </c:pt>
                <c:pt idx="14">
                  <c:v>39.094712799999996</c:v>
                </c:pt>
              </c:numCache>
            </c:numRef>
          </c:val>
          <c:smooth val="0"/>
          <c:extLst>
            <c:ext xmlns:c16="http://schemas.microsoft.com/office/drawing/2014/chart" uri="{C3380CC4-5D6E-409C-BE32-E72D297353CC}">
              <c16:uniqueId val="{00000004-DEF1-4F1C-895F-026A9B485256}"/>
            </c:ext>
          </c:extLst>
        </c:ser>
        <c:ser>
          <c:idx val="3"/>
          <c:order val="5"/>
          <c:tx>
            <c:strRef>
              <c:f>'SR-výdaje-celorok-2019'!$G$31</c:f>
              <c:strCache>
                <c:ptCount val="1"/>
                <c:pt idx="0">
                  <c:v>Dávky sociální péče***</c:v>
                </c:pt>
              </c:strCache>
            </c:strRef>
          </c:tx>
          <c:spPr>
            <a:ln w="15875">
              <a:solidFill>
                <a:srgbClr val="7030A0"/>
              </a:solidFill>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'SR-výdaje-celorok-2019'!$G$32:$G$46</c:f>
              <c:numCache>
                <c:formatCode>General</c:formatCode>
                <c:ptCount val="15"/>
                <c:pt idx="2" formatCode="0.00">
                  <c:v>20.811</c:v>
                </c:pt>
                <c:pt idx="3" formatCode="0.00">
                  <c:v>23.542000000000002</c:v>
                </c:pt>
                <c:pt idx="4" formatCode="0.00">
                  <c:v>24.256</c:v>
                </c:pt>
                <c:pt idx="5" formatCode="0.00">
                  <c:v>25.292000000000002</c:v>
                </c:pt>
                <c:pt idx="6" formatCode="0.00">
                  <c:v>24.966999999999999</c:v>
                </c:pt>
                <c:pt idx="7" formatCode="0.00">
                  <c:v>27.695499999999999</c:v>
                </c:pt>
                <c:pt idx="8" formatCode="0.00">
                  <c:v>31.978999999999999</c:v>
                </c:pt>
                <c:pt idx="9" formatCode="0.00">
                  <c:v>33.622</c:v>
                </c:pt>
                <c:pt idx="10" formatCode="0.00">
                  <c:v>33.621000000000002</c:v>
                </c:pt>
                <c:pt idx="11" formatCode="0.00">
                  <c:v>34.295000000000002</c:v>
                </c:pt>
                <c:pt idx="12" formatCode="0.00">
                  <c:v>34.439</c:v>
                </c:pt>
                <c:pt idx="13" formatCode="0.00">
                  <c:v>33.990400000000001</c:v>
                </c:pt>
                <c:pt idx="14" formatCode="0.00">
                  <c:v>36.58750470219789</c:v>
                </c:pt>
              </c:numCache>
            </c:numRef>
          </c:val>
          <c:smooth val="0"/>
          <c:extLst>
            <c:ext xmlns:c16="http://schemas.microsoft.com/office/drawing/2014/chart" uri="{C3380CC4-5D6E-409C-BE32-E72D297353CC}">
              <c16:uniqueId val="{00000005-DEF1-4F1C-895F-026A9B485256}"/>
            </c:ext>
          </c:extLst>
        </c:ser>
        <c:ser>
          <c:idx val="4"/>
          <c:order val="6"/>
          <c:tx>
            <c:strRef>
              <c:f>'SR-výdaje-celorok-2019'!$H$31</c:f>
              <c:strCache>
                <c:ptCount val="1"/>
                <c:pt idx="0">
                  <c:v>Neinvestič. nákupy a souvis. výdaje****</c:v>
                </c:pt>
              </c:strCache>
            </c:strRef>
          </c:tx>
          <c:spPr>
            <a:ln w="15875">
              <a:solidFill>
                <a:srgbClr val="F8A124"/>
              </a:solidFill>
              <a:prstDash val="solid"/>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'SR-výdaje-celorok-2019'!$H$32:$H$46</c:f>
              <c:numCache>
                <c:formatCode>0.0</c:formatCode>
                <c:ptCount val="15"/>
                <c:pt idx="0">
                  <c:v>73.388000000000005</c:v>
                </c:pt>
                <c:pt idx="1">
                  <c:v>82.167000000000002</c:v>
                </c:pt>
                <c:pt idx="2">
                  <c:v>68.822999999999993</c:v>
                </c:pt>
                <c:pt idx="3">
                  <c:v>74.822999999999993</c:v>
                </c:pt>
                <c:pt idx="4">
                  <c:v>72.738</c:v>
                </c:pt>
                <c:pt idx="5">
                  <c:v>69.86</c:v>
                </c:pt>
                <c:pt idx="6">
                  <c:v>67.707999999999998</c:v>
                </c:pt>
                <c:pt idx="7">
                  <c:v>55.811</c:v>
                </c:pt>
                <c:pt idx="8">
                  <c:v>56.384999999999998</c:v>
                </c:pt>
                <c:pt idx="9">
                  <c:v>56.801000000000002</c:v>
                </c:pt>
                <c:pt idx="10">
                  <c:v>63.75</c:v>
                </c:pt>
                <c:pt idx="11">
                  <c:v>59.14</c:v>
                </c:pt>
                <c:pt idx="12">
                  <c:v>63.68</c:v>
                </c:pt>
                <c:pt idx="13">
                  <c:v>68.819999999999993</c:v>
                </c:pt>
                <c:pt idx="14">
                  <c:v>66.77</c:v>
                </c:pt>
              </c:numCache>
            </c:numRef>
          </c:val>
          <c:smooth val="0"/>
          <c:extLst>
            <c:ext xmlns:c16="http://schemas.microsoft.com/office/drawing/2014/chart" uri="{C3380CC4-5D6E-409C-BE32-E72D297353CC}">
              <c16:uniqueId val="{00000006-DEF1-4F1C-895F-026A9B485256}"/>
            </c:ext>
          </c:extLst>
        </c:ser>
        <c:ser>
          <c:idx val="5"/>
          <c:order val="7"/>
          <c:tx>
            <c:strRef>
              <c:f>'SR-výdaje-celorok-2019'!$I$31</c:f>
              <c:strCache>
                <c:ptCount val="1"/>
                <c:pt idx="0">
                  <c:v>Státní dluh (čisté výdaje)*****</c:v>
                </c:pt>
              </c:strCache>
            </c:strRef>
          </c:tx>
          <c:spPr>
            <a:ln w="15875">
              <a:solidFill>
                <a:srgbClr val="BD1B25"/>
              </a:solidFill>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'SR-výdaje-celorok-2019'!$I$32:$I$46</c:f>
              <c:numCache>
                <c:formatCode>0.0</c:formatCode>
                <c:ptCount val="15"/>
                <c:pt idx="0">
                  <c:v>25.43</c:v>
                </c:pt>
                <c:pt idx="1">
                  <c:v>31.61</c:v>
                </c:pt>
                <c:pt idx="2">
                  <c:v>34.130000000000003</c:v>
                </c:pt>
                <c:pt idx="3">
                  <c:v>37.64</c:v>
                </c:pt>
                <c:pt idx="4">
                  <c:v>44.46</c:v>
                </c:pt>
                <c:pt idx="5">
                  <c:v>35.840000000000003</c:v>
                </c:pt>
                <c:pt idx="6">
                  <c:v>45.120000000000005</c:v>
                </c:pt>
                <c:pt idx="7">
                  <c:v>41.400000000000006</c:v>
                </c:pt>
                <c:pt idx="8">
                  <c:v>50.89</c:v>
                </c:pt>
                <c:pt idx="9">
                  <c:v>48.49</c:v>
                </c:pt>
                <c:pt idx="10">
                  <c:v>45.28</c:v>
                </c:pt>
                <c:pt idx="11">
                  <c:v>40.65</c:v>
                </c:pt>
                <c:pt idx="12">
                  <c:v>39.769999999999996</c:v>
                </c:pt>
                <c:pt idx="13">
                  <c:v>40.729999999999997</c:v>
                </c:pt>
                <c:pt idx="14">
                  <c:v>39.549999999999997</c:v>
                </c:pt>
              </c:numCache>
            </c:numRef>
          </c:val>
          <c:smooth val="0"/>
          <c:extLst>
            <c:ext xmlns:c16="http://schemas.microsoft.com/office/drawing/2014/chart" uri="{C3380CC4-5D6E-409C-BE32-E72D297353CC}">
              <c16:uniqueId val="{00000007-DEF1-4F1C-895F-026A9B485256}"/>
            </c:ext>
          </c:extLst>
        </c:ser>
        <c:ser>
          <c:idx val="8"/>
          <c:order val="8"/>
          <c:tx>
            <c:strRef>
              <c:f>'SR-výdaje-celorok-2019'!$J$31</c:f>
              <c:strCache>
                <c:ptCount val="1"/>
                <c:pt idx="0">
                  <c:v>Stavební spoření a důchod. připojištění</c:v>
                </c:pt>
              </c:strCache>
            </c:strRef>
          </c:tx>
          <c:spPr>
            <a:ln w="15875">
              <a:solidFill>
                <a:schemeClr val="bg1">
                  <a:lumMod val="50000"/>
                </a:schemeClr>
              </a:solidFill>
              <a:prstDash val="solid"/>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'SR-výdaje-celorok-2019'!$J$32:$J$46</c:f>
              <c:numCache>
                <c:formatCode>0.0</c:formatCode>
                <c:ptCount val="15"/>
                <c:pt idx="0">
                  <c:v>19.66</c:v>
                </c:pt>
                <c:pt idx="1">
                  <c:v>19.809999999999999</c:v>
                </c:pt>
                <c:pt idx="2">
                  <c:v>19.510000000000002</c:v>
                </c:pt>
                <c:pt idx="3">
                  <c:v>19.21</c:v>
                </c:pt>
                <c:pt idx="4">
                  <c:v>18.559999999999999</c:v>
                </c:pt>
                <c:pt idx="5">
                  <c:v>17.21</c:v>
                </c:pt>
                <c:pt idx="6">
                  <c:v>16.32</c:v>
                </c:pt>
                <c:pt idx="7">
                  <c:v>11.030000000000001</c:v>
                </c:pt>
                <c:pt idx="8">
                  <c:v>11.64</c:v>
                </c:pt>
                <c:pt idx="9">
                  <c:v>11.649999999999999</c:v>
                </c:pt>
                <c:pt idx="10">
                  <c:v>11.379999999999999</c:v>
                </c:pt>
                <c:pt idx="11">
                  <c:v>11.09</c:v>
                </c:pt>
                <c:pt idx="12">
                  <c:v>10.83</c:v>
                </c:pt>
                <c:pt idx="13">
                  <c:v>10.91</c:v>
                </c:pt>
                <c:pt idx="14">
                  <c:v>11.18</c:v>
                </c:pt>
              </c:numCache>
            </c:numRef>
          </c:val>
          <c:smooth val="0"/>
          <c:extLst>
            <c:ext xmlns:c16="http://schemas.microsoft.com/office/drawing/2014/chart" uri="{C3380CC4-5D6E-409C-BE32-E72D297353CC}">
              <c16:uniqueId val="{00000008-DEF1-4F1C-895F-026A9B485256}"/>
            </c:ext>
          </c:extLst>
        </c:ser>
        <c:ser>
          <c:idx val="9"/>
          <c:order val="9"/>
          <c:tx>
            <c:strRef>
              <c:f>'SR-výdaje-celorok-2019'!$K$31</c:f>
              <c:strCache>
                <c:ptCount val="1"/>
                <c:pt idx="0">
                  <c:v>Kapitálové výdaje</c:v>
                </c:pt>
              </c:strCache>
            </c:strRef>
          </c:tx>
          <c:spPr>
            <a:ln w="15875">
              <a:solidFill>
                <a:schemeClr val="tx1">
                  <a:lumMod val="95000"/>
                  <a:lumOff val="5000"/>
                </a:schemeClr>
              </a:solidFill>
              <a:prstDash val="sysDash"/>
            </a:ln>
          </c:spPr>
          <c:marker>
            <c:symbol val="none"/>
          </c:marker>
          <c:cat>
            <c:numRef>
              <c:f>'SR-výdaje-celorok-2019'!$A$32:$A$46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'SR-výdaje-celorok-2019'!$K$32:$K$46</c:f>
              <c:numCache>
                <c:formatCode>0.0</c:formatCode>
                <c:ptCount val="15"/>
                <c:pt idx="0">
                  <c:v>81.99</c:v>
                </c:pt>
                <c:pt idx="1">
                  <c:v>108.54</c:v>
                </c:pt>
                <c:pt idx="2">
                  <c:v>118.42</c:v>
                </c:pt>
                <c:pt idx="3">
                  <c:v>108.08</c:v>
                </c:pt>
                <c:pt idx="4">
                  <c:v>134.22999999999999</c:v>
                </c:pt>
                <c:pt idx="5">
                  <c:v>134.91</c:v>
                </c:pt>
                <c:pt idx="6">
                  <c:v>123.69</c:v>
                </c:pt>
                <c:pt idx="7">
                  <c:v>113.62</c:v>
                </c:pt>
                <c:pt idx="8">
                  <c:v>102.315</c:v>
                </c:pt>
                <c:pt idx="9">
                  <c:v>111.50700000000001</c:v>
                </c:pt>
                <c:pt idx="10">
                  <c:v>175.66</c:v>
                </c:pt>
                <c:pt idx="11">
                  <c:v>84.27</c:v>
                </c:pt>
                <c:pt idx="12">
                  <c:v>81.75</c:v>
                </c:pt>
                <c:pt idx="13">
                  <c:v>116.46</c:v>
                </c:pt>
                <c:pt idx="14">
                  <c:v>139.26</c:v>
                </c:pt>
              </c:numCache>
            </c:numRef>
          </c:val>
          <c:smooth val="0"/>
          <c:extLst>
            <c:ext xmlns:c16="http://schemas.microsoft.com/office/drawing/2014/chart" uri="{C3380CC4-5D6E-409C-BE32-E72D297353CC}">
              <c16:uniqueId val="{00000009-DEF1-4F1C-895F-026A9B485256}"/>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crossAx val="72829184"/>
        <c:crosses val="autoZero"/>
        <c:auto val="1"/>
        <c:lblAlgn val="ctr"/>
        <c:lblOffset val="20"/>
        <c:noMultiLvlLbl val="0"/>
      </c:catAx>
      <c:valAx>
        <c:axId val="72829184"/>
        <c:scaling>
          <c:orientation val="minMax"/>
          <c:max val="180"/>
          <c:min val="0"/>
        </c:scaling>
        <c:delete val="0"/>
        <c:axPos val="l"/>
        <c:majorGridlines>
          <c:spPr>
            <a:ln w="6350">
              <a:solidFill>
                <a:schemeClr val="bg1">
                  <a:lumMod val="75000"/>
                </a:schemeClr>
              </a:solidFill>
            </a:ln>
          </c:spPr>
        </c:majorGridlines>
        <c:title>
          <c:tx>
            <c:rich>
              <a:bodyPr/>
              <a:lstStyle/>
              <a:p>
                <a:pPr>
                  <a:defRPr sz="700" b="0"/>
                </a:pPr>
                <a:r>
                  <a:rPr lang="cs-CZ" sz="700" b="0" i="1" u="none" strike="noStrike" baseline="0">
                    <a:effectLst/>
                  </a:rPr>
                  <a:t>Ostatní výdaje (v</a:t>
                </a:r>
                <a:r>
                  <a:rPr lang="cs-CZ" sz="700" b="0" i="1" u="none" strike="noStrike" kern="1200" baseline="0">
                    <a:solidFill>
                      <a:sysClr val="windowText" lastClr="000000"/>
                    </a:solidFill>
                    <a:effectLst/>
                    <a:latin typeface="Arial" panose="020B0604020202020204" pitchFamily="34" charset="0"/>
                    <a:ea typeface="+mn-ea"/>
                    <a:cs typeface="Arial" panose="020B0604020202020204" pitchFamily="34" charset="0"/>
                  </a:rPr>
                  <a:t> mld.</a:t>
                </a:r>
                <a:r>
                  <a:rPr lang="cs-CZ" sz="700" b="0" i="1" u="none" strike="noStrike" baseline="0">
                    <a:effectLst/>
                  </a:rPr>
                  <a:t> korun)</a:t>
                </a:r>
                <a:endParaRPr lang="cs-CZ" sz="700" b="0"/>
              </a:p>
            </c:rich>
          </c:tx>
          <c:overlay val="0"/>
        </c:title>
        <c:numFmt formatCode="0" sourceLinked="0"/>
        <c:majorTickMark val="out"/>
        <c:minorTickMark val="none"/>
        <c:tickLblPos val="nextTo"/>
        <c:spPr>
          <a:ln w="6350">
            <a:solidFill>
              <a:schemeClr val="tx1"/>
            </a:solidFill>
          </a:ln>
        </c:spPr>
        <c:crossAx val="72827648"/>
        <c:crosses val="autoZero"/>
        <c:crossBetween val="between"/>
        <c:majorUnit val="10"/>
      </c:valAx>
      <c:valAx>
        <c:axId val="72835072"/>
        <c:scaling>
          <c:orientation val="minMax"/>
          <c:max val="1500"/>
          <c:min val="0"/>
        </c:scaling>
        <c:delete val="0"/>
        <c:axPos val="r"/>
        <c:title>
          <c:tx>
            <c:rich>
              <a:bodyPr/>
              <a:lstStyle/>
              <a:p>
                <a:pPr>
                  <a:defRPr sz="700" b="0" i="1"/>
                </a:pPr>
                <a:r>
                  <a:rPr lang="cs-CZ" sz="700" b="0" i="1"/>
                  <a:t>Běžné</a:t>
                </a:r>
                <a:r>
                  <a:rPr lang="cs-CZ" sz="700" b="0" i="1" baseline="0"/>
                  <a:t> výdaje celkem (v</a:t>
                </a:r>
                <a:r>
                  <a:rPr lang="cs-CZ" sz="700" b="0" i="1" u="none" strike="noStrike" kern="1200" baseline="0">
                    <a:solidFill>
                      <a:sysClr val="windowText" lastClr="000000"/>
                    </a:solidFill>
                    <a:latin typeface="Arial" panose="020B0604020202020204" pitchFamily="34" charset="0"/>
                    <a:ea typeface="+mn-ea"/>
                    <a:cs typeface="Arial" panose="020B0604020202020204" pitchFamily="34" charset="0"/>
                  </a:rPr>
                  <a:t> mld.</a:t>
                </a:r>
                <a:r>
                  <a:rPr lang="cs-CZ" sz="700" b="0" i="1" baseline="0"/>
                  <a:t> korun)</a:t>
                </a:r>
                <a:endParaRPr lang="cs-CZ" sz="700" b="0" i="1"/>
              </a:p>
            </c:rich>
          </c:tx>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10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2.3842853444001496E-2"/>
          <c:y val="0.83055036538478355"/>
          <c:w val="0.9203576005370111"/>
          <c:h val="0.1587939613277391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629137115839245E-2"/>
          <c:y val="2.8458510079622041E-2"/>
          <c:w val="0.93688386524822698"/>
          <c:h val="0.6497469886299676"/>
        </c:manualLayout>
      </c:layout>
      <c:barChart>
        <c:barDir val="col"/>
        <c:grouping val="stacked"/>
        <c:varyColors val="0"/>
        <c:ser>
          <c:idx val="5"/>
          <c:order val="1"/>
          <c:tx>
            <c:strRef>
              <c:f>'[Makroanalýza grafy.xlsx]souhrnná výkonnost 3'!$D$5</c:f>
              <c:strCache>
                <c:ptCount val="1"/>
                <c:pt idx="0">
                  <c:v>Výdaje na konečnou spotřebu domácností (vč. nezisk. inst.)</c:v>
                </c:pt>
              </c:strCache>
            </c:strRef>
          </c:tx>
          <c:spPr>
            <a:solidFill>
              <a:srgbClr val="0071BC"/>
            </a:solidFill>
            <a:ln>
              <a:noFill/>
            </a:ln>
          </c:spPr>
          <c:invertIfNegative val="0"/>
          <c:val>
            <c:numRef>
              <c:f>'[Makroanalýza grafy.xlsx]souhrnná výkonnost 3'!$D$14:$D$37</c:f>
              <c:numCache>
                <c:formatCode>#\ ##0.0</c:formatCode>
                <c:ptCount val="24"/>
                <c:pt idx="0">
                  <c:v>-0.34466465253407302</c:v>
                </c:pt>
                <c:pt idx="1">
                  <c:v>2.6060603139314679E-2</c:v>
                </c:pt>
                <c:pt idx="2">
                  <c:v>0.63044507278831585</c:v>
                </c:pt>
                <c:pt idx="3">
                  <c:v>1.1281972482474159</c:v>
                </c:pt>
                <c:pt idx="4">
                  <c:v>0.94195606426351952</c:v>
                </c:pt>
                <c:pt idx="5">
                  <c:v>0.87267234692188866</c:v>
                </c:pt>
                <c:pt idx="6">
                  <c:v>0.96328129540429486</c:v>
                </c:pt>
                <c:pt idx="7">
                  <c:v>1.222915570039836</c:v>
                </c:pt>
                <c:pt idx="8">
                  <c:v>0.95450177579030715</c:v>
                </c:pt>
                <c:pt idx="9">
                  <c:v>0.99768716054784257</c:v>
                </c:pt>
                <c:pt idx="10">
                  <c:v>1.2072935249511725</c:v>
                </c:pt>
                <c:pt idx="11">
                  <c:v>1.1321291783183882</c:v>
                </c:pt>
                <c:pt idx="12">
                  <c:v>1.9306412987223565</c:v>
                </c:pt>
                <c:pt idx="13">
                  <c:v>2.2637400631644424</c:v>
                </c:pt>
                <c:pt idx="14">
                  <c:v>2.0808457010674362</c:v>
                </c:pt>
                <c:pt idx="15">
                  <c:v>1.9303094594010355</c:v>
                </c:pt>
                <c:pt idx="16">
                  <c:v>1.1809328409042479</c:v>
                </c:pt>
                <c:pt idx="17">
                  <c:v>0.97522383325499351</c:v>
                </c:pt>
                <c:pt idx="18">
                  <c:v>0.71494739738076218</c:v>
                </c:pt>
                <c:pt idx="19">
                  <c:v>0.59541814159009543</c:v>
                </c:pt>
                <c:pt idx="20">
                  <c:v>1.2384079231639256</c:v>
                </c:pt>
                <c:pt idx="21">
                  <c:v>1.2322368201608158</c:v>
                </c:pt>
                <c:pt idx="22">
                  <c:v>1.1454946087500353</c:v>
                </c:pt>
                <c:pt idx="23">
                  <c:v>1.3315880650721048</c:v>
                </c:pt>
              </c:numCache>
            </c:numRef>
          </c:val>
          <c:extLst>
            <c:ext xmlns:c16="http://schemas.microsoft.com/office/drawing/2014/chart" uri="{C3380CC4-5D6E-409C-BE32-E72D297353CC}">
              <c16:uniqueId val="{00000000-A978-478A-8F6F-4C009512930A}"/>
            </c:ext>
          </c:extLst>
        </c:ser>
        <c:ser>
          <c:idx val="4"/>
          <c:order val="2"/>
          <c:tx>
            <c:strRef>
              <c:f>'[Makroanalýza grafy.xlsx]souhrnná výkonnost 3'!$E$5</c:f>
              <c:strCache>
                <c:ptCount val="1"/>
                <c:pt idx="0">
                  <c:v>Výdaje na konečnou spotřebu vládních institucí</c:v>
                </c:pt>
              </c:strCache>
            </c:strRef>
          </c:tx>
          <c:spPr>
            <a:solidFill>
              <a:srgbClr val="A6CDE8"/>
            </a:solidFill>
            <a:ln>
              <a:noFill/>
            </a:ln>
          </c:spPr>
          <c:invertIfNegative val="0"/>
          <c:val>
            <c:numRef>
              <c:f>'[Makroanalýza grafy.xlsx]souhrnná výkonnost 3'!$E$14:$E$37</c:f>
              <c:numCache>
                <c:formatCode>#\ ##0.0</c:formatCode>
                <c:ptCount val="24"/>
                <c:pt idx="0">
                  <c:v>0.20577198825120416</c:v>
                </c:pt>
                <c:pt idx="1">
                  <c:v>0.33883190557992837</c:v>
                </c:pt>
                <c:pt idx="2">
                  <c:v>1.2158794576732425E-2</c:v>
                </c:pt>
                <c:pt idx="3">
                  <c:v>0.40389733446089826</c:v>
                </c:pt>
                <c:pt idx="4">
                  <c:v>0.39699853206845465</c:v>
                </c:pt>
                <c:pt idx="5">
                  <c:v>0.40872197803912458</c:v>
                </c:pt>
                <c:pt idx="6">
                  <c:v>0.66145512560413866</c:v>
                </c:pt>
                <c:pt idx="7">
                  <c:v>0.47605014025303921</c:v>
                </c:pt>
                <c:pt idx="8">
                  <c:v>0.46151762486829956</c:v>
                </c:pt>
                <c:pt idx="9">
                  <c:v>0.57240355195671144</c:v>
                </c:pt>
                <c:pt idx="10">
                  <c:v>0.46340271694691726</c:v>
                </c:pt>
                <c:pt idx="11">
                  <c:v>0.42895930420689293</c:v>
                </c:pt>
                <c:pt idx="12">
                  <c:v>0.34244893163489387</c:v>
                </c:pt>
                <c:pt idx="13">
                  <c:v>0.223244500567059</c:v>
                </c:pt>
                <c:pt idx="14">
                  <c:v>0.14063749951504498</c:v>
                </c:pt>
                <c:pt idx="15">
                  <c:v>0.27003435806965481</c:v>
                </c:pt>
                <c:pt idx="16">
                  <c:v>0.52119655301101397</c:v>
                </c:pt>
                <c:pt idx="17">
                  <c:v>0.53590023308227619</c:v>
                </c:pt>
                <c:pt idx="18">
                  <c:v>0.75048967270375855</c:v>
                </c:pt>
                <c:pt idx="19">
                  <c:v>0.64706442020280963</c:v>
                </c:pt>
                <c:pt idx="20">
                  <c:v>0.44248975086021647</c:v>
                </c:pt>
                <c:pt idx="21">
                  <c:v>0.54035293556943409</c:v>
                </c:pt>
                <c:pt idx="22">
                  <c:v>0.69799862848490202</c:v>
                </c:pt>
                <c:pt idx="23">
                  <c:v>0.3289306707528134</c:v>
                </c:pt>
              </c:numCache>
            </c:numRef>
          </c:val>
          <c:extLst>
            <c:ext xmlns:c16="http://schemas.microsoft.com/office/drawing/2014/chart" uri="{C3380CC4-5D6E-409C-BE32-E72D297353CC}">
              <c16:uniqueId val="{00000001-A978-478A-8F6F-4C009512930A}"/>
            </c:ext>
          </c:extLst>
        </c:ser>
        <c:ser>
          <c:idx val="3"/>
          <c:order val="3"/>
          <c:tx>
            <c:strRef>
              <c:f>'[Makroanalýza grafy.xlsx]souhrnná výkonnost 3'!$G$5</c:f>
              <c:strCache>
                <c:ptCount val="1"/>
                <c:pt idx="0">
                  <c:v>Tvorba hrubého kapitálu</c:v>
                </c:pt>
              </c:strCache>
            </c:strRef>
          </c:tx>
          <c:spPr>
            <a:solidFill>
              <a:srgbClr val="BD1B21"/>
            </a:solidFill>
            <a:ln>
              <a:noFill/>
            </a:ln>
          </c:spPr>
          <c:invertIfNegative val="0"/>
          <c:val>
            <c:numRef>
              <c:f>'[Makroanalýza grafy.xlsx]souhrnná výkonnost 3'!$G$14:$G$37</c:f>
              <c:numCache>
                <c:formatCode>#\ ##0.0</c:formatCode>
                <c:ptCount val="24"/>
                <c:pt idx="0">
                  <c:v>-2.3991466431909317E-2</c:v>
                </c:pt>
                <c:pt idx="1">
                  <c:v>1.7451742182379062</c:v>
                </c:pt>
                <c:pt idx="2">
                  <c:v>1.1824385369018755</c:v>
                </c:pt>
                <c:pt idx="3">
                  <c:v>0.45289756665603148</c:v>
                </c:pt>
                <c:pt idx="4">
                  <c:v>3.0879371652551999</c:v>
                </c:pt>
                <c:pt idx="5">
                  <c:v>3.9987987862631074</c:v>
                </c:pt>
                <c:pt idx="6">
                  <c:v>2.5754146120567754</c:v>
                </c:pt>
                <c:pt idx="7">
                  <c:v>1.0444753655053425</c:v>
                </c:pt>
                <c:pt idx="8">
                  <c:v>0.71387118611405975</c:v>
                </c:pt>
                <c:pt idx="9">
                  <c:v>-1.5854482705709272</c:v>
                </c:pt>
                <c:pt idx="10">
                  <c:v>-0.93062122867821062</c:v>
                </c:pt>
                <c:pt idx="11">
                  <c:v>-0.56122869504757711</c:v>
                </c:pt>
                <c:pt idx="12">
                  <c:v>-1.1403609447470813</c:v>
                </c:pt>
                <c:pt idx="13">
                  <c:v>0.83977617499799451</c:v>
                </c:pt>
                <c:pt idx="14">
                  <c:v>1.6317033595386747</c:v>
                </c:pt>
                <c:pt idx="15">
                  <c:v>2.2014216093427894</c:v>
                </c:pt>
                <c:pt idx="16">
                  <c:v>2.4097867369615757</c:v>
                </c:pt>
                <c:pt idx="17">
                  <c:v>0.5170262523036262</c:v>
                </c:pt>
                <c:pt idx="18">
                  <c:v>0.77040241880421423</c:v>
                </c:pt>
                <c:pt idx="19">
                  <c:v>9.4373662010904788E-2</c:v>
                </c:pt>
                <c:pt idx="20">
                  <c:v>1.0613335745329571</c:v>
                </c:pt>
                <c:pt idx="21">
                  <c:v>-0.36238929231745187</c:v>
                </c:pt>
                <c:pt idx="22">
                  <c:v>-0.41084313126944683</c:v>
                </c:pt>
                <c:pt idx="23">
                  <c:v>2.2623784732541168</c:v>
                </c:pt>
              </c:numCache>
            </c:numRef>
          </c:val>
          <c:extLst>
            <c:ext xmlns:c16="http://schemas.microsoft.com/office/drawing/2014/chart" uri="{C3380CC4-5D6E-409C-BE32-E72D297353CC}">
              <c16:uniqueId val="{00000002-A978-478A-8F6F-4C009512930A}"/>
            </c:ext>
          </c:extLst>
        </c:ser>
        <c:ser>
          <c:idx val="1"/>
          <c:order val="4"/>
          <c:tx>
            <c:strRef>
              <c:f>'[Makroanalýza grafy.xlsx]souhrnná výkonnost 3'!$F$5</c:f>
              <c:strCache>
                <c:ptCount val="1"/>
                <c:pt idx="0">
                  <c:v>Bilance zahraničního obchodu</c:v>
                </c:pt>
              </c:strCache>
            </c:strRef>
          </c:tx>
          <c:spPr>
            <a:solidFill>
              <a:srgbClr val="7DBB2D"/>
            </a:solidFill>
            <a:ln>
              <a:noFill/>
            </a:ln>
          </c:spPr>
          <c:invertIfNegative val="0"/>
          <c:val>
            <c:numRef>
              <c:f>'[Makroanalýza grafy.xlsx]souhrnná výkonnost 3'!$F$14:$F$37</c:f>
              <c:numCache>
                <c:formatCode>#\ ##0.0</c:formatCode>
                <c:ptCount val="24"/>
                <c:pt idx="0">
                  <c:v>1.754622759396387</c:v>
                </c:pt>
                <c:pt idx="1">
                  <c:v>0.26870369648226777</c:v>
                </c:pt>
                <c:pt idx="2">
                  <c:v>1.5495167456083836</c:v>
                </c:pt>
                <c:pt idx="3">
                  <c:v>1.4172294109942891</c:v>
                </c:pt>
                <c:pt idx="4">
                  <c:v>0.8334594136688902</c:v>
                </c:pt>
                <c:pt idx="5">
                  <c:v>0.55449022657338531</c:v>
                </c:pt>
                <c:pt idx="6">
                  <c:v>1.4429305167076234</c:v>
                </c:pt>
                <c:pt idx="7">
                  <c:v>2.1830803377751762</c:v>
                </c:pt>
                <c:pt idx="8">
                  <c:v>1.3738808387312025</c:v>
                </c:pt>
                <c:pt idx="9">
                  <c:v>2.3568205392256898</c:v>
                </c:pt>
                <c:pt idx="10">
                  <c:v>0.95573888207662083</c:v>
                </c:pt>
                <c:pt idx="11">
                  <c:v>0.73950653042841519</c:v>
                </c:pt>
                <c:pt idx="12">
                  <c:v>1.7564908410868183</c:v>
                </c:pt>
                <c:pt idx="13">
                  <c:v>1.7148679176152966</c:v>
                </c:pt>
                <c:pt idx="14">
                  <c:v>1.2243070658653634</c:v>
                </c:pt>
                <c:pt idx="15">
                  <c:v>0.64430687048366675</c:v>
                </c:pt>
                <c:pt idx="16">
                  <c:v>-1.7752529049995136E-2</c:v>
                </c:pt>
                <c:pt idx="17">
                  <c:v>0.17484982683298256</c:v>
                </c:pt>
                <c:pt idx="18">
                  <c:v>0.10210794575161497</c:v>
                </c:pt>
                <c:pt idx="19">
                  <c:v>1.2503464785579967</c:v>
                </c:pt>
                <c:pt idx="20">
                  <c:v>1.1250091092773973E-2</c:v>
                </c:pt>
                <c:pt idx="21">
                  <c:v>1.2532787641542766</c:v>
                </c:pt>
                <c:pt idx="22">
                  <c:v>1.022544176517203</c:v>
                </c:pt>
                <c:pt idx="23">
                  <c:v>-1.9053435473948666</c:v>
                </c:pt>
              </c:numCache>
            </c:numRef>
          </c:val>
          <c:extLst>
            <c:ext xmlns:c16="http://schemas.microsoft.com/office/drawing/2014/chart" uri="{C3380CC4-5D6E-409C-BE32-E72D297353CC}">
              <c16:uniqueId val="{00000003-A978-478A-8F6F-4C009512930A}"/>
            </c:ext>
          </c:extLst>
        </c:ser>
        <c:dLbls>
          <c:showLegendKey val="0"/>
          <c:showVal val="0"/>
          <c:showCatName val="0"/>
          <c:showSerName val="0"/>
          <c:showPercent val="0"/>
          <c:showBubbleSize val="0"/>
        </c:dLbls>
        <c:gapWidth val="40"/>
        <c:overlap val="100"/>
        <c:axId val="267591040"/>
        <c:axId val="267605120"/>
      </c:barChart>
      <c:lineChart>
        <c:grouping val="standard"/>
        <c:varyColors val="0"/>
        <c:ser>
          <c:idx val="0"/>
          <c:order val="0"/>
          <c:tx>
            <c:strRef>
              <c:f>'[Makroanalýza grafy.xlsx]souhrnná výkonnost 3'!$C$5</c:f>
              <c:strCache>
                <c:ptCount val="1"/>
                <c:pt idx="0">
                  <c:v>HDP</c:v>
                </c:pt>
              </c:strCache>
            </c:strRef>
          </c:tx>
          <c:spPr>
            <a:ln>
              <a:solidFill>
                <a:prstClr val="black"/>
              </a:solidFill>
            </a:ln>
          </c:spPr>
          <c:marker>
            <c:symbol val="none"/>
          </c:marker>
          <c:cat>
            <c:multiLvlStrRef>
              <c:f>'[Makroanalýza grafy.xlsx]souhrnná výkonnost 3'!$A$14:$B$37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grafy.xlsx]souhrnná výkonnost 3'!$C$14:$C$37</c:f>
              <c:numCache>
                <c:formatCode>#\ ##0.0</c:formatCode>
                <c:ptCount val="24"/>
                <c:pt idx="0">
                  <c:v>1.6119852610403171</c:v>
                </c:pt>
                <c:pt idx="1">
                  <c:v>2.4036588344783354</c:v>
                </c:pt>
                <c:pt idx="2">
                  <c:v>3.402592096510773</c:v>
                </c:pt>
                <c:pt idx="3">
                  <c:v>3.4266275487343023</c:v>
                </c:pt>
                <c:pt idx="4">
                  <c:v>5.2291125501287894</c:v>
                </c:pt>
                <c:pt idx="5">
                  <c:v>5.8032884808543201</c:v>
                </c:pt>
                <c:pt idx="6">
                  <c:v>5.6130021167368085</c:v>
                </c:pt>
                <c:pt idx="7">
                  <c:v>4.9021199420951973</c:v>
                </c:pt>
                <c:pt idx="8">
                  <c:v>3.5397769924422562</c:v>
                </c:pt>
                <c:pt idx="9">
                  <c:v>2.3881436873594453</c:v>
                </c:pt>
                <c:pt idx="10">
                  <c:v>1.7456690011057816</c:v>
                </c:pt>
                <c:pt idx="11">
                  <c:v>1.7908504273152204</c:v>
                </c:pt>
                <c:pt idx="12">
                  <c:v>2.9314357771400381</c:v>
                </c:pt>
                <c:pt idx="13">
                  <c:v>5.0765227202416554</c:v>
                </c:pt>
                <c:pt idx="14">
                  <c:v>5.1042255357996851</c:v>
                </c:pt>
                <c:pt idx="15">
                  <c:v>5.0625760160056359</c:v>
                </c:pt>
                <c:pt idx="16">
                  <c:v>4.113399930983519</c:v>
                </c:pt>
                <c:pt idx="17">
                  <c:v>2.2285878567247295</c:v>
                </c:pt>
                <c:pt idx="18">
                  <c:v>2.3691471449424455</c:v>
                </c:pt>
                <c:pt idx="19">
                  <c:v>2.6297132249435577</c:v>
                </c:pt>
                <c:pt idx="20">
                  <c:v>2.7821232477531339</c:v>
                </c:pt>
                <c:pt idx="21">
                  <c:v>2.6857018943744748</c:v>
                </c:pt>
                <c:pt idx="22">
                  <c:v>2.4784595234327327</c:v>
                </c:pt>
                <c:pt idx="23">
                  <c:v>2.0441416457255031</c:v>
                </c:pt>
              </c:numCache>
            </c:numRef>
          </c:val>
          <c:smooth val="0"/>
          <c:extLst>
            <c:ext xmlns:c16="http://schemas.microsoft.com/office/drawing/2014/chart" uri="{C3380CC4-5D6E-409C-BE32-E72D297353CC}">
              <c16:uniqueId val="{00000004-A978-478A-8F6F-4C009512930A}"/>
            </c:ext>
          </c:extLst>
        </c:ser>
        <c:dLbls>
          <c:showLegendKey val="0"/>
          <c:showVal val="0"/>
          <c:showCatName val="0"/>
          <c:showSerName val="0"/>
          <c:showPercent val="0"/>
          <c:showBubbleSize val="0"/>
        </c:dLbls>
        <c:marker val="1"/>
        <c:smooth val="0"/>
        <c:axId val="267591040"/>
        <c:axId val="267605120"/>
      </c:lineChart>
      <c:catAx>
        <c:axId val="267591040"/>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267605120"/>
        <c:crosses val="autoZero"/>
        <c:auto val="1"/>
        <c:lblAlgn val="ctr"/>
        <c:lblOffset val="100"/>
        <c:noMultiLvlLbl val="0"/>
      </c:catAx>
      <c:valAx>
        <c:axId val="267605120"/>
        <c:scaling>
          <c:orientation val="minMax"/>
          <c:max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7591040"/>
        <c:crosses val="autoZero"/>
        <c:crossBetween val="between"/>
        <c:majorUnit val="1"/>
      </c:valAx>
      <c:spPr>
        <a:ln>
          <a:solidFill>
            <a:schemeClr val="tx1"/>
          </a:solidFill>
        </a:ln>
      </c:spPr>
    </c:plotArea>
    <c:legend>
      <c:legendPos val="b"/>
      <c:layout>
        <c:manualLayout>
          <c:xMode val="edge"/>
          <c:yMode val="edge"/>
          <c:x val="4.7571766295170556E-2"/>
          <c:y val="0.79301446583361457"/>
          <c:w val="0.93781598277608913"/>
          <c:h val="0.19014325115388939"/>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126857480580882E-2"/>
          <c:y val="3.7154479717354444E-2"/>
          <c:w val="0.9260266801756164"/>
          <c:h val="0.63445260610154264"/>
        </c:manualLayout>
      </c:layout>
      <c:barChart>
        <c:barDir val="col"/>
        <c:grouping val="stacked"/>
        <c:varyColors val="0"/>
        <c:ser>
          <c:idx val="4"/>
          <c:order val="0"/>
          <c:tx>
            <c:strRef>
              <c:f>'[Makroanalýza grafy.xlsx]souhrnná výkonnost 4'!$C$5</c:f>
              <c:strCache>
                <c:ptCount val="1"/>
                <c:pt idx="0">
                  <c:v>Zemědělství, lesnictví a rybářství</c:v>
                </c:pt>
              </c:strCache>
            </c:strRef>
          </c:tx>
          <c:spPr>
            <a:solidFill>
              <a:srgbClr val="0071BC"/>
            </a:solidFill>
            <a:ln>
              <a:noFill/>
            </a:ln>
          </c:spPr>
          <c:invertIfNegative val="0"/>
          <c:val>
            <c:numRef>
              <c:f>'[Makroanalýza grafy.xlsx]souhrnná výkonnost 4'!$C$14:$C$37</c:f>
              <c:numCache>
                <c:formatCode>#\ ##0.0</c:formatCode>
                <c:ptCount val="24"/>
                <c:pt idx="0">
                  <c:v>0.10327092328203805</c:v>
                </c:pt>
                <c:pt idx="1">
                  <c:v>0.23269520427919901</c:v>
                </c:pt>
                <c:pt idx="2">
                  <c:v>0.28194365656542186</c:v>
                </c:pt>
                <c:pt idx="3">
                  <c:v>0.24824540125917496</c:v>
                </c:pt>
                <c:pt idx="4">
                  <c:v>0.26488476717818116</c:v>
                </c:pt>
                <c:pt idx="5">
                  <c:v>0.14937649763464936</c:v>
                </c:pt>
                <c:pt idx="6">
                  <c:v>9.6966417999665405E-2</c:v>
                </c:pt>
                <c:pt idx="7">
                  <c:v>9.4772828520706967E-2</c:v>
                </c:pt>
                <c:pt idx="8">
                  <c:v>3.38185905666414E-3</c:v>
                </c:pt>
                <c:pt idx="9">
                  <c:v>0.12010108099372553</c:v>
                </c:pt>
                <c:pt idx="10">
                  <c:v>0.11928892387646116</c:v>
                </c:pt>
                <c:pt idx="11">
                  <c:v>8.912121122008794E-2</c:v>
                </c:pt>
                <c:pt idx="12">
                  <c:v>2.0661665656224161E-2</c:v>
                </c:pt>
                <c:pt idx="13">
                  <c:v>-9.060397457564992E-2</c:v>
                </c:pt>
                <c:pt idx="14">
                  <c:v>-0.1383708603508515</c:v>
                </c:pt>
                <c:pt idx="15">
                  <c:v>-6.7127512709389422E-2</c:v>
                </c:pt>
                <c:pt idx="16">
                  <c:v>4.3330467804160236E-2</c:v>
                </c:pt>
                <c:pt idx="17">
                  <c:v>0.1226773065485962</c:v>
                </c:pt>
                <c:pt idx="18">
                  <c:v>0.15388197244705223</c:v>
                </c:pt>
                <c:pt idx="19">
                  <c:v>0.12896499083982724</c:v>
                </c:pt>
                <c:pt idx="20">
                  <c:v>2.5313888605371329E-2</c:v>
                </c:pt>
                <c:pt idx="21">
                  <c:v>2.1317900195731328E-2</c:v>
                </c:pt>
                <c:pt idx="22">
                  <c:v>2.8240177277312213E-2</c:v>
                </c:pt>
                <c:pt idx="23">
                  <c:v>5.5680490263702927E-2</c:v>
                </c:pt>
              </c:numCache>
            </c:numRef>
          </c:val>
          <c:extLst>
            <c:ext xmlns:c16="http://schemas.microsoft.com/office/drawing/2014/chart" uri="{C3380CC4-5D6E-409C-BE32-E72D297353CC}">
              <c16:uniqueId val="{00000000-5C57-458A-A681-B7D862BF4EC0}"/>
            </c:ext>
          </c:extLst>
        </c:ser>
        <c:ser>
          <c:idx val="3"/>
          <c:order val="1"/>
          <c:tx>
            <c:strRef>
              <c:f>'[Makroanalýza grafy.xlsx]souhrnná výkonnost 4'!$D$5</c:f>
              <c:strCache>
                <c:ptCount val="1"/>
                <c:pt idx="0">
                  <c:v>Zpracovatelský průmysl (CZ-NACE C)</c:v>
                </c:pt>
              </c:strCache>
            </c:strRef>
          </c:tx>
          <c:spPr>
            <a:solidFill>
              <a:srgbClr val="A6CDE8"/>
            </a:solidFill>
            <a:ln>
              <a:noFill/>
            </a:ln>
          </c:spPr>
          <c:invertIfNegative val="0"/>
          <c:val>
            <c:numRef>
              <c:f>'[Makroanalýza grafy.xlsx]souhrnná výkonnost 4'!$D$14:$D$37</c:f>
              <c:numCache>
                <c:formatCode>#\ ##0.0</c:formatCode>
                <c:ptCount val="24"/>
                <c:pt idx="0">
                  <c:v>0.37772844403727041</c:v>
                </c:pt>
                <c:pt idx="1">
                  <c:v>1.1859630233858338</c:v>
                </c:pt>
                <c:pt idx="2">
                  <c:v>1.9694331350285428</c:v>
                </c:pt>
                <c:pt idx="3">
                  <c:v>2.590547170334732</c:v>
                </c:pt>
                <c:pt idx="4">
                  <c:v>2.0853375744466129</c:v>
                </c:pt>
                <c:pt idx="5">
                  <c:v>1.6547798001460741</c:v>
                </c:pt>
                <c:pt idx="6">
                  <c:v>1.4179941838424874</c:v>
                </c:pt>
                <c:pt idx="7">
                  <c:v>0.68790900072214411</c:v>
                </c:pt>
                <c:pt idx="8">
                  <c:v>1.0587965236381895</c:v>
                </c:pt>
                <c:pt idx="9">
                  <c:v>0.58666698548746488</c:v>
                </c:pt>
                <c:pt idx="10">
                  <c:v>0.78345988868193084</c:v>
                </c:pt>
                <c:pt idx="11">
                  <c:v>1.0287702111104504</c:v>
                </c:pt>
                <c:pt idx="12">
                  <c:v>1.9010392905126703</c:v>
                </c:pt>
                <c:pt idx="13">
                  <c:v>3.4182392747721453</c:v>
                </c:pt>
                <c:pt idx="14">
                  <c:v>3.6661529694016184</c:v>
                </c:pt>
                <c:pt idx="15">
                  <c:v>2.9671701619247015</c:v>
                </c:pt>
                <c:pt idx="16">
                  <c:v>1.5924778102369037</c:v>
                </c:pt>
                <c:pt idx="17">
                  <c:v>0.16147466592295665</c:v>
                </c:pt>
                <c:pt idx="18">
                  <c:v>-0.2265542468745792</c:v>
                </c:pt>
                <c:pt idx="19">
                  <c:v>0.16877028418296994</c:v>
                </c:pt>
                <c:pt idx="20">
                  <c:v>0.23028959568633331</c:v>
                </c:pt>
                <c:pt idx="21">
                  <c:v>0.3005289792159006</c:v>
                </c:pt>
                <c:pt idx="22">
                  <c:v>0.35338158321054997</c:v>
                </c:pt>
                <c:pt idx="23">
                  <c:v>-6.0323223057564677E-2</c:v>
                </c:pt>
              </c:numCache>
            </c:numRef>
          </c:val>
          <c:extLst>
            <c:ext xmlns:c16="http://schemas.microsoft.com/office/drawing/2014/chart" uri="{C3380CC4-5D6E-409C-BE32-E72D297353CC}">
              <c16:uniqueId val="{00000001-5C57-458A-A681-B7D862BF4EC0}"/>
            </c:ext>
          </c:extLst>
        </c:ser>
        <c:ser>
          <c:idx val="2"/>
          <c:order val="2"/>
          <c:tx>
            <c:strRef>
              <c:f>'[Makroanalýza grafy.xlsx]souhrnná výkonnost 4'!$E$5</c:f>
              <c:strCache>
                <c:ptCount val="1"/>
                <c:pt idx="0">
                  <c:v>Ostatní průmyslová odvětví (CZ-NACE B, D, E)</c:v>
                </c:pt>
              </c:strCache>
            </c:strRef>
          </c:tx>
          <c:spPr>
            <a:solidFill>
              <a:srgbClr val="BD1B21"/>
            </a:solidFill>
            <a:ln>
              <a:noFill/>
            </a:ln>
          </c:spPr>
          <c:invertIfNegative val="0"/>
          <c:val>
            <c:numRef>
              <c:f>'[Makroanalýza grafy.xlsx]souhrnná výkonnost 4'!$E$14:$E$37</c:f>
              <c:numCache>
                <c:formatCode>#\ ##0.0</c:formatCode>
                <c:ptCount val="24"/>
                <c:pt idx="0">
                  <c:v>0.3608155675574945</c:v>
                </c:pt>
                <c:pt idx="1">
                  <c:v>0.11006534446942351</c:v>
                </c:pt>
                <c:pt idx="2">
                  <c:v>-0.10139412231119316</c:v>
                </c:pt>
                <c:pt idx="3">
                  <c:v>-0.15771568852179829</c:v>
                </c:pt>
                <c:pt idx="4">
                  <c:v>-0.11854975317179695</c:v>
                </c:pt>
                <c:pt idx="5">
                  <c:v>7.3689959050415865E-3</c:v>
                </c:pt>
                <c:pt idx="6">
                  <c:v>1.577259276174181E-2</c:v>
                </c:pt>
                <c:pt idx="7">
                  <c:v>-0.11849296922241881</c:v>
                </c:pt>
                <c:pt idx="8">
                  <c:v>-0.45864825929601738</c:v>
                </c:pt>
                <c:pt idx="9">
                  <c:v>-0.32291108060646145</c:v>
                </c:pt>
                <c:pt idx="10">
                  <c:v>-0.37881944494448766</c:v>
                </c:pt>
                <c:pt idx="11">
                  <c:v>-0.13472107189033511</c:v>
                </c:pt>
                <c:pt idx="12">
                  <c:v>5.6239162616814387E-2</c:v>
                </c:pt>
                <c:pt idx="13">
                  <c:v>4.4230730683970876E-2</c:v>
                </c:pt>
                <c:pt idx="14">
                  <c:v>6.7840541801028387E-2</c:v>
                </c:pt>
                <c:pt idx="15">
                  <c:v>-2.5113128208830382E-2</c:v>
                </c:pt>
                <c:pt idx="16">
                  <c:v>-0.19539558548550606</c:v>
                </c:pt>
                <c:pt idx="17">
                  <c:v>-0.16275648398934928</c:v>
                </c:pt>
                <c:pt idx="18" formatCode="General">
                  <c:v>1.3843354762812204E-2</c:v>
                </c:pt>
                <c:pt idx="19" formatCode="General">
                  <c:v>-0.10594894019695877</c:v>
                </c:pt>
                <c:pt idx="20" formatCode="General">
                  <c:v>9.2374947081174247E-2</c:v>
                </c:pt>
                <c:pt idx="21" formatCode="General">
                  <c:v>7.1201995979468413E-2</c:v>
                </c:pt>
                <c:pt idx="22" formatCode="General">
                  <c:v>-0.14661860351297781</c:v>
                </c:pt>
                <c:pt idx="23" formatCode="General">
                  <c:v>1.6183959188860862E-2</c:v>
                </c:pt>
              </c:numCache>
            </c:numRef>
          </c:val>
          <c:extLst>
            <c:ext xmlns:c16="http://schemas.microsoft.com/office/drawing/2014/chart" uri="{C3380CC4-5D6E-409C-BE32-E72D297353CC}">
              <c16:uniqueId val="{00000002-5C57-458A-A681-B7D862BF4EC0}"/>
            </c:ext>
          </c:extLst>
        </c:ser>
        <c:ser>
          <c:idx val="1"/>
          <c:order val="3"/>
          <c:tx>
            <c:strRef>
              <c:f>'[Makroanalýza grafy.xlsx]souhrnná výkonnost 4'!$F$5</c:f>
              <c:strCache>
                <c:ptCount val="1"/>
                <c:pt idx="0">
                  <c:v>Stavebnictví</c:v>
                </c:pt>
              </c:strCache>
            </c:strRef>
          </c:tx>
          <c:spPr>
            <a:solidFill>
              <a:srgbClr val="E8AFB2"/>
            </a:solidFill>
            <a:ln>
              <a:noFill/>
            </a:ln>
          </c:spPr>
          <c:invertIfNegative val="0"/>
          <c:val>
            <c:numRef>
              <c:f>'[Makroanalýza grafy.xlsx]souhrnná výkonnost 4'!$F$14:$F$37</c:f>
              <c:numCache>
                <c:formatCode>#\ ##0.0</c:formatCode>
                <c:ptCount val="24"/>
                <c:pt idx="0">
                  <c:v>0.21797461545334479</c:v>
                </c:pt>
                <c:pt idx="1">
                  <c:v>8.7245853666114953E-2</c:v>
                </c:pt>
                <c:pt idx="2">
                  <c:v>3.407524595211904E-2</c:v>
                </c:pt>
                <c:pt idx="3">
                  <c:v>0.11666973663550313</c:v>
                </c:pt>
                <c:pt idx="4">
                  <c:v>0.10676390935480391</c:v>
                </c:pt>
                <c:pt idx="5">
                  <c:v>0.2619609483036206</c:v>
                </c:pt>
                <c:pt idx="6">
                  <c:v>0.35820100044646264</c:v>
                </c:pt>
                <c:pt idx="7">
                  <c:v>0.16119763626367817</c:v>
                </c:pt>
                <c:pt idx="8">
                  <c:v>-5.3066473746695028E-2</c:v>
                </c:pt>
                <c:pt idx="9">
                  <c:v>-0.24720655881401407</c:v>
                </c:pt>
                <c:pt idx="10">
                  <c:v>-0.2921718454579274</c:v>
                </c:pt>
                <c:pt idx="11">
                  <c:v>-0.26341653342115456</c:v>
                </c:pt>
                <c:pt idx="12">
                  <c:v>-0.20931022274257244</c:v>
                </c:pt>
                <c:pt idx="13">
                  <c:v>-8.9707874424024656E-2</c:v>
                </c:pt>
                <c:pt idx="14">
                  <c:v>-0.16563091980150987</c:v>
                </c:pt>
                <c:pt idx="15">
                  <c:v>-5.4074781328859352E-2</c:v>
                </c:pt>
                <c:pt idx="16">
                  <c:v>2.0317746617857207E-2</c:v>
                </c:pt>
                <c:pt idx="17">
                  <c:v>0.2062735458554408</c:v>
                </c:pt>
                <c:pt idx="18">
                  <c:v>0.2175224952867183</c:v>
                </c:pt>
                <c:pt idx="19">
                  <c:v>0.23376664655650201</c:v>
                </c:pt>
                <c:pt idx="20">
                  <c:v>0.1602327294784904</c:v>
                </c:pt>
                <c:pt idx="21">
                  <c:v>0.19765818760512943</c:v>
                </c:pt>
                <c:pt idx="22">
                  <c:v>0.24247853978936121</c:v>
                </c:pt>
                <c:pt idx="23">
                  <c:v>0.17254502186384324</c:v>
                </c:pt>
              </c:numCache>
            </c:numRef>
          </c:val>
          <c:extLst>
            <c:ext xmlns:c16="http://schemas.microsoft.com/office/drawing/2014/chart" uri="{C3380CC4-5D6E-409C-BE32-E72D297353CC}">
              <c16:uniqueId val="{00000003-5C57-458A-A681-B7D862BF4EC0}"/>
            </c:ext>
          </c:extLst>
        </c:ser>
        <c:ser>
          <c:idx val="0"/>
          <c:order val="4"/>
          <c:tx>
            <c:strRef>
              <c:f>'[Makroanalýza grafy.xlsx]souhrnná výkonnost 4'!$G$5</c:f>
              <c:strCache>
                <c:ptCount val="1"/>
                <c:pt idx="0">
                  <c:v>Služby (CZ-NACE G až U)</c:v>
                </c:pt>
              </c:strCache>
            </c:strRef>
          </c:tx>
          <c:spPr>
            <a:solidFill>
              <a:srgbClr val="7DBB2D"/>
            </a:solidFill>
            <a:ln>
              <a:noFill/>
            </a:ln>
          </c:spPr>
          <c:invertIfNegative val="0"/>
          <c:val>
            <c:numRef>
              <c:f>'[Makroanalýza grafy.xlsx]souhrnná výkonnost 4'!$G$14:$G$37</c:f>
              <c:numCache>
                <c:formatCode>#\ ##0.0</c:formatCode>
                <c:ptCount val="24"/>
                <c:pt idx="0">
                  <c:v>1.2434826511850188</c:v>
                </c:pt>
                <c:pt idx="1">
                  <c:v>1.3514601452448771</c:v>
                </c:pt>
                <c:pt idx="2">
                  <c:v>1.6168480473690585</c:v>
                </c:pt>
                <c:pt idx="3">
                  <c:v>1.7199521082386058</c:v>
                </c:pt>
                <c:pt idx="4">
                  <c:v>2.2917081080484563</c:v>
                </c:pt>
                <c:pt idx="5">
                  <c:v>2.9901246400384922</c:v>
                </c:pt>
                <c:pt idx="6">
                  <c:v>3.2954653819015496</c:v>
                </c:pt>
                <c:pt idx="7">
                  <c:v>3.535624529029278</c:v>
                </c:pt>
                <c:pt idx="8">
                  <c:v>2.8063925584667917</c:v>
                </c:pt>
                <c:pt idx="9">
                  <c:v>2.1524889219545367</c:v>
                </c:pt>
                <c:pt idx="10">
                  <c:v>1.3718879230674128</c:v>
                </c:pt>
                <c:pt idx="11">
                  <c:v>1.203389851851862</c:v>
                </c:pt>
                <c:pt idx="12">
                  <c:v>1.1136323344300572</c:v>
                </c:pt>
                <c:pt idx="13">
                  <c:v>1.8109105270381602</c:v>
                </c:pt>
                <c:pt idx="14">
                  <c:v>1.6572436772952481</c:v>
                </c:pt>
                <c:pt idx="15">
                  <c:v>1.9247437651681232</c:v>
                </c:pt>
                <c:pt idx="16">
                  <c:v>2.4851160391223477</c:v>
                </c:pt>
                <c:pt idx="17">
                  <c:v>2.0018619054450886</c:v>
                </c:pt>
                <c:pt idx="18" formatCode="General">
                  <c:v>2.4058888564621159</c:v>
                </c:pt>
                <c:pt idx="19" formatCode="General">
                  <c:v>2.4657729321631248</c:v>
                </c:pt>
                <c:pt idx="20" formatCode="General">
                  <c:v>2.2547277891585673</c:v>
                </c:pt>
                <c:pt idx="21" formatCode="General">
                  <c:v>2.0339348022177353</c:v>
                </c:pt>
                <c:pt idx="22" formatCode="General">
                  <c:v>1.8271354107868274</c:v>
                </c:pt>
                <c:pt idx="23" formatCode="General">
                  <c:v>1.6043250727316809</c:v>
                </c:pt>
              </c:numCache>
            </c:numRef>
          </c:val>
          <c:extLst>
            <c:ext xmlns:c16="http://schemas.microsoft.com/office/drawing/2014/chart" uri="{C3380CC4-5D6E-409C-BE32-E72D297353CC}">
              <c16:uniqueId val="{00000004-5C57-458A-A681-B7D862BF4EC0}"/>
            </c:ext>
          </c:extLst>
        </c:ser>
        <c:dLbls>
          <c:showLegendKey val="0"/>
          <c:showVal val="0"/>
          <c:showCatName val="0"/>
          <c:showSerName val="0"/>
          <c:showPercent val="0"/>
          <c:showBubbleSize val="0"/>
        </c:dLbls>
        <c:gapWidth val="70"/>
        <c:overlap val="100"/>
        <c:axId val="269005952"/>
        <c:axId val="269007488"/>
      </c:barChart>
      <c:lineChart>
        <c:grouping val="standard"/>
        <c:varyColors val="0"/>
        <c:ser>
          <c:idx val="5"/>
          <c:order val="5"/>
          <c:tx>
            <c:strRef>
              <c:f>'[Makroanalýza grafy.xlsx]souhrnná výkonnost 4'!$H$5</c:f>
              <c:strCache>
                <c:ptCount val="1"/>
                <c:pt idx="0">
                  <c:v>Hrubá přidaná hodnota celkem</c:v>
                </c:pt>
              </c:strCache>
            </c:strRef>
          </c:tx>
          <c:spPr>
            <a:ln w="19050">
              <a:solidFill>
                <a:prstClr val="black"/>
              </a:solidFill>
            </a:ln>
          </c:spPr>
          <c:marker>
            <c:symbol val="none"/>
          </c:marker>
          <c:cat>
            <c:multiLvlStrRef>
              <c:f>'[Makroanalýza grafy.xlsx]souhrnná výkonnost 4'!$A$14:$B$37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'[Makroanalýza grafy.xlsx]souhrnná výkonnost 4'!$H$14:$H$37</c:f>
              <c:numCache>
                <c:formatCode>#\ ##0.0</c:formatCode>
                <c:ptCount val="24"/>
                <c:pt idx="0">
                  <c:v>2.3242841787100321</c:v>
                </c:pt>
                <c:pt idx="1">
                  <c:v>2.9725274544266607</c:v>
                </c:pt>
                <c:pt idx="2">
                  <c:v>3.7839037019436175</c:v>
                </c:pt>
                <c:pt idx="3">
                  <c:v>4.5087488484021181</c:v>
                </c:pt>
                <c:pt idx="4">
                  <c:v>4.6270602982207683</c:v>
                </c:pt>
                <c:pt idx="5">
                  <c:v>5.0629663100968214</c:v>
                </c:pt>
                <c:pt idx="6">
                  <c:v>5.1769007152332058</c:v>
                </c:pt>
                <c:pt idx="7">
                  <c:v>4.3720275458483702</c:v>
                </c:pt>
                <c:pt idx="8">
                  <c:v>3.3567782921467995</c:v>
                </c:pt>
                <c:pt idx="9">
                  <c:v>2.2893161137021707</c:v>
                </c:pt>
                <c:pt idx="10">
                  <c:v>1.6037323521340028</c:v>
                </c:pt>
                <c:pt idx="11">
                  <c:v>1.922857301673119</c:v>
                </c:pt>
                <c:pt idx="12">
                  <c:v>2.8822306247702869</c:v>
                </c:pt>
                <c:pt idx="13">
                  <c:v>5.0931754403063252</c:v>
                </c:pt>
                <c:pt idx="14">
                  <c:v>5.0870941409032184</c:v>
                </c:pt>
                <c:pt idx="15">
                  <c:v>4.7458033834709425</c:v>
                </c:pt>
                <c:pt idx="16">
                  <c:v>4.1236830875357668</c:v>
                </c:pt>
                <c:pt idx="17">
                  <c:v>2.329334470402415</c:v>
                </c:pt>
                <c:pt idx="18">
                  <c:v>2.5646883885996488</c:v>
                </c:pt>
                <c:pt idx="19">
                  <c:v>2.8916497531126026</c:v>
                </c:pt>
                <c:pt idx="20">
                  <c:v>2.7525755752744914</c:v>
                </c:pt>
                <c:pt idx="21">
                  <c:v>2.6056498568663073</c:v>
                </c:pt>
                <c:pt idx="22">
                  <c:v>2.2784481158344221</c:v>
                </c:pt>
                <c:pt idx="23">
                  <c:v>1.8290584765083793</c:v>
                </c:pt>
              </c:numCache>
            </c:numRef>
          </c:val>
          <c:smooth val="0"/>
          <c:extLst>
            <c:ext xmlns:c16="http://schemas.microsoft.com/office/drawing/2014/chart" uri="{C3380CC4-5D6E-409C-BE32-E72D297353CC}">
              <c16:uniqueId val="{00000005-5C57-458A-A681-B7D862BF4EC0}"/>
            </c:ext>
          </c:extLst>
        </c:ser>
        <c:dLbls>
          <c:showLegendKey val="0"/>
          <c:showVal val="0"/>
          <c:showCatName val="0"/>
          <c:showSerName val="0"/>
          <c:showPercent val="0"/>
          <c:showBubbleSize val="0"/>
        </c:dLbls>
        <c:marker val="1"/>
        <c:smooth val="0"/>
        <c:axId val="269005952"/>
        <c:axId val="269007488"/>
      </c:lineChart>
      <c:catAx>
        <c:axId val="269005952"/>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269007488"/>
        <c:crosses val="autoZero"/>
        <c:auto val="1"/>
        <c:lblAlgn val="ctr"/>
        <c:lblOffset val="100"/>
        <c:noMultiLvlLbl val="0"/>
      </c:catAx>
      <c:valAx>
        <c:axId val="269007488"/>
        <c:scaling>
          <c:orientation val="minMax"/>
          <c:max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69005952"/>
        <c:crosses val="autoZero"/>
        <c:crossBetween val="between"/>
        <c:majorUnit val="1"/>
      </c:valAx>
      <c:spPr>
        <a:ln>
          <a:solidFill>
            <a:schemeClr val="tx1"/>
          </a:solidFill>
        </a:ln>
      </c:spPr>
    </c:plotArea>
    <c:legend>
      <c:legendPos val="b"/>
      <c:layout>
        <c:manualLayout>
          <c:xMode val="edge"/>
          <c:yMode val="edge"/>
          <c:x val="5.4144292468760548E-2"/>
          <c:y val="0.79016604750647301"/>
          <c:w val="0.92386482607227283"/>
          <c:h val="0.1946248452099494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2768470688525411E-2"/>
          <c:y val="1.6203558522131581E-2"/>
          <c:w val="0.94015567663973465"/>
          <c:h val="0.71950593410789765"/>
        </c:manualLayout>
      </c:layout>
      <c:barChart>
        <c:barDir val="col"/>
        <c:grouping val="stacked"/>
        <c:varyColors val="0"/>
        <c:ser>
          <c:idx val="0"/>
          <c:order val="0"/>
          <c:tx>
            <c:strRef>
              <c:f>'GRAF příspěvky IPP'!$A$27</c:f>
              <c:strCache>
                <c:ptCount val="1"/>
                <c:pt idx="0">
                  <c:v>Výroba dopravních prostředků (29+30)</c:v>
                </c:pt>
              </c:strCache>
            </c:strRef>
          </c:tx>
          <c:spPr>
            <a:solidFill>
              <a:srgbClr val="E8AFB2"/>
            </a:solidFill>
          </c:spPr>
          <c:invertIfNegative val="0"/>
          <c:cat>
            <c:multiLvlStrRef>
              <c:f>'GRAF příspěvky IPP'!$B$25:$AK$26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'GRAF příspěvky IPP'!$B$27:$AK$27</c:f>
              <c:numCache>
                <c:formatCode>0.0</c:formatCode>
                <c:ptCount val="36"/>
                <c:pt idx="0">
                  <c:v>5.1826567835041883</c:v>
                </c:pt>
                <c:pt idx="1">
                  <c:v>4.1388621566743531</c:v>
                </c:pt>
                <c:pt idx="2">
                  <c:v>3.66096886153335</c:v>
                </c:pt>
                <c:pt idx="3">
                  <c:v>3.2133321520109059</c:v>
                </c:pt>
                <c:pt idx="4">
                  <c:v>2.2354222453018546</c:v>
                </c:pt>
                <c:pt idx="5">
                  <c:v>1.0231087154858276</c:v>
                </c:pt>
                <c:pt idx="6">
                  <c:v>-0.451101844135188</c:v>
                </c:pt>
                <c:pt idx="7">
                  <c:v>-1.6929043388850369</c:v>
                </c:pt>
                <c:pt idx="8">
                  <c:v>-2.8414439289814464</c:v>
                </c:pt>
                <c:pt idx="9">
                  <c:v>-1.1037033400298391</c:v>
                </c:pt>
                <c:pt idx="10">
                  <c:v>0.65561921804615453</c:v>
                </c:pt>
                <c:pt idx="11">
                  <c:v>1.8828182694641358</c:v>
                </c:pt>
                <c:pt idx="12">
                  <c:v>3.5759262633273021</c:v>
                </c:pt>
                <c:pt idx="13">
                  <c:v>2.2387100258789236</c:v>
                </c:pt>
                <c:pt idx="14">
                  <c:v>1.7719699895287304</c:v>
                </c:pt>
                <c:pt idx="15">
                  <c:v>1.5189883620689975</c:v>
                </c:pt>
                <c:pt idx="16">
                  <c:v>1.5349338595230806</c:v>
                </c:pt>
                <c:pt idx="17">
                  <c:v>2.1941006685518607</c:v>
                </c:pt>
                <c:pt idx="18">
                  <c:v>2.3415413147137585</c:v>
                </c:pt>
                <c:pt idx="19">
                  <c:v>2.8930236159837905</c:v>
                </c:pt>
                <c:pt idx="20">
                  <c:v>3.2926965523764138</c:v>
                </c:pt>
                <c:pt idx="21">
                  <c:v>2.7635032677542575</c:v>
                </c:pt>
                <c:pt idx="22">
                  <c:v>1.4750591136369875</c:v>
                </c:pt>
                <c:pt idx="23">
                  <c:v>1.02695332712745</c:v>
                </c:pt>
                <c:pt idx="24">
                  <c:v>1.8306689908816125</c:v>
                </c:pt>
                <c:pt idx="25">
                  <c:v>2.068398562814969</c:v>
                </c:pt>
                <c:pt idx="26">
                  <c:v>1.5408162380207475</c:v>
                </c:pt>
                <c:pt idx="27">
                  <c:v>1.6794015454983153</c:v>
                </c:pt>
                <c:pt idx="28">
                  <c:v>0.70392294222784246</c:v>
                </c:pt>
                <c:pt idx="29">
                  <c:v>0.54165398674947518</c:v>
                </c:pt>
                <c:pt idx="30">
                  <c:v>0.23361070194845018</c:v>
                </c:pt>
                <c:pt idx="31">
                  <c:v>0.98240341756513017</c:v>
                </c:pt>
                <c:pt idx="32">
                  <c:v>-0.22918473520916652</c:v>
                </c:pt>
                <c:pt idx="33">
                  <c:v>0.49662439926839158</c:v>
                </c:pt>
                <c:pt idx="34">
                  <c:v>0.91092593552853562</c:v>
                </c:pt>
                <c:pt idx="35">
                  <c:v>-1.0551876804279738</c:v>
                </c:pt>
              </c:numCache>
            </c:numRef>
          </c:val>
          <c:extLst>
            <c:ext xmlns:c16="http://schemas.microsoft.com/office/drawing/2014/chart" uri="{C3380CC4-5D6E-409C-BE32-E72D297353CC}">
              <c16:uniqueId val="{00000000-C956-4A3A-9411-89475D2CEEE9}"/>
            </c:ext>
          </c:extLst>
        </c:ser>
        <c:ser>
          <c:idx val="1"/>
          <c:order val="1"/>
          <c:tx>
            <c:strRef>
              <c:f>'GRAF příspěvky IPP'!$A$28</c:f>
              <c:strCache>
                <c:ptCount val="1"/>
                <c:pt idx="0">
                  <c:v>Gumárenství, elektrotechnický pr. (22+27)</c:v>
                </c:pt>
              </c:strCache>
            </c:strRef>
          </c:tx>
          <c:spPr>
            <a:solidFill>
              <a:srgbClr val="BD1B21"/>
            </a:solidFill>
          </c:spPr>
          <c:invertIfNegative val="0"/>
          <c:cat>
            <c:multiLvlStrRef>
              <c:f>'GRAF příspěvky IPP'!$B$25:$AK$26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'GRAF příspěvky IPP'!$B$28:$AK$28</c:f>
              <c:numCache>
                <c:formatCode>0.0</c:formatCode>
                <c:ptCount val="36"/>
                <c:pt idx="0">
                  <c:v>1.8226503967804817</c:v>
                </c:pt>
                <c:pt idx="1">
                  <c:v>1.4308107388261828</c:v>
                </c:pt>
                <c:pt idx="2">
                  <c:v>0.48746198826577214</c:v>
                </c:pt>
                <c:pt idx="3">
                  <c:v>0.58901128435335481</c:v>
                </c:pt>
                <c:pt idx="4">
                  <c:v>0.8499224953159652</c:v>
                </c:pt>
                <c:pt idx="5">
                  <c:v>0.67909419809764782</c:v>
                </c:pt>
                <c:pt idx="6">
                  <c:v>1.0716764887904229</c:v>
                </c:pt>
                <c:pt idx="7">
                  <c:v>-0.46502811090535007</c:v>
                </c:pt>
                <c:pt idx="8">
                  <c:v>-0.34838129757408365</c:v>
                </c:pt>
                <c:pt idx="9">
                  <c:v>-0.29702711628118111</c:v>
                </c:pt>
                <c:pt idx="10">
                  <c:v>0.37983146763629139</c:v>
                </c:pt>
                <c:pt idx="11">
                  <c:v>0.67444684530708243</c:v>
                </c:pt>
                <c:pt idx="12">
                  <c:v>1.1965754118683707</c:v>
                </c:pt>
                <c:pt idx="13">
                  <c:v>1.3110490341587351</c:v>
                </c:pt>
                <c:pt idx="14">
                  <c:v>0.16431106389180708</c:v>
                </c:pt>
                <c:pt idx="15">
                  <c:v>0.79246998238680644</c:v>
                </c:pt>
                <c:pt idx="16">
                  <c:v>1.0327158178902081</c:v>
                </c:pt>
                <c:pt idx="17">
                  <c:v>1.2474010464389864</c:v>
                </c:pt>
                <c:pt idx="18">
                  <c:v>1.4188923779020084</c:v>
                </c:pt>
                <c:pt idx="19">
                  <c:v>0.62907027961344431</c:v>
                </c:pt>
                <c:pt idx="20">
                  <c:v>0.70002238690210272</c:v>
                </c:pt>
                <c:pt idx="21">
                  <c:v>0.15473181772475597</c:v>
                </c:pt>
                <c:pt idx="22">
                  <c:v>0.28439313569749469</c:v>
                </c:pt>
                <c:pt idx="23">
                  <c:v>0.43251342156214512</c:v>
                </c:pt>
                <c:pt idx="24">
                  <c:v>0.91486926491740084</c:v>
                </c:pt>
                <c:pt idx="25">
                  <c:v>1.4491903433443376</c:v>
                </c:pt>
                <c:pt idx="26">
                  <c:v>0.86660777787350374</c:v>
                </c:pt>
                <c:pt idx="27">
                  <c:v>1.6549188645784936</c:v>
                </c:pt>
                <c:pt idx="28">
                  <c:v>0.99946153502300794</c:v>
                </c:pt>
                <c:pt idx="29">
                  <c:v>0.3296201700753274</c:v>
                </c:pt>
                <c:pt idx="30">
                  <c:v>0.4428318555922115</c:v>
                </c:pt>
                <c:pt idx="31">
                  <c:v>-5.5208909228152289E-2</c:v>
                </c:pt>
                <c:pt idx="32">
                  <c:v>0.50228405031749235</c:v>
                </c:pt>
                <c:pt idx="33">
                  <c:v>0.42038718152996163</c:v>
                </c:pt>
                <c:pt idx="34">
                  <c:v>0.21613717151022321</c:v>
                </c:pt>
                <c:pt idx="35">
                  <c:v>0.40227574669705402</c:v>
                </c:pt>
              </c:numCache>
            </c:numRef>
          </c:val>
          <c:extLst>
            <c:ext xmlns:c16="http://schemas.microsoft.com/office/drawing/2014/chart" uri="{C3380CC4-5D6E-409C-BE32-E72D297353CC}">
              <c16:uniqueId val="{00000001-C956-4A3A-9411-89475D2CEEE9}"/>
            </c:ext>
          </c:extLst>
        </c:ser>
        <c:ser>
          <c:idx val="2"/>
          <c:order val="2"/>
          <c:tx>
            <c:strRef>
              <c:f>'GRAF příspěvky IPP'!$A$29</c:f>
              <c:strCache>
                <c:ptCount val="1"/>
                <c:pt idx="0">
                  <c:v>Strojírenství (28)</c:v>
                </c:pt>
              </c:strCache>
            </c:strRef>
          </c:tx>
          <c:spPr>
            <a:solidFill>
              <a:srgbClr val="BFE3F7"/>
            </a:solidFill>
          </c:spPr>
          <c:invertIfNegative val="0"/>
          <c:cat>
            <c:multiLvlStrRef>
              <c:f>'GRAF příspěvky IPP'!$B$25:$AK$26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'GRAF příspěvky IPP'!$B$29:$AK$29</c:f>
              <c:numCache>
                <c:formatCode>0.0</c:formatCode>
                <c:ptCount val="36"/>
                <c:pt idx="0">
                  <c:v>1.2706011457621917</c:v>
                </c:pt>
                <c:pt idx="1">
                  <c:v>1.2888664807252919</c:v>
                </c:pt>
                <c:pt idx="2">
                  <c:v>0.32307846092656811</c:v>
                </c:pt>
                <c:pt idx="3">
                  <c:v>0.70071844497242763</c:v>
                </c:pt>
                <c:pt idx="4">
                  <c:v>0.5085259739532223</c:v>
                </c:pt>
                <c:pt idx="5">
                  <c:v>0.2631231278845213</c:v>
                </c:pt>
                <c:pt idx="6">
                  <c:v>0.23301984566307926</c:v>
                </c:pt>
                <c:pt idx="7">
                  <c:v>-0.13339713383761653</c:v>
                </c:pt>
                <c:pt idx="8">
                  <c:v>7.970787180892118E-2</c:v>
                </c:pt>
                <c:pt idx="9">
                  <c:v>0.20406264489060252</c:v>
                </c:pt>
                <c:pt idx="10">
                  <c:v>-1.7001944235035402E-2</c:v>
                </c:pt>
                <c:pt idx="11">
                  <c:v>0.64362374734259087</c:v>
                </c:pt>
                <c:pt idx="12">
                  <c:v>0.21470457876175333</c:v>
                </c:pt>
                <c:pt idx="13">
                  <c:v>0.40293012989484661</c:v>
                </c:pt>
                <c:pt idx="14">
                  <c:v>0.21152856009329646</c:v>
                </c:pt>
                <c:pt idx="15">
                  <c:v>0.3301204419286361</c:v>
                </c:pt>
                <c:pt idx="16">
                  <c:v>0.27832699102768171</c:v>
                </c:pt>
                <c:pt idx="17">
                  <c:v>0.29159295435772503</c:v>
                </c:pt>
                <c:pt idx="18">
                  <c:v>0.37916922656306401</c:v>
                </c:pt>
                <c:pt idx="19">
                  <c:v>1.781989990773131E-2</c:v>
                </c:pt>
                <c:pt idx="20">
                  <c:v>0.36450086052988051</c:v>
                </c:pt>
                <c:pt idx="21">
                  <c:v>-6.9051390149412681E-2</c:v>
                </c:pt>
                <c:pt idx="22">
                  <c:v>0.19850927828339104</c:v>
                </c:pt>
                <c:pt idx="23">
                  <c:v>0.32150601856840716</c:v>
                </c:pt>
                <c:pt idx="24">
                  <c:v>0.35626268364085967</c:v>
                </c:pt>
                <c:pt idx="25">
                  <c:v>1.0647927179276142</c:v>
                </c:pt>
                <c:pt idx="26">
                  <c:v>0.84846050084183755</c:v>
                </c:pt>
                <c:pt idx="27">
                  <c:v>0.80860359811504845</c:v>
                </c:pt>
                <c:pt idx="28">
                  <c:v>0.46939757956954559</c:v>
                </c:pt>
                <c:pt idx="29">
                  <c:v>0.14777758056392631</c:v>
                </c:pt>
                <c:pt idx="30">
                  <c:v>0.18930771692011972</c:v>
                </c:pt>
                <c:pt idx="31">
                  <c:v>-0.1941665716444419</c:v>
                </c:pt>
                <c:pt idx="32">
                  <c:v>0.13830917887033164</c:v>
                </c:pt>
                <c:pt idx="33">
                  <c:v>-2.5936433326688057E-2</c:v>
                </c:pt>
                <c:pt idx="34">
                  <c:v>-0.28001631631863139</c:v>
                </c:pt>
                <c:pt idx="35">
                  <c:v>-0.15230343433769106</c:v>
                </c:pt>
              </c:numCache>
            </c:numRef>
          </c:val>
          <c:extLst>
            <c:ext xmlns:c16="http://schemas.microsoft.com/office/drawing/2014/chart" uri="{C3380CC4-5D6E-409C-BE32-E72D297353CC}">
              <c16:uniqueId val="{00000002-C956-4A3A-9411-89475D2CEEE9}"/>
            </c:ext>
          </c:extLst>
        </c:ser>
        <c:ser>
          <c:idx val="3"/>
          <c:order val="3"/>
          <c:tx>
            <c:strRef>
              <c:f>'GRAF příspěvky IPP'!$A$30</c:f>
              <c:strCache>
                <c:ptCount val="1"/>
                <c:pt idx="0">
                  <c:v>Kovodělný průmysl (25)</c:v>
                </c:pt>
              </c:strCache>
            </c:strRef>
          </c:tx>
          <c:spPr>
            <a:solidFill>
              <a:srgbClr val="48AEE7"/>
            </a:solidFill>
          </c:spPr>
          <c:invertIfNegative val="0"/>
          <c:cat>
            <c:multiLvlStrRef>
              <c:f>'GRAF příspěvky IPP'!$B$25:$AK$26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'GRAF příspěvky IPP'!$B$30:$AK$30</c:f>
              <c:numCache>
                <c:formatCode>0.0</c:formatCode>
                <c:ptCount val="36"/>
                <c:pt idx="0">
                  <c:v>1.3607915256879437</c:v>
                </c:pt>
                <c:pt idx="1">
                  <c:v>0.6122314163161513</c:v>
                </c:pt>
                <c:pt idx="2">
                  <c:v>6.1889465402554439E-2</c:v>
                </c:pt>
                <c:pt idx="3">
                  <c:v>-5.8766596093049045E-2</c:v>
                </c:pt>
                <c:pt idx="4">
                  <c:v>-6.6514476486077501E-2</c:v>
                </c:pt>
                <c:pt idx="5">
                  <c:v>-7.3342687149672695E-2</c:v>
                </c:pt>
                <c:pt idx="6">
                  <c:v>0.10363464102827508</c:v>
                </c:pt>
                <c:pt idx="7">
                  <c:v>-0.16145263797014556</c:v>
                </c:pt>
                <c:pt idx="8">
                  <c:v>-8.2159524291812738E-2</c:v>
                </c:pt>
                <c:pt idx="9">
                  <c:v>9.286896218709495E-2</c:v>
                </c:pt>
                <c:pt idx="10">
                  <c:v>0.38311516609077362</c:v>
                </c:pt>
                <c:pt idx="11">
                  <c:v>0.56967075654605959</c:v>
                </c:pt>
                <c:pt idx="12">
                  <c:v>0.73131867751878388</c:v>
                </c:pt>
                <c:pt idx="13">
                  <c:v>0.63955710701683133</c:v>
                </c:pt>
                <c:pt idx="14">
                  <c:v>0.13796392398444496</c:v>
                </c:pt>
                <c:pt idx="15">
                  <c:v>0.35044871686260598</c:v>
                </c:pt>
                <c:pt idx="16">
                  <c:v>0.69752018574312757</c:v>
                </c:pt>
                <c:pt idx="17">
                  <c:v>0.78069864008168055</c:v>
                </c:pt>
                <c:pt idx="18">
                  <c:v>0.92145489387273505</c:v>
                </c:pt>
                <c:pt idx="19">
                  <c:v>0.62569777143327532</c:v>
                </c:pt>
                <c:pt idx="20">
                  <c:v>0.75848604717513379</c:v>
                </c:pt>
                <c:pt idx="21">
                  <c:v>0.39407337586741892</c:v>
                </c:pt>
                <c:pt idx="22">
                  <c:v>0.20786247012396855</c:v>
                </c:pt>
                <c:pt idx="23">
                  <c:v>0.25885378383640428</c:v>
                </c:pt>
                <c:pt idx="24">
                  <c:v>0.51937603959814027</c:v>
                </c:pt>
                <c:pt idx="25">
                  <c:v>0.90938443427805682</c:v>
                </c:pt>
                <c:pt idx="26">
                  <c:v>0.81941846333328994</c:v>
                </c:pt>
                <c:pt idx="27">
                  <c:v>0.96985539906457718</c:v>
                </c:pt>
                <c:pt idx="28">
                  <c:v>0.6579137504716065</c:v>
                </c:pt>
                <c:pt idx="29">
                  <c:v>0.4468183516639388</c:v>
                </c:pt>
                <c:pt idx="30">
                  <c:v>0.43700633012132578</c:v>
                </c:pt>
                <c:pt idx="31">
                  <c:v>0.16124456587075234</c:v>
                </c:pt>
                <c:pt idx="32">
                  <c:v>0.26961194415130824</c:v>
                </c:pt>
                <c:pt idx="33">
                  <c:v>1.0633986919867123E-2</c:v>
                </c:pt>
                <c:pt idx="34">
                  <c:v>-0.22418998862127987</c:v>
                </c:pt>
                <c:pt idx="35">
                  <c:v>-0.39107643952771226</c:v>
                </c:pt>
              </c:numCache>
            </c:numRef>
          </c:val>
          <c:extLst>
            <c:ext xmlns:c16="http://schemas.microsoft.com/office/drawing/2014/chart" uri="{C3380CC4-5D6E-409C-BE32-E72D297353CC}">
              <c16:uniqueId val="{00000003-C956-4A3A-9411-89475D2CEEE9}"/>
            </c:ext>
          </c:extLst>
        </c:ser>
        <c:ser>
          <c:idx val="4"/>
          <c:order val="4"/>
          <c:tx>
            <c:strRef>
              <c:f>'GRAF příspěvky IPP'!$A$31</c:f>
              <c:strCache>
                <c:ptCount val="1"/>
                <c:pt idx="0">
                  <c:v>Výroba PC, elektronic. a optic. přístr. (26)</c:v>
                </c:pt>
              </c:strCache>
            </c:strRef>
          </c:tx>
          <c:spPr>
            <a:solidFill>
              <a:srgbClr val="FDDEB3"/>
            </a:solidFill>
          </c:spPr>
          <c:invertIfNegative val="0"/>
          <c:cat>
            <c:multiLvlStrRef>
              <c:f>'GRAF příspěvky IPP'!$B$25:$AK$26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'GRAF příspěvky IPP'!$B$31:$AK$31</c:f>
              <c:numCache>
                <c:formatCode>0.0</c:formatCode>
                <c:ptCount val="36"/>
                <c:pt idx="0">
                  <c:v>0.46607738102630258</c:v>
                </c:pt>
                <c:pt idx="1">
                  <c:v>0.2289737073350934</c:v>
                </c:pt>
                <c:pt idx="2">
                  <c:v>-0.24362549730013716</c:v>
                </c:pt>
                <c:pt idx="3">
                  <c:v>-0.78232564519731673</c:v>
                </c:pt>
                <c:pt idx="4">
                  <c:v>-0.63245776036395984</c:v>
                </c:pt>
                <c:pt idx="5">
                  <c:v>-0.77404145043570627</c:v>
                </c:pt>
                <c:pt idx="6">
                  <c:v>-0.66225050698900134</c:v>
                </c:pt>
                <c:pt idx="7">
                  <c:v>-0.4416747399469686</c:v>
                </c:pt>
                <c:pt idx="8">
                  <c:v>0.17467389713018558</c:v>
                </c:pt>
                <c:pt idx="9">
                  <c:v>0.21019414413841453</c:v>
                </c:pt>
                <c:pt idx="10">
                  <c:v>0.2864313771080319</c:v>
                </c:pt>
                <c:pt idx="11">
                  <c:v>0.37118882448330998</c:v>
                </c:pt>
                <c:pt idx="12">
                  <c:v>0.25436485129926611</c:v>
                </c:pt>
                <c:pt idx="13">
                  <c:v>0.35812460138361812</c:v>
                </c:pt>
                <c:pt idx="14">
                  <c:v>0.24882306773154061</c:v>
                </c:pt>
                <c:pt idx="15">
                  <c:v>0.43276478248186534</c:v>
                </c:pt>
                <c:pt idx="16">
                  <c:v>0.1016909527808563</c:v>
                </c:pt>
                <c:pt idx="17">
                  <c:v>1.4154514873228306E-2</c:v>
                </c:pt>
                <c:pt idx="18">
                  <c:v>4.8795542794375368E-2</c:v>
                </c:pt>
                <c:pt idx="19">
                  <c:v>-7.6486878800618135E-2</c:v>
                </c:pt>
                <c:pt idx="20">
                  <c:v>0</c:v>
                </c:pt>
                <c:pt idx="21">
                  <c:v>4.9500595864093791E-2</c:v>
                </c:pt>
                <c:pt idx="22">
                  <c:v>5.3821883781074741E-2</c:v>
                </c:pt>
                <c:pt idx="23">
                  <c:v>0.16393002768986806</c:v>
                </c:pt>
                <c:pt idx="24">
                  <c:v>0.12720409542401243</c:v>
                </c:pt>
                <c:pt idx="25">
                  <c:v>0.37722657172069585</c:v>
                </c:pt>
                <c:pt idx="26">
                  <c:v>0.23589929598354478</c:v>
                </c:pt>
                <c:pt idx="27">
                  <c:v>0.23405074111066751</c:v>
                </c:pt>
                <c:pt idx="28">
                  <c:v>0.40824658086879206</c:v>
                </c:pt>
                <c:pt idx="29">
                  <c:v>0.14897562339484019</c:v>
                </c:pt>
                <c:pt idx="30">
                  <c:v>0.63653387238876669</c:v>
                </c:pt>
                <c:pt idx="31">
                  <c:v>0.30671535131945005</c:v>
                </c:pt>
                <c:pt idx="32">
                  <c:v>-0.11284031378710398</c:v>
                </c:pt>
                <c:pt idx="33">
                  <c:v>-4.2979434514579223E-2</c:v>
                </c:pt>
                <c:pt idx="34">
                  <c:v>-0.62307029350559606</c:v>
                </c:pt>
                <c:pt idx="35">
                  <c:v>-0.33832694292282128</c:v>
                </c:pt>
              </c:numCache>
            </c:numRef>
          </c:val>
          <c:extLst>
            <c:ext xmlns:c16="http://schemas.microsoft.com/office/drawing/2014/chart" uri="{C3380CC4-5D6E-409C-BE32-E72D297353CC}">
              <c16:uniqueId val="{00000004-C956-4A3A-9411-89475D2CEEE9}"/>
            </c:ext>
          </c:extLst>
        </c:ser>
        <c:ser>
          <c:idx val="5"/>
          <c:order val="5"/>
          <c:tx>
            <c:strRef>
              <c:f>'GRAF příspěvky IPP'!$A$32</c:f>
              <c:strCache>
                <c:ptCount val="1"/>
                <c:pt idx="0">
                  <c:v>Chemický a farmaceutický pr. (20+21)</c:v>
                </c:pt>
              </c:strCache>
            </c:strRef>
          </c:tx>
          <c:spPr>
            <a:solidFill>
              <a:srgbClr val="F8A124"/>
            </a:solidFill>
          </c:spPr>
          <c:invertIfNegative val="0"/>
          <c:cat>
            <c:multiLvlStrRef>
              <c:f>'GRAF příspěvky IPP'!$B$25:$AK$26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'GRAF příspěvky IPP'!$B$32:$AK$32</c:f>
              <c:numCache>
                <c:formatCode>0.0</c:formatCode>
                <c:ptCount val="36"/>
                <c:pt idx="0">
                  <c:v>0.11219929673001736</c:v>
                </c:pt>
                <c:pt idx="1">
                  <c:v>-0.10853916938887039</c:v>
                </c:pt>
                <c:pt idx="2">
                  <c:v>-0.3536895050634965</c:v>
                </c:pt>
                <c:pt idx="3">
                  <c:v>-0.27950219010381694</c:v>
                </c:pt>
                <c:pt idx="4">
                  <c:v>8.0797212942745181E-2</c:v>
                </c:pt>
                <c:pt idx="5">
                  <c:v>-9.8083333850390669E-2</c:v>
                </c:pt>
                <c:pt idx="6">
                  <c:v>0.2931368710398069</c:v>
                </c:pt>
                <c:pt idx="7">
                  <c:v>8.1304750180385743E-2</c:v>
                </c:pt>
                <c:pt idx="8">
                  <c:v>-0.16133731408121707</c:v>
                </c:pt>
                <c:pt idx="9">
                  <c:v>2.5011128929958708E-2</c:v>
                </c:pt>
                <c:pt idx="10">
                  <c:v>-0.19584426798635859</c:v>
                </c:pt>
                <c:pt idx="11">
                  <c:v>0.22028075022638577</c:v>
                </c:pt>
                <c:pt idx="12">
                  <c:v>0.41605736757706308</c:v>
                </c:pt>
                <c:pt idx="13">
                  <c:v>0.30259515004571136</c:v>
                </c:pt>
                <c:pt idx="14">
                  <c:v>0.37231498218051085</c:v>
                </c:pt>
                <c:pt idx="15">
                  <c:v>0.12425244912027755</c:v>
                </c:pt>
                <c:pt idx="16">
                  <c:v>7.5536144712547285E-2</c:v>
                </c:pt>
                <c:pt idx="17">
                  <c:v>0.23897170690908801</c:v>
                </c:pt>
                <c:pt idx="18">
                  <c:v>-0.16868273111371118</c:v>
                </c:pt>
                <c:pt idx="19">
                  <c:v>-0.33155900660842996</c:v>
                </c:pt>
                <c:pt idx="20">
                  <c:v>-0.42141366234773647</c:v>
                </c:pt>
                <c:pt idx="21">
                  <c:v>-0.41865631031483336</c:v>
                </c:pt>
                <c:pt idx="22">
                  <c:v>-0.112184127274519</c:v>
                </c:pt>
                <c:pt idx="23">
                  <c:v>0.23370867984991769</c:v>
                </c:pt>
                <c:pt idx="24">
                  <c:v>0.53306418431628844</c:v>
                </c:pt>
                <c:pt idx="25">
                  <c:v>0.81421630557623526</c:v>
                </c:pt>
                <c:pt idx="26">
                  <c:v>0.65133086792843509</c:v>
                </c:pt>
                <c:pt idx="27">
                  <c:v>0.50748040986382348</c:v>
                </c:pt>
                <c:pt idx="28">
                  <c:v>0.39973006488017387</c:v>
                </c:pt>
                <c:pt idx="29">
                  <c:v>8.0792803264247925E-2</c:v>
                </c:pt>
                <c:pt idx="30">
                  <c:v>-4.9077145085486995E-2</c:v>
                </c:pt>
                <c:pt idx="31">
                  <c:v>-6.7427709432766617E-2</c:v>
                </c:pt>
                <c:pt idx="32">
                  <c:v>0.10347687791544462</c:v>
                </c:pt>
                <c:pt idx="33">
                  <c:v>5.2278162410061613E-2</c:v>
                </c:pt>
                <c:pt idx="34">
                  <c:v>0.23476868623764607</c:v>
                </c:pt>
                <c:pt idx="35">
                  <c:v>1.3958202630141969E-2</c:v>
                </c:pt>
              </c:numCache>
            </c:numRef>
          </c:val>
          <c:extLst>
            <c:ext xmlns:c16="http://schemas.microsoft.com/office/drawing/2014/chart" uri="{C3380CC4-5D6E-409C-BE32-E72D297353CC}">
              <c16:uniqueId val="{00000005-C956-4A3A-9411-89475D2CEEE9}"/>
            </c:ext>
          </c:extLst>
        </c:ser>
        <c:ser>
          <c:idx val="6"/>
          <c:order val="6"/>
          <c:tx>
            <c:strRef>
              <c:f>'GRAF příspěvky IPP'!$A$33</c:f>
              <c:strCache>
                <c:ptCount val="1"/>
                <c:pt idx="0">
                  <c:v>Zbývající zpracovatelský průmysl</c:v>
                </c:pt>
              </c:strCache>
            </c:strRef>
          </c:tx>
          <c:spPr>
            <a:solidFill>
              <a:schemeClr val="bg1">
                <a:lumMod val="85000"/>
              </a:schemeClr>
            </a:solidFill>
          </c:spPr>
          <c:invertIfNegative val="0"/>
          <c:cat>
            <c:multiLvlStrRef>
              <c:f>'GRAF příspěvky IPP'!$B$25:$AK$26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'GRAF příspěvky IPP'!$B$33:$AK$33</c:f>
              <c:numCache>
                <c:formatCode>0.0</c:formatCode>
                <c:ptCount val="36"/>
                <c:pt idx="0">
                  <c:v>0.31472665827737134</c:v>
                </c:pt>
                <c:pt idx="1">
                  <c:v>-0.27026221817768525</c:v>
                </c:pt>
                <c:pt idx="2">
                  <c:v>-1.5394198534098553</c:v>
                </c:pt>
                <c:pt idx="3">
                  <c:v>-0.32358391292063782</c:v>
                </c:pt>
                <c:pt idx="4">
                  <c:v>-1.1176151117108502</c:v>
                </c:pt>
                <c:pt idx="5">
                  <c:v>-0.95620463023923641</c:v>
                </c:pt>
                <c:pt idx="6">
                  <c:v>-0.63862999967945955</c:v>
                </c:pt>
                <c:pt idx="7">
                  <c:v>-1.4041755799902578</c:v>
                </c:pt>
                <c:pt idx="8">
                  <c:v>-0.12873307072581258</c:v>
                </c:pt>
                <c:pt idx="9">
                  <c:v>-3.7358387860870368E-2</c:v>
                </c:pt>
                <c:pt idx="10">
                  <c:v>0.67372820804565303</c:v>
                </c:pt>
                <c:pt idx="11">
                  <c:v>1.4195178283514827</c:v>
                </c:pt>
                <c:pt idx="12">
                  <c:v>1.1062169641993815</c:v>
                </c:pt>
                <c:pt idx="13">
                  <c:v>1.2118999929439416</c:v>
                </c:pt>
                <c:pt idx="14">
                  <c:v>0.47232149181081806</c:v>
                </c:pt>
                <c:pt idx="15">
                  <c:v>1.3246456842379457</c:v>
                </c:pt>
                <c:pt idx="16">
                  <c:v>1.0354669734013817</c:v>
                </c:pt>
                <c:pt idx="17">
                  <c:v>0.87411858973676348</c:v>
                </c:pt>
                <c:pt idx="18">
                  <c:v>1.0398417628408112</c:v>
                </c:pt>
                <c:pt idx="19">
                  <c:v>-0.23385945543911907</c:v>
                </c:pt>
                <c:pt idx="20">
                  <c:v>7.8780624629944285E-2</c:v>
                </c:pt>
                <c:pt idx="21">
                  <c:v>-0.27265528249529364</c:v>
                </c:pt>
                <c:pt idx="22">
                  <c:v>5.9675695447830135E-2</c:v>
                </c:pt>
                <c:pt idx="23">
                  <c:v>0.55700237533071895</c:v>
                </c:pt>
                <c:pt idx="24">
                  <c:v>0.252975115007679</c:v>
                </c:pt>
                <c:pt idx="25">
                  <c:v>1.3966693669108228</c:v>
                </c:pt>
                <c:pt idx="26">
                  <c:v>0.76480988742038325</c:v>
                </c:pt>
                <c:pt idx="27">
                  <c:v>1.0099344525375158</c:v>
                </c:pt>
                <c:pt idx="28">
                  <c:v>1.0992498537435504</c:v>
                </c:pt>
                <c:pt idx="29">
                  <c:v>0.68495902665930353</c:v>
                </c:pt>
                <c:pt idx="30">
                  <c:v>1.0284891751280201</c:v>
                </c:pt>
                <c:pt idx="31">
                  <c:v>0.54676655331131174</c:v>
                </c:pt>
                <c:pt idx="32">
                  <c:v>-8.8300814575091036E-2</c:v>
                </c:pt>
                <c:pt idx="33">
                  <c:v>-5.4771651695448134E-2</c:v>
                </c:pt>
                <c:pt idx="34">
                  <c:v>-0.56548049824215252</c:v>
                </c:pt>
                <c:pt idx="35">
                  <c:v>-0.2601616804073425</c:v>
                </c:pt>
              </c:numCache>
            </c:numRef>
          </c:val>
          <c:extLst>
            <c:ext xmlns:c16="http://schemas.microsoft.com/office/drawing/2014/chart" uri="{C3380CC4-5D6E-409C-BE32-E72D297353CC}">
              <c16:uniqueId val="{00000006-C956-4A3A-9411-89475D2CEEE9}"/>
            </c:ext>
          </c:extLst>
        </c:ser>
        <c:ser>
          <c:idx val="7"/>
          <c:order val="7"/>
          <c:tx>
            <c:strRef>
              <c:f>'GRAF příspěvky IPP'!$A$34</c:f>
              <c:strCache>
                <c:ptCount val="1"/>
                <c:pt idx="0">
                  <c:v>Těžba a energetika (B+D)</c:v>
                </c:pt>
              </c:strCache>
            </c:strRef>
          </c:tx>
          <c:spPr>
            <a:solidFill>
              <a:srgbClr val="808080"/>
            </a:solidFill>
          </c:spPr>
          <c:invertIfNegative val="0"/>
          <c:cat>
            <c:multiLvlStrRef>
              <c:f>'GRAF příspěvky IPP'!$B$25:$AK$26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'GRAF příspěvky IPP'!$B$34:$AK$34</c:f>
              <c:numCache>
                <c:formatCode>0.0</c:formatCode>
                <c:ptCount val="36"/>
                <c:pt idx="0">
                  <c:v>-0.42970318776849603</c:v>
                </c:pt>
                <c:pt idx="1">
                  <c:v>0.37905688768949047</c:v>
                </c:pt>
                <c:pt idx="2">
                  <c:v>-0.29666392035474731</c:v>
                </c:pt>
                <c:pt idx="3">
                  <c:v>-5.8883537021856641E-2</c:v>
                </c:pt>
                <c:pt idx="4">
                  <c:v>4.1919421047110217E-2</c:v>
                </c:pt>
                <c:pt idx="5">
                  <c:v>0.33634606020701019</c:v>
                </c:pt>
                <c:pt idx="6">
                  <c:v>-0.14948549571793562</c:v>
                </c:pt>
                <c:pt idx="7">
                  <c:v>-1.0826618161280459</c:v>
                </c:pt>
                <c:pt idx="8">
                  <c:v>-0.89076450159691012</c:v>
                </c:pt>
                <c:pt idx="9">
                  <c:v>-1.3940480359741478</c:v>
                </c:pt>
                <c:pt idx="10">
                  <c:v>-0.86587922470550971</c:v>
                </c:pt>
                <c:pt idx="11">
                  <c:v>0.51845297827894687</c:v>
                </c:pt>
                <c:pt idx="12">
                  <c:v>-0.4951641145519059</c:v>
                </c:pt>
                <c:pt idx="13">
                  <c:v>-0.36486604132261174</c:v>
                </c:pt>
                <c:pt idx="14">
                  <c:v>-0.47923307922114755</c:v>
                </c:pt>
                <c:pt idx="15">
                  <c:v>-0.67369041908719907</c:v>
                </c:pt>
                <c:pt idx="16">
                  <c:v>0.14380907492111705</c:v>
                </c:pt>
                <c:pt idx="17">
                  <c:v>-0.34103812094933217</c:v>
                </c:pt>
                <c:pt idx="18">
                  <c:v>-0.38101238757299938</c:v>
                </c:pt>
                <c:pt idx="19">
                  <c:v>-1.1237062260900912</c:v>
                </c:pt>
                <c:pt idx="20">
                  <c:v>-0.67307280926577207</c:v>
                </c:pt>
                <c:pt idx="21">
                  <c:v>9.8553925749019666E-2</c:v>
                </c:pt>
                <c:pt idx="22">
                  <c:v>-0.46713744969622628</c:v>
                </c:pt>
                <c:pt idx="23">
                  <c:v>0.50553236603507523</c:v>
                </c:pt>
                <c:pt idx="24">
                  <c:v>0.66557962621400024</c:v>
                </c:pt>
                <c:pt idx="25">
                  <c:v>-0.17987830257272874</c:v>
                </c:pt>
                <c:pt idx="26">
                  <c:v>0.77265696859826016</c:v>
                </c:pt>
                <c:pt idx="27">
                  <c:v>0.73575498923155713</c:v>
                </c:pt>
                <c:pt idx="28">
                  <c:v>-0.53792230678451969</c:v>
                </c:pt>
                <c:pt idx="29">
                  <c:v>1.9402457628940606E-2</c:v>
                </c:pt>
                <c:pt idx="30">
                  <c:v>0.78129749298659323</c:v>
                </c:pt>
                <c:pt idx="31">
                  <c:v>0.31967330223871676</c:v>
                </c:pt>
                <c:pt idx="32">
                  <c:v>0.21664381231678487</c:v>
                </c:pt>
                <c:pt idx="33">
                  <c:v>4.3763789408433382E-2</c:v>
                </c:pt>
                <c:pt idx="34">
                  <c:v>-0.66907469658874519</c:v>
                </c:pt>
                <c:pt idx="35">
                  <c:v>-0.31917777170365547</c:v>
                </c:pt>
              </c:numCache>
            </c:numRef>
          </c:val>
          <c:extLst>
            <c:ext xmlns:c16="http://schemas.microsoft.com/office/drawing/2014/chart" uri="{C3380CC4-5D6E-409C-BE32-E72D297353CC}">
              <c16:uniqueId val="{00000007-C956-4A3A-9411-89475D2CEEE9}"/>
            </c:ext>
          </c:extLst>
        </c:ser>
        <c:dLbls>
          <c:showLegendKey val="0"/>
          <c:showVal val="0"/>
          <c:showCatName val="0"/>
          <c:showSerName val="0"/>
          <c:showPercent val="0"/>
          <c:showBubbleSize val="0"/>
        </c:dLbls>
        <c:gapWidth val="32"/>
        <c:overlap val="100"/>
        <c:axId val="112768128"/>
        <c:axId val="112769664"/>
      </c:barChart>
      <c:lineChart>
        <c:grouping val="standard"/>
        <c:varyColors val="0"/>
        <c:ser>
          <c:idx val="8"/>
          <c:order val="8"/>
          <c:tx>
            <c:strRef>
              <c:f>'GRAF příspěvky IPP'!$A$35</c:f>
              <c:strCache>
                <c:ptCount val="1"/>
                <c:pt idx="0">
                  <c:v>Průmysl celkem (NACE B+C+D)</c:v>
                </c:pt>
              </c:strCache>
            </c:strRef>
          </c:tx>
          <c:spPr>
            <a:ln w="19050">
              <a:solidFill>
                <a:schemeClr val="tx1">
                  <a:lumMod val="95000"/>
                  <a:lumOff val="5000"/>
                </a:schemeClr>
              </a:solidFill>
            </a:ln>
          </c:spPr>
          <c:marker>
            <c:symbol val="none"/>
          </c:marker>
          <c:cat>
            <c:multiLvlStrRef>
              <c:f>'GRAF příspěvky IPP'!$B$25:$AK$26</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'GRAF příspěvky IPP'!$B$35:$AK$35</c:f>
              <c:numCache>
                <c:formatCode>0.0</c:formatCode>
                <c:ptCount val="36"/>
                <c:pt idx="0">
                  <c:v>10.100000000000001</c:v>
                </c:pt>
                <c:pt idx="1">
                  <c:v>7.7000000000000073</c:v>
                </c:pt>
                <c:pt idx="2">
                  <c:v>2.1000000000000085</c:v>
                </c:pt>
                <c:pt idx="3">
                  <c:v>3.0000000000000115</c:v>
                </c:pt>
                <c:pt idx="4">
                  <c:v>1.9000000000000088</c:v>
                </c:pt>
                <c:pt idx="5">
                  <c:v>0.4000000000000008</c:v>
                </c:pt>
                <c:pt idx="6">
                  <c:v>-0.20000000000000023</c:v>
                </c:pt>
                <c:pt idx="7">
                  <c:v>-5.2999896074830355</c:v>
                </c:pt>
                <c:pt idx="8">
                  <c:v>-4.1984378683121761</c:v>
                </c:pt>
                <c:pt idx="9">
                  <c:v>-2.2999999999999678</c:v>
                </c:pt>
                <c:pt idx="10">
                  <c:v>1.3000000000000009</c:v>
                </c:pt>
                <c:pt idx="11">
                  <c:v>6.2999999999999945</c:v>
                </c:pt>
                <c:pt idx="12">
                  <c:v>7.000000000000016</c:v>
                </c:pt>
                <c:pt idx="13">
                  <c:v>6.0999999999999943</c:v>
                </c:pt>
                <c:pt idx="14">
                  <c:v>2.9000000000000004</c:v>
                </c:pt>
                <c:pt idx="15">
                  <c:v>4.1999999999999353</c:v>
                </c:pt>
                <c:pt idx="16">
                  <c:v>4.9000000000000012</c:v>
                </c:pt>
                <c:pt idx="17">
                  <c:v>5.3000000000000007</c:v>
                </c:pt>
                <c:pt idx="18">
                  <c:v>5.6000000000000405</c:v>
                </c:pt>
                <c:pt idx="19">
                  <c:v>2.3999999999999839</c:v>
                </c:pt>
                <c:pt idx="20">
                  <c:v>4.0999999999999659</c:v>
                </c:pt>
                <c:pt idx="21">
                  <c:v>2.7000000000000055</c:v>
                </c:pt>
                <c:pt idx="22">
                  <c:v>1.7000000000000011</c:v>
                </c:pt>
                <c:pt idx="23">
                  <c:v>3.4999999999999862</c:v>
                </c:pt>
                <c:pt idx="24">
                  <c:v>5.1999999999999931</c:v>
                </c:pt>
                <c:pt idx="25">
                  <c:v>7.9</c:v>
                </c:pt>
                <c:pt idx="26">
                  <c:v>6.5000000000000027</c:v>
                </c:pt>
                <c:pt idx="27">
                  <c:v>7.6</c:v>
                </c:pt>
                <c:pt idx="28" formatCode="#,##0.0">
                  <c:v>4.2</c:v>
                </c:pt>
                <c:pt idx="29" formatCode="#,##0.0">
                  <c:v>2.4</c:v>
                </c:pt>
                <c:pt idx="30" formatCode="#,##0.0">
                  <c:v>3.7</c:v>
                </c:pt>
                <c:pt idx="31" formatCode="#,##0.0">
                  <c:v>2</c:v>
                </c:pt>
                <c:pt idx="32" formatCode="#,##0.0">
                  <c:v>0.8</c:v>
                </c:pt>
                <c:pt idx="33" formatCode="#,##0.0">
                  <c:v>0.9</c:v>
                </c:pt>
                <c:pt idx="34" formatCode="#,##0.0">
                  <c:v>-1</c:v>
                </c:pt>
                <c:pt idx="35" formatCode="#,##0.0">
                  <c:v>-2.1</c:v>
                </c:pt>
              </c:numCache>
            </c:numRef>
          </c:val>
          <c:smooth val="0"/>
          <c:extLst>
            <c:ext xmlns:c16="http://schemas.microsoft.com/office/drawing/2014/chart" uri="{C3380CC4-5D6E-409C-BE32-E72D297353CC}">
              <c16:uniqueId val="{00000008-C956-4A3A-9411-89475D2CEEE9}"/>
            </c:ext>
          </c:extLst>
        </c:ser>
        <c:dLbls>
          <c:showLegendKey val="0"/>
          <c:showVal val="0"/>
          <c:showCatName val="0"/>
          <c:showSerName val="0"/>
          <c:showPercent val="0"/>
          <c:showBubbleSize val="0"/>
        </c:dLbls>
        <c:marker val="1"/>
        <c:smooth val="0"/>
        <c:axId val="112768128"/>
        <c:axId val="112769664"/>
      </c:lineChart>
      <c:catAx>
        <c:axId val="11276812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112769664"/>
        <c:crosses val="autoZero"/>
        <c:auto val="1"/>
        <c:lblAlgn val="ctr"/>
        <c:lblOffset val="0"/>
        <c:noMultiLvlLbl val="0"/>
      </c:catAx>
      <c:valAx>
        <c:axId val="112769664"/>
        <c:scaling>
          <c:orientation val="minMax"/>
          <c:max val="11"/>
          <c:min val="-6"/>
        </c:scaling>
        <c:delete val="0"/>
        <c:axPos val="l"/>
        <c:majorGridlines>
          <c:spPr>
            <a:ln>
              <a:solidFill>
                <a:srgbClr val="BEBEBE"/>
              </a:solidFill>
            </a:ln>
          </c:spPr>
        </c:majorGridlines>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12768128"/>
        <c:crosses val="autoZero"/>
        <c:crossBetween val="between"/>
        <c:majorUnit val="1"/>
      </c:valAx>
      <c:spPr>
        <a:noFill/>
        <a:ln w="6350">
          <a:solidFill>
            <a:prstClr val="black">
              <a:lumMod val="95000"/>
              <a:lumOff val="5000"/>
            </a:prstClr>
          </a:solidFill>
        </a:ln>
      </c:spPr>
    </c:plotArea>
    <c:legend>
      <c:legendPos val="r"/>
      <c:layout>
        <c:manualLayout>
          <c:xMode val="edge"/>
          <c:yMode val="edge"/>
          <c:x val="4.1134979005766119E-2"/>
          <c:y val="0.8280241779429045"/>
          <c:w val="0.94474742609667883"/>
          <c:h val="0.16188919209533759"/>
        </c:manualLayout>
      </c:layout>
      <c:overlay val="0"/>
      <c:spPr>
        <a:ln w="6350">
          <a:solidFill>
            <a:prstClr val="black">
              <a:lumMod val="95000"/>
              <a:lumOff val="5000"/>
            </a:prstClr>
          </a:solidFill>
        </a:ln>
      </c:spPr>
      <c:txPr>
        <a:bodyPr/>
        <a:lstStyle/>
        <a:p>
          <a:pPr>
            <a:defRPr sz="80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9015582501720615E-2"/>
          <c:y val="1.643251153889452E-2"/>
          <c:w val="0.86254083709606399"/>
          <c:h val="0.77409039738827179"/>
        </c:manualLayout>
      </c:layout>
      <c:barChart>
        <c:barDir val="col"/>
        <c:grouping val="clustered"/>
        <c:varyColors val="0"/>
        <c:ser>
          <c:idx val="0"/>
          <c:order val="0"/>
          <c:tx>
            <c:strRef>
              <c:f>'výkonnost odvětví 2'!$A$31</c:f>
              <c:strCache>
                <c:ptCount val="1"/>
                <c:pt idx="0">
                  <c:v>Průmyslové zakázky celkem</c:v>
                </c:pt>
              </c:strCache>
            </c:strRef>
          </c:tx>
          <c:spPr>
            <a:solidFill>
              <a:schemeClr val="bg1">
                <a:lumMod val="65000"/>
              </a:schemeClr>
            </a:solidFill>
            <a:ln w="12700">
              <a:noFill/>
              <a:prstDash val="solid"/>
            </a:ln>
          </c:spPr>
          <c:invertIfNegative val="0"/>
          <c:cat>
            <c:multiLvlStrRef>
              <c:f>'výkonnost odvětví 2'!$B$29:$AK$30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'výkonnost odvětví 2'!$B$31:$AK$31</c:f>
              <c:numCache>
                <c:formatCode>#\ ##0.0__</c:formatCode>
                <c:ptCount val="36"/>
                <c:pt idx="0">
                  <c:v>12.043107093421796</c:v>
                </c:pt>
                <c:pt idx="1">
                  <c:v>5.329290402096305</c:v>
                </c:pt>
                <c:pt idx="2">
                  <c:v>-1.5038236293274423</c:v>
                </c:pt>
                <c:pt idx="3">
                  <c:v>0.49985199872995167</c:v>
                </c:pt>
                <c:pt idx="4">
                  <c:v>7.8919882289544319</c:v>
                </c:pt>
                <c:pt idx="5">
                  <c:v>0.24363263911027389</c:v>
                </c:pt>
                <c:pt idx="6">
                  <c:v>2.6780600325356119</c:v>
                </c:pt>
                <c:pt idx="7">
                  <c:v>-2.2927798243121345</c:v>
                </c:pt>
                <c:pt idx="8">
                  <c:v>-6.7566875441004868</c:v>
                </c:pt>
                <c:pt idx="9">
                  <c:v>-0.77743908810788298</c:v>
                </c:pt>
                <c:pt idx="10">
                  <c:v>12.110592029586002</c:v>
                </c:pt>
                <c:pt idx="11">
                  <c:v>12.611542535334834</c:v>
                </c:pt>
                <c:pt idx="12">
                  <c:v>18.454576257258609</c:v>
                </c:pt>
                <c:pt idx="13">
                  <c:v>13.812603337719324</c:v>
                </c:pt>
                <c:pt idx="14">
                  <c:v>11.164927309703884</c:v>
                </c:pt>
                <c:pt idx="15">
                  <c:v>7.3250322249586759</c:v>
                </c:pt>
                <c:pt idx="16">
                  <c:v>8.5397251010390391</c:v>
                </c:pt>
                <c:pt idx="17">
                  <c:v>6.4894834031568251</c:v>
                </c:pt>
                <c:pt idx="18">
                  <c:v>4.1045761314248068</c:v>
                </c:pt>
                <c:pt idx="19">
                  <c:v>6.0151063810169205</c:v>
                </c:pt>
                <c:pt idx="20">
                  <c:v>1.3550678522953064</c:v>
                </c:pt>
                <c:pt idx="21">
                  <c:v>10.856046878525433</c:v>
                </c:pt>
                <c:pt idx="22">
                  <c:v>1.6431282237439291</c:v>
                </c:pt>
                <c:pt idx="23">
                  <c:v>6.7220844736941103</c:v>
                </c:pt>
                <c:pt idx="24">
                  <c:v>10.841479121555906</c:v>
                </c:pt>
                <c:pt idx="25">
                  <c:v>4.5315942367003714</c:v>
                </c:pt>
                <c:pt idx="26">
                  <c:v>6.9082617878945598</c:v>
                </c:pt>
                <c:pt idx="27">
                  <c:v>7.5112613571588724</c:v>
                </c:pt>
                <c:pt idx="28">
                  <c:v>1.6339188767607453</c:v>
                </c:pt>
                <c:pt idx="29">
                  <c:v>4.6301209797549205</c:v>
                </c:pt>
                <c:pt idx="30">
                  <c:v>3.6945404784506337</c:v>
                </c:pt>
                <c:pt idx="31">
                  <c:v>4.2467023509658759</c:v>
                </c:pt>
                <c:pt idx="32">
                  <c:v>3.1606188967111279</c:v>
                </c:pt>
                <c:pt idx="33">
                  <c:v>0.64751028624945661</c:v>
                </c:pt>
                <c:pt idx="34">
                  <c:v>2.3396237152190054</c:v>
                </c:pt>
                <c:pt idx="35">
                  <c:v>-4.7962630249682121</c:v>
                </c:pt>
              </c:numCache>
            </c:numRef>
          </c:val>
          <c:extLst>
            <c:ext xmlns:c16="http://schemas.microsoft.com/office/drawing/2014/chart" uri="{C3380CC4-5D6E-409C-BE32-E72D297353CC}">
              <c16:uniqueId val="{00000000-CF69-48A9-8BAF-40D335E280DD}"/>
            </c:ext>
          </c:extLst>
        </c:ser>
        <c:dLbls>
          <c:showLegendKey val="0"/>
          <c:showVal val="0"/>
          <c:showCatName val="0"/>
          <c:showSerName val="0"/>
          <c:showPercent val="0"/>
          <c:showBubbleSize val="0"/>
        </c:dLbls>
        <c:gapWidth val="34"/>
        <c:overlap val="28"/>
        <c:axId val="139174272"/>
        <c:axId val="139175808"/>
      </c:barChart>
      <c:lineChart>
        <c:grouping val="standard"/>
        <c:varyColors val="0"/>
        <c:ser>
          <c:idx val="2"/>
          <c:order val="1"/>
          <c:tx>
            <c:strRef>
              <c:f>'výkonnost odvětví 2'!$A$32</c:f>
              <c:strCache>
                <c:ptCount val="1"/>
                <c:pt idx="0">
                  <c:v>Průmyslové zakázky z tuzemska</c:v>
                </c:pt>
              </c:strCache>
            </c:strRef>
          </c:tx>
          <c:spPr>
            <a:ln w="15875">
              <a:solidFill>
                <a:srgbClr val="BD1B21"/>
              </a:solidFill>
              <a:prstDash val="solid"/>
            </a:ln>
          </c:spPr>
          <c:marker>
            <c:symbol val="none"/>
          </c:marker>
          <c:cat>
            <c:multiLvlStrRef>
              <c:f>'výkonnost odvětví 2'!$B$29:$AK$30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'výkonnost odvětví 2'!$B$32:$AK$32</c:f>
              <c:numCache>
                <c:formatCode>#\ ##0.0__</c:formatCode>
                <c:ptCount val="36"/>
                <c:pt idx="0">
                  <c:v>2.8145814762462464</c:v>
                </c:pt>
                <c:pt idx="1">
                  <c:v>-0.65160361804250044</c:v>
                </c:pt>
                <c:pt idx="2">
                  <c:v>-11.671782921579478</c:v>
                </c:pt>
                <c:pt idx="3">
                  <c:v>-10.696553890943122</c:v>
                </c:pt>
                <c:pt idx="4">
                  <c:v>2.6214056871317126</c:v>
                </c:pt>
                <c:pt idx="5">
                  <c:v>-9.2467743432498821</c:v>
                </c:pt>
                <c:pt idx="6">
                  <c:v>-2.8571545096936291</c:v>
                </c:pt>
                <c:pt idx="7">
                  <c:v>-4.0487324448534139</c:v>
                </c:pt>
                <c:pt idx="8">
                  <c:v>-7.112663177047466</c:v>
                </c:pt>
                <c:pt idx="9">
                  <c:v>-0.59561460542927591</c:v>
                </c:pt>
                <c:pt idx="10">
                  <c:v>9.3847374388735147</c:v>
                </c:pt>
                <c:pt idx="11">
                  <c:v>7.0782158358476011</c:v>
                </c:pt>
                <c:pt idx="12">
                  <c:v>14.18383964594139</c:v>
                </c:pt>
                <c:pt idx="13">
                  <c:v>7.7929541685002164</c:v>
                </c:pt>
                <c:pt idx="14">
                  <c:v>16.845115352064937</c:v>
                </c:pt>
                <c:pt idx="15">
                  <c:v>9.6787104542652713</c:v>
                </c:pt>
                <c:pt idx="16">
                  <c:v>4.341961301010727</c:v>
                </c:pt>
                <c:pt idx="17">
                  <c:v>10.024449168168019</c:v>
                </c:pt>
                <c:pt idx="18">
                  <c:v>-4.7604240586837108</c:v>
                </c:pt>
                <c:pt idx="19">
                  <c:v>0.56107209694786775</c:v>
                </c:pt>
                <c:pt idx="20">
                  <c:v>0.20304376106223287</c:v>
                </c:pt>
                <c:pt idx="21">
                  <c:v>4.9376200007964286</c:v>
                </c:pt>
                <c:pt idx="22">
                  <c:v>-0.65834656713856532</c:v>
                </c:pt>
                <c:pt idx="23">
                  <c:v>2.873089889380708</c:v>
                </c:pt>
                <c:pt idx="24">
                  <c:v>16.722989365311648</c:v>
                </c:pt>
                <c:pt idx="25">
                  <c:v>11.567742610098009</c:v>
                </c:pt>
                <c:pt idx="26">
                  <c:v>14.702871802754672</c:v>
                </c:pt>
                <c:pt idx="27">
                  <c:v>15.641374658030259</c:v>
                </c:pt>
                <c:pt idx="28">
                  <c:v>-0.54655499165191657</c:v>
                </c:pt>
                <c:pt idx="29">
                  <c:v>3.3862320433243838</c:v>
                </c:pt>
                <c:pt idx="30">
                  <c:v>4.5707977831681177</c:v>
                </c:pt>
                <c:pt idx="31">
                  <c:v>4.8009732818449038</c:v>
                </c:pt>
                <c:pt idx="32">
                  <c:v>7.9996499678025543</c:v>
                </c:pt>
                <c:pt idx="33">
                  <c:v>4.4032972138640076</c:v>
                </c:pt>
                <c:pt idx="34">
                  <c:v>3.2463544454288211</c:v>
                </c:pt>
                <c:pt idx="35">
                  <c:v>-2.8341252038860461</c:v>
                </c:pt>
              </c:numCache>
            </c:numRef>
          </c:val>
          <c:smooth val="0"/>
          <c:extLst>
            <c:ext xmlns:c16="http://schemas.microsoft.com/office/drawing/2014/chart" uri="{C3380CC4-5D6E-409C-BE32-E72D297353CC}">
              <c16:uniqueId val="{00000001-CF69-48A9-8BAF-40D335E280DD}"/>
            </c:ext>
          </c:extLst>
        </c:ser>
        <c:ser>
          <c:idx val="5"/>
          <c:order val="2"/>
          <c:tx>
            <c:strRef>
              <c:f>'výkonnost odvětví 2'!$A$33</c:f>
              <c:strCache>
                <c:ptCount val="1"/>
                <c:pt idx="0">
                  <c:v>Celk. zakázky ve výrobě motor. voz.</c:v>
                </c:pt>
              </c:strCache>
            </c:strRef>
          </c:tx>
          <c:spPr>
            <a:ln w="15875">
              <a:solidFill>
                <a:srgbClr val="0071BC"/>
              </a:solidFill>
              <a:prstDash val="solid"/>
            </a:ln>
          </c:spPr>
          <c:marker>
            <c:symbol val="none"/>
          </c:marker>
          <c:cat>
            <c:multiLvlStrRef>
              <c:f>'výkonnost odvětví 2'!$B$29:$AK$30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'výkonnost odvětví 2'!$B$33:$AK$33</c:f>
              <c:numCache>
                <c:formatCode>#\ ##0.0__</c:formatCode>
                <c:ptCount val="36"/>
                <c:pt idx="0">
                  <c:v>11.429400379513879</c:v>
                </c:pt>
                <c:pt idx="1">
                  <c:v>9.2048286805521258</c:v>
                </c:pt>
                <c:pt idx="2">
                  <c:v>4.4139955552265207</c:v>
                </c:pt>
                <c:pt idx="3">
                  <c:v>5.3718735076924133</c:v>
                </c:pt>
                <c:pt idx="4">
                  <c:v>19.54636851917148</c:v>
                </c:pt>
                <c:pt idx="5">
                  <c:v>4.6887564118292033</c:v>
                </c:pt>
                <c:pt idx="6">
                  <c:v>1.3322326875189248</c:v>
                </c:pt>
                <c:pt idx="7">
                  <c:v>-2.0219087809167178</c:v>
                </c:pt>
                <c:pt idx="8">
                  <c:v>-15.423726227988496</c:v>
                </c:pt>
                <c:pt idx="9">
                  <c:v>-3.0233686336023169</c:v>
                </c:pt>
                <c:pt idx="10">
                  <c:v>24.654149056071944</c:v>
                </c:pt>
                <c:pt idx="11">
                  <c:v>18.470996489023392</c:v>
                </c:pt>
                <c:pt idx="12">
                  <c:v>33.791068906341536</c:v>
                </c:pt>
                <c:pt idx="13">
                  <c:v>22.39294364855138</c:v>
                </c:pt>
                <c:pt idx="14">
                  <c:v>16.969041222835131</c:v>
                </c:pt>
                <c:pt idx="15">
                  <c:v>12.211301534151133</c:v>
                </c:pt>
                <c:pt idx="16">
                  <c:v>15.316352438277931</c:v>
                </c:pt>
                <c:pt idx="17">
                  <c:v>5.584343456517459</c:v>
                </c:pt>
                <c:pt idx="18">
                  <c:v>13.898535777390734</c:v>
                </c:pt>
                <c:pt idx="19">
                  <c:v>18.975191723154538</c:v>
                </c:pt>
                <c:pt idx="20">
                  <c:v>11.460497347422447</c:v>
                </c:pt>
                <c:pt idx="21">
                  <c:v>33.085131031292235</c:v>
                </c:pt>
                <c:pt idx="22">
                  <c:v>5.912380139380474</c:v>
                </c:pt>
                <c:pt idx="23">
                  <c:v>12.001000805244416</c:v>
                </c:pt>
                <c:pt idx="24">
                  <c:v>7.9804719471503205</c:v>
                </c:pt>
                <c:pt idx="25">
                  <c:v>-1.7592612473364966</c:v>
                </c:pt>
                <c:pt idx="26">
                  <c:v>3.8626497182263222</c:v>
                </c:pt>
                <c:pt idx="27">
                  <c:v>0.37376710568412364</c:v>
                </c:pt>
                <c:pt idx="28">
                  <c:v>0.60861960894675349</c:v>
                </c:pt>
                <c:pt idx="29">
                  <c:v>3.6675371997157811</c:v>
                </c:pt>
                <c:pt idx="30">
                  <c:v>0.69699979014031044</c:v>
                </c:pt>
                <c:pt idx="31">
                  <c:v>1.0371076901644045</c:v>
                </c:pt>
                <c:pt idx="32">
                  <c:v>2.2598665379256744</c:v>
                </c:pt>
                <c:pt idx="33">
                  <c:v>3.066295979760298</c:v>
                </c:pt>
                <c:pt idx="34">
                  <c:v>7.9385289601149083</c:v>
                </c:pt>
                <c:pt idx="35">
                  <c:v>-0.36114579497152022</c:v>
                </c:pt>
              </c:numCache>
            </c:numRef>
          </c:val>
          <c:smooth val="0"/>
          <c:extLst>
            <c:ext xmlns:c16="http://schemas.microsoft.com/office/drawing/2014/chart" uri="{C3380CC4-5D6E-409C-BE32-E72D297353CC}">
              <c16:uniqueId val="{00000002-CF69-48A9-8BAF-40D335E280DD}"/>
            </c:ext>
          </c:extLst>
        </c:ser>
        <c:ser>
          <c:idx val="3"/>
          <c:order val="3"/>
          <c:tx>
            <c:strRef>
              <c:f>'výkonnost odvětví 2'!$A$34</c:f>
              <c:strCache>
                <c:ptCount val="1"/>
                <c:pt idx="0">
                  <c:v>Saldo souhrn. indik. důvěry v průmyslu</c:v>
                </c:pt>
              </c:strCache>
            </c:strRef>
          </c:tx>
          <c:spPr>
            <a:ln w="19050">
              <a:noFill/>
              <a:prstDash val="sysDash"/>
            </a:ln>
          </c:spPr>
          <c:marker>
            <c:symbol val="diamond"/>
            <c:size val="5"/>
            <c:spPr>
              <a:solidFill>
                <a:srgbClr val="FFFF00"/>
              </a:solidFill>
              <a:ln>
                <a:solidFill>
                  <a:prstClr val="black">
                    <a:lumMod val="95000"/>
                    <a:lumOff val="5000"/>
                  </a:prstClr>
                </a:solidFill>
              </a:ln>
            </c:spPr>
          </c:marker>
          <c:cat>
            <c:multiLvlStrRef>
              <c:f>'výkonnost odvětví 2'!$B$29:$AK$30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'výkonnost odvětví 2'!$B$34:$AK$34</c:f>
              <c:numCache>
                <c:formatCode>0.0</c:formatCode>
                <c:ptCount val="36"/>
                <c:pt idx="0">
                  <c:v>12.200000000000001</c:v>
                </c:pt>
                <c:pt idx="1">
                  <c:v>5.8999999999999995</c:v>
                </c:pt>
                <c:pt idx="2">
                  <c:v>2.4333333333333331</c:v>
                </c:pt>
                <c:pt idx="3">
                  <c:v>1.8</c:v>
                </c:pt>
                <c:pt idx="4">
                  <c:v>1.5666666666666667</c:v>
                </c:pt>
                <c:pt idx="5">
                  <c:v>-2.5666666666666669</c:v>
                </c:pt>
                <c:pt idx="6">
                  <c:v>-8.9</c:v>
                </c:pt>
                <c:pt idx="7">
                  <c:v>-10.200000000000001</c:v>
                </c:pt>
                <c:pt idx="8">
                  <c:v>-8.9</c:v>
                </c:pt>
                <c:pt idx="9">
                  <c:v>-10</c:v>
                </c:pt>
                <c:pt idx="10">
                  <c:v>-6.2333333333333334</c:v>
                </c:pt>
                <c:pt idx="11">
                  <c:v>1.7000000000000002</c:v>
                </c:pt>
                <c:pt idx="12">
                  <c:v>2.3333333333333335</c:v>
                </c:pt>
                <c:pt idx="13">
                  <c:v>3.6333333333333329</c:v>
                </c:pt>
                <c:pt idx="14">
                  <c:v>2.5333333333333332</c:v>
                </c:pt>
                <c:pt idx="15">
                  <c:v>2.6666666666666665</c:v>
                </c:pt>
                <c:pt idx="16">
                  <c:v>3</c:v>
                </c:pt>
                <c:pt idx="17">
                  <c:v>3.7666666666666671</c:v>
                </c:pt>
                <c:pt idx="18">
                  <c:v>3.7666666666666671</c:v>
                </c:pt>
                <c:pt idx="19">
                  <c:v>0.76666666666666661</c:v>
                </c:pt>
                <c:pt idx="20">
                  <c:v>3.5666666666666664</c:v>
                </c:pt>
                <c:pt idx="21">
                  <c:v>1.9000000000000001</c:v>
                </c:pt>
                <c:pt idx="22">
                  <c:v>3.7666666666666671</c:v>
                </c:pt>
                <c:pt idx="23">
                  <c:v>5.333333333333333</c:v>
                </c:pt>
                <c:pt idx="24">
                  <c:v>3.3333333333333335</c:v>
                </c:pt>
                <c:pt idx="25">
                  <c:v>0.83333333333333337</c:v>
                </c:pt>
                <c:pt idx="26">
                  <c:v>3.8666666666666667</c:v>
                </c:pt>
                <c:pt idx="27">
                  <c:v>5.8</c:v>
                </c:pt>
                <c:pt idx="28">
                  <c:v>3.9</c:v>
                </c:pt>
                <c:pt idx="29">
                  <c:v>3.4333333333333336</c:v>
                </c:pt>
                <c:pt idx="30">
                  <c:v>1.9666666666666666</c:v>
                </c:pt>
                <c:pt idx="31">
                  <c:v>1.8666666666666665</c:v>
                </c:pt>
                <c:pt idx="32">
                  <c:v>-0.33333333333333331</c:v>
                </c:pt>
                <c:pt idx="33">
                  <c:v>-1.5666666666666667</c:v>
                </c:pt>
                <c:pt idx="34">
                  <c:v>-3</c:v>
                </c:pt>
                <c:pt idx="35">
                  <c:v>-5.8</c:v>
                </c:pt>
              </c:numCache>
            </c:numRef>
          </c:val>
          <c:smooth val="0"/>
          <c:extLst>
            <c:ext xmlns:c16="http://schemas.microsoft.com/office/drawing/2014/chart" uri="{C3380CC4-5D6E-409C-BE32-E72D297353CC}">
              <c16:uniqueId val="{00000003-CF69-48A9-8BAF-40D335E280DD}"/>
            </c:ext>
          </c:extLst>
        </c:ser>
        <c:dLbls>
          <c:showLegendKey val="0"/>
          <c:showVal val="0"/>
          <c:showCatName val="0"/>
          <c:showSerName val="0"/>
          <c:showPercent val="0"/>
          <c:showBubbleSize val="0"/>
        </c:dLbls>
        <c:marker val="1"/>
        <c:smooth val="0"/>
        <c:axId val="139174272"/>
        <c:axId val="139175808"/>
      </c:lineChart>
      <c:lineChart>
        <c:grouping val="standard"/>
        <c:varyColors val="0"/>
        <c:ser>
          <c:idx val="1"/>
          <c:order val="4"/>
          <c:tx>
            <c:strRef>
              <c:f>'výkonnost odvětví 2'!$A$35</c:f>
              <c:strCache>
                <c:ptCount val="1"/>
                <c:pt idx="0">
                  <c:v>Využití výrob. kapacit v prům. (pr. osa)</c:v>
                </c:pt>
              </c:strCache>
            </c:strRef>
          </c:tx>
          <c:spPr>
            <a:ln w="15875">
              <a:solidFill>
                <a:srgbClr val="00B050"/>
              </a:solidFill>
              <a:prstDash val="solid"/>
            </a:ln>
          </c:spPr>
          <c:marker>
            <c:symbol val="none"/>
          </c:marker>
          <c:cat>
            <c:multiLvlStrRef>
              <c:f>'výkonnost odvětví 2'!$B$29:$AK$30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'výkonnost odvětví 2'!$B$35:$AK$35</c:f>
              <c:numCache>
                <c:formatCode>#\ ##0.0</c:formatCode>
                <c:ptCount val="36"/>
                <c:pt idx="0">
                  <c:v>83.7</c:v>
                </c:pt>
                <c:pt idx="1">
                  <c:v>85.5</c:v>
                </c:pt>
                <c:pt idx="2">
                  <c:v>84.7</c:v>
                </c:pt>
                <c:pt idx="3">
                  <c:v>82.8</c:v>
                </c:pt>
                <c:pt idx="4">
                  <c:v>84.6</c:v>
                </c:pt>
                <c:pt idx="5">
                  <c:v>83.6</c:v>
                </c:pt>
                <c:pt idx="6">
                  <c:v>81.2</c:v>
                </c:pt>
                <c:pt idx="7">
                  <c:v>81.2</c:v>
                </c:pt>
                <c:pt idx="8">
                  <c:v>80.900000000000006</c:v>
                </c:pt>
                <c:pt idx="9">
                  <c:v>82.2</c:v>
                </c:pt>
                <c:pt idx="10">
                  <c:v>80.7</c:v>
                </c:pt>
                <c:pt idx="11">
                  <c:v>82.2</c:v>
                </c:pt>
                <c:pt idx="12">
                  <c:v>81.2</c:v>
                </c:pt>
                <c:pt idx="13">
                  <c:v>83.5</c:v>
                </c:pt>
                <c:pt idx="14">
                  <c:v>82.8</c:v>
                </c:pt>
                <c:pt idx="15">
                  <c:v>84.4</c:v>
                </c:pt>
                <c:pt idx="16">
                  <c:v>86.2</c:v>
                </c:pt>
                <c:pt idx="17">
                  <c:v>85</c:v>
                </c:pt>
                <c:pt idx="18">
                  <c:v>85.6</c:v>
                </c:pt>
                <c:pt idx="19">
                  <c:v>83.9</c:v>
                </c:pt>
                <c:pt idx="20">
                  <c:v>84.5</c:v>
                </c:pt>
                <c:pt idx="21">
                  <c:v>84.7</c:v>
                </c:pt>
                <c:pt idx="22">
                  <c:v>84.7</c:v>
                </c:pt>
                <c:pt idx="23">
                  <c:v>84.1</c:v>
                </c:pt>
                <c:pt idx="24">
                  <c:v>84.9</c:v>
                </c:pt>
                <c:pt idx="25">
                  <c:v>83.1</c:v>
                </c:pt>
                <c:pt idx="26">
                  <c:v>84.4</c:v>
                </c:pt>
                <c:pt idx="27">
                  <c:v>84.3</c:v>
                </c:pt>
                <c:pt idx="28">
                  <c:v>85.8</c:v>
                </c:pt>
                <c:pt idx="29">
                  <c:v>85.4</c:v>
                </c:pt>
                <c:pt idx="30">
                  <c:v>86.2</c:v>
                </c:pt>
                <c:pt idx="31">
                  <c:v>85.8</c:v>
                </c:pt>
                <c:pt idx="32">
                  <c:v>85.8</c:v>
                </c:pt>
                <c:pt idx="33">
                  <c:v>85.9</c:v>
                </c:pt>
                <c:pt idx="34">
                  <c:v>84.8</c:v>
                </c:pt>
                <c:pt idx="35">
                  <c:v>84.1</c:v>
                </c:pt>
              </c:numCache>
            </c:numRef>
          </c:val>
          <c:smooth val="0"/>
          <c:extLst>
            <c:ext xmlns:c16="http://schemas.microsoft.com/office/drawing/2014/chart" uri="{C3380CC4-5D6E-409C-BE32-E72D297353CC}">
              <c16:uniqueId val="{00000004-CF69-48A9-8BAF-40D335E280DD}"/>
            </c:ext>
          </c:extLst>
        </c:ser>
        <c:ser>
          <c:idx val="4"/>
          <c:order val="5"/>
          <c:tx>
            <c:strRef>
              <c:f>'výkonnost odvětví 2'!$A$36</c:f>
              <c:strCache>
                <c:ptCount val="1"/>
                <c:pt idx="0">
                  <c:v>Využití kapac. v automobil. pr. (pr. osa)</c:v>
                </c:pt>
              </c:strCache>
            </c:strRef>
          </c:tx>
          <c:spPr>
            <a:ln w="15875">
              <a:solidFill>
                <a:srgbClr val="00B050"/>
              </a:solidFill>
              <a:prstDash val="sysDash"/>
            </a:ln>
          </c:spPr>
          <c:marker>
            <c:symbol val="none"/>
          </c:marker>
          <c:cat>
            <c:multiLvlStrRef>
              <c:f>'výkonnost odvětví 2'!$B$29:$AK$30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'výkonnost odvětví 2'!$B$36:$AK$36</c:f>
              <c:numCache>
                <c:formatCode>0.0</c:formatCode>
                <c:ptCount val="36"/>
                <c:pt idx="0">
                  <c:v>92.5</c:v>
                </c:pt>
                <c:pt idx="1">
                  <c:v>92.3</c:v>
                </c:pt>
                <c:pt idx="2">
                  <c:v>92.4</c:v>
                </c:pt>
                <c:pt idx="3">
                  <c:v>91.8</c:v>
                </c:pt>
                <c:pt idx="4">
                  <c:v>92.3</c:v>
                </c:pt>
                <c:pt idx="5">
                  <c:v>89.5</c:v>
                </c:pt>
                <c:pt idx="6">
                  <c:v>85.9</c:v>
                </c:pt>
                <c:pt idx="7">
                  <c:v>86.1</c:v>
                </c:pt>
                <c:pt idx="8">
                  <c:v>86.4</c:v>
                </c:pt>
                <c:pt idx="9">
                  <c:v>89.9</c:v>
                </c:pt>
                <c:pt idx="10">
                  <c:v>80.2</c:v>
                </c:pt>
                <c:pt idx="11">
                  <c:v>84.8</c:v>
                </c:pt>
                <c:pt idx="12">
                  <c:v>78.900000000000006</c:v>
                </c:pt>
                <c:pt idx="13">
                  <c:v>85</c:v>
                </c:pt>
                <c:pt idx="14">
                  <c:v>87.1</c:v>
                </c:pt>
                <c:pt idx="15">
                  <c:v>89.2</c:v>
                </c:pt>
                <c:pt idx="16">
                  <c:v>92.8</c:v>
                </c:pt>
                <c:pt idx="17">
                  <c:v>91.1</c:v>
                </c:pt>
                <c:pt idx="18">
                  <c:v>93.1</c:v>
                </c:pt>
                <c:pt idx="19">
                  <c:v>88.7</c:v>
                </c:pt>
                <c:pt idx="20">
                  <c:v>91.6</c:v>
                </c:pt>
                <c:pt idx="21">
                  <c:v>90.3</c:v>
                </c:pt>
                <c:pt idx="22">
                  <c:v>93.1</c:v>
                </c:pt>
                <c:pt idx="23">
                  <c:v>90.9</c:v>
                </c:pt>
                <c:pt idx="24">
                  <c:v>93.2</c:v>
                </c:pt>
                <c:pt idx="25">
                  <c:v>87.3</c:v>
                </c:pt>
                <c:pt idx="26">
                  <c:v>90.7</c:v>
                </c:pt>
                <c:pt idx="27">
                  <c:v>90.5</c:v>
                </c:pt>
                <c:pt idx="28">
                  <c:v>91.1</c:v>
                </c:pt>
                <c:pt idx="29">
                  <c:v>91.6</c:v>
                </c:pt>
                <c:pt idx="30">
                  <c:v>92.1</c:v>
                </c:pt>
                <c:pt idx="31">
                  <c:v>93</c:v>
                </c:pt>
                <c:pt idx="32">
                  <c:v>92.8</c:v>
                </c:pt>
                <c:pt idx="33">
                  <c:v>93.6</c:v>
                </c:pt>
                <c:pt idx="34">
                  <c:v>92.3</c:v>
                </c:pt>
                <c:pt idx="35">
                  <c:v>93.4</c:v>
                </c:pt>
              </c:numCache>
            </c:numRef>
          </c:val>
          <c:smooth val="0"/>
          <c:extLst>
            <c:ext xmlns:c16="http://schemas.microsoft.com/office/drawing/2014/chart" uri="{C3380CC4-5D6E-409C-BE32-E72D297353CC}">
              <c16:uniqueId val="{00000005-CF69-48A9-8BAF-40D335E280DD}"/>
            </c:ext>
          </c:extLst>
        </c:ser>
        <c:dLbls>
          <c:showLegendKey val="0"/>
          <c:showVal val="0"/>
          <c:showCatName val="0"/>
          <c:showSerName val="0"/>
          <c:showPercent val="0"/>
          <c:showBubbleSize val="0"/>
        </c:dLbls>
        <c:marker val="1"/>
        <c:smooth val="0"/>
        <c:axId val="146478208"/>
        <c:axId val="139177344"/>
      </c:lineChart>
      <c:catAx>
        <c:axId val="139174272"/>
        <c:scaling>
          <c:orientation val="minMax"/>
        </c:scaling>
        <c:delete val="0"/>
        <c:axPos val="b"/>
        <c:numFmt formatCode="General" sourceLinked="1"/>
        <c:majorTickMark val="out"/>
        <c:minorTickMark val="none"/>
        <c:tickLblPos val="low"/>
        <c:spPr>
          <a:ln w="9525">
            <a:solidFill>
              <a:schemeClr val="tx1"/>
            </a:solidFill>
            <a:prstDash val="solid"/>
          </a:ln>
        </c:spPr>
        <c:txPr>
          <a:bodyPr rot="0" vert="horz"/>
          <a:lstStyle/>
          <a:p>
            <a:pPr>
              <a:defRPr/>
            </a:pPr>
            <a:endParaRPr lang="cs-CZ"/>
          </a:p>
        </c:txPr>
        <c:crossAx val="139175808"/>
        <c:crossesAt val="0"/>
        <c:auto val="0"/>
        <c:lblAlgn val="ctr"/>
        <c:lblOffset val="0"/>
        <c:tickLblSkip val="1"/>
        <c:tickMarkSkip val="4"/>
        <c:noMultiLvlLbl val="0"/>
      </c:catAx>
      <c:valAx>
        <c:axId val="139175808"/>
        <c:scaling>
          <c:orientation val="minMax"/>
          <c:max val="36"/>
          <c:min val="-16"/>
        </c:scaling>
        <c:delete val="0"/>
        <c:axPos val="l"/>
        <c:majorGridlines>
          <c:spPr>
            <a:ln w="6350">
              <a:solidFill>
                <a:schemeClr val="bg1">
                  <a:lumMod val="75000"/>
                </a:schemeClr>
              </a:solidFill>
            </a:ln>
          </c:spPr>
        </c:majorGridlines>
        <c:title>
          <c:tx>
            <c:rich>
              <a:bodyPr/>
              <a:lstStyle/>
              <a:p>
                <a:pPr>
                  <a:defRPr sz="700" i="1"/>
                </a:pPr>
                <a:r>
                  <a:rPr lang="cs-CZ" sz="700" i="1"/>
                  <a:t>Zakázky,</a:t>
                </a:r>
                <a:r>
                  <a:rPr lang="cs-CZ" sz="700" i="1" baseline="0"/>
                  <a:t> Saldo důvěry</a:t>
                </a:r>
                <a:endParaRPr lang="cs-CZ" sz="700" i="1"/>
              </a:p>
            </c:rich>
          </c:tx>
          <c:overlay val="0"/>
        </c:title>
        <c:numFmt formatCode="0" sourceLinked="0"/>
        <c:majorTickMark val="out"/>
        <c:minorTickMark val="none"/>
        <c:tickLblPos val="nextTo"/>
        <c:spPr>
          <a:ln w="9525">
            <a:solidFill>
              <a:schemeClr val="tx1"/>
            </a:solidFill>
            <a:prstDash val="solid"/>
          </a:ln>
        </c:spPr>
        <c:txPr>
          <a:bodyPr rot="0" vert="horz"/>
          <a:lstStyle/>
          <a:p>
            <a:pPr>
              <a:defRPr/>
            </a:pPr>
            <a:endParaRPr lang="cs-CZ"/>
          </a:p>
        </c:txPr>
        <c:crossAx val="139174272"/>
        <c:crosses val="autoZero"/>
        <c:crossBetween val="between"/>
        <c:majorUnit val="4"/>
      </c:valAx>
      <c:valAx>
        <c:axId val="139177344"/>
        <c:scaling>
          <c:orientation val="minMax"/>
          <c:max val="100"/>
          <c:min val="0"/>
        </c:scaling>
        <c:delete val="0"/>
        <c:axPos val="r"/>
        <c:title>
          <c:tx>
            <c:rich>
              <a:bodyPr/>
              <a:lstStyle/>
              <a:p>
                <a:pPr>
                  <a:defRPr sz="700" b="0" i="1"/>
                </a:pPr>
                <a:r>
                  <a:rPr lang="cs-CZ" sz="700" b="0" i="1"/>
                  <a:t>Využití výrobních kapacit</a:t>
                </a:r>
              </a:p>
            </c:rich>
          </c:tx>
          <c:overlay val="0"/>
        </c:title>
        <c:numFmt formatCode="0" sourceLinked="0"/>
        <c:majorTickMark val="out"/>
        <c:minorTickMark val="none"/>
        <c:tickLblPos val="nextTo"/>
        <c:crossAx val="146478208"/>
        <c:crosses val="max"/>
        <c:crossBetween val="between"/>
      </c:valAx>
      <c:catAx>
        <c:axId val="146478208"/>
        <c:scaling>
          <c:orientation val="minMax"/>
        </c:scaling>
        <c:delete val="1"/>
        <c:axPos val="b"/>
        <c:numFmt formatCode="General" sourceLinked="1"/>
        <c:majorTickMark val="out"/>
        <c:minorTickMark val="none"/>
        <c:tickLblPos val="none"/>
        <c:crossAx val="139177344"/>
        <c:crosses val="autoZero"/>
        <c:auto val="1"/>
        <c:lblAlgn val="ctr"/>
        <c:lblOffset val="100"/>
        <c:noMultiLvlLbl val="0"/>
      </c:catAx>
      <c:spPr>
        <a:solidFill>
          <a:srgbClr val="FFFFFF"/>
        </a:solidFill>
        <a:ln w="9525">
          <a:solidFill>
            <a:schemeClr val="tx1"/>
          </a:solidFill>
        </a:ln>
      </c:spPr>
    </c:plotArea>
    <c:legend>
      <c:legendPos val="b"/>
      <c:layout>
        <c:manualLayout>
          <c:xMode val="edge"/>
          <c:yMode val="edge"/>
          <c:x val="3.2213918312822103E-2"/>
          <c:y val="0.87896093662051111"/>
          <c:w val="0.93380990509815121"/>
          <c:h val="0.10687971406056511"/>
        </c:manualLayout>
      </c:layout>
      <c:overlay val="0"/>
      <c:spPr>
        <a:noFill/>
        <a:ln w="6350">
          <a:solidFill>
            <a:schemeClr val="tx1"/>
          </a:solidFill>
        </a:ln>
      </c:spPr>
    </c:legend>
    <c:plotVisOnly val="1"/>
    <c:dispBlanksAs val="gap"/>
    <c:showDLblsOverMax val="0"/>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9528655934435024E-2"/>
          <c:y val="1.6563187842952781E-2"/>
          <c:w val="0.85309492009152854"/>
          <c:h val="0.76133625371490121"/>
        </c:manualLayout>
      </c:layout>
      <c:barChart>
        <c:barDir val="col"/>
        <c:grouping val="stacked"/>
        <c:varyColors val="0"/>
        <c:ser>
          <c:idx val="1"/>
          <c:order val="1"/>
          <c:tx>
            <c:strRef>
              <c:f>'výkonnost odvětví 3'!$Y$10</c:f>
              <c:strCache>
                <c:ptCount val="1"/>
                <c:pt idx="0">
                  <c:v>Pozemní stavitelství (příspěvek v p. b.)</c:v>
                </c:pt>
              </c:strCache>
            </c:strRef>
          </c:tx>
          <c:spPr>
            <a:solidFill>
              <a:srgbClr val="A6CDE9"/>
            </a:solidFill>
            <a:ln w="19050">
              <a:noFill/>
              <a:prstDash val="solid"/>
            </a:ln>
          </c:spPr>
          <c:invertIfNegative val="0"/>
          <c:cat>
            <c:multiLvlStrRef>
              <c:f>'výkonnost odvětví 3'!$V$15:$W$50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'výkonnost odvětví 3'!$Y$15:$Y$50</c:f>
              <c:numCache>
                <c:formatCode>0.0</c:formatCode>
                <c:ptCount val="36"/>
                <c:pt idx="0">
                  <c:v>6.2253471794327551</c:v>
                </c:pt>
                <c:pt idx="1">
                  <c:v>-1.1597331222501712</c:v>
                </c:pt>
                <c:pt idx="2">
                  <c:v>-4.2621030613208717</c:v>
                </c:pt>
                <c:pt idx="3">
                  <c:v>1.4298809490954008</c:v>
                </c:pt>
                <c:pt idx="4">
                  <c:v>-5.3023237552943012</c:v>
                </c:pt>
                <c:pt idx="5">
                  <c:v>-1.6015070985845303</c:v>
                </c:pt>
                <c:pt idx="6">
                  <c:v>-3.513940190700036</c:v>
                </c:pt>
                <c:pt idx="7">
                  <c:v>-6.7547773118798933</c:v>
                </c:pt>
                <c:pt idx="8">
                  <c:v>-7.4505405993252012</c:v>
                </c:pt>
                <c:pt idx="9">
                  <c:v>-7.6447037851662101</c:v>
                </c:pt>
                <c:pt idx="10">
                  <c:v>-1.0659022928518138</c:v>
                </c:pt>
                <c:pt idx="11">
                  <c:v>-1.9501565735716926</c:v>
                </c:pt>
                <c:pt idx="12">
                  <c:v>12.56681679281154</c:v>
                </c:pt>
                <c:pt idx="13">
                  <c:v>3.6352209593086169</c:v>
                </c:pt>
                <c:pt idx="14">
                  <c:v>-0.45250277847858089</c:v>
                </c:pt>
                <c:pt idx="15">
                  <c:v>-0.36686423022789266</c:v>
                </c:pt>
                <c:pt idx="16">
                  <c:v>6.127543917347853</c:v>
                </c:pt>
                <c:pt idx="17">
                  <c:v>5.164404138620128</c:v>
                </c:pt>
                <c:pt idx="18">
                  <c:v>0.83141650988233495</c:v>
                </c:pt>
                <c:pt idx="19">
                  <c:v>-1.797566845400477</c:v>
                </c:pt>
                <c:pt idx="20">
                  <c:v>-4.9826565284471647</c:v>
                </c:pt>
                <c:pt idx="21">
                  <c:v>-5.0877138737219081</c:v>
                </c:pt>
                <c:pt idx="22">
                  <c:v>0.80057303879562347</c:v>
                </c:pt>
                <c:pt idx="23">
                  <c:v>4.0255408231775744</c:v>
                </c:pt>
                <c:pt idx="24">
                  <c:v>2.3335637307590056</c:v>
                </c:pt>
                <c:pt idx="25">
                  <c:v>10.157712951949884</c:v>
                </c:pt>
                <c:pt idx="26">
                  <c:v>3.5060258659943981</c:v>
                </c:pt>
                <c:pt idx="27">
                  <c:v>2.6826840473015374</c:v>
                </c:pt>
                <c:pt idx="28">
                  <c:v>13.618953451457829</c:v>
                </c:pt>
                <c:pt idx="29">
                  <c:v>6.2883068767468737</c:v>
                </c:pt>
                <c:pt idx="30">
                  <c:v>7.6971216374109597</c:v>
                </c:pt>
                <c:pt idx="31">
                  <c:v>2.4737809593809268</c:v>
                </c:pt>
                <c:pt idx="32">
                  <c:v>1.6006047414653761</c:v>
                </c:pt>
                <c:pt idx="33">
                  <c:v>2.208399715189771</c:v>
                </c:pt>
                <c:pt idx="34">
                  <c:v>-0.60820741180860904</c:v>
                </c:pt>
                <c:pt idx="35">
                  <c:v>2.8</c:v>
                </c:pt>
              </c:numCache>
            </c:numRef>
          </c:val>
          <c:extLst>
            <c:ext xmlns:c16="http://schemas.microsoft.com/office/drawing/2014/chart" uri="{C3380CC4-5D6E-409C-BE32-E72D297353CC}">
              <c16:uniqueId val="{00000000-C5E9-44A9-8911-7BF20FD2E482}"/>
            </c:ext>
          </c:extLst>
        </c:ser>
        <c:ser>
          <c:idx val="2"/>
          <c:order val="2"/>
          <c:tx>
            <c:strRef>
              <c:f>'výkonnost odvětví 3'!$Z$10</c:f>
              <c:strCache>
                <c:ptCount val="1"/>
                <c:pt idx="0">
                  <c:v>Inženýrské stavitelství  (příspěvek v p. b.)</c:v>
                </c:pt>
              </c:strCache>
            </c:strRef>
          </c:tx>
          <c:spPr>
            <a:solidFill>
              <a:srgbClr val="E8AFB2"/>
            </a:solidFill>
            <a:ln w="19050">
              <a:noFill/>
              <a:prstDash val="solid"/>
            </a:ln>
          </c:spPr>
          <c:invertIfNegative val="0"/>
          <c:cat>
            <c:multiLvlStrRef>
              <c:f>'výkonnost odvětví 3'!$V$15:$W$50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'výkonnost odvětví 3'!$Z$15:$Z$50</c:f>
              <c:numCache>
                <c:formatCode>0.0</c:formatCode>
                <c:ptCount val="36"/>
                <c:pt idx="0">
                  <c:v>-0.78188106773263832</c:v>
                </c:pt>
                <c:pt idx="1">
                  <c:v>-4.0315428216413887</c:v>
                </c:pt>
                <c:pt idx="2">
                  <c:v>-4.8160517766484885</c:v>
                </c:pt>
                <c:pt idx="3">
                  <c:v>-1.9030520226553096</c:v>
                </c:pt>
                <c:pt idx="4">
                  <c:v>-4.5309950993656098</c:v>
                </c:pt>
                <c:pt idx="5">
                  <c:v>-3.3697664637722933</c:v>
                </c:pt>
                <c:pt idx="6">
                  <c:v>-2.1469085914124069</c:v>
                </c:pt>
                <c:pt idx="7">
                  <c:v>-2.7470685083037565</c:v>
                </c:pt>
                <c:pt idx="8">
                  <c:v>-3.1398706332841959</c:v>
                </c:pt>
                <c:pt idx="9">
                  <c:v>-4.0056430294225027</c:v>
                </c:pt>
                <c:pt idx="10">
                  <c:v>-3.8787162548316361</c:v>
                </c:pt>
                <c:pt idx="11">
                  <c:v>-0.65841186002818719</c:v>
                </c:pt>
                <c:pt idx="12">
                  <c:v>0.47786890208341798</c:v>
                </c:pt>
                <c:pt idx="13">
                  <c:v>1.9373005816972999</c:v>
                </c:pt>
                <c:pt idx="14">
                  <c:v>2.904796622048623</c:v>
                </c:pt>
                <c:pt idx="15">
                  <c:v>1.4962921293093394</c:v>
                </c:pt>
                <c:pt idx="16">
                  <c:v>3.0736722117337725</c:v>
                </c:pt>
                <c:pt idx="17">
                  <c:v>6.8071777084313689</c:v>
                </c:pt>
                <c:pt idx="18">
                  <c:v>7.0167829844998799</c:v>
                </c:pt>
                <c:pt idx="19">
                  <c:v>2.7188479808082135</c:v>
                </c:pt>
                <c:pt idx="20">
                  <c:v>-1.2745226201404676</c:v>
                </c:pt>
                <c:pt idx="21">
                  <c:v>-5.1422429279786392</c:v>
                </c:pt>
                <c:pt idx="22">
                  <c:v>-6.7342170705917956</c:v>
                </c:pt>
                <c:pt idx="23">
                  <c:v>-5.6651468564900309</c:v>
                </c:pt>
                <c:pt idx="24">
                  <c:v>-3.1969407577424542</c:v>
                </c:pt>
                <c:pt idx="25">
                  <c:v>-1.1398666132932971</c:v>
                </c:pt>
                <c:pt idx="26">
                  <c:v>-1.4464934107146989</c:v>
                </c:pt>
                <c:pt idx="27">
                  <c:v>0.24048735059909712</c:v>
                </c:pt>
                <c:pt idx="28">
                  <c:v>1.755150826921277</c:v>
                </c:pt>
                <c:pt idx="29">
                  <c:v>1.2037623377142288</c:v>
                </c:pt>
                <c:pt idx="30">
                  <c:v>4.7158433216264379</c:v>
                </c:pt>
                <c:pt idx="31">
                  <c:v>1.896339068254201</c:v>
                </c:pt>
                <c:pt idx="32">
                  <c:v>0.85222088816528319</c:v>
                </c:pt>
                <c:pt idx="33">
                  <c:v>1.7672393138364433</c:v>
                </c:pt>
                <c:pt idx="34">
                  <c:v>0.54640822409636403</c:v>
                </c:pt>
                <c:pt idx="35">
                  <c:v>0.5</c:v>
                </c:pt>
              </c:numCache>
            </c:numRef>
          </c:val>
          <c:extLst>
            <c:ext xmlns:c16="http://schemas.microsoft.com/office/drawing/2014/chart" uri="{C3380CC4-5D6E-409C-BE32-E72D297353CC}">
              <c16:uniqueId val="{00000001-C5E9-44A9-8911-7BF20FD2E482}"/>
            </c:ext>
          </c:extLst>
        </c:ser>
        <c:dLbls>
          <c:showLegendKey val="0"/>
          <c:showVal val="0"/>
          <c:showCatName val="0"/>
          <c:showSerName val="0"/>
          <c:showPercent val="0"/>
          <c:showBubbleSize val="0"/>
        </c:dLbls>
        <c:gapWidth val="24"/>
        <c:overlap val="100"/>
        <c:axId val="147432960"/>
        <c:axId val="147434496"/>
      </c:barChart>
      <c:lineChart>
        <c:grouping val="standard"/>
        <c:varyColors val="0"/>
        <c:ser>
          <c:idx val="0"/>
          <c:order val="0"/>
          <c:tx>
            <c:strRef>
              <c:f>'výkonnost odvětví 3'!$X$10</c:f>
              <c:strCache>
                <c:ptCount val="1"/>
                <c:pt idx="0">
                  <c:v>Celková stavební produkce</c:v>
                </c:pt>
              </c:strCache>
            </c:strRef>
          </c:tx>
          <c:spPr>
            <a:ln>
              <a:noFill/>
            </a:ln>
          </c:spPr>
          <c:marker>
            <c:symbol val="dash"/>
            <c:size val="7"/>
            <c:spPr>
              <a:solidFill>
                <a:schemeClr val="tx1">
                  <a:lumMod val="95000"/>
                  <a:lumOff val="5000"/>
                </a:schemeClr>
              </a:solidFill>
              <a:ln>
                <a:noFill/>
              </a:ln>
            </c:spPr>
          </c:marker>
          <c:cat>
            <c:multiLvlStrRef>
              <c:f>'výkonnost odvětví 3'!$V$15:$W$50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'výkonnost odvětví 3'!$X$15:$X$50</c:f>
              <c:numCache>
                <c:formatCode>0.0</c:formatCode>
                <c:ptCount val="36"/>
                <c:pt idx="0">
                  <c:v>5.4557821324321623</c:v>
                </c:pt>
                <c:pt idx="1">
                  <c:v>-5.1731765784549708</c:v>
                </c:pt>
                <c:pt idx="2">
                  <c:v>-9.0565785023449337</c:v>
                </c:pt>
                <c:pt idx="3">
                  <c:v>-0.49376283937078824</c:v>
                </c:pt>
                <c:pt idx="4">
                  <c:v>-9.8157930981707153</c:v>
                </c:pt>
                <c:pt idx="5">
                  <c:v>-4.9423595765509987</c:v>
                </c:pt>
                <c:pt idx="6">
                  <c:v>-5.6526218343779533</c:v>
                </c:pt>
                <c:pt idx="7">
                  <c:v>-9.4988263446711017</c:v>
                </c:pt>
                <c:pt idx="8">
                  <c:v>-10.574598901416195</c:v>
                </c:pt>
                <c:pt idx="9">
                  <c:v>-11.627981895654287</c:v>
                </c:pt>
                <c:pt idx="10">
                  <c:v>-4.9359698629361333</c:v>
                </c:pt>
                <c:pt idx="11">
                  <c:v>-2.622028528480115</c:v>
                </c:pt>
                <c:pt idx="12">
                  <c:v>13.064880633808968</c:v>
                </c:pt>
                <c:pt idx="13">
                  <c:v>5.5567149112452796</c:v>
                </c:pt>
                <c:pt idx="14">
                  <c:v>2.4476299290684125</c:v>
                </c:pt>
                <c:pt idx="15">
                  <c:v>1.1192070418559581</c:v>
                </c:pt>
                <c:pt idx="16">
                  <c:v>9.1967253231964463</c:v>
                </c:pt>
                <c:pt idx="17">
                  <c:v>11.978904772286668</c:v>
                </c:pt>
                <c:pt idx="18">
                  <c:v>7.8499700759570885</c:v>
                </c:pt>
                <c:pt idx="19">
                  <c:v>0.93639063161241154</c:v>
                </c:pt>
                <c:pt idx="20">
                  <c:v>-6.2678973340206454</c:v>
                </c:pt>
                <c:pt idx="21">
                  <c:v>-10.227830277521477</c:v>
                </c:pt>
                <c:pt idx="22">
                  <c:v>-5.9107342052114831</c:v>
                </c:pt>
                <c:pt idx="23">
                  <c:v>-1.649208802201926</c:v>
                </c:pt>
                <c:pt idx="24">
                  <c:v>-0.84275819971591659</c:v>
                </c:pt>
                <c:pt idx="25">
                  <c:v>8.9951369278572741</c:v>
                </c:pt>
                <c:pt idx="26">
                  <c:v>2.0562867293753015</c:v>
                </c:pt>
                <c:pt idx="27">
                  <c:v>2.9379733268088302</c:v>
                </c:pt>
                <c:pt idx="28">
                  <c:v>15.349768758938438</c:v>
                </c:pt>
                <c:pt idx="29">
                  <c:v>7.4981477706511441</c:v>
                </c:pt>
                <c:pt idx="30">
                  <c:v>12.407397843296962</c:v>
                </c:pt>
                <c:pt idx="31">
                  <c:v>4.3053975524044716</c:v>
                </c:pt>
                <c:pt idx="32">
                  <c:v>2.4510944975047835</c:v>
                </c:pt>
                <c:pt idx="33">
                  <c:v>3.9770706476853519</c:v>
                </c:pt>
                <c:pt idx="34">
                  <c:v>-6.1055261803943495E-2</c:v>
                </c:pt>
                <c:pt idx="35">
                  <c:v>3.3245098075066295</c:v>
                </c:pt>
              </c:numCache>
            </c:numRef>
          </c:val>
          <c:smooth val="0"/>
          <c:extLst>
            <c:ext xmlns:c16="http://schemas.microsoft.com/office/drawing/2014/chart" uri="{C3380CC4-5D6E-409C-BE32-E72D297353CC}">
              <c16:uniqueId val="{00000002-C5E9-44A9-8911-7BF20FD2E482}"/>
            </c:ext>
          </c:extLst>
        </c:ser>
        <c:dLbls>
          <c:showLegendKey val="0"/>
          <c:showVal val="0"/>
          <c:showCatName val="0"/>
          <c:showSerName val="0"/>
          <c:showPercent val="0"/>
          <c:showBubbleSize val="0"/>
        </c:dLbls>
        <c:marker val="1"/>
        <c:smooth val="0"/>
        <c:axId val="147432960"/>
        <c:axId val="147434496"/>
      </c:lineChart>
      <c:lineChart>
        <c:grouping val="standard"/>
        <c:varyColors val="0"/>
        <c:ser>
          <c:idx val="3"/>
          <c:order val="3"/>
          <c:tx>
            <c:strRef>
              <c:f>'výkonnost odvětví 3'!$AA$10</c:f>
              <c:strCache>
                <c:ptCount val="1"/>
                <c:pt idx="0">
                  <c:v>Nové stavební zakázky (pravá osa)</c:v>
                </c:pt>
              </c:strCache>
            </c:strRef>
          </c:tx>
          <c:spPr>
            <a:ln w="15875">
              <a:solidFill>
                <a:srgbClr val="984807"/>
              </a:solidFill>
              <a:prstDash val="solid"/>
            </a:ln>
          </c:spPr>
          <c:marker>
            <c:symbol val="none"/>
          </c:marker>
          <c:cat>
            <c:multiLvlStrRef>
              <c:f>'výkonnost odvětví 3'!$V$15:$W$50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'výkonnost odvětví 3'!$AA$15:$AA$50</c:f>
              <c:numCache>
                <c:formatCode>0.0</c:formatCode>
                <c:ptCount val="36"/>
                <c:pt idx="0">
                  <c:v>37.795405718063137</c:v>
                </c:pt>
                <c:pt idx="1">
                  <c:v>-23.565672566981206</c:v>
                </c:pt>
                <c:pt idx="2">
                  <c:v>-23.360716461156017</c:v>
                </c:pt>
                <c:pt idx="3">
                  <c:v>-9.1653963414634205</c:v>
                </c:pt>
                <c:pt idx="4">
                  <c:v>-46.3220596465979</c:v>
                </c:pt>
                <c:pt idx="5">
                  <c:v>-13.7148006307727</c:v>
                </c:pt>
                <c:pt idx="6">
                  <c:v>-7.6729748888363787</c:v>
                </c:pt>
                <c:pt idx="7">
                  <c:v>7.5624082232011745</c:v>
                </c:pt>
                <c:pt idx="8">
                  <c:v>-17.695687793252404</c:v>
                </c:pt>
                <c:pt idx="9">
                  <c:v>-1.584773641063137</c:v>
                </c:pt>
                <c:pt idx="10">
                  <c:v>-1.3308205951467045</c:v>
                </c:pt>
                <c:pt idx="11">
                  <c:v>16.153096050706978</c:v>
                </c:pt>
                <c:pt idx="12">
                  <c:v>67.509727626459153</c:v>
                </c:pt>
                <c:pt idx="13">
                  <c:v>18.978644382544104</c:v>
                </c:pt>
                <c:pt idx="14">
                  <c:v>34.050931384107542</c:v>
                </c:pt>
                <c:pt idx="15">
                  <c:v>-1</c:v>
                </c:pt>
                <c:pt idx="16">
                  <c:v>-3.1547956675580053</c:v>
                </c:pt>
                <c:pt idx="17">
                  <c:v>9.7504961091663205</c:v>
                </c:pt>
                <c:pt idx="18">
                  <c:v>-1.097606022761255</c:v>
                </c:pt>
                <c:pt idx="19">
                  <c:v>-2.3987783410040464</c:v>
                </c:pt>
                <c:pt idx="20">
                  <c:v>-6.6406358945753823</c:v>
                </c:pt>
                <c:pt idx="21">
                  <c:v>-0.49977652269311079</c:v>
                </c:pt>
                <c:pt idx="22">
                  <c:v>-7.0322087253454839</c:v>
                </c:pt>
                <c:pt idx="23">
                  <c:v>10.122126124559955</c:v>
                </c:pt>
                <c:pt idx="24">
                  <c:v>16.177217458847437</c:v>
                </c:pt>
                <c:pt idx="25">
                  <c:v>9.5350878984013008</c:v>
                </c:pt>
                <c:pt idx="26">
                  <c:v>-1.2817324431350698</c:v>
                </c:pt>
                <c:pt idx="27">
                  <c:v>15.620806693503823</c:v>
                </c:pt>
                <c:pt idx="28">
                  <c:v>30.10697387368856</c:v>
                </c:pt>
                <c:pt idx="29">
                  <c:v>32.836878110611963</c:v>
                </c:pt>
                <c:pt idx="30">
                  <c:v>5.2768249907951201</c:v>
                </c:pt>
                <c:pt idx="31">
                  <c:v>1.8944565811032277</c:v>
                </c:pt>
                <c:pt idx="32">
                  <c:v>15.580283026326185</c:v>
                </c:pt>
                <c:pt idx="33">
                  <c:v>-9.9448521673238588</c:v>
                </c:pt>
                <c:pt idx="34">
                  <c:v>17.050767588263454</c:v>
                </c:pt>
                <c:pt idx="35">
                  <c:v>4.2795886234967071</c:v>
                </c:pt>
              </c:numCache>
            </c:numRef>
          </c:val>
          <c:smooth val="0"/>
          <c:extLst>
            <c:ext xmlns:c16="http://schemas.microsoft.com/office/drawing/2014/chart" uri="{C3380CC4-5D6E-409C-BE32-E72D297353CC}">
              <c16:uniqueId val="{00000003-C5E9-44A9-8911-7BF20FD2E482}"/>
            </c:ext>
          </c:extLst>
        </c:ser>
        <c:ser>
          <c:idx val="4"/>
          <c:order val="4"/>
          <c:tx>
            <c:strRef>
              <c:f>'výkonnost odvětví 3'!$AB$10</c:f>
              <c:strCache>
                <c:ptCount val="1"/>
                <c:pt idx="0">
                  <c:v>Bariéra růstu: nedost. poptávka (pr. osa)</c:v>
                </c:pt>
              </c:strCache>
            </c:strRef>
          </c:tx>
          <c:spPr>
            <a:ln w="15875">
              <a:solidFill>
                <a:srgbClr val="00B050"/>
              </a:solidFill>
            </a:ln>
          </c:spPr>
          <c:marker>
            <c:symbol val="none"/>
          </c:marker>
          <c:cat>
            <c:multiLvlStrRef>
              <c:f>'výkonnost odvětví 3'!$V$15:$W$50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'výkonnost odvětví 3'!$AB$15:$AB$50</c:f>
              <c:numCache>
                <c:formatCode>#\ ##0.0</c:formatCode>
                <c:ptCount val="36"/>
                <c:pt idx="0">
                  <c:v>54.56666666666667</c:v>
                </c:pt>
                <c:pt idx="1">
                  <c:v>64.833333333333329</c:v>
                </c:pt>
                <c:pt idx="2">
                  <c:v>68.666666666666671</c:v>
                </c:pt>
                <c:pt idx="3">
                  <c:v>66.833333333333343</c:v>
                </c:pt>
                <c:pt idx="4">
                  <c:v>69.433333333333337</c:v>
                </c:pt>
                <c:pt idx="5">
                  <c:v>66.033333333333331</c:v>
                </c:pt>
                <c:pt idx="6">
                  <c:v>70.399999999999991</c:v>
                </c:pt>
                <c:pt idx="7">
                  <c:v>71.13333333333334</c:v>
                </c:pt>
                <c:pt idx="8">
                  <c:v>79.166666666666671</c:v>
                </c:pt>
                <c:pt idx="9">
                  <c:v>71.666666666666671</c:v>
                </c:pt>
                <c:pt idx="10">
                  <c:v>74.36666666666666</c:v>
                </c:pt>
                <c:pt idx="11">
                  <c:v>81</c:v>
                </c:pt>
                <c:pt idx="12">
                  <c:v>81.899999999999991</c:v>
                </c:pt>
                <c:pt idx="13">
                  <c:v>80.266666666666666</c:v>
                </c:pt>
                <c:pt idx="14">
                  <c:v>73.433333333333323</c:v>
                </c:pt>
                <c:pt idx="15">
                  <c:v>68.600000000000009</c:v>
                </c:pt>
                <c:pt idx="16">
                  <c:v>67.899999999999991</c:v>
                </c:pt>
                <c:pt idx="17">
                  <c:v>61.566666666666663</c:v>
                </c:pt>
                <c:pt idx="18">
                  <c:v>58.099999999999994</c:v>
                </c:pt>
                <c:pt idx="19">
                  <c:v>56.766666666666673</c:v>
                </c:pt>
                <c:pt idx="20">
                  <c:v>55.166666666666664</c:v>
                </c:pt>
                <c:pt idx="21">
                  <c:v>60.633333333333333</c:v>
                </c:pt>
                <c:pt idx="22">
                  <c:v>59.466666666666669</c:v>
                </c:pt>
                <c:pt idx="23">
                  <c:v>57.733333333333327</c:v>
                </c:pt>
                <c:pt idx="24">
                  <c:v>53.666666666666664</c:v>
                </c:pt>
                <c:pt idx="25">
                  <c:v>54.233333333333327</c:v>
                </c:pt>
                <c:pt idx="26">
                  <c:v>50.466666666666669</c:v>
                </c:pt>
                <c:pt idx="27">
                  <c:v>49.1</c:v>
                </c:pt>
                <c:pt idx="28">
                  <c:v>42.633333333333333</c:v>
                </c:pt>
                <c:pt idx="29">
                  <c:v>37.633333333333333</c:v>
                </c:pt>
                <c:pt idx="30">
                  <c:v>32.43333333333333</c:v>
                </c:pt>
                <c:pt idx="31">
                  <c:v>24.233333333333334</c:v>
                </c:pt>
                <c:pt idx="32">
                  <c:v>22.333333333333332</c:v>
                </c:pt>
                <c:pt idx="33">
                  <c:v>22.033333333333331</c:v>
                </c:pt>
                <c:pt idx="34">
                  <c:v>22.6</c:v>
                </c:pt>
                <c:pt idx="35">
                  <c:v>22.4</c:v>
                </c:pt>
              </c:numCache>
            </c:numRef>
          </c:val>
          <c:smooth val="0"/>
          <c:extLst>
            <c:ext xmlns:c16="http://schemas.microsoft.com/office/drawing/2014/chart" uri="{C3380CC4-5D6E-409C-BE32-E72D297353CC}">
              <c16:uniqueId val="{00000004-C5E9-44A9-8911-7BF20FD2E482}"/>
            </c:ext>
          </c:extLst>
        </c:ser>
        <c:ser>
          <c:idx val="5"/>
          <c:order val="5"/>
          <c:tx>
            <c:strRef>
              <c:f>'výkonnost odvětví 3'!$AC$10</c:f>
              <c:strCache>
                <c:ptCount val="1"/>
                <c:pt idx="0">
                  <c:v>Bariéra růstu: nedost. pracovníků (pr. osa)</c:v>
                </c:pt>
              </c:strCache>
            </c:strRef>
          </c:tx>
          <c:spPr>
            <a:ln w="15875">
              <a:solidFill>
                <a:srgbClr val="00B050"/>
              </a:solidFill>
              <a:prstDash val="sysDash"/>
            </a:ln>
          </c:spPr>
          <c:marker>
            <c:symbol val="none"/>
          </c:marker>
          <c:cat>
            <c:multiLvlStrRef>
              <c:f>'výkonnost odvětví 3'!$V$15:$W$50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'výkonnost odvětví 3'!$AC$15:$AC$50</c:f>
              <c:numCache>
                <c:formatCode>#\ ##0.0</c:formatCode>
                <c:ptCount val="36"/>
                <c:pt idx="0">
                  <c:v>1</c:v>
                </c:pt>
                <c:pt idx="1">
                  <c:v>0.96666666666666679</c:v>
                </c:pt>
                <c:pt idx="2">
                  <c:v>1.4333333333333333</c:v>
                </c:pt>
                <c:pt idx="3">
                  <c:v>1.3</c:v>
                </c:pt>
                <c:pt idx="4">
                  <c:v>1.6333333333333335</c:v>
                </c:pt>
                <c:pt idx="5">
                  <c:v>1.9666666666666666</c:v>
                </c:pt>
                <c:pt idx="6">
                  <c:v>1.3333333333333333</c:v>
                </c:pt>
                <c:pt idx="7">
                  <c:v>1.0333333333333334</c:v>
                </c:pt>
                <c:pt idx="8">
                  <c:v>1.3333333333333333</c:v>
                </c:pt>
                <c:pt idx="9">
                  <c:v>0.76666666666666661</c:v>
                </c:pt>
                <c:pt idx="10">
                  <c:v>0.79999999999999993</c:v>
                </c:pt>
                <c:pt idx="11">
                  <c:v>1.3</c:v>
                </c:pt>
                <c:pt idx="12">
                  <c:v>1.7</c:v>
                </c:pt>
                <c:pt idx="13">
                  <c:v>2.1</c:v>
                </c:pt>
                <c:pt idx="14">
                  <c:v>2.6666666666666665</c:v>
                </c:pt>
                <c:pt idx="15">
                  <c:v>3.1666666666666665</c:v>
                </c:pt>
                <c:pt idx="16">
                  <c:v>6.5999999999999988</c:v>
                </c:pt>
                <c:pt idx="17">
                  <c:v>7.9333333333333336</c:v>
                </c:pt>
                <c:pt idx="18">
                  <c:v>7.333333333333333</c:v>
                </c:pt>
                <c:pt idx="19">
                  <c:v>7.5</c:v>
                </c:pt>
                <c:pt idx="20">
                  <c:v>5.8666666666666671</c:v>
                </c:pt>
                <c:pt idx="21">
                  <c:v>6.5666666666666673</c:v>
                </c:pt>
                <c:pt idx="22">
                  <c:v>7.666666666666667</c:v>
                </c:pt>
                <c:pt idx="23">
                  <c:v>10.066666666666668</c:v>
                </c:pt>
                <c:pt idx="24">
                  <c:v>11.966666666666667</c:v>
                </c:pt>
                <c:pt idx="25">
                  <c:v>14.766666666666666</c:v>
                </c:pt>
                <c:pt idx="26">
                  <c:v>20.633333333333329</c:v>
                </c:pt>
                <c:pt idx="27">
                  <c:v>22.133333333333336</c:v>
                </c:pt>
                <c:pt idx="28">
                  <c:v>24.433333333333334</c:v>
                </c:pt>
                <c:pt idx="29">
                  <c:v>28.333333333333332</c:v>
                </c:pt>
                <c:pt idx="30">
                  <c:v>32.966666666666661</c:v>
                </c:pt>
                <c:pt idx="31">
                  <c:v>40.699999999999996</c:v>
                </c:pt>
                <c:pt idx="32">
                  <c:v>41.733333333333327</c:v>
                </c:pt>
                <c:pt idx="33">
                  <c:v>46.199999999999996</c:v>
                </c:pt>
                <c:pt idx="34">
                  <c:v>50.2</c:v>
                </c:pt>
                <c:pt idx="35">
                  <c:v>49.6</c:v>
                </c:pt>
              </c:numCache>
            </c:numRef>
          </c:val>
          <c:smooth val="0"/>
          <c:extLst>
            <c:ext xmlns:c16="http://schemas.microsoft.com/office/drawing/2014/chart" uri="{C3380CC4-5D6E-409C-BE32-E72D297353CC}">
              <c16:uniqueId val="{00000005-C5E9-44A9-8911-7BF20FD2E482}"/>
            </c:ext>
          </c:extLst>
        </c:ser>
        <c:ser>
          <c:idx val="6"/>
          <c:order val="6"/>
          <c:tx>
            <c:strRef>
              <c:f>'výkonnost odvětví 3'!$AD$10</c:f>
              <c:strCache>
                <c:ptCount val="1"/>
                <c:pt idx="0">
                  <c:v>Saldo indik.důvěry ve stavebnictví (pr.osa)</c:v>
                </c:pt>
              </c:strCache>
            </c:strRef>
          </c:tx>
          <c:spPr>
            <a:ln>
              <a:noFill/>
            </a:ln>
          </c:spPr>
          <c:marker>
            <c:symbol val="diamond"/>
            <c:size val="5"/>
            <c:spPr>
              <a:solidFill>
                <a:srgbClr val="FFFF00"/>
              </a:solidFill>
              <a:ln>
                <a:solidFill>
                  <a:prstClr val="black">
                    <a:lumMod val="95000"/>
                    <a:lumOff val="5000"/>
                  </a:prstClr>
                </a:solidFill>
              </a:ln>
            </c:spPr>
          </c:marker>
          <c:cat>
            <c:multiLvlStrRef>
              <c:f>'výkonnost odvětví 3'!$V$15:$W$50</c:f>
              <c:multiLvlStrCache>
                <c:ptCount val="36"/>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pt idx="35">
                    <c:v>4</c:v>
                  </c:pt>
                </c:lvl>
                <c:lvl>
                  <c:pt idx="0">
                    <c:v>2011</c:v>
                  </c:pt>
                  <c:pt idx="4">
                    <c:v>2012</c:v>
                  </c:pt>
                  <c:pt idx="8">
                    <c:v>2013</c:v>
                  </c:pt>
                  <c:pt idx="12">
                    <c:v>2014</c:v>
                  </c:pt>
                  <c:pt idx="16">
                    <c:v>2015</c:v>
                  </c:pt>
                  <c:pt idx="20">
                    <c:v>2016</c:v>
                  </c:pt>
                  <c:pt idx="24">
                    <c:v>2017</c:v>
                  </c:pt>
                  <c:pt idx="28">
                    <c:v>2018</c:v>
                  </c:pt>
                  <c:pt idx="32">
                    <c:v>2019</c:v>
                  </c:pt>
                </c:lvl>
              </c:multiLvlStrCache>
            </c:multiLvlStrRef>
          </c:cat>
          <c:val>
            <c:numRef>
              <c:f>'výkonnost odvětví 3'!$AD$15:$AD$50</c:f>
              <c:numCache>
                <c:formatCode>0.0</c:formatCode>
                <c:ptCount val="36"/>
                <c:pt idx="0">
                  <c:v>-40</c:v>
                </c:pt>
                <c:pt idx="1">
                  <c:v>-40.333333333333336</c:v>
                </c:pt>
                <c:pt idx="2">
                  <c:v>-39.166666666666664</c:v>
                </c:pt>
                <c:pt idx="3">
                  <c:v>-39.333333333333336</c:v>
                </c:pt>
                <c:pt idx="4">
                  <c:v>-46</c:v>
                </c:pt>
                <c:pt idx="5">
                  <c:v>-45.333333333333336</c:v>
                </c:pt>
                <c:pt idx="6">
                  <c:v>-43.5</c:v>
                </c:pt>
                <c:pt idx="7">
                  <c:v>-44.666666666666664</c:v>
                </c:pt>
                <c:pt idx="8">
                  <c:v>-46</c:v>
                </c:pt>
                <c:pt idx="9">
                  <c:v>-53.333333333333336</c:v>
                </c:pt>
                <c:pt idx="10">
                  <c:v>-49.5</c:v>
                </c:pt>
                <c:pt idx="11">
                  <c:v>-50.833333333333336</c:v>
                </c:pt>
                <c:pt idx="12">
                  <c:v>-45.166666666666664</c:v>
                </c:pt>
                <c:pt idx="13">
                  <c:v>-38.333333333333336</c:v>
                </c:pt>
                <c:pt idx="14">
                  <c:v>-32</c:v>
                </c:pt>
                <c:pt idx="15">
                  <c:v>-25.166666666666668</c:v>
                </c:pt>
                <c:pt idx="16">
                  <c:v>-20.833333333333332</c:v>
                </c:pt>
                <c:pt idx="17">
                  <c:v>-16.333333333333332</c:v>
                </c:pt>
                <c:pt idx="18">
                  <c:v>-18.666666666666668</c:v>
                </c:pt>
                <c:pt idx="19">
                  <c:v>-15.666666666666666</c:v>
                </c:pt>
                <c:pt idx="20">
                  <c:v>-17.166666666666668</c:v>
                </c:pt>
                <c:pt idx="21">
                  <c:v>-24</c:v>
                </c:pt>
                <c:pt idx="22">
                  <c:v>-26.666666666666668</c:v>
                </c:pt>
                <c:pt idx="23">
                  <c:v>-25.833333333333332</c:v>
                </c:pt>
                <c:pt idx="24">
                  <c:v>-24.5</c:v>
                </c:pt>
                <c:pt idx="25">
                  <c:v>-22.666666666666668</c:v>
                </c:pt>
                <c:pt idx="26">
                  <c:v>-19.833333333333332</c:v>
                </c:pt>
                <c:pt idx="27">
                  <c:v>-15.166666666666666</c:v>
                </c:pt>
                <c:pt idx="28">
                  <c:v>-9.6666666666666661</c:v>
                </c:pt>
                <c:pt idx="29">
                  <c:v>-5.666666666666667</c:v>
                </c:pt>
                <c:pt idx="30">
                  <c:v>-3.1666666666666665</c:v>
                </c:pt>
                <c:pt idx="31">
                  <c:v>0.83333333333333337</c:v>
                </c:pt>
                <c:pt idx="32">
                  <c:v>4.666666666666667</c:v>
                </c:pt>
                <c:pt idx="33">
                  <c:v>3.8333333333333335</c:v>
                </c:pt>
                <c:pt idx="34">
                  <c:v>0</c:v>
                </c:pt>
                <c:pt idx="35">
                  <c:v>1.8333333333333333</c:v>
                </c:pt>
              </c:numCache>
            </c:numRef>
          </c:val>
          <c:smooth val="0"/>
          <c:extLst>
            <c:ext xmlns:c16="http://schemas.microsoft.com/office/drawing/2014/chart" uri="{C3380CC4-5D6E-409C-BE32-E72D297353CC}">
              <c16:uniqueId val="{00000006-C5E9-44A9-8911-7BF20FD2E482}"/>
            </c:ext>
          </c:extLst>
        </c:ser>
        <c:dLbls>
          <c:showLegendKey val="0"/>
          <c:showVal val="0"/>
          <c:showCatName val="0"/>
          <c:showSerName val="0"/>
          <c:showPercent val="0"/>
          <c:showBubbleSize val="0"/>
        </c:dLbls>
        <c:marker val="1"/>
        <c:smooth val="0"/>
        <c:axId val="147650816"/>
        <c:axId val="147649280"/>
      </c:lineChart>
      <c:catAx>
        <c:axId val="147432960"/>
        <c:scaling>
          <c:orientation val="minMax"/>
        </c:scaling>
        <c:delete val="0"/>
        <c:axPos val="b"/>
        <c:numFmt formatCode="General" sourceLinked="1"/>
        <c:majorTickMark val="out"/>
        <c:minorTickMark val="none"/>
        <c:tickLblPos val="low"/>
        <c:spPr>
          <a:ln w="9525">
            <a:solidFill>
              <a:schemeClr val="tx1"/>
            </a:solidFill>
            <a:prstDash val="solid"/>
          </a:ln>
        </c:spPr>
        <c:txPr>
          <a:bodyPr rot="0" vert="horz"/>
          <a:lstStyle/>
          <a:p>
            <a:pPr>
              <a:defRPr/>
            </a:pPr>
            <a:endParaRPr lang="cs-CZ"/>
          </a:p>
        </c:txPr>
        <c:crossAx val="147434496"/>
        <c:crossesAt val="0"/>
        <c:auto val="0"/>
        <c:lblAlgn val="ctr"/>
        <c:lblOffset val="0"/>
        <c:tickLblSkip val="1"/>
        <c:tickMarkSkip val="4"/>
        <c:noMultiLvlLbl val="0"/>
      </c:catAx>
      <c:valAx>
        <c:axId val="147434496"/>
        <c:scaling>
          <c:orientation val="minMax"/>
          <c:max val="30"/>
          <c:min val="-20"/>
        </c:scaling>
        <c:delete val="0"/>
        <c:axPos val="l"/>
        <c:majorGridlines>
          <c:spPr>
            <a:ln w="6350">
              <a:solidFill>
                <a:schemeClr val="bg1">
                  <a:lumMod val="75000"/>
                </a:schemeClr>
              </a:solidFill>
            </a:ln>
          </c:spPr>
        </c:majorGridlines>
        <c:title>
          <c:tx>
            <c:rich>
              <a:bodyPr/>
              <a:lstStyle/>
              <a:p>
                <a:pPr>
                  <a:defRPr sz="700" i="1"/>
                </a:pPr>
                <a:r>
                  <a:rPr lang="cs-CZ"/>
                  <a:t>Příspěvek</a:t>
                </a:r>
                <a:r>
                  <a:rPr lang="cs-CZ" baseline="0"/>
                  <a:t> k růstu s</a:t>
                </a:r>
                <a:r>
                  <a:rPr lang="cs-CZ"/>
                  <a:t>tavební produkce</a:t>
                </a:r>
              </a:p>
            </c:rich>
          </c:tx>
          <c:layout>
            <c:manualLayout>
              <c:xMode val="edge"/>
              <c:yMode val="edge"/>
              <c:x val="2.6741790744013471E-3"/>
              <c:y val="0.18222167882907486"/>
            </c:manualLayout>
          </c:layout>
          <c:overlay val="0"/>
        </c:title>
        <c:numFmt formatCode="0" sourceLinked="0"/>
        <c:majorTickMark val="out"/>
        <c:minorTickMark val="none"/>
        <c:tickLblPos val="nextTo"/>
        <c:spPr>
          <a:ln w="9525">
            <a:solidFill>
              <a:schemeClr val="tx1"/>
            </a:solidFill>
            <a:prstDash val="solid"/>
          </a:ln>
        </c:spPr>
        <c:txPr>
          <a:bodyPr rot="0" vert="horz"/>
          <a:lstStyle/>
          <a:p>
            <a:pPr>
              <a:defRPr/>
            </a:pPr>
            <a:endParaRPr lang="cs-CZ"/>
          </a:p>
        </c:txPr>
        <c:crossAx val="147432960"/>
        <c:crosses val="autoZero"/>
        <c:crossBetween val="between"/>
        <c:majorUnit val="5"/>
      </c:valAx>
      <c:valAx>
        <c:axId val="147649280"/>
        <c:scaling>
          <c:orientation val="minMax"/>
          <c:max val="90"/>
          <c:min val="-60"/>
        </c:scaling>
        <c:delete val="0"/>
        <c:axPos val="r"/>
        <c:title>
          <c:tx>
            <c:rich>
              <a:bodyPr/>
              <a:lstStyle/>
              <a:p>
                <a:pPr>
                  <a:defRPr sz="700" i="1"/>
                </a:pPr>
                <a:r>
                  <a:rPr lang="cs-CZ" sz="700" b="0" i="1" u="none" strike="noStrike" baseline="0">
                    <a:effectLst/>
                  </a:rPr>
                  <a:t>Zakázky, S</a:t>
                </a:r>
                <a:r>
                  <a:rPr lang="cs-CZ"/>
                  <a:t>aldo indikátoru důvěry, Bariéry růstu</a:t>
                </a:r>
              </a:p>
            </c:rich>
          </c:tx>
          <c:overlay val="0"/>
        </c:title>
        <c:numFmt formatCode="0" sourceLinked="0"/>
        <c:majorTickMark val="out"/>
        <c:minorTickMark val="none"/>
        <c:tickLblPos val="nextTo"/>
        <c:crossAx val="147650816"/>
        <c:crosses val="max"/>
        <c:crossBetween val="between"/>
        <c:majorUnit val="15"/>
      </c:valAx>
      <c:catAx>
        <c:axId val="147650816"/>
        <c:scaling>
          <c:orientation val="minMax"/>
        </c:scaling>
        <c:delete val="1"/>
        <c:axPos val="b"/>
        <c:numFmt formatCode="General" sourceLinked="1"/>
        <c:majorTickMark val="out"/>
        <c:minorTickMark val="none"/>
        <c:tickLblPos val="none"/>
        <c:crossAx val="147649280"/>
        <c:crosses val="autoZero"/>
        <c:auto val="0"/>
        <c:lblAlgn val="ctr"/>
        <c:lblOffset val="100"/>
        <c:noMultiLvlLbl val="0"/>
      </c:catAx>
      <c:spPr>
        <a:solidFill>
          <a:srgbClr val="FFFFFF"/>
        </a:solidFill>
        <a:ln w="9525">
          <a:solidFill>
            <a:schemeClr val="tx1"/>
          </a:solidFill>
        </a:ln>
      </c:spPr>
    </c:plotArea>
    <c:legend>
      <c:legendPos val="b"/>
      <c:layout>
        <c:manualLayout>
          <c:xMode val="edge"/>
          <c:yMode val="edge"/>
          <c:x val="8.0289395857067181E-3"/>
          <c:y val="0.86714554937397748"/>
          <c:w val="0.98289481343746343"/>
          <c:h val="0.1233574576253902"/>
        </c:manualLayout>
      </c:layout>
      <c:overlay val="0"/>
      <c:spPr>
        <a:noFill/>
        <a:ln w="6350">
          <a:solidFill>
            <a:schemeClr val="tx1"/>
          </a:solidFill>
        </a:ln>
      </c:spPr>
    </c:legend>
    <c:plotVisOnly val="1"/>
    <c:dispBlanksAs val="gap"/>
    <c:showDLblsOverMax val="0"/>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463354219552944E-2"/>
          <c:y val="1.5803328678987451E-2"/>
          <c:w val="0.86647319020345381"/>
          <c:h val="0.72803718351631797"/>
        </c:manualLayout>
      </c:layout>
      <c:barChart>
        <c:barDir val="col"/>
        <c:grouping val="stacked"/>
        <c:varyColors val="0"/>
        <c:ser>
          <c:idx val="0"/>
          <c:order val="1"/>
          <c:tx>
            <c:strRef>
              <c:f>'Služby-příspěvkyk růstu'!$D$25</c:f>
              <c:strCache>
                <c:ptCount val="1"/>
                <c:pt idx="0">
                  <c:v>Doprava a skladování</c:v>
                </c:pt>
              </c:strCache>
            </c:strRef>
          </c:tx>
          <c:spPr>
            <a:ln>
              <a:noFill/>
            </a:ln>
          </c:spPr>
          <c:invertIfNegative val="0"/>
          <c:cat>
            <c:multiLvlStrRef>
              <c:f>'Služby-příspěvkyk růstu'!$A$26:$B$57</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růstu'!$D$26:$D$57</c:f>
              <c:numCache>
                <c:formatCode>0.0</c:formatCode>
                <c:ptCount val="32"/>
                <c:pt idx="0">
                  <c:v>0.43191998983539565</c:v>
                </c:pt>
                <c:pt idx="1">
                  <c:v>0.66333375922143512</c:v>
                </c:pt>
                <c:pt idx="2">
                  <c:v>1.2791398260001572</c:v>
                </c:pt>
                <c:pt idx="3">
                  <c:v>-0.53271916185202561</c:v>
                </c:pt>
                <c:pt idx="4">
                  <c:v>0.90288300616908002</c:v>
                </c:pt>
                <c:pt idx="5">
                  <c:v>0.80698407861996879</c:v>
                </c:pt>
                <c:pt idx="6">
                  <c:v>0.57831552602430325</c:v>
                </c:pt>
                <c:pt idx="7">
                  <c:v>2.8060347040089466</c:v>
                </c:pt>
                <c:pt idx="8">
                  <c:v>0.97830647478171584</c:v>
                </c:pt>
                <c:pt idx="9">
                  <c:v>0.72319048554818133</c:v>
                </c:pt>
                <c:pt idx="10">
                  <c:v>1.2187713396299102</c:v>
                </c:pt>
                <c:pt idx="11">
                  <c:v>-0.13187528956663824</c:v>
                </c:pt>
                <c:pt idx="12">
                  <c:v>0.17678420459666908</c:v>
                </c:pt>
                <c:pt idx="13">
                  <c:v>-4.1142603966534207E-2</c:v>
                </c:pt>
                <c:pt idx="14">
                  <c:v>0.1974789599360518</c:v>
                </c:pt>
                <c:pt idx="15">
                  <c:v>4.4100127595165045E-2</c:v>
                </c:pt>
                <c:pt idx="16">
                  <c:v>0.28166181359078835</c:v>
                </c:pt>
                <c:pt idx="17">
                  <c:v>0.20692103974525453</c:v>
                </c:pt>
                <c:pt idx="18">
                  <c:v>0.13822128647433826</c:v>
                </c:pt>
                <c:pt idx="19">
                  <c:v>0.86056366284127561</c:v>
                </c:pt>
                <c:pt idx="20">
                  <c:v>1.6328068322029226</c:v>
                </c:pt>
                <c:pt idx="21">
                  <c:v>1.0875660780966196</c:v>
                </c:pt>
                <c:pt idx="22">
                  <c:v>1.1378548611106076</c:v>
                </c:pt>
                <c:pt idx="23">
                  <c:v>0.60484518288217237</c:v>
                </c:pt>
                <c:pt idx="24">
                  <c:v>1.7511692205268421</c:v>
                </c:pt>
                <c:pt idx="25">
                  <c:v>1.919432195003689</c:v>
                </c:pt>
                <c:pt idx="26">
                  <c:v>1.468778873734859</c:v>
                </c:pt>
                <c:pt idx="27">
                  <c:v>0.49882746808583972</c:v>
                </c:pt>
                <c:pt idx="28">
                  <c:v>0.75233594161737627</c:v>
                </c:pt>
                <c:pt idx="29">
                  <c:v>-7.9304890776343617E-2</c:v>
                </c:pt>
                <c:pt idx="30">
                  <c:v>-0.67512827232934247</c:v>
                </c:pt>
                <c:pt idx="31">
                  <c:v>-0.53929406168792737</c:v>
                </c:pt>
              </c:numCache>
            </c:numRef>
          </c:val>
          <c:extLst>
            <c:ext xmlns:c16="http://schemas.microsoft.com/office/drawing/2014/chart" uri="{C3380CC4-5D6E-409C-BE32-E72D297353CC}">
              <c16:uniqueId val="{00000000-F2DD-4426-B39C-54BA02CE298E}"/>
            </c:ext>
          </c:extLst>
        </c:ser>
        <c:ser>
          <c:idx val="1"/>
          <c:order val="2"/>
          <c:tx>
            <c:strRef>
              <c:f>'Služby-příspěvkyk růstu'!$E$25</c:f>
              <c:strCache>
                <c:ptCount val="1"/>
                <c:pt idx="0">
                  <c:v>Ubytování, stravování a pohostinství</c:v>
                </c:pt>
              </c:strCache>
            </c:strRef>
          </c:tx>
          <c:spPr>
            <a:ln>
              <a:noFill/>
            </a:ln>
          </c:spPr>
          <c:invertIfNegative val="0"/>
          <c:cat>
            <c:multiLvlStrRef>
              <c:f>'Služby-příspěvkyk růstu'!$A$26:$B$57</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růstu'!$E$26:$E$57</c:f>
              <c:numCache>
                <c:formatCode>0.0</c:formatCode>
                <c:ptCount val="32"/>
                <c:pt idx="0">
                  <c:v>-0.18592983251326589</c:v>
                </c:pt>
                <c:pt idx="1">
                  <c:v>-0.23202357573458587</c:v>
                </c:pt>
                <c:pt idx="2">
                  <c:v>-0.16559933023792778</c:v>
                </c:pt>
                <c:pt idx="3">
                  <c:v>-0.30845461117760814</c:v>
                </c:pt>
                <c:pt idx="4">
                  <c:v>4.3938191000977331E-2</c:v>
                </c:pt>
                <c:pt idx="5">
                  <c:v>3.8645349419182087E-2</c:v>
                </c:pt>
                <c:pt idx="6">
                  <c:v>0.13539005860123743</c:v>
                </c:pt>
                <c:pt idx="7">
                  <c:v>5.5128620896128071E-2</c:v>
                </c:pt>
                <c:pt idx="8">
                  <c:v>-8.1477489853959528E-2</c:v>
                </c:pt>
                <c:pt idx="9">
                  <c:v>-5.1709898317767795E-2</c:v>
                </c:pt>
                <c:pt idx="10">
                  <c:v>-7.891529596770519E-2</c:v>
                </c:pt>
                <c:pt idx="11">
                  <c:v>0.62890649551115219</c:v>
                </c:pt>
                <c:pt idx="12">
                  <c:v>0.23117761835012351</c:v>
                </c:pt>
                <c:pt idx="13">
                  <c:v>0.65517333666107125</c:v>
                </c:pt>
                <c:pt idx="14">
                  <c:v>0.65622217746122746</c:v>
                </c:pt>
                <c:pt idx="15">
                  <c:v>0.40151103547324907</c:v>
                </c:pt>
                <c:pt idx="16">
                  <c:v>0.42949178914699221</c:v>
                </c:pt>
                <c:pt idx="17">
                  <c:v>0.18923041762394455</c:v>
                </c:pt>
                <c:pt idx="18">
                  <c:v>0.56803284767473683</c:v>
                </c:pt>
                <c:pt idx="19">
                  <c:v>0.59863914821539044</c:v>
                </c:pt>
                <c:pt idx="20">
                  <c:v>0.95183083817999614</c:v>
                </c:pt>
                <c:pt idx="21">
                  <c:v>1.2114688392981621</c:v>
                </c:pt>
                <c:pt idx="22">
                  <c:v>0.55113645410264323</c:v>
                </c:pt>
                <c:pt idx="23">
                  <c:v>0.45462717250539203</c:v>
                </c:pt>
                <c:pt idx="24">
                  <c:v>0.18144865877241922</c:v>
                </c:pt>
                <c:pt idx="25">
                  <c:v>6.8047966010392827E-2</c:v>
                </c:pt>
                <c:pt idx="26">
                  <c:v>5.8849522681225439E-2</c:v>
                </c:pt>
                <c:pt idx="27">
                  <c:v>-3.6624106551020275E-2</c:v>
                </c:pt>
                <c:pt idx="28">
                  <c:v>0.2195464265987532</c:v>
                </c:pt>
                <c:pt idx="29">
                  <c:v>0.16903929045485583</c:v>
                </c:pt>
                <c:pt idx="30">
                  <c:v>-1.7591071373448529E-2</c:v>
                </c:pt>
                <c:pt idx="31">
                  <c:v>-1.9422304392821957E-2</c:v>
                </c:pt>
              </c:numCache>
            </c:numRef>
          </c:val>
          <c:extLst>
            <c:ext xmlns:c16="http://schemas.microsoft.com/office/drawing/2014/chart" uri="{C3380CC4-5D6E-409C-BE32-E72D297353CC}">
              <c16:uniqueId val="{00000001-F2DD-4426-B39C-54BA02CE298E}"/>
            </c:ext>
          </c:extLst>
        </c:ser>
        <c:ser>
          <c:idx val="2"/>
          <c:order val="3"/>
          <c:tx>
            <c:strRef>
              <c:f>'Služby-příspěvkyk růstu'!$F$25</c:f>
              <c:strCache>
                <c:ptCount val="1"/>
                <c:pt idx="0">
                  <c:v>Informační a komunikační činnosti</c:v>
                </c:pt>
              </c:strCache>
            </c:strRef>
          </c:tx>
          <c:spPr>
            <a:ln>
              <a:noFill/>
            </a:ln>
          </c:spPr>
          <c:invertIfNegative val="0"/>
          <c:cat>
            <c:multiLvlStrRef>
              <c:f>'Služby-příspěvkyk růstu'!$A$26:$B$57</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růstu'!$F$26:$F$57</c:f>
              <c:numCache>
                <c:formatCode>0.0</c:formatCode>
                <c:ptCount val="32"/>
                <c:pt idx="0">
                  <c:v>0.14684653735824613</c:v>
                </c:pt>
                <c:pt idx="1">
                  <c:v>-1.3198262082582986E-2</c:v>
                </c:pt>
                <c:pt idx="2">
                  <c:v>0.26611556612644732</c:v>
                </c:pt>
                <c:pt idx="3">
                  <c:v>-6.6505121032571141E-2</c:v>
                </c:pt>
                <c:pt idx="4">
                  <c:v>-0.35656165738649603</c:v>
                </c:pt>
                <c:pt idx="5">
                  <c:v>5.3644476063567485E-4</c:v>
                </c:pt>
                <c:pt idx="6">
                  <c:v>-0.43822150144124394</c:v>
                </c:pt>
                <c:pt idx="7">
                  <c:v>6.4617171303634535E-2</c:v>
                </c:pt>
                <c:pt idx="8">
                  <c:v>5.503087060633078E-2</c:v>
                </c:pt>
                <c:pt idx="9">
                  <c:v>0.2076729980645598</c:v>
                </c:pt>
                <c:pt idx="10">
                  <c:v>0.5549850227757358</c:v>
                </c:pt>
                <c:pt idx="11">
                  <c:v>0.3901211155247678</c:v>
                </c:pt>
                <c:pt idx="12">
                  <c:v>1.4063208469213437</c:v>
                </c:pt>
                <c:pt idx="13">
                  <c:v>0.82443942688163474</c:v>
                </c:pt>
                <c:pt idx="14">
                  <c:v>0.81792809882639494</c:v>
                </c:pt>
                <c:pt idx="15">
                  <c:v>1.3074153955222541</c:v>
                </c:pt>
                <c:pt idx="16">
                  <c:v>0.36940166834784149</c:v>
                </c:pt>
                <c:pt idx="17">
                  <c:v>0.13353542081881928</c:v>
                </c:pt>
                <c:pt idx="18">
                  <c:v>0.33302131533229939</c:v>
                </c:pt>
                <c:pt idx="19">
                  <c:v>0.17729355556114995</c:v>
                </c:pt>
                <c:pt idx="20">
                  <c:v>0.73598215067156625</c:v>
                </c:pt>
                <c:pt idx="21">
                  <c:v>1.0078518119893651</c:v>
                </c:pt>
                <c:pt idx="22">
                  <c:v>0.77848398616253034</c:v>
                </c:pt>
                <c:pt idx="23">
                  <c:v>0.59029299649215194</c:v>
                </c:pt>
                <c:pt idx="24">
                  <c:v>1.4571786542074963</c:v>
                </c:pt>
                <c:pt idx="25">
                  <c:v>0.76023226586947656</c:v>
                </c:pt>
                <c:pt idx="26">
                  <c:v>1.4180945031018091</c:v>
                </c:pt>
                <c:pt idx="27">
                  <c:v>0.98416336470675536</c:v>
                </c:pt>
                <c:pt idx="28">
                  <c:v>1.2345719301142268</c:v>
                </c:pt>
                <c:pt idx="29">
                  <c:v>1.1685388565286352</c:v>
                </c:pt>
                <c:pt idx="30">
                  <c:v>0.89236199644931158</c:v>
                </c:pt>
                <c:pt idx="31">
                  <c:v>1.1649247825769646</c:v>
                </c:pt>
              </c:numCache>
            </c:numRef>
          </c:val>
          <c:extLst>
            <c:ext xmlns:c16="http://schemas.microsoft.com/office/drawing/2014/chart" uri="{C3380CC4-5D6E-409C-BE32-E72D297353CC}">
              <c16:uniqueId val="{00000002-F2DD-4426-B39C-54BA02CE298E}"/>
            </c:ext>
          </c:extLst>
        </c:ser>
        <c:ser>
          <c:idx val="4"/>
          <c:order val="4"/>
          <c:tx>
            <c:strRef>
              <c:f>'Služby-příspěvkyk růstu'!$G$25</c:f>
              <c:strCache>
                <c:ptCount val="1"/>
                <c:pt idx="0">
                  <c:v>Činnosti v oblasti nemovitostí</c:v>
                </c:pt>
              </c:strCache>
            </c:strRef>
          </c:tx>
          <c:spPr>
            <a:ln>
              <a:noFill/>
              <a:prstDash val="sysDash"/>
            </a:ln>
          </c:spPr>
          <c:invertIfNegative val="0"/>
          <c:cat>
            <c:multiLvlStrRef>
              <c:f>'Služby-příspěvkyk růstu'!$A$26:$B$57</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růstu'!$G$26:$G$57</c:f>
              <c:numCache>
                <c:formatCode>0.0</c:formatCode>
                <c:ptCount val="32"/>
                <c:pt idx="0">
                  <c:v>-0.34137236158909179</c:v>
                </c:pt>
                <c:pt idx="1">
                  <c:v>-0.32388973194562126</c:v>
                </c:pt>
                <c:pt idx="2">
                  <c:v>-0.37058828980655789</c:v>
                </c:pt>
                <c:pt idx="3">
                  <c:v>-0.30099897115709839</c:v>
                </c:pt>
                <c:pt idx="4">
                  <c:v>-0.12420970825265641</c:v>
                </c:pt>
                <c:pt idx="5">
                  <c:v>-0.28603737777812438</c:v>
                </c:pt>
                <c:pt idx="6">
                  <c:v>0.14203788124466329</c:v>
                </c:pt>
                <c:pt idx="7">
                  <c:v>-0.4964721024754466</c:v>
                </c:pt>
                <c:pt idx="8">
                  <c:v>-0.27243920620683193</c:v>
                </c:pt>
                <c:pt idx="9">
                  <c:v>0.13121599842368425</c:v>
                </c:pt>
                <c:pt idx="10">
                  <c:v>-2.3565265518776128E-2</c:v>
                </c:pt>
                <c:pt idx="11">
                  <c:v>-0.14403624877141019</c:v>
                </c:pt>
                <c:pt idx="12">
                  <c:v>4.5114687229023245E-2</c:v>
                </c:pt>
                <c:pt idx="13">
                  <c:v>-4.6332032044239775E-3</c:v>
                </c:pt>
                <c:pt idx="14">
                  <c:v>8.501573906631088E-2</c:v>
                </c:pt>
                <c:pt idx="15">
                  <c:v>4.2208307670905748E-2</c:v>
                </c:pt>
                <c:pt idx="16">
                  <c:v>0.22367935728325808</c:v>
                </c:pt>
                <c:pt idx="17">
                  <c:v>6.8179121728202077E-2</c:v>
                </c:pt>
                <c:pt idx="18">
                  <c:v>0.11569139996329859</c:v>
                </c:pt>
                <c:pt idx="19">
                  <c:v>-7.0466111464403208E-2</c:v>
                </c:pt>
                <c:pt idx="20">
                  <c:v>0.28170347429286569</c:v>
                </c:pt>
                <c:pt idx="21">
                  <c:v>0.36183937476132333</c:v>
                </c:pt>
                <c:pt idx="22">
                  <c:v>-3.8722622297636566E-2</c:v>
                </c:pt>
                <c:pt idx="23">
                  <c:v>0.13751786345915923</c:v>
                </c:pt>
                <c:pt idx="24">
                  <c:v>-1.6524920273683675E-2</c:v>
                </c:pt>
                <c:pt idx="25">
                  <c:v>-0.22648211104296087</c:v>
                </c:pt>
                <c:pt idx="26">
                  <c:v>-0.12424593628184907</c:v>
                </c:pt>
                <c:pt idx="27">
                  <c:v>-0.20693626254554429</c:v>
                </c:pt>
                <c:pt idx="28">
                  <c:v>0.14696794950550035</c:v>
                </c:pt>
                <c:pt idx="29">
                  <c:v>-2.7570979798889395E-2</c:v>
                </c:pt>
                <c:pt idx="30">
                  <c:v>-0.16565733749784456</c:v>
                </c:pt>
                <c:pt idx="31">
                  <c:v>-0.11837811878645006</c:v>
                </c:pt>
              </c:numCache>
            </c:numRef>
          </c:val>
          <c:extLst>
            <c:ext xmlns:c16="http://schemas.microsoft.com/office/drawing/2014/chart" uri="{C3380CC4-5D6E-409C-BE32-E72D297353CC}">
              <c16:uniqueId val="{00000003-F2DD-4426-B39C-54BA02CE298E}"/>
            </c:ext>
          </c:extLst>
        </c:ser>
        <c:ser>
          <c:idx val="5"/>
          <c:order val="5"/>
          <c:tx>
            <c:strRef>
              <c:f>'Služby-příspěvkyk růstu'!$H$25</c:f>
              <c:strCache>
                <c:ptCount val="1"/>
                <c:pt idx="0">
                  <c:v>Profesní, vědecké a technické činnosti</c:v>
                </c:pt>
              </c:strCache>
            </c:strRef>
          </c:tx>
          <c:spPr>
            <a:ln>
              <a:noFill/>
            </a:ln>
          </c:spPr>
          <c:invertIfNegative val="0"/>
          <c:cat>
            <c:multiLvlStrRef>
              <c:f>'Služby-příspěvkyk růstu'!$A$26:$B$57</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růstu'!$H$26:$H$57</c:f>
              <c:numCache>
                <c:formatCode>0.0</c:formatCode>
                <c:ptCount val="32"/>
                <c:pt idx="0">
                  <c:v>0.26056367570512462</c:v>
                </c:pt>
                <c:pt idx="1">
                  <c:v>-1.2681563969543717</c:v>
                </c:pt>
                <c:pt idx="2">
                  <c:v>-0.34037451364596788</c:v>
                </c:pt>
                <c:pt idx="3">
                  <c:v>6.7919988073555683E-3</c:v>
                </c:pt>
                <c:pt idx="4">
                  <c:v>-1.0874700024353192</c:v>
                </c:pt>
                <c:pt idx="5">
                  <c:v>-1.5480941959914887</c:v>
                </c:pt>
                <c:pt idx="6">
                  <c:v>-1.8394581714901601</c:v>
                </c:pt>
                <c:pt idx="7">
                  <c:v>-1.3204939098994952</c:v>
                </c:pt>
                <c:pt idx="8">
                  <c:v>-1.4950404628872149</c:v>
                </c:pt>
                <c:pt idx="9">
                  <c:v>0.15948422892432759</c:v>
                </c:pt>
                <c:pt idx="10">
                  <c:v>0.74053513016277428</c:v>
                </c:pt>
                <c:pt idx="11">
                  <c:v>-0.9975998818470686</c:v>
                </c:pt>
                <c:pt idx="12">
                  <c:v>1.0465087447120796</c:v>
                </c:pt>
                <c:pt idx="13">
                  <c:v>0.71899529557978503</c:v>
                </c:pt>
                <c:pt idx="14">
                  <c:v>1.1388599213036827</c:v>
                </c:pt>
                <c:pt idx="15">
                  <c:v>-6.6242068802780274E-2</c:v>
                </c:pt>
                <c:pt idx="16">
                  <c:v>-0.34411462892244937</c:v>
                </c:pt>
                <c:pt idx="17">
                  <c:v>-1.4098204980910964</c:v>
                </c:pt>
                <c:pt idx="18">
                  <c:v>3.2649225551130943E-2</c:v>
                </c:pt>
                <c:pt idx="19">
                  <c:v>-0.33278353560183283</c:v>
                </c:pt>
                <c:pt idx="20">
                  <c:v>0.84802481927557105</c:v>
                </c:pt>
                <c:pt idx="21">
                  <c:v>0.68467323056450891</c:v>
                </c:pt>
                <c:pt idx="22">
                  <c:v>0.30540176568753491</c:v>
                </c:pt>
                <c:pt idx="23">
                  <c:v>0.4296415627003537</c:v>
                </c:pt>
                <c:pt idx="24">
                  <c:v>1.1045103780905805</c:v>
                </c:pt>
                <c:pt idx="25">
                  <c:v>0.53164385977728257</c:v>
                </c:pt>
                <c:pt idx="26">
                  <c:v>0.35977038412315243</c:v>
                </c:pt>
                <c:pt idx="27">
                  <c:v>-0.26464964990043283</c:v>
                </c:pt>
                <c:pt idx="28">
                  <c:v>0.68091892995391812</c:v>
                </c:pt>
                <c:pt idx="29">
                  <c:v>0.61155652902522017</c:v>
                </c:pt>
                <c:pt idx="30">
                  <c:v>-0.82404704134539009</c:v>
                </c:pt>
                <c:pt idx="31">
                  <c:v>-0.54931785073438844</c:v>
                </c:pt>
              </c:numCache>
            </c:numRef>
          </c:val>
          <c:extLst>
            <c:ext xmlns:c16="http://schemas.microsoft.com/office/drawing/2014/chart" uri="{C3380CC4-5D6E-409C-BE32-E72D297353CC}">
              <c16:uniqueId val="{00000004-F2DD-4426-B39C-54BA02CE298E}"/>
            </c:ext>
          </c:extLst>
        </c:ser>
        <c:ser>
          <c:idx val="6"/>
          <c:order val="6"/>
          <c:tx>
            <c:strRef>
              <c:f>'Služby-příspěvkyk růstu'!$I$25</c:f>
              <c:strCache>
                <c:ptCount val="1"/>
                <c:pt idx="0">
                  <c:v>Administrativní a podpůrné činnosti</c:v>
                </c:pt>
              </c:strCache>
            </c:strRef>
          </c:tx>
          <c:spPr>
            <a:ln>
              <a:noFill/>
            </a:ln>
          </c:spPr>
          <c:invertIfNegative val="0"/>
          <c:cat>
            <c:multiLvlStrRef>
              <c:f>'Služby-příspěvkyk růstu'!$A$26:$B$57</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růstu'!$I$26:$I$57</c:f>
              <c:numCache>
                <c:formatCode>0.0</c:formatCode>
                <c:ptCount val="32"/>
                <c:pt idx="0">
                  <c:v>0.50933352272292842</c:v>
                </c:pt>
                <c:pt idx="1">
                  <c:v>0.24565467207768599</c:v>
                </c:pt>
                <c:pt idx="2">
                  <c:v>0.43263158283951764</c:v>
                </c:pt>
                <c:pt idx="3">
                  <c:v>-0.1954380072477136</c:v>
                </c:pt>
                <c:pt idx="4">
                  <c:v>-4.6157108767479256E-2</c:v>
                </c:pt>
                <c:pt idx="5">
                  <c:v>0.11156845127038885</c:v>
                </c:pt>
                <c:pt idx="6">
                  <c:v>9.5698006705440861E-2</c:v>
                </c:pt>
                <c:pt idx="7">
                  <c:v>0.39258903384665172</c:v>
                </c:pt>
                <c:pt idx="8">
                  <c:v>-0.17112005260044436</c:v>
                </c:pt>
                <c:pt idx="9">
                  <c:v>0.54546233626259299</c:v>
                </c:pt>
                <c:pt idx="10">
                  <c:v>0.38601770735091684</c:v>
                </c:pt>
                <c:pt idx="11">
                  <c:v>0.5291203825218157</c:v>
                </c:pt>
                <c:pt idx="12">
                  <c:v>0.51421326534391676</c:v>
                </c:pt>
                <c:pt idx="13">
                  <c:v>0.62116568461804889</c:v>
                </c:pt>
                <c:pt idx="14">
                  <c:v>0.43416445431934747</c:v>
                </c:pt>
                <c:pt idx="15">
                  <c:v>0.50274935479142402</c:v>
                </c:pt>
                <c:pt idx="16">
                  <c:v>0.52429949141648902</c:v>
                </c:pt>
                <c:pt idx="17">
                  <c:v>0.16570167360343493</c:v>
                </c:pt>
                <c:pt idx="18">
                  <c:v>0.26961649380729313</c:v>
                </c:pt>
                <c:pt idx="19">
                  <c:v>0.51431629338922669</c:v>
                </c:pt>
                <c:pt idx="20">
                  <c:v>1.2356312951926256</c:v>
                </c:pt>
                <c:pt idx="21">
                  <c:v>1.0866573951085376</c:v>
                </c:pt>
                <c:pt idx="22">
                  <c:v>0.64106947424468408</c:v>
                </c:pt>
                <c:pt idx="23">
                  <c:v>0.30440357534892626</c:v>
                </c:pt>
                <c:pt idx="24">
                  <c:v>0.53272062163062639</c:v>
                </c:pt>
                <c:pt idx="25">
                  <c:v>0.37833296302356378</c:v>
                </c:pt>
                <c:pt idx="26">
                  <c:v>0.43545533031232775</c:v>
                </c:pt>
                <c:pt idx="27">
                  <c:v>-1.237765959276311E-2</c:v>
                </c:pt>
                <c:pt idx="28">
                  <c:v>0.47282485439966671</c:v>
                </c:pt>
                <c:pt idx="29">
                  <c:v>0.12918024380744797</c:v>
                </c:pt>
                <c:pt idx="30">
                  <c:v>-0.12207408079754292</c:v>
                </c:pt>
                <c:pt idx="31">
                  <c:v>-0.21599446728932631</c:v>
                </c:pt>
              </c:numCache>
            </c:numRef>
          </c:val>
          <c:extLst>
            <c:ext xmlns:c16="http://schemas.microsoft.com/office/drawing/2014/chart" uri="{C3380CC4-5D6E-409C-BE32-E72D297353CC}">
              <c16:uniqueId val="{00000005-F2DD-4426-B39C-54BA02CE298E}"/>
            </c:ext>
          </c:extLst>
        </c:ser>
        <c:dLbls>
          <c:showLegendKey val="0"/>
          <c:showVal val="0"/>
          <c:showCatName val="0"/>
          <c:showSerName val="0"/>
          <c:showPercent val="0"/>
          <c:showBubbleSize val="0"/>
        </c:dLbls>
        <c:gapWidth val="32"/>
        <c:overlap val="100"/>
        <c:axId val="156100864"/>
        <c:axId val="156573696"/>
      </c:barChart>
      <c:lineChart>
        <c:grouping val="standard"/>
        <c:varyColors val="0"/>
        <c:ser>
          <c:idx val="3"/>
          <c:order val="0"/>
          <c:tx>
            <c:strRef>
              <c:f>'Služby-příspěvkyk růstu'!$C$25</c:f>
              <c:strCache>
                <c:ptCount val="1"/>
                <c:pt idx="0">
                  <c:v>Služby celkem</c:v>
                </c:pt>
              </c:strCache>
            </c:strRef>
          </c:tx>
          <c:spPr>
            <a:ln>
              <a:noFill/>
            </a:ln>
          </c:spPr>
          <c:marker>
            <c:symbol val="dash"/>
            <c:size val="10"/>
            <c:spPr>
              <a:solidFill>
                <a:schemeClr val="tx1">
                  <a:lumMod val="95000"/>
                  <a:lumOff val="5000"/>
                </a:schemeClr>
              </a:solidFill>
              <a:ln>
                <a:noFill/>
              </a:ln>
            </c:spPr>
          </c:marker>
          <c:cat>
            <c:multiLvlStrRef>
              <c:f>'Služby-příspěvkyk růstu'!$A$26:$B$57</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růstu'!$C$26:$C$57</c:f>
              <c:numCache>
                <c:formatCode>0.0</c:formatCode>
                <c:ptCount val="32"/>
                <c:pt idx="0">
                  <c:v>0.44716083626813941</c:v>
                </c:pt>
                <c:pt idx="1">
                  <c:v>-1.205618351088134</c:v>
                </c:pt>
                <c:pt idx="2">
                  <c:v>1.1119879111190585</c:v>
                </c:pt>
                <c:pt idx="3">
                  <c:v>-1.3703161378149815</c:v>
                </c:pt>
                <c:pt idx="4">
                  <c:v>-0.22134403967748995</c:v>
                </c:pt>
                <c:pt idx="5">
                  <c:v>-0.88400747104550703</c:v>
                </c:pt>
                <c:pt idx="6">
                  <c:v>-1.3618552952282101</c:v>
                </c:pt>
                <c:pt idx="7">
                  <c:v>1.6284062996127346</c:v>
                </c:pt>
                <c:pt idx="8">
                  <c:v>-0.7859715475108402</c:v>
                </c:pt>
                <c:pt idx="9">
                  <c:v>1.5809745598362355</c:v>
                </c:pt>
                <c:pt idx="10">
                  <c:v>2.5911234214958512</c:v>
                </c:pt>
                <c:pt idx="11">
                  <c:v>0.43047434534355489</c:v>
                </c:pt>
                <c:pt idx="12">
                  <c:v>3.2637766911846455</c:v>
                </c:pt>
                <c:pt idx="13">
                  <c:v>2.7078584856150485</c:v>
                </c:pt>
                <c:pt idx="14">
                  <c:v>3.2907142690075517</c:v>
                </c:pt>
                <c:pt idx="15">
                  <c:v>2.1897925834519043</c:v>
                </c:pt>
                <c:pt idx="16">
                  <c:v>1.4456719593731719</c:v>
                </c:pt>
                <c:pt idx="17">
                  <c:v>-0.89050342973393981</c:v>
                </c:pt>
                <c:pt idx="18">
                  <c:v>1.4392341652332448</c:v>
                </c:pt>
                <c:pt idx="19">
                  <c:v>1.5966870501338946</c:v>
                </c:pt>
                <c:pt idx="20">
                  <c:v>5.6859794098155474</c:v>
                </c:pt>
                <c:pt idx="21">
                  <c:v>5.440056729818517</c:v>
                </c:pt>
                <c:pt idx="22">
                  <c:v>3.3752239190103639</c:v>
                </c:pt>
                <c:pt idx="23">
                  <c:v>2.5213283533881556</c:v>
                </c:pt>
                <c:pt idx="24">
                  <c:v>5.0105026129542809</c:v>
                </c:pt>
                <c:pt idx="25">
                  <c:v>3.4312071386414438</c:v>
                </c:pt>
                <c:pt idx="26">
                  <c:v>3.6167026776715248</c:v>
                </c:pt>
                <c:pt idx="27">
                  <c:v>0.96240315420283451</c:v>
                </c:pt>
                <c:pt idx="28">
                  <c:v>3.5071660321894416</c:v>
                </c:pt>
                <c:pt idx="29">
                  <c:v>1.9714390492409262</c:v>
                </c:pt>
                <c:pt idx="30">
                  <c:v>-0.91213580689425688</c:v>
                </c:pt>
                <c:pt idx="31">
                  <c:v>-0.27748202031394953</c:v>
                </c:pt>
              </c:numCache>
            </c:numRef>
          </c:val>
          <c:smooth val="0"/>
          <c:extLst>
            <c:ext xmlns:c16="http://schemas.microsoft.com/office/drawing/2014/chart" uri="{C3380CC4-5D6E-409C-BE32-E72D297353CC}">
              <c16:uniqueId val="{00000006-F2DD-4426-B39C-54BA02CE298E}"/>
            </c:ext>
          </c:extLst>
        </c:ser>
        <c:dLbls>
          <c:showLegendKey val="0"/>
          <c:showVal val="0"/>
          <c:showCatName val="0"/>
          <c:showSerName val="0"/>
          <c:showPercent val="0"/>
          <c:showBubbleSize val="0"/>
        </c:dLbls>
        <c:marker val="1"/>
        <c:smooth val="0"/>
        <c:axId val="156100864"/>
        <c:axId val="156573696"/>
      </c:lineChart>
      <c:lineChart>
        <c:grouping val="standard"/>
        <c:varyColors val="0"/>
        <c:ser>
          <c:idx val="7"/>
          <c:order val="7"/>
          <c:tx>
            <c:strRef>
              <c:f>'Služby-příspěvkyk růstu'!$J$25</c:f>
              <c:strCache>
                <c:ptCount val="1"/>
                <c:pt idx="0">
                  <c:v>Saldo indik.důvěry ve službách (pr. osa)</c:v>
                </c:pt>
              </c:strCache>
            </c:strRef>
          </c:tx>
          <c:spPr>
            <a:ln w="28575">
              <a:noFill/>
            </a:ln>
          </c:spPr>
          <c:marker>
            <c:symbol val="diamond"/>
            <c:size val="5"/>
            <c:spPr>
              <a:solidFill>
                <a:srgbClr val="FFFF00"/>
              </a:solidFill>
              <a:ln w="6350">
                <a:solidFill>
                  <a:schemeClr val="tx1">
                    <a:lumMod val="95000"/>
                    <a:lumOff val="5000"/>
                  </a:schemeClr>
                </a:solidFill>
              </a:ln>
            </c:spPr>
          </c:marker>
          <c:cat>
            <c:multiLvlStrRef>
              <c:f>'Služby-příspěvkyk růstu'!$A$26:$B$57</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růstu'!$J$26:$J$57</c:f>
              <c:numCache>
                <c:formatCode>0.0</c:formatCode>
                <c:ptCount val="32"/>
                <c:pt idx="0">
                  <c:v>26.333333333333332</c:v>
                </c:pt>
                <c:pt idx="1">
                  <c:v>25.666666666666668</c:v>
                </c:pt>
                <c:pt idx="2">
                  <c:v>23.866666666666664</c:v>
                </c:pt>
                <c:pt idx="3">
                  <c:v>23.3</c:v>
                </c:pt>
                <c:pt idx="4">
                  <c:v>23.666666666666668</c:v>
                </c:pt>
                <c:pt idx="5">
                  <c:v>22.233333333333334</c:v>
                </c:pt>
                <c:pt idx="6">
                  <c:v>22.366666666666664</c:v>
                </c:pt>
                <c:pt idx="7">
                  <c:v>26.333333333333332</c:v>
                </c:pt>
                <c:pt idx="8">
                  <c:v>26.900000000000002</c:v>
                </c:pt>
                <c:pt idx="9">
                  <c:v>26.666666666666668</c:v>
                </c:pt>
                <c:pt idx="10">
                  <c:v>29.233333333333334</c:v>
                </c:pt>
                <c:pt idx="11">
                  <c:v>31.666666666666668</c:v>
                </c:pt>
                <c:pt idx="12">
                  <c:v>29.466666666666669</c:v>
                </c:pt>
                <c:pt idx="13">
                  <c:v>29.133333333333336</c:v>
                </c:pt>
                <c:pt idx="14">
                  <c:v>30.633333333333336</c:v>
                </c:pt>
                <c:pt idx="15">
                  <c:v>32.466666666666669</c:v>
                </c:pt>
                <c:pt idx="16">
                  <c:v>33.56666666666667</c:v>
                </c:pt>
                <c:pt idx="17">
                  <c:v>32.43333333333333</c:v>
                </c:pt>
                <c:pt idx="18">
                  <c:v>33.666666666666664</c:v>
                </c:pt>
                <c:pt idx="19">
                  <c:v>36.700000000000003</c:v>
                </c:pt>
                <c:pt idx="20">
                  <c:v>35.299999999999997</c:v>
                </c:pt>
                <c:pt idx="21">
                  <c:v>37.366666666666667</c:v>
                </c:pt>
                <c:pt idx="22">
                  <c:v>37.533333333333331</c:v>
                </c:pt>
                <c:pt idx="23">
                  <c:v>35.9</c:v>
                </c:pt>
                <c:pt idx="24">
                  <c:v>37.199999999999996</c:v>
                </c:pt>
                <c:pt idx="25">
                  <c:v>37.56666666666667</c:v>
                </c:pt>
                <c:pt idx="26">
                  <c:v>38.1</c:v>
                </c:pt>
                <c:pt idx="27">
                  <c:v>39</c:v>
                </c:pt>
                <c:pt idx="28">
                  <c:v>38</c:v>
                </c:pt>
                <c:pt idx="29">
                  <c:v>34.666666666666664</c:v>
                </c:pt>
                <c:pt idx="30">
                  <c:v>33.233333333333334</c:v>
                </c:pt>
                <c:pt idx="31">
                  <c:v>32.133333333333333</c:v>
                </c:pt>
              </c:numCache>
            </c:numRef>
          </c:val>
          <c:smooth val="0"/>
          <c:extLst>
            <c:ext xmlns:c16="http://schemas.microsoft.com/office/drawing/2014/chart" uri="{C3380CC4-5D6E-409C-BE32-E72D297353CC}">
              <c16:uniqueId val="{00000007-F2DD-4426-B39C-54BA02CE298E}"/>
            </c:ext>
          </c:extLst>
        </c:ser>
        <c:ser>
          <c:idx val="8"/>
          <c:order val="8"/>
          <c:tx>
            <c:strRef>
              <c:f>'Služby-příspěvkyk růstu'!$K$25</c:f>
              <c:strCache>
                <c:ptCount val="1"/>
                <c:pt idx="0">
                  <c:v>Bariéra růstu: nedost. poptávka (pr. osa)</c:v>
                </c:pt>
              </c:strCache>
            </c:strRef>
          </c:tx>
          <c:spPr>
            <a:ln w="15875">
              <a:solidFill>
                <a:srgbClr val="00B050"/>
              </a:solidFill>
            </a:ln>
          </c:spPr>
          <c:marker>
            <c:symbol val="none"/>
          </c:marker>
          <c:cat>
            <c:multiLvlStrRef>
              <c:f>'Služby-příspěvkyk růstu'!$A$26:$B$57</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růstu'!$K$26:$K$57</c:f>
              <c:numCache>
                <c:formatCode>#\ ##0.0</c:formatCode>
                <c:ptCount val="32"/>
                <c:pt idx="0">
                  <c:v>32.200000000000003</c:v>
                </c:pt>
                <c:pt idx="1">
                  <c:v>27.5</c:v>
                </c:pt>
                <c:pt idx="2">
                  <c:v>25.1</c:v>
                </c:pt>
                <c:pt idx="3">
                  <c:v>38.299999999999997</c:v>
                </c:pt>
                <c:pt idx="4">
                  <c:v>37.200000000000003</c:v>
                </c:pt>
                <c:pt idx="5">
                  <c:v>34.5</c:v>
                </c:pt>
                <c:pt idx="6">
                  <c:v>37.4</c:v>
                </c:pt>
                <c:pt idx="7">
                  <c:v>35.5</c:v>
                </c:pt>
                <c:pt idx="8">
                  <c:v>33.9</c:v>
                </c:pt>
                <c:pt idx="9">
                  <c:v>34.200000000000003</c:v>
                </c:pt>
                <c:pt idx="10">
                  <c:v>31.4</c:v>
                </c:pt>
                <c:pt idx="11">
                  <c:v>24.7</c:v>
                </c:pt>
                <c:pt idx="12">
                  <c:v>26.2</c:v>
                </c:pt>
                <c:pt idx="13">
                  <c:v>29</c:v>
                </c:pt>
                <c:pt idx="14">
                  <c:v>26.9</c:v>
                </c:pt>
                <c:pt idx="15">
                  <c:v>23.3</c:v>
                </c:pt>
                <c:pt idx="16">
                  <c:v>24</c:v>
                </c:pt>
                <c:pt idx="17">
                  <c:v>24.5</c:v>
                </c:pt>
                <c:pt idx="18">
                  <c:v>21</c:v>
                </c:pt>
                <c:pt idx="19">
                  <c:v>23.3</c:v>
                </c:pt>
                <c:pt idx="20">
                  <c:v>26.2</c:v>
                </c:pt>
                <c:pt idx="21">
                  <c:v>20.5</c:v>
                </c:pt>
                <c:pt idx="22">
                  <c:v>19.899999999999999</c:v>
                </c:pt>
                <c:pt idx="23">
                  <c:v>20.9</c:v>
                </c:pt>
                <c:pt idx="24">
                  <c:v>17.3</c:v>
                </c:pt>
                <c:pt idx="25">
                  <c:v>18.600000000000001</c:v>
                </c:pt>
                <c:pt idx="26">
                  <c:v>18.899999999999999</c:v>
                </c:pt>
                <c:pt idx="27">
                  <c:v>19.8</c:v>
                </c:pt>
                <c:pt idx="28">
                  <c:v>20.7</c:v>
                </c:pt>
                <c:pt idx="29">
                  <c:v>17.100000000000001</c:v>
                </c:pt>
                <c:pt idx="30">
                  <c:v>21.7</c:v>
                </c:pt>
                <c:pt idx="31">
                  <c:v>14.1</c:v>
                </c:pt>
              </c:numCache>
            </c:numRef>
          </c:val>
          <c:smooth val="0"/>
          <c:extLst>
            <c:ext xmlns:c16="http://schemas.microsoft.com/office/drawing/2014/chart" uri="{C3380CC4-5D6E-409C-BE32-E72D297353CC}">
              <c16:uniqueId val="{00000008-F2DD-4426-B39C-54BA02CE298E}"/>
            </c:ext>
          </c:extLst>
        </c:ser>
        <c:ser>
          <c:idx val="9"/>
          <c:order val="9"/>
          <c:tx>
            <c:strRef>
              <c:f>'Služby-příspěvkyk růstu'!$L$25</c:f>
              <c:strCache>
                <c:ptCount val="1"/>
                <c:pt idx="0">
                  <c:v>Bariéra růstu: nedost. pracovníků (pr. osa)</c:v>
                </c:pt>
              </c:strCache>
            </c:strRef>
          </c:tx>
          <c:spPr>
            <a:ln w="15875">
              <a:solidFill>
                <a:srgbClr val="00B050"/>
              </a:solidFill>
              <a:prstDash val="sysDash"/>
            </a:ln>
          </c:spPr>
          <c:marker>
            <c:symbol val="none"/>
          </c:marker>
          <c:cat>
            <c:multiLvlStrRef>
              <c:f>'Služby-příspěvkyk růstu'!$A$26:$B$57</c:f>
              <c:multiLvlStrCache>
                <c:ptCount val="3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lvl>
                <c:lvl>
                  <c:pt idx="0">
                    <c:v>2012</c:v>
                  </c:pt>
                  <c:pt idx="4">
                    <c:v>2013</c:v>
                  </c:pt>
                  <c:pt idx="8">
                    <c:v>2014</c:v>
                  </c:pt>
                  <c:pt idx="12">
                    <c:v>2015</c:v>
                  </c:pt>
                  <c:pt idx="16">
                    <c:v>2016</c:v>
                  </c:pt>
                  <c:pt idx="20">
                    <c:v>2017</c:v>
                  </c:pt>
                  <c:pt idx="24">
                    <c:v>2018</c:v>
                  </c:pt>
                  <c:pt idx="28">
                    <c:v>2019</c:v>
                  </c:pt>
                </c:lvl>
              </c:multiLvlStrCache>
            </c:multiLvlStrRef>
          </c:cat>
          <c:val>
            <c:numRef>
              <c:f>'Služby-příspěvkyk růstu'!$L$26:$L$57</c:f>
              <c:numCache>
                <c:formatCode>#\ ##0.0</c:formatCode>
                <c:ptCount val="32"/>
                <c:pt idx="0">
                  <c:v>0.8</c:v>
                </c:pt>
                <c:pt idx="1">
                  <c:v>2.6</c:v>
                </c:pt>
                <c:pt idx="2">
                  <c:v>3.7</c:v>
                </c:pt>
                <c:pt idx="3">
                  <c:v>1.5</c:v>
                </c:pt>
                <c:pt idx="4">
                  <c:v>0.8</c:v>
                </c:pt>
                <c:pt idx="5">
                  <c:v>0.3</c:v>
                </c:pt>
                <c:pt idx="6">
                  <c:v>0.1</c:v>
                </c:pt>
                <c:pt idx="7">
                  <c:v>2.1</c:v>
                </c:pt>
                <c:pt idx="8">
                  <c:v>0.8</c:v>
                </c:pt>
                <c:pt idx="9">
                  <c:v>2.6</c:v>
                </c:pt>
                <c:pt idx="10">
                  <c:v>2.5</c:v>
                </c:pt>
                <c:pt idx="11">
                  <c:v>3.8</c:v>
                </c:pt>
                <c:pt idx="12">
                  <c:v>2.8</c:v>
                </c:pt>
                <c:pt idx="13">
                  <c:v>5.7</c:v>
                </c:pt>
                <c:pt idx="14">
                  <c:v>5.9</c:v>
                </c:pt>
                <c:pt idx="15">
                  <c:v>5.8</c:v>
                </c:pt>
                <c:pt idx="16">
                  <c:v>8.6999999999999993</c:v>
                </c:pt>
                <c:pt idx="17">
                  <c:v>4.5999999999999996</c:v>
                </c:pt>
                <c:pt idx="18">
                  <c:v>7.1</c:v>
                </c:pt>
                <c:pt idx="19">
                  <c:v>9.1</c:v>
                </c:pt>
                <c:pt idx="20">
                  <c:v>10.1</c:v>
                </c:pt>
                <c:pt idx="21">
                  <c:v>10</c:v>
                </c:pt>
                <c:pt idx="22">
                  <c:v>9.3000000000000007</c:v>
                </c:pt>
                <c:pt idx="23">
                  <c:v>12.2</c:v>
                </c:pt>
                <c:pt idx="24">
                  <c:v>14.2</c:v>
                </c:pt>
                <c:pt idx="25">
                  <c:v>16.600000000000001</c:v>
                </c:pt>
                <c:pt idx="26">
                  <c:v>17.3</c:v>
                </c:pt>
                <c:pt idx="27">
                  <c:v>18.600000000000001</c:v>
                </c:pt>
                <c:pt idx="28">
                  <c:v>19.600000000000001</c:v>
                </c:pt>
                <c:pt idx="29">
                  <c:v>16.600000000000001</c:v>
                </c:pt>
                <c:pt idx="30">
                  <c:v>21.2</c:v>
                </c:pt>
                <c:pt idx="31">
                  <c:v>19.100000000000001</c:v>
                </c:pt>
              </c:numCache>
            </c:numRef>
          </c:val>
          <c:smooth val="0"/>
          <c:extLst>
            <c:ext xmlns:c16="http://schemas.microsoft.com/office/drawing/2014/chart" uri="{C3380CC4-5D6E-409C-BE32-E72D297353CC}">
              <c16:uniqueId val="{00000009-F2DD-4426-B39C-54BA02CE298E}"/>
            </c:ext>
          </c:extLst>
        </c:ser>
        <c:dLbls>
          <c:showLegendKey val="0"/>
          <c:showVal val="0"/>
          <c:showCatName val="0"/>
          <c:showSerName val="0"/>
          <c:showPercent val="0"/>
          <c:showBubbleSize val="0"/>
        </c:dLbls>
        <c:marker val="1"/>
        <c:smooth val="0"/>
        <c:axId val="156576768"/>
        <c:axId val="156575232"/>
      </c:lineChart>
      <c:catAx>
        <c:axId val="156100864"/>
        <c:scaling>
          <c:orientation val="minMax"/>
        </c:scaling>
        <c:delete val="0"/>
        <c:axPos val="b"/>
        <c:numFmt formatCode="General" sourceLinked="0"/>
        <c:majorTickMark val="out"/>
        <c:minorTickMark val="none"/>
        <c:tickLblPos val="low"/>
        <c:txPr>
          <a:bodyPr/>
          <a:lstStyle/>
          <a:p>
            <a:pPr>
              <a:defRPr sz="800"/>
            </a:pPr>
            <a:endParaRPr lang="cs-CZ"/>
          </a:p>
        </c:txPr>
        <c:crossAx val="156573696"/>
        <c:crosses val="autoZero"/>
        <c:auto val="1"/>
        <c:lblAlgn val="ctr"/>
        <c:lblOffset val="0"/>
        <c:noMultiLvlLbl val="0"/>
      </c:catAx>
      <c:valAx>
        <c:axId val="156573696"/>
        <c:scaling>
          <c:orientation val="minMax"/>
          <c:max val="7"/>
          <c:min val="-8"/>
        </c:scaling>
        <c:delete val="0"/>
        <c:axPos val="l"/>
        <c:majorGridlines>
          <c:spPr>
            <a:ln w="6350">
              <a:solidFill>
                <a:schemeClr val="bg1">
                  <a:lumMod val="75000"/>
                </a:schemeClr>
              </a:solidFill>
            </a:ln>
          </c:spPr>
        </c:majorGridlines>
        <c:title>
          <c:tx>
            <c:rich>
              <a:bodyPr/>
              <a:lstStyle/>
              <a:p>
                <a:pPr>
                  <a:defRPr sz="700" b="0" i="1"/>
                </a:pPr>
                <a:r>
                  <a:rPr lang="cs-CZ" sz="700" b="0" i="1"/>
                  <a:t>Příspěvěk</a:t>
                </a:r>
                <a:r>
                  <a:rPr lang="cs-CZ" sz="700" b="0" i="1" baseline="0"/>
                  <a:t> k růstu tržeb</a:t>
                </a:r>
                <a:endParaRPr lang="cs-CZ" sz="700" b="0" i="1"/>
              </a:p>
            </c:rich>
          </c:tx>
          <c:overlay val="0"/>
        </c:title>
        <c:numFmt formatCode="0" sourceLinked="0"/>
        <c:majorTickMark val="out"/>
        <c:minorTickMark val="none"/>
        <c:tickLblPos val="nextTo"/>
        <c:txPr>
          <a:bodyPr/>
          <a:lstStyle/>
          <a:p>
            <a:pPr>
              <a:defRPr sz="800"/>
            </a:pPr>
            <a:endParaRPr lang="cs-CZ"/>
          </a:p>
        </c:txPr>
        <c:crossAx val="156100864"/>
        <c:crosses val="autoZero"/>
        <c:crossBetween val="between"/>
        <c:majorUnit val="1"/>
      </c:valAx>
      <c:valAx>
        <c:axId val="156575232"/>
        <c:scaling>
          <c:orientation val="minMax"/>
          <c:max val="10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cs-CZ" sz="700" b="0" i="1" baseline="0">
                    <a:effectLst/>
                  </a:rPr>
                  <a:t>Saldo indikátoru důvěry, Bariéry růstu</a:t>
                </a:r>
                <a:endParaRPr lang="cs-CZ" sz="700" b="0" i="1">
                  <a:effectLst/>
                </a:endParaRPr>
              </a:p>
            </c:rich>
          </c:tx>
          <c:overlay val="0"/>
        </c:title>
        <c:numFmt formatCode="0" sourceLinked="0"/>
        <c:majorTickMark val="out"/>
        <c:minorTickMark val="none"/>
        <c:tickLblPos val="nextTo"/>
        <c:txPr>
          <a:bodyPr/>
          <a:lstStyle/>
          <a:p>
            <a:pPr>
              <a:defRPr sz="800"/>
            </a:pPr>
            <a:endParaRPr lang="cs-CZ"/>
          </a:p>
        </c:txPr>
        <c:crossAx val="156576768"/>
        <c:crosses val="max"/>
        <c:crossBetween val="between"/>
        <c:majorUnit val="10"/>
      </c:valAx>
      <c:catAx>
        <c:axId val="156576768"/>
        <c:scaling>
          <c:orientation val="minMax"/>
        </c:scaling>
        <c:delete val="1"/>
        <c:axPos val="b"/>
        <c:numFmt formatCode="General" sourceLinked="1"/>
        <c:majorTickMark val="out"/>
        <c:minorTickMark val="none"/>
        <c:tickLblPos val="none"/>
        <c:crossAx val="156575232"/>
        <c:crosses val="autoZero"/>
        <c:auto val="1"/>
        <c:lblAlgn val="ctr"/>
        <c:lblOffset val="100"/>
        <c:noMultiLvlLbl val="0"/>
      </c:catAx>
      <c:spPr>
        <a:ln>
          <a:solidFill>
            <a:schemeClr val="tx1"/>
          </a:solidFill>
        </a:ln>
      </c:spPr>
    </c:plotArea>
    <c:legend>
      <c:legendPos val="r"/>
      <c:layout>
        <c:manualLayout>
          <c:xMode val="edge"/>
          <c:yMode val="edge"/>
          <c:x val="2.7321712325311751E-3"/>
          <c:y val="0.83236472245363968"/>
          <c:w val="0.99197450866656334"/>
          <c:h val="0.16409786326250428"/>
        </c:manualLayout>
      </c:layout>
      <c:overlay val="0"/>
      <c:spPr>
        <a:ln w="6350">
          <a:solidFill>
            <a:schemeClr val="tx1"/>
          </a:solidFill>
        </a:ln>
      </c:spPr>
      <c:txPr>
        <a:bodyPr/>
        <a:lstStyle/>
        <a:p>
          <a:pPr>
            <a:defRPr sz="80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1481551840594413E-2"/>
          <c:y val="2.3304908251716772E-2"/>
          <c:w val="0.90781408308004052"/>
          <c:h val="0.612553754362265"/>
        </c:manualLayout>
      </c:layout>
      <c:barChart>
        <c:barDir val="col"/>
        <c:grouping val="clustered"/>
        <c:varyColors val="0"/>
        <c:ser>
          <c:idx val="0"/>
          <c:order val="0"/>
          <c:tx>
            <c:strRef>
              <c:f>'Vnější vztahy 2'!$A$6</c:f>
              <c:strCache>
                <c:ptCount val="1"/>
                <c:pt idx="0">
                  <c:v>2018</c:v>
                </c:pt>
              </c:strCache>
            </c:strRef>
          </c:tx>
          <c:spPr>
            <a:solidFill>
              <a:schemeClr val="tx1">
                <a:lumMod val="50000"/>
                <a:lumOff val="50000"/>
              </a:schemeClr>
            </a:solidFill>
            <a:ln>
              <a:noFill/>
            </a:ln>
          </c:spPr>
          <c:invertIfNegative val="0"/>
          <c:cat>
            <c:strRef>
              <c:f>'Vnější vztahy 2'!$B$5:$N$5</c:f>
              <c:strCache>
                <c:ptCount val="13"/>
                <c:pt idx="0">
                  <c:v>Ropa a zemní plyn</c:v>
                </c:pt>
                <c:pt idx="1">
                  <c:v>Potrav. výrobky</c:v>
                </c:pt>
                <c:pt idx="2">
                  <c:v>Oděvy</c:v>
                </c:pt>
                <c:pt idx="3">
                  <c:v>Koks, raf. ropné prod.</c:v>
                </c:pt>
                <c:pt idx="4">
                  <c:v>Chem. látky a přípr.</c:v>
                </c:pt>
                <c:pt idx="5">
                  <c:v>Farmac. výrobky</c:v>
                </c:pt>
                <c:pt idx="6">
                  <c:v>Ostat. nekov. minerály</c:v>
                </c:pt>
                <c:pt idx="7">
                  <c:v>Základní kovy</c:v>
                </c:pt>
                <c:pt idx="8">
                  <c:v>Kovodělné výrobky</c:v>
                </c:pt>
                <c:pt idx="9">
                  <c:v>Počítače, opt.                                          a elektron. přístr.</c:v>
                </c:pt>
                <c:pt idx="10">
                  <c:v>Elektrická zařízení</c:v>
                </c:pt>
                <c:pt idx="11">
                  <c:v>Stroje a zařízení j. n.</c:v>
                </c:pt>
                <c:pt idx="12">
                  <c:v>Motorová vozidla</c:v>
                </c:pt>
              </c:strCache>
            </c:strRef>
          </c:cat>
          <c:val>
            <c:numRef>
              <c:f>'Vnější vztahy 2'!$B$6:$N$6</c:f>
              <c:numCache>
                <c:formatCode>General</c:formatCode>
                <c:ptCount val="13"/>
                <c:pt idx="0">
                  <c:v>-131.042</c:v>
                </c:pt>
                <c:pt idx="1">
                  <c:v>-39.988</c:v>
                </c:pt>
                <c:pt idx="2">
                  <c:v>-30.158000000000001</c:v>
                </c:pt>
                <c:pt idx="3">
                  <c:v>-28.908000000000001</c:v>
                </c:pt>
                <c:pt idx="4">
                  <c:v>-116.961</c:v>
                </c:pt>
                <c:pt idx="5">
                  <c:v>-50.207999999999998</c:v>
                </c:pt>
                <c:pt idx="6">
                  <c:v>22.904</c:v>
                </c:pt>
                <c:pt idx="7">
                  <c:v>-129.42699999999999</c:v>
                </c:pt>
                <c:pt idx="8">
                  <c:v>56.871000000000002</c:v>
                </c:pt>
                <c:pt idx="9">
                  <c:v>-25.367000000000001</c:v>
                </c:pt>
                <c:pt idx="10">
                  <c:v>44.972999999999999</c:v>
                </c:pt>
                <c:pt idx="11">
                  <c:v>62.290999999999997</c:v>
                </c:pt>
                <c:pt idx="12">
                  <c:v>438.8</c:v>
                </c:pt>
              </c:numCache>
            </c:numRef>
          </c:val>
          <c:extLst>
            <c:ext xmlns:c16="http://schemas.microsoft.com/office/drawing/2014/chart" uri="{C3380CC4-5D6E-409C-BE32-E72D297353CC}">
              <c16:uniqueId val="{00000000-D2BC-4E87-A2A6-D88D386EAC41}"/>
            </c:ext>
          </c:extLst>
        </c:ser>
        <c:ser>
          <c:idx val="1"/>
          <c:order val="1"/>
          <c:tx>
            <c:strRef>
              <c:f>'Vnější vztahy 2'!$A$7</c:f>
              <c:strCache>
                <c:ptCount val="1"/>
                <c:pt idx="0">
                  <c:v>2019</c:v>
                </c:pt>
              </c:strCache>
            </c:strRef>
          </c:tx>
          <c:spPr>
            <a:solidFill>
              <a:schemeClr val="bg1">
                <a:lumMod val="65000"/>
              </a:schemeClr>
            </a:solidFill>
          </c:spPr>
          <c:invertIfNegative val="0"/>
          <c:val>
            <c:numRef>
              <c:f>'Vnější vztahy 2'!$B$7:$N$7</c:f>
              <c:numCache>
                <c:formatCode>General</c:formatCode>
                <c:ptCount val="13"/>
                <c:pt idx="0">
                  <c:v>-126.05200000000001</c:v>
                </c:pt>
                <c:pt idx="1">
                  <c:v>-44.838999999999999</c:v>
                </c:pt>
                <c:pt idx="2">
                  <c:v>-33.115000000000002</c:v>
                </c:pt>
                <c:pt idx="3">
                  <c:v>-21.524000000000001</c:v>
                </c:pt>
                <c:pt idx="4">
                  <c:v>-112.04900000000001</c:v>
                </c:pt>
                <c:pt idx="5">
                  <c:v>-53.94</c:v>
                </c:pt>
                <c:pt idx="6">
                  <c:v>22.908000000000001</c:v>
                </c:pt>
                <c:pt idx="7">
                  <c:v>-124.312</c:v>
                </c:pt>
                <c:pt idx="8">
                  <c:v>57.139000000000003</c:v>
                </c:pt>
                <c:pt idx="9">
                  <c:v>-31.956</c:v>
                </c:pt>
                <c:pt idx="10">
                  <c:v>41.584000000000003</c:v>
                </c:pt>
                <c:pt idx="11">
                  <c:v>65.299000000000007</c:v>
                </c:pt>
                <c:pt idx="12">
                  <c:v>463.98700000000002</c:v>
                </c:pt>
              </c:numCache>
            </c:numRef>
          </c:val>
          <c:extLst>
            <c:ext xmlns:c16="http://schemas.microsoft.com/office/drawing/2014/chart" uri="{C3380CC4-5D6E-409C-BE32-E72D297353CC}">
              <c16:uniqueId val="{00000001-D2BC-4E87-A2A6-D88D386EAC41}"/>
            </c:ext>
          </c:extLst>
        </c:ser>
        <c:dLbls>
          <c:showLegendKey val="0"/>
          <c:showVal val="0"/>
          <c:showCatName val="0"/>
          <c:showSerName val="0"/>
          <c:showPercent val="0"/>
          <c:showBubbleSize val="0"/>
        </c:dLbls>
        <c:gapWidth val="97"/>
        <c:axId val="269967744"/>
        <c:axId val="269969280"/>
      </c:barChart>
      <c:catAx>
        <c:axId val="269967744"/>
        <c:scaling>
          <c:orientation val="minMax"/>
        </c:scaling>
        <c:delete val="0"/>
        <c:axPos val="b"/>
        <c:numFmt formatCode="General" sourceLinked="0"/>
        <c:majorTickMark val="out"/>
        <c:minorTickMark val="none"/>
        <c:tickLblPos val="low"/>
        <c:spPr>
          <a:ln>
            <a:solidFill>
              <a:schemeClr val="tx1"/>
            </a:solidFill>
          </a:ln>
        </c:spPr>
        <c:txPr>
          <a:bodyPr rot="-5400000" vert="horz"/>
          <a:lstStyle/>
          <a:p>
            <a:pPr>
              <a:defRPr/>
            </a:pPr>
            <a:endParaRPr lang="cs-CZ"/>
          </a:p>
        </c:txPr>
        <c:crossAx val="269969280"/>
        <c:crosses val="autoZero"/>
        <c:auto val="1"/>
        <c:lblAlgn val="ctr"/>
        <c:lblOffset val="100"/>
        <c:noMultiLvlLbl val="0"/>
      </c:catAx>
      <c:valAx>
        <c:axId val="269969280"/>
        <c:scaling>
          <c:orientation val="minMax"/>
        </c:scaling>
        <c:delete val="0"/>
        <c:axPos val="l"/>
        <c:majorGridlines>
          <c:spPr>
            <a:ln w="6350">
              <a:solidFill>
                <a:schemeClr val="bg1">
                  <a:lumMod val="75000"/>
                </a:schemeClr>
              </a:solidFill>
            </a:ln>
          </c:spPr>
        </c:majorGridlines>
        <c:numFmt formatCode="General" sourceLinked="1"/>
        <c:majorTickMark val="out"/>
        <c:minorTickMark val="none"/>
        <c:tickLblPos val="nextTo"/>
        <c:crossAx val="269967744"/>
        <c:crosses val="autoZero"/>
        <c:crossBetween val="between"/>
      </c:valAx>
      <c:spPr>
        <a:ln>
          <a:solidFill>
            <a:schemeClr val="tx1"/>
          </a:solidFill>
        </a:ln>
      </c:spPr>
    </c:plotArea>
    <c:legend>
      <c:legendPos val="b"/>
      <c:layout>
        <c:manualLayout>
          <c:xMode val="edge"/>
          <c:yMode val="edge"/>
          <c:x val="7.9999155690645057E-2"/>
          <c:y val="0.93271781816746591"/>
          <c:w val="0.90181273218507263"/>
          <c:h val="5.4750853511732103E-2"/>
        </c:manualLayout>
      </c:layout>
      <c:overlay val="1"/>
      <c:spPr>
        <a:ln w="6350">
          <a:solidFill>
            <a:sysClr val="windowText" lastClr="000000"/>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568840579710145E-2"/>
          <c:y val="2.1811315924220299E-2"/>
          <c:w val="0.92237743255066085"/>
          <c:h val="0.73318107621299833"/>
        </c:manualLayout>
      </c:layout>
      <c:barChart>
        <c:barDir val="col"/>
        <c:grouping val="clustered"/>
        <c:varyColors val="0"/>
        <c:ser>
          <c:idx val="0"/>
          <c:order val="0"/>
          <c:tx>
            <c:strRef>
              <c:f>'Ceny 2'!$C$5</c:f>
              <c:strCache>
                <c:ptCount val="1"/>
                <c:pt idx="0">
                  <c:v>Celkem</c:v>
                </c:pt>
              </c:strCache>
            </c:strRef>
          </c:tx>
          <c:spPr>
            <a:solidFill>
              <a:schemeClr val="bg1">
                <a:lumMod val="65000"/>
              </a:schemeClr>
            </a:solidFill>
            <a:ln w="19050">
              <a:noFill/>
            </a:ln>
          </c:spPr>
          <c:invertIfNegative val="0"/>
          <c:cat>
            <c:multiLvlStrRef>
              <c:f>'Ceny 2'!$A$14:$B$37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'Ceny 2'!$C$14:$C$37</c:f>
              <c:numCache>
                <c:formatCode>0.0</c:formatCode>
                <c:ptCount val="24"/>
                <c:pt idx="0">
                  <c:v>0.20000000000000284</c:v>
                </c:pt>
                <c:pt idx="1">
                  <c:v>0.20000000000000284</c:v>
                </c:pt>
                <c:pt idx="2">
                  <c:v>0.59999999999999432</c:v>
                </c:pt>
                <c:pt idx="3">
                  <c:v>0.5</c:v>
                </c:pt>
                <c:pt idx="4">
                  <c:v>9.9999999999994316E-2</c:v>
                </c:pt>
                <c:pt idx="5">
                  <c:v>0.70000000000000284</c:v>
                </c:pt>
                <c:pt idx="6">
                  <c:v>0.40000000000000568</c:v>
                </c:pt>
                <c:pt idx="7">
                  <c:v>9.9999999999994316E-2</c:v>
                </c:pt>
                <c:pt idx="8">
                  <c:v>0.5</c:v>
                </c:pt>
                <c:pt idx="9">
                  <c:v>0.20000000000000284</c:v>
                </c:pt>
                <c:pt idx="10">
                  <c:v>0.5</c:v>
                </c:pt>
                <c:pt idx="11">
                  <c:v>1.4000000000000057</c:v>
                </c:pt>
                <c:pt idx="12" formatCode="General">
                  <c:v>2.4000000000000057</c:v>
                </c:pt>
                <c:pt idx="13" formatCode="General">
                  <c:v>2.2000000000000028</c:v>
                </c:pt>
                <c:pt idx="14">
                  <c:v>2.5</c:v>
                </c:pt>
                <c:pt idx="15">
                  <c:v>2.6</c:v>
                </c:pt>
                <c:pt idx="16">
                  <c:v>1.9</c:v>
                </c:pt>
                <c:pt idx="17">
                  <c:v>2.2999999999999998</c:v>
                </c:pt>
                <c:pt idx="18">
                  <c:v>2.4</c:v>
                </c:pt>
                <c:pt idx="19">
                  <c:v>2.1</c:v>
                </c:pt>
                <c:pt idx="20">
                  <c:v>2.7</c:v>
                </c:pt>
                <c:pt idx="21">
                  <c:v>2.8</c:v>
                </c:pt>
                <c:pt idx="22">
                  <c:v>2.8</c:v>
                </c:pt>
                <c:pt idx="23">
                  <c:v>3</c:v>
                </c:pt>
              </c:numCache>
            </c:numRef>
          </c:val>
          <c:extLst>
            <c:ext xmlns:c16="http://schemas.microsoft.com/office/drawing/2014/chart" uri="{C3380CC4-5D6E-409C-BE32-E72D297353CC}">
              <c16:uniqueId val="{00000000-4213-4F7F-B503-1CCF196C0DC2}"/>
            </c:ext>
          </c:extLst>
        </c:ser>
        <c:dLbls>
          <c:showLegendKey val="0"/>
          <c:showVal val="0"/>
          <c:showCatName val="0"/>
          <c:showSerName val="0"/>
          <c:showPercent val="0"/>
          <c:showBubbleSize val="0"/>
        </c:dLbls>
        <c:gapWidth val="95"/>
        <c:axId val="270120064"/>
        <c:axId val="270121600"/>
      </c:barChart>
      <c:lineChart>
        <c:grouping val="standard"/>
        <c:varyColors val="0"/>
        <c:ser>
          <c:idx val="1"/>
          <c:order val="1"/>
          <c:tx>
            <c:strRef>
              <c:f>'Ceny 2'!$D$5</c:f>
              <c:strCache>
                <c:ptCount val="1"/>
                <c:pt idx="0">
                  <c:v>Potraviny a nealkoholické nápoje</c:v>
                </c:pt>
              </c:strCache>
            </c:strRef>
          </c:tx>
          <c:spPr>
            <a:ln w="19050">
              <a:solidFill>
                <a:srgbClr val="0071BC"/>
              </a:solidFill>
            </a:ln>
          </c:spPr>
          <c:marker>
            <c:symbol val="none"/>
          </c:marker>
          <c:cat>
            <c:multiLvlStrRef>
              <c:f>'Ceny 2'!$A$14:$B$37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'Ceny 2'!$D$14:$D$37</c:f>
              <c:numCache>
                <c:formatCode>0.0</c:formatCode>
                <c:ptCount val="24"/>
                <c:pt idx="0">
                  <c:v>3.9000000000000057</c:v>
                </c:pt>
                <c:pt idx="1">
                  <c:v>1.5</c:v>
                </c:pt>
                <c:pt idx="2">
                  <c:v>1.4000000000000057</c:v>
                </c:pt>
                <c:pt idx="3">
                  <c:v>1.2000000000000028</c:v>
                </c:pt>
                <c:pt idx="4">
                  <c:v>-1.5999999999999943</c:v>
                </c:pt>
                <c:pt idx="5">
                  <c:v>-9.9999999999994316E-2</c:v>
                </c:pt>
                <c:pt idx="6">
                  <c:v>-0.90000000000000568</c:v>
                </c:pt>
                <c:pt idx="7">
                  <c:v>-1.5999999999999943</c:v>
                </c:pt>
                <c:pt idx="8">
                  <c:v>-1.7000000000000028</c:v>
                </c:pt>
                <c:pt idx="9">
                  <c:v>-2.4000000000000057</c:v>
                </c:pt>
                <c:pt idx="10">
                  <c:v>-0.79999999999999716</c:v>
                </c:pt>
                <c:pt idx="11">
                  <c:v>1.2000000000000028</c:v>
                </c:pt>
                <c:pt idx="12" formatCode="General">
                  <c:v>4.2000000000000028</c:v>
                </c:pt>
                <c:pt idx="13" formatCode="General">
                  <c:v>4.5</c:v>
                </c:pt>
                <c:pt idx="14">
                  <c:v>5.7</c:v>
                </c:pt>
                <c:pt idx="15">
                  <c:v>6.3</c:v>
                </c:pt>
                <c:pt idx="16">
                  <c:v>2.9</c:v>
                </c:pt>
                <c:pt idx="17" formatCode="#\ ##0.0_ ;\-#\ ##0.0\ ">
                  <c:v>2.2999999999999998</c:v>
                </c:pt>
                <c:pt idx="18">
                  <c:v>0.6</c:v>
                </c:pt>
                <c:pt idx="19">
                  <c:v>-0.5</c:v>
                </c:pt>
                <c:pt idx="20">
                  <c:v>1</c:v>
                </c:pt>
                <c:pt idx="21">
                  <c:v>2.5</c:v>
                </c:pt>
                <c:pt idx="22">
                  <c:v>3.5</c:v>
                </c:pt>
                <c:pt idx="23">
                  <c:v>4.3</c:v>
                </c:pt>
              </c:numCache>
            </c:numRef>
          </c:val>
          <c:smooth val="0"/>
          <c:extLst>
            <c:ext xmlns:c16="http://schemas.microsoft.com/office/drawing/2014/chart" uri="{C3380CC4-5D6E-409C-BE32-E72D297353CC}">
              <c16:uniqueId val="{00000001-4213-4F7F-B503-1CCF196C0DC2}"/>
            </c:ext>
          </c:extLst>
        </c:ser>
        <c:ser>
          <c:idx val="3"/>
          <c:order val="2"/>
          <c:tx>
            <c:strRef>
              <c:f>'Ceny 2'!$F$5</c:f>
              <c:strCache>
                <c:ptCount val="1"/>
                <c:pt idx="0">
                  <c:v>Bydlení a energie</c:v>
                </c:pt>
              </c:strCache>
            </c:strRef>
          </c:tx>
          <c:spPr>
            <a:ln w="19050">
              <a:solidFill>
                <a:srgbClr val="7DBB2D"/>
              </a:solidFill>
            </a:ln>
          </c:spPr>
          <c:marker>
            <c:symbol val="none"/>
          </c:marker>
          <c:cat>
            <c:multiLvlStrRef>
              <c:f>'Ceny 2'!$A$14:$B$37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'Ceny 2'!$F$14:$F$37</c:f>
              <c:numCache>
                <c:formatCode>0.0</c:formatCode>
                <c:ptCount val="24"/>
                <c:pt idx="0">
                  <c:v>-2.4000000000000057</c:v>
                </c:pt>
                <c:pt idx="1">
                  <c:v>-1.7000000000000028</c:v>
                </c:pt>
                <c:pt idx="2">
                  <c:v>-0.70000000000000284</c:v>
                </c:pt>
                <c:pt idx="3">
                  <c:v>-0.59999999999999432</c:v>
                </c:pt>
                <c:pt idx="4">
                  <c:v>1.0999999999999943</c:v>
                </c:pt>
                <c:pt idx="5">
                  <c:v>1.2000000000000028</c:v>
                </c:pt>
                <c:pt idx="6">
                  <c:v>0.79999999999999716</c:v>
                </c:pt>
                <c:pt idx="7">
                  <c:v>0.90000000000000568</c:v>
                </c:pt>
                <c:pt idx="8">
                  <c:v>0.90000000000000568</c:v>
                </c:pt>
                <c:pt idx="9">
                  <c:v>0.5</c:v>
                </c:pt>
                <c:pt idx="10">
                  <c:v>0.40000000000000568</c:v>
                </c:pt>
                <c:pt idx="11">
                  <c:v>0.59999999999999432</c:v>
                </c:pt>
                <c:pt idx="12" formatCode="General">
                  <c:v>0.79999999999999716</c:v>
                </c:pt>
                <c:pt idx="13" formatCode="General">
                  <c:v>1.5</c:v>
                </c:pt>
                <c:pt idx="14">
                  <c:v>2.1</c:v>
                </c:pt>
                <c:pt idx="15">
                  <c:v>2.2000000000000002</c:v>
                </c:pt>
                <c:pt idx="16">
                  <c:v>2.2999999999999998</c:v>
                </c:pt>
                <c:pt idx="17">
                  <c:v>2.6</c:v>
                </c:pt>
                <c:pt idx="18">
                  <c:v>3.2</c:v>
                </c:pt>
                <c:pt idx="19">
                  <c:v>3.8</c:v>
                </c:pt>
                <c:pt idx="20">
                  <c:v>5.4</c:v>
                </c:pt>
                <c:pt idx="21">
                  <c:v>5.7</c:v>
                </c:pt>
                <c:pt idx="22">
                  <c:v>5.2</c:v>
                </c:pt>
                <c:pt idx="23">
                  <c:v>5</c:v>
                </c:pt>
              </c:numCache>
            </c:numRef>
          </c:val>
          <c:smooth val="0"/>
          <c:extLst>
            <c:ext xmlns:c16="http://schemas.microsoft.com/office/drawing/2014/chart" uri="{C3380CC4-5D6E-409C-BE32-E72D297353CC}">
              <c16:uniqueId val="{00000002-4213-4F7F-B503-1CCF196C0DC2}"/>
            </c:ext>
          </c:extLst>
        </c:ser>
        <c:ser>
          <c:idx val="4"/>
          <c:order val="3"/>
          <c:tx>
            <c:strRef>
              <c:f>'Ceny 2'!$G$5</c:f>
              <c:strCache>
                <c:ptCount val="1"/>
                <c:pt idx="0">
                  <c:v>Doprava</c:v>
                </c:pt>
              </c:strCache>
            </c:strRef>
          </c:tx>
          <c:spPr>
            <a:ln w="19050">
              <a:solidFill>
                <a:srgbClr val="FFC000"/>
              </a:solidFill>
            </a:ln>
          </c:spPr>
          <c:marker>
            <c:symbol val="none"/>
          </c:marker>
          <c:cat>
            <c:multiLvlStrRef>
              <c:f>'Ceny 2'!$A$14:$B$37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'Ceny 2'!$G$14:$G$37</c:f>
              <c:numCache>
                <c:formatCode>General</c:formatCode>
                <c:ptCount val="24"/>
                <c:pt idx="0">
                  <c:v>9.9999999999994316E-2</c:v>
                </c:pt>
                <c:pt idx="1">
                  <c:v>0.29999999999999716</c:v>
                </c:pt>
                <c:pt idx="2">
                  <c:v>0.5</c:v>
                </c:pt>
                <c:pt idx="3">
                  <c:v>0</c:v>
                </c:pt>
                <c:pt idx="4">
                  <c:v>-4.9000000000000057</c:v>
                </c:pt>
                <c:pt idx="5">
                  <c:v>-3.2999999999999972</c:v>
                </c:pt>
                <c:pt idx="6">
                  <c:v>-3.7999999999999972</c:v>
                </c:pt>
                <c:pt idx="7">
                  <c:v>-4.7000000000000028</c:v>
                </c:pt>
                <c:pt idx="8">
                  <c:v>-2.7000000000000028</c:v>
                </c:pt>
                <c:pt idx="9">
                  <c:v>-2.9000000000000057</c:v>
                </c:pt>
                <c:pt idx="10">
                  <c:v>-2.2999999999999972</c:v>
                </c:pt>
                <c:pt idx="11">
                  <c:v>1.0999999999999943</c:v>
                </c:pt>
                <c:pt idx="12">
                  <c:v>6</c:v>
                </c:pt>
                <c:pt idx="13">
                  <c:v>3.9000000000000057</c:v>
                </c:pt>
                <c:pt idx="14" formatCode="0.0">
                  <c:v>2.5</c:v>
                </c:pt>
                <c:pt idx="15" formatCode="0.0">
                  <c:v>2.5</c:v>
                </c:pt>
                <c:pt idx="16" formatCode="0.0">
                  <c:v>1</c:v>
                </c:pt>
                <c:pt idx="17" formatCode="0.0">
                  <c:v>3</c:v>
                </c:pt>
                <c:pt idx="18" formatCode="0.0">
                  <c:v>4.5</c:v>
                </c:pt>
                <c:pt idx="19" formatCode="0.0">
                  <c:v>2.6</c:v>
                </c:pt>
                <c:pt idx="20" formatCode="0.0">
                  <c:v>0.6</c:v>
                </c:pt>
                <c:pt idx="21" formatCode="0.0">
                  <c:v>0.8</c:v>
                </c:pt>
                <c:pt idx="22" formatCode="0.0">
                  <c:v>-0.2</c:v>
                </c:pt>
                <c:pt idx="23" formatCode="0.0">
                  <c:v>0.5</c:v>
                </c:pt>
              </c:numCache>
            </c:numRef>
          </c:val>
          <c:smooth val="0"/>
          <c:extLst>
            <c:ext xmlns:c16="http://schemas.microsoft.com/office/drawing/2014/chart" uri="{C3380CC4-5D6E-409C-BE32-E72D297353CC}">
              <c16:uniqueId val="{00000003-4213-4F7F-B503-1CCF196C0DC2}"/>
            </c:ext>
          </c:extLst>
        </c:ser>
        <c:ser>
          <c:idx val="2"/>
          <c:order val="4"/>
          <c:tx>
            <c:strRef>
              <c:f>'Ceny 2'!$E$5</c:f>
              <c:strCache>
                <c:ptCount val="1"/>
                <c:pt idx="0">
                  <c:v>Alkoholické nápoje a tabák</c:v>
                </c:pt>
              </c:strCache>
            </c:strRef>
          </c:tx>
          <c:spPr>
            <a:ln w="22225">
              <a:solidFill>
                <a:schemeClr val="accent2"/>
              </a:solidFill>
            </a:ln>
          </c:spPr>
          <c:marker>
            <c:symbol val="none"/>
          </c:marker>
          <c:cat>
            <c:multiLvlStrRef>
              <c:f>'Ceny 2'!$A$14:$B$37</c:f>
              <c:multiLvlStrCache>
                <c:ptCount val="2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lvl>
                <c:lvl>
                  <c:pt idx="0">
                    <c:v>2014</c:v>
                  </c:pt>
                  <c:pt idx="4">
                    <c:v>2015</c:v>
                  </c:pt>
                  <c:pt idx="8">
                    <c:v>2016</c:v>
                  </c:pt>
                  <c:pt idx="12">
                    <c:v>2017</c:v>
                  </c:pt>
                  <c:pt idx="16">
                    <c:v>2018</c:v>
                  </c:pt>
                  <c:pt idx="20">
                    <c:v>2019</c:v>
                  </c:pt>
                </c:lvl>
              </c:multiLvlStrCache>
            </c:multiLvlStrRef>
          </c:cat>
          <c:val>
            <c:numRef>
              <c:f>'Ceny 2'!$E$14:$E$37</c:f>
              <c:numCache>
                <c:formatCode>0.0</c:formatCode>
                <c:ptCount val="24"/>
                <c:pt idx="0">
                  <c:v>4.0999999999999943</c:v>
                </c:pt>
                <c:pt idx="1">
                  <c:v>2.9000000000000057</c:v>
                </c:pt>
                <c:pt idx="2">
                  <c:v>2.7000000000000028</c:v>
                </c:pt>
                <c:pt idx="3">
                  <c:v>1.4000000000000057</c:v>
                </c:pt>
                <c:pt idx="4">
                  <c:v>3.4000000000000057</c:v>
                </c:pt>
                <c:pt idx="5">
                  <c:v>5.4000000000000057</c:v>
                </c:pt>
                <c:pt idx="6">
                  <c:v>5.2000000000000028</c:v>
                </c:pt>
                <c:pt idx="7">
                  <c:v>4.7000000000000028</c:v>
                </c:pt>
                <c:pt idx="8">
                  <c:v>3.5</c:v>
                </c:pt>
                <c:pt idx="9">
                  <c:v>4.4000000000000057</c:v>
                </c:pt>
                <c:pt idx="10">
                  <c:v>4.5</c:v>
                </c:pt>
                <c:pt idx="11">
                  <c:v>5.2000000000000028</c:v>
                </c:pt>
                <c:pt idx="12" formatCode="General">
                  <c:v>3.4000000000000057</c:v>
                </c:pt>
                <c:pt idx="13" formatCode="General">
                  <c:v>0.79999999999999716</c:v>
                </c:pt>
                <c:pt idx="14">
                  <c:v>1.3</c:v>
                </c:pt>
                <c:pt idx="15">
                  <c:v>1.5</c:v>
                </c:pt>
                <c:pt idx="16">
                  <c:v>2.5</c:v>
                </c:pt>
                <c:pt idx="17">
                  <c:v>3.6</c:v>
                </c:pt>
                <c:pt idx="18">
                  <c:v>2.8</c:v>
                </c:pt>
                <c:pt idx="19">
                  <c:v>3.1</c:v>
                </c:pt>
                <c:pt idx="20">
                  <c:v>3.3</c:v>
                </c:pt>
                <c:pt idx="21">
                  <c:v>1.7</c:v>
                </c:pt>
                <c:pt idx="22">
                  <c:v>1.9</c:v>
                </c:pt>
                <c:pt idx="23">
                  <c:v>1.8</c:v>
                </c:pt>
              </c:numCache>
            </c:numRef>
          </c:val>
          <c:smooth val="0"/>
          <c:extLst>
            <c:ext xmlns:c16="http://schemas.microsoft.com/office/drawing/2014/chart" uri="{C3380CC4-5D6E-409C-BE32-E72D297353CC}">
              <c16:uniqueId val="{00000004-4213-4F7F-B503-1CCF196C0DC2}"/>
            </c:ext>
          </c:extLst>
        </c:ser>
        <c:dLbls>
          <c:showLegendKey val="0"/>
          <c:showVal val="0"/>
          <c:showCatName val="0"/>
          <c:showSerName val="0"/>
          <c:showPercent val="0"/>
          <c:showBubbleSize val="0"/>
        </c:dLbls>
        <c:marker val="1"/>
        <c:smooth val="0"/>
        <c:axId val="270120064"/>
        <c:axId val="270121600"/>
      </c:lineChart>
      <c:catAx>
        <c:axId val="270120064"/>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70121600"/>
        <c:crosses val="autoZero"/>
        <c:auto val="1"/>
        <c:lblAlgn val="ctr"/>
        <c:lblOffset val="100"/>
        <c:noMultiLvlLbl val="0"/>
      </c:catAx>
      <c:valAx>
        <c:axId val="270121600"/>
        <c:scaling>
          <c:orientation val="minMax"/>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0120064"/>
        <c:crosses val="autoZero"/>
        <c:crossBetween val="between"/>
        <c:majorUnit val="1"/>
      </c:valAx>
      <c:spPr>
        <a:ln>
          <a:solidFill>
            <a:schemeClr val="tx1"/>
          </a:solidFill>
        </a:ln>
      </c:spPr>
    </c:plotArea>
    <c:legend>
      <c:legendPos val="b"/>
      <c:layout>
        <c:manualLayout>
          <c:xMode val="edge"/>
          <c:yMode val="edge"/>
          <c:x val="5.6562816616008108E-2"/>
          <c:y val="0.86183552853765621"/>
          <c:w val="0.91934228301249576"/>
          <c:h val="0.1274417426545086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2A779-585E-4413-B15A-AC8BA44AFEF5}">
  <ds:schemaRefs>
    <ds:schemaRef ds:uri="http://schemas.openxmlformats.org/officeDocument/2006/bibliography"/>
  </ds:schemaRefs>
</ds:datastoreItem>
</file>

<file path=customXml/itemProps2.xml><?xml version="1.0" encoding="utf-8"?>
<ds:datastoreItem xmlns:ds="http://schemas.openxmlformats.org/officeDocument/2006/customXml" ds:itemID="{850FCF15-6FE8-4558-8364-7FF45F0DE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Template>
  <TotalTime>9</TotalTime>
  <Pages>36</Pages>
  <Words>14539</Words>
  <Characters>85782</Characters>
  <Application>Microsoft Office Word</Application>
  <DocSecurity>0</DocSecurity>
  <Lines>714</Lines>
  <Paragraphs>200</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100121</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Karolina Sukupova</cp:lastModifiedBy>
  <cp:revision>6</cp:revision>
  <cp:lastPrinted>2019-04-08T10:52:00Z</cp:lastPrinted>
  <dcterms:created xsi:type="dcterms:W3CDTF">2020-04-10T07:26:00Z</dcterms:created>
  <dcterms:modified xsi:type="dcterms:W3CDTF">2020-04-10T07:35:00Z</dcterms:modified>
</cp:coreProperties>
</file>