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73" w:rsidRDefault="00796E73" w:rsidP="00796E73">
      <w:pPr>
        <w:pStyle w:val="Nadpis1"/>
      </w:pPr>
      <w:bookmarkStart w:id="0" w:name="_Toc513101495"/>
      <w:r>
        <w:t>3. Metodická část, zdroje dat</w:t>
      </w:r>
      <w:bookmarkEnd w:id="0"/>
    </w:p>
    <w:p w:rsidR="007F1D5D" w:rsidRDefault="007F1D5D" w:rsidP="007F1D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Základní časové řady statistik dočasné pracovní neschopnosti pro nemoc a úraz v ČR jsou sledovány Českým statistickým úřadem již od roku 1963. Do roku 2011 byly statistické údaje o dočasné pracovní neschopnosti pro nemoc a úraz zjišťovány prostřednictvím státního statistického výkazu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Úr</w:t>
      </w:r>
      <w:proofErr w:type="spellEnd"/>
      <w:r>
        <w:rPr>
          <w:rFonts w:cs="Arial"/>
        </w:rPr>
        <w:t xml:space="preserve"> 1-02. V důsledku snižování administrativní náročnosti a zátěže zpravodajských jednotek byl Výkaz o pracovní neschopnosti pro nemoc a úraz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Úr</w:t>
      </w:r>
      <w:proofErr w:type="spellEnd"/>
      <w:r>
        <w:rPr>
          <w:rFonts w:cs="Arial"/>
        </w:rPr>
        <w:t xml:space="preserve"> 1-02 nahrazen údaji dostupnými z administrativních zdrojů. </w:t>
      </w:r>
    </w:p>
    <w:p w:rsidR="007F1D5D" w:rsidRDefault="007F1D5D" w:rsidP="007F1D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Počínaje rokem 2012, zajišťuje Český statistický úřad na základě smluvního ujednání s Ministerstvem práce a sociálních věcí a Českou správou sociálního zabezpečení údaje pro statistiku dočasné pracovní neschopnosti pro nemoc a úraz zpracováním dat z administrativního zdroje Informačního systému ČSSZ. </w:t>
      </w:r>
      <w:r w:rsidR="00E365EF">
        <w:rPr>
          <w:rFonts w:cs="Arial"/>
          <w:szCs w:val="20"/>
        </w:rPr>
        <w:t>Z důvodu změny metodiky a odlišného sběru a zpracování dat nejsou data od roku 2012 plně srovnatelná s údaji za předchozí období.</w:t>
      </w:r>
    </w:p>
    <w:p w:rsidR="007F1D5D" w:rsidRDefault="007F1D5D" w:rsidP="007F1D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Vstupním zdrojem a podkladem pro zpracování dat této publikace jsou údaje o dočasné pracovní neschopnosti pro nemoc a úraz nahlášené České správě sociálního zabezpečení prostřednictvím formuláře „</w:t>
      </w:r>
      <w:r w:rsidRPr="006D66F2">
        <w:rPr>
          <w:rFonts w:cs="Arial"/>
          <w:i/>
        </w:rPr>
        <w:t>Rozhodnutí o dočasné pracovní neschopnosti</w:t>
      </w:r>
      <w:r>
        <w:rPr>
          <w:rFonts w:cs="Arial"/>
        </w:rPr>
        <w:t>“ (tzv. „neschopenka“), který vyplňuje ošetřující lékař. Jsou tak evidována veškerá onemocnění a úrazy, které zapříčinily alespoň jednodenní pracovní neschopnost u 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osob. Administrativní data Informačního systému ČSSZ obsahují údaje za všechny zaměstnance, ať již zaměstnané právnickou či fyzickou osobou</w:t>
      </w:r>
      <w:r w:rsidRPr="00694B42">
        <w:rPr>
          <w:rFonts w:cs="Arial"/>
          <w:vertAlign w:val="superscript"/>
        </w:rPr>
        <w:footnoteReference w:id="1"/>
      </w:r>
      <w:r>
        <w:rPr>
          <w:rFonts w:cs="Arial"/>
        </w:rPr>
        <w:t xml:space="preserve"> i data za osoby samostatně výdělečně činné (OSVČ). Zaměstnanci jsou povinně</w:t>
      </w:r>
      <w:r w:rsidR="00393E1C">
        <w:rPr>
          <w:rFonts w:cs="Arial"/>
        </w:rPr>
        <w:t xml:space="preserve"> účastni nemocenského pojištění</w:t>
      </w:r>
      <w:r w:rsidR="00A94F86">
        <w:rPr>
          <w:rFonts w:cs="Arial"/>
        </w:rPr>
        <w:t>,</w:t>
      </w:r>
      <w:r>
        <w:rPr>
          <w:rFonts w:cs="Arial"/>
        </w:rPr>
        <w:t xml:space="preserve"> na rozdíl od OSVČ, jejichž nemocenské pojištění zůstává dobrovolné.</w:t>
      </w:r>
    </w:p>
    <w:p w:rsidR="005C2F72" w:rsidRDefault="005C2F72" w:rsidP="005C2F7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Česká správa sociálního zabezpečení za účelem zajištění statistiky dočasné pracovní neschopnosti pro nemoc a úraz poskytuje Českému statistickému úřadu datové soubory administrativních agregovaných dat o </w:t>
      </w:r>
      <w:r w:rsidR="00692196" w:rsidRPr="005C2F72">
        <w:rPr>
          <w:rFonts w:cs="Arial"/>
          <w:b/>
        </w:rPr>
        <w:t>nově hlášených případech</w:t>
      </w:r>
      <w:r w:rsidR="00692196">
        <w:rPr>
          <w:rFonts w:cs="Arial"/>
        </w:rPr>
        <w:t xml:space="preserve"> </w:t>
      </w:r>
      <w:r>
        <w:rPr>
          <w:rFonts w:cs="Arial"/>
        </w:rPr>
        <w:t xml:space="preserve">dočasné pracovní neschopnosti zaměstnanců a OSVČ, které jsou na ČSÚ dále zpracovány a doplněny s využitím informací z Registru ekonomických subjektů. </w:t>
      </w:r>
    </w:p>
    <w:p w:rsidR="00692196" w:rsidRDefault="00692196" w:rsidP="00692196">
      <w:pPr>
        <w:pStyle w:val="Seznam"/>
        <w:jc w:val="both"/>
      </w:pPr>
      <w:r w:rsidRPr="00692196">
        <w:rPr>
          <w:b/>
        </w:rPr>
        <w:t>Dočasná pracovní neschopnost</w:t>
      </w:r>
      <w:r>
        <w:t xml:space="preserve"> je stav člověka, který je lékařem ze zdravotních důvodů dočasně uznán neschopným k výkonu svého dosavadního zaměstnání. Ošetřující lékař zdůvodní dočasnou pracovní neschopnost uvedením jedné z následujících kategorií na formuláři „Rozhodnutí o dočasné pracovní neschopnosti“: </w:t>
      </w:r>
    </w:p>
    <w:p w:rsidR="00692196" w:rsidRDefault="00692196" w:rsidP="00692196">
      <w:pPr>
        <w:pStyle w:val="Seznam"/>
        <w:numPr>
          <w:ilvl w:val="0"/>
          <w:numId w:val="23"/>
        </w:numPr>
        <w:jc w:val="both"/>
      </w:pPr>
      <w:r>
        <w:rPr>
          <w:b/>
          <w:bCs/>
        </w:rPr>
        <w:t xml:space="preserve">nemoc </w:t>
      </w:r>
      <w:r w:rsidRPr="00692196">
        <w:rPr>
          <w:bCs/>
        </w:rPr>
        <w:t xml:space="preserve">– </w:t>
      </w:r>
      <w:r>
        <w:t>za</w:t>
      </w:r>
      <w:r w:rsidR="00F52952">
        <w:t xml:space="preserve"> </w:t>
      </w:r>
      <w:r>
        <w:t>případy dočasné pracovní neschopnosti pro nemoc jsou považovány všechny případy nemoci a úrazy podle Mezinárodní statistické klasifikace nemocí a přidružených zdravotních problémů (MKN-10). Kategorie nemoc zahrnuje kromě nemocí též úrazy, které nejsou lékařem, který vyplňuje formulář Rozhodnutí o dočasné pracovní neschopnosti, vyhodnocené jako pracovní úraz či ostatní úraz (poškození zdraví, na jehož následky je postižený v dočasné pracovní neschopnosti).</w:t>
      </w:r>
    </w:p>
    <w:p w:rsidR="00692196" w:rsidRPr="00692196" w:rsidRDefault="00692196" w:rsidP="00692196">
      <w:pPr>
        <w:pStyle w:val="Seznam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 xml:space="preserve">pracovní úrazy </w:t>
      </w:r>
      <w:r w:rsidRPr="00692196">
        <w:rPr>
          <w:bCs/>
        </w:rPr>
        <w:t>–</w:t>
      </w:r>
      <w:r w:rsidRPr="00692196">
        <w:rPr>
          <w:b/>
          <w:bCs/>
        </w:rPr>
        <w:t xml:space="preserve"> </w:t>
      </w:r>
      <w:r w:rsidRPr="00692196">
        <w:t>pracovním úrazem se rozumí poškození zdraví nebo smrt zaměstnance, došlo-li k nim nezávisle na jeho vůli krátkodobým, náhlým a násilným působením zevních vlivů při plnění pracovních úkolů nebo v přímé souvislosti s ním (viz § 271k odst. 1 až 3 zákona č. 262/2006 Sb., zákoník práce, ve znění pozdějších předpisů).</w:t>
      </w:r>
    </w:p>
    <w:p w:rsidR="00692196" w:rsidRDefault="00692196" w:rsidP="00692196">
      <w:pPr>
        <w:pStyle w:val="Seznam"/>
        <w:numPr>
          <w:ilvl w:val="0"/>
          <w:numId w:val="23"/>
        </w:numPr>
        <w:jc w:val="both"/>
      </w:pPr>
      <w:r>
        <w:rPr>
          <w:b/>
          <w:bCs/>
        </w:rPr>
        <w:t xml:space="preserve">ostatní úrazy </w:t>
      </w:r>
      <w:r w:rsidRPr="00692196">
        <w:rPr>
          <w:bCs/>
        </w:rPr>
        <w:t>–</w:t>
      </w:r>
      <w:r>
        <w:rPr>
          <w:b/>
          <w:bCs/>
        </w:rPr>
        <w:t xml:space="preserve"> </w:t>
      </w:r>
      <w:r>
        <w:rPr>
          <w:bCs/>
        </w:rPr>
        <w:t xml:space="preserve">za ostatní úrazy jsou považovány případy </w:t>
      </w:r>
      <w:r>
        <w:t>poškození zdraví, na jehož následky je postižený v dočasné pracovní neschopnosti, které však lékařem nebyly vyhodnoceny jako pracovní úraz.</w:t>
      </w:r>
    </w:p>
    <w:p w:rsidR="00735A37" w:rsidRDefault="00735A37" w:rsidP="00735A37">
      <w:pPr>
        <w:pStyle w:val="Seznam"/>
        <w:jc w:val="both"/>
      </w:pPr>
    </w:p>
    <w:p w:rsidR="00692196" w:rsidRDefault="00735A37" w:rsidP="00735A37">
      <w:pPr>
        <w:pStyle w:val="Seznam"/>
        <w:jc w:val="both"/>
      </w:pPr>
      <w:r>
        <w:t xml:space="preserve">Výstupem zpracování dat Českým statistickým úřadem jsou následující statistické </w:t>
      </w:r>
      <w:r w:rsidRPr="00735A37">
        <w:rPr>
          <w:b/>
        </w:rPr>
        <w:t>ukazatele</w:t>
      </w:r>
      <w:r>
        <w:t>:</w:t>
      </w:r>
    </w:p>
    <w:p w:rsidR="00735A37" w:rsidRPr="0050262D" w:rsidRDefault="00735A37" w:rsidP="00735A37">
      <w:pPr>
        <w:pStyle w:val="Seznam"/>
        <w:numPr>
          <w:ilvl w:val="0"/>
          <w:numId w:val="24"/>
        </w:numPr>
        <w:jc w:val="both"/>
      </w:pPr>
      <w:r w:rsidRPr="00735A37">
        <w:rPr>
          <w:b/>
        </w:rPr>
        <w:lastRenderedPageBreak/>
        <w:t xml:space="preserve">průměrný počet </w:t>
      </w:r>
      <w:proofErr w:type="spellStart"/>
      <w:r w:rsidRPr="00735A37">
        <w:rPr>
          <w:b/>
        </w:rPr>
        <w:t>nemocensky</w:t>
      </w:r>
      <w:proofErr w:type="spellEnd"/>
      <w:r w:rsidRPr="00735A37">
        <w:rPr>
          <w:b/>
        </w:rPr>
        <w:t xml:space="preserve"> pojištěných osob</w:t>
      </w:r>
      <w:r>
        <w:t xml:space="preserve"> – </w:t>
      </w:r>
      <w:r w:rsidRPr="00735A37">
        <w:t xml:space="preserve">ukazatel udává průměrný počet osob, které jsou povinně či dobrovolně </w:t>
      </w:r>
      <w:proofErr w:type="spellStart"/>
      <w:r w:rsidRPr="00735A37">
        <w:t>nemocensky</w:t>
      </w:r>
      <w:proofErr w:type="spellEnd"/>
      <w:r w:rsidRPr="00735A37">
        <w:t xml:space="preserve"> pojištěné podle zákona o nemocenském pojištění. Zahrnuje všechny osoby, které byly alespoň po jeden den vykazovaného období </w:t>
      </w:r>
      <w:proofErr w:type="spellStart"/>
      <w:r w:rsidRPr="00735A37">
        <w:t>nemocensky</w:t>
      </w:r>
      <w:proofErr w:type="spellEnd"/>
      <w:r w:rsidRPr="00735A37">
        <w:t xml:space="preserve"> pojištěné. Do průměrného počtu </w:t>
      </w:r>
      <w:proofErr w:type="spellStart"/>
      <w:r w:rsidRPr="00735A37">
        <w:t>nemocensky</w:t>
      </w:r>
      <w:proofErr w:type="spellEnd"/>
      <w:r w:rsidRPr="00735A37">
        <w:t xml:space="preserve"> pojištěných nejsou započteni vojáci z povolání a příslušníci Policie ČR, Hasičského záchranného sboru ČR, Celní správy ČR, Vězeňské služby ČR, Generální inspekce bezpečnostních sborů, Bezpečnostní informační služby a Úřadu pro zahraniční styky a informace</w:t>
      </w:r>
      <w:r w:rsidR="007A7C65">
        <w:t xml:space="preserve"> (dále též „příslušníci a vojáci“)</w:t>
      </w:r>
      <w:r w:rsidRPr="00735A37">
        <w:t>.</w:t>
      </w:r>
      <w:r w:rsidR="0050262D">
        <w:t xml:space="preserve"> </w:t>
      </w:r>
      <w:r w:rsidR="0050262D" w:rsidRPr="0050262D">
        <w:t>V případě více překrývajících se pojistných vztahů pojištěnce v rámci jednoho zaměstnavatele a jedné mzdové účtárny se započítává pojištěnec pouze jedenkrát. V ostatních případech je pojištěnec započítáván tolikrát, kolik má prac</w:t>
      </w:r>
      <w:r w:rsidR="00F40DD1">
        <w:t>ovně právních pojistných vztahů;</w:t>
      </w:r>
    </w:p>
    <w:p w:rsidR="00735A37" w:rsidRDefault="00735A37" w:rsidP="00735A37">
      <w:pPr>
        <w:pStyle w:val="Seznam"/>
        <w:numPr>
          <w:ilvl w:val="0"/>
          <w:numId w:val="24"/>
        </w:numPr>
        <w:jc w:val="both"/>
      </w:pPr>
      <w:r w:rsidRPr="00735A37">
        <w:rPr>
          <w:b/>
        </w:rPr>
        <w:t xml:space="preserve">průměrný počet </w:t>
      </w:r>
      <w:proofErr w:type="spellStart"/>
      <w:r w:rsidRPr="00735A37">
        <w:rPr>
          <w:b/>
        </w:rPr>
        <w:t>nemocensky</w:t>
      </w:r>
      <w:proofErr w:type="spellEnd"/>
      <w:r w:rsidRPr="00735A37">
        <w:rPr>
          <w:b/>
        </w:rPr>
        <w:t xml:space="preserve"> pojištěných mladistvých</w:t>
      </w:r>
      <w:r>
        <w:t xml:space="preserve"> – </w:t>
      </w:r>
      <w:r w:rsidRPr="00735A37">
        <w:t xml:space="preserve">ukazatel udává průměrný počet </w:t>
      </w:r>
      <w:proofErr w:type="spellStart"/>
      <w:r w:rsidRPr="00735A37">
        <w:t>nemocensky</w:t>
      </w:r>
      <w:proofErr w:type="spellEnd"/>
      <w:r w:rsidRPr="00735A37">
        <w:t xml:space="preserve"> pojištěných osob mladších než 18 let (viz § 350 odst. 2 zákona č. 262/2006 Sb., zákoník práce, ve znění pozdějších předpis</w:t>
      </w:r>
      <w:r w:rsidR="00F40DD1">
        <w:t>ů);</w:t>
      </w:r>
    </w:p>
    <w:p w:rsidR="0050262D" w:rsidRPr="007A7C65" w:rsidRDefault="0050262D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počet pracovně právních pojistných vztahů</w:t>
      </w:r>
      <w:r>
        <w:t xml:space="preserve"> – </w:t>
      </w:r>
      <w:r>
        <w:rPr>
          <w:rFonts w:cs="Arial"/>
          <w:szCs w:val="20"/>
        </w:rPr>
        <w:t xml:space="preserve">ukazatel udává celkový počet pojistných vztahů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pojištěných osob, které byly alespoň 1 den vykazovaného období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pojištěné u daného zaměstnavatele. U zaměstnanců právnických osob a zaměstnanců fyzických osob se započítávají pojistné vztahy všech zaměstnanců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pojištěných dle § 5 zákona o nemocenském pojištění a účastn</w:t>
      </w:r>
      <w:r w:rsidR="007A7C65">
        <w:rPr>
          <w:rFonts w:cs="Arial"/>
          <w:szCs w:val="20"/>
        </w:rPr>
        <w:t>ých</w:t>
      </w:r>
      <w:r>
        <w:rPr>
          <w:rFonts w:cs="Arial"/>
          <w:szCs w:val="20"/>
        </w:rPr>
        <w:t xml:space="preserve"> pojištění dle § 6 až 10 </w:t>
      </w:r>
      <w:r w:rsidR="007A7C65">
        <w:rPr>
          <w:rFonts w:cs="Arial"/>
          <w:szCs w:val="20"/>
        </w:rPr>
        <w:t>tohoto</w:t>
      </w:r>
      <w:r>
        <w:rPr>
          <w:rFonts w:cs="Arial"/>
          <w:szCs w:val="20"/>
        </w:rPr>
        <w:t xml:space="preserve"> zákona (zahrnuje i osoby pobírající dávku ošetřovné, peněžitá pomoc v mateřství, rodičovský příspěvek a vyrovnávací příspěvek v těhotenství a mateřství a osoby vykonávající zaměstnání malého rozsahu). Nejsou započteni příslušníci a vojáci.</w:t>
      </w:r>
      <w:r w:rsidR="007A7C65">
        <w:rPr>
          <w:rFonts w:cs="Arial"/>
          <w:szCs w:val="20"/>
        </w:rPr>
        <w:t xml:space="preserve"> V případě více pojistných vztahů jedné osoby na dané mzdové účtárně se započtou všechny takové pojistné vztahy. Pokud se však pojistné vztahy shodného druhu jedné osoby u jednoho zaměstnavatele překrývají nebo navazují bez mezery je jejich sjednocení považováno za jeden pojistný vztah</w:t>
      </w:r>
      <w:r w:rsidR="00F40DD1">
        <w:rPr>
          <w:rFonts w:cs="Arial"/>
          <w:szCs w:val="20"/>
        </w:rPr>
        <w:t>;</w:t>
      </w:r>
    </w:p>
    <w:p w:rsidR="007A7C65" w:rsidRDefault="007A7C65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počet nově hlášených případů dočasné pracovní neschopnosti</w:t>
      </w:r>
      <w:r>
        <w:t xml:space="preserve"> – </w:t>
      </w:r>
      <w:r w:rsidRPr="007A7C65">
        <w:t>ukazatel zahrnuje nově hlášené případy pracovní neschopnosti ve sledovaném období na základě hlášení o vzniku pracovní neschopno</w:t>
      </w:r>
      <w:r w:rsidR="00F40DD1">
        <w:t xml:space="preserve">sti </w:t>
      </w:r>
      <w:proofErr w:type="spellStart"/>
      <w:r w:rsidR="00F40DD1">
        <w:t>nemocensky</w:t>
      </w:r>
      <w:proofErr w:type="spellEnd"/>
      <w:r w:rsidR="00F40DD1">
        <w:t xml:space="preserve"> pojištěných osob;</w:t>
      </w:r>
    </w:p>
    <w:p w:rsidR="007A7C65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 xml:space="preserve">očet případů pracovní neschopnosti na 100 pojištěnců </w:t>
      </w:r>
      <w:r w:rsidRPr="00F40DD1">
        <w:t xml:space="preserve">– ukazatel vyjadřuje počet nově hlášených případů pracovní neschopnosti, které připadají v průměru na 100 </w:t>
      </w:r>
      <w:proofErr w:type="spellStart"/>
      <w:r w:rsidRPr="00F40DD1">
        <w:t>nemocensky</w:t>
      </w:r>
      <w:proofErr w:type="spellEnd"/>
      <w:r w:rsidRPr="00F40DD1">
        <w:t xml:space="preserve"> pojištěných osob</w:t>
      </w:r>
      <w:r>
        <w:t>;</w:t>
      </w:r>
    </w:p>
    <w:p w:rsidR="00F40DD1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>očet kalendářních dnů dočasné pracovní neschopnosti</w:t>
      </w:r>
      <w:r w:rsidRPr="00F40DD1">
        <w:t xml:space="preserve"> – ukazatel udává celkový počet kalendářních dnů, po které byli v daném období (roce) </w:t>
      </w:r>
      <w:proofErr w:type="spellStart"/>
      <w:r w:rsidRPr="00F40DD1">
        <w:t>nemocensky</w:t>
      </w:r>
      <w:proofErr w:type="spellEnd"/>
      <w:r w:rsidRPr="00F40DD1">
        <w:t xml:space="preserve"> pojištění zaměstnanci práce neschopni z příčin uvedených ve formuláři „Rozhodnutí o dočasné pracovní neschopnosti“. Počet kalendářních dnů strávených v pracovní neschopnosti je zjišťován na základě hlášení o vzniku a ukončení pracovní neschopnosti. Do počtu případů a počtu kalendářních dnů pracovní neschopnosti patří i pracovní neschopnost vzniklá po zániku pojištění v tzv. ochranné lhůtě sedmi kalendářních dnů</w:t>
      </w:r>
      <w:r>
        <w:t>;</w:t>
      </w:r>
    </w:p>
    <w:p w:rsidR="00F40DD1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>růměrná délka trvání pracovní neschopnosti ve dnech</w:t>
      </w:r>
      <w:r w:rsidRPr="00F40DD1">
        <w:t xml:space="preserve"> – ukazatel vyjadřuje, kolik kalendářních dnů pracovní neschopnosti v průměru připadá na jeden nově hlášený případ pracovní neschopnosti</w:t>
      </w:r>
      <w:r>
        <w:t>;</w:t>
      </w:r>
    </w:p>
    <w:p w:rsidR="00F40DD1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 xml:space="preserve">růměrné procento dočasné pracovní neschopnosti </w:t>
      </w:r>
      <w:r w:rsidRPr="00F40DD1">
        <w:t>– ukazatel udává, kolik ze 100 pojištěnců je průměrně každý den v pracovní neschopnosti pro nemoc či úraz. Zohledňuje jak celkový počet případů pracovní neschopnosti (jak často lidé do pracovní neschopnosti nastupují), tak i průměrné trvání jednoho případu pracovní neschopnosti (jak dlouho v pracovní neschopnosti zůstávají). Vyjadřuje podíl kalendářních dnů pracovní neschopnosti na celkovém kalendářním fondu pojištěnců ve sledovaném období (roce) vyjádřený v</w:t>
      </w:r>
      <w:r>
        <w:t> </w:t>
      </w:r>
      <w:r w:rsidRPr="00F40DD1">
        <w:t>procentech</w:t>
      </w:r>
      <w:r>
        <w:t>;</w:t>
      </w:r>
    </w:p>
    <w:p w:rsidR="00F40DD1" w:rsidRDefault="00F40DD1" w:rsidP="00735A37">
      <w:pPr>
        <w:pStyle w:val="Seznam"/>
        <w:numPr>
          <w:ilvl w:val="0"/>
          <w:numId w:val="24"/>
        </w:numPr>
        <w:jc w:val="both"/>
      </w:pPr>
      <w:r w:rsidRPr="00F40DD1">
        <w:rPr>
          <w:b/>
        </w:rPr>
        <w:t xml:space="preserve">průměrný denní stav práce neschopných </w:t>
      </w:r>
      <w:r w:rsidRPr="00F40DD1">
        <w:t xml:space="preserve">– ukazatel vyjadřuje počet </w:t>
      </w:r>
      <w:proofErr w:type="spellStart"/>
      <w:r w:rsidRPr="00F40DD1">
        <w:t>nemocensky</w:t>
      </w:r>
      <w:proofErr w:type="spellEnd"/>
      <w:r w:rsidRPr="00F40DD1">
        <w:t xml:space="preserve"> pojištěných, kteří byli ve sledovaném období (roce) průměrně denně nepřítomni v práci z důvodů pracovní neschopnosti</w:t>
      </w:r>
      <w:r>
        <w:t>;</w:t>
      </w:r>
    </w:p>
    <w:p w:rsidR="00F40DD1" w:rsidRPr="0010665F" w:rsidRDefault="0010665F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10665F">
        <w:rPr>
          <w:b/>
        </w:rPr>
        <w:t xml:space="preserve">racovní úrazy s pracovní neschopností delší než 3 dny </w:t>
      </w:r>
      <w:r w:rsidRPr="0010665F">
        <w:t>– ukazatel zahrnuje případy pracovních úrazů, které měly za následek pracovní neschopnost delší než tři kalendářní dny. Do těchto tří dnů se nezapočítává den, ve kterém k úrazu došlo</w:t>
      </w:r>
      <w:r>
        <w:t>.</w:t>
      </w:r>
    </w:p>
    <w:p w:rsidR="0096445E" w:rsidRDefault="007A7C65" w:rsidP="007F1D5D">
      <w:pPr>
        <w:jc w:val="both"/>
      </w:pPr>
      <w:r>
        <w:rPr>
          <w:rFonts w:cs="Arial"/>
        </w:rPr>
        <w:lastRenderedPageBreak/>
        <w:t xml:space="preserve">Data o </w:t>
      </w:r>
      <w:r w:rsidRPr="00692196">
        <w:rPr>
          <w:rFonts w:cs="Arial"/>
        </w:rPr>
        <w:t>nově hlášených případech</w:t>
      </w:r>
      <w:r>
        <w:rPr>
          <w:rFonts w:cs="Arial"/>
        </w:rPr>
        <w:t xml:space="preserve"> dočasné pracovní neschopnosti a související ukazatele, jsou ČSÚ dále zpracovány v členění podle </w:t>
      </w:r>
      <w:r w:rsidRPr="00F40DD1">
        <w:rPr>
          <w:rFonts w:cs="Arial"/>
          <w:b/>
        </w:rPr>
        <w:t>pohlaví</w:t>
      </w:r>
      <w:r>
        <w:rPr>
          <w:rFonts w:cs="Arial"/>
        </w:rPr>
        <w:t xml:space="preserve">, </w:t>
      </w:r>
      <w:r w:rsidRPr="00F40DD1">
        <w:rPr>
          <w:rFonts w:cs="Arial"/>
          <w:b/>
        </w:rPr>
        <w:t>sídla</w:t>
      </w:r>
      <w:r>
        <w:rPr>
          <w:rFonts w:cs="Arial"/>
        </w:rPr>
        <w:t xml:space="preserve"> (</w:t>
      </w:r>
      <w:r w:rsidR="00F40DD1">
        <w:rPr>
          <w:rFonts w:cs="Arial"/>
        </w:rPr>
        <w:t>do</w:t>
      </w:r>
      <w:r>
        <w:rPr>
          <w:rFonts w:cs="Arial"/>
        </w:rPr>
        <w:t xml:space="preserve"> úrovn</w:t>
      </w:r>
      <w:r w:rsidR="00F40DD1">
        <w:rPr>
          <w:rFonts w:cs="Arial"/>
        </w:rPr>
        <w:t>ě</w:t>
      </w:r>
      <w:r>
        <w:rPr>
          <w:rFonts w:cs="Arial"/>
        </w:rPr>
        <w:t xml:space="preserve"> krajů a okresů dle klasifikace CZ</w:t>
      </w:r>
      <w:r w:rsidR="00B55638">
        <w:rPr>
          <w:rFonts w:cs="Arial"/>
        </w:rPr>
        <w:t>-</w:t>
      </w:r>
      <w:r>
        <w:rPr>
          <w:rFonts w:cs="Arial"/>
        </w:rPr>
        <w:t xml:space="preserve">NUTS), </w:t>
      </w:r>
      <w:r w:rsidRPr="00F40DD1">
        <w:rPr>
          <w:rFonts w:cs="Arial"/>
          <w:b/>
        </w:rPr>
        <w:t>velikosti</w:t>
      </w:r>
      <w:r>
        <w:rPr>
          <w:rFonts w:cs="Arial"/>
        </w:rPr>
        <w:t xml:space="preserve"> (dle počtu zaměstnanců)</w:t>
      </w:r>
      <w:r w:rsidR="0096445E">
        <w:rPr>
          <w:rFonts w:cs="Arial"/>
        </w:rPr>
        <w:t>,</w:t>
      </w:r>
      <w:r w:rsidRPr="00F40DD1">
        <w:rPr>
          <w:rFonts w:cs="Arial"/>
          <w:b/>
        </w:rPr>
        <w:t xml:space="preserve"> převažující ekonomické činnosti</w:t>
      </w:r>
      <w:r>
        <w:rPr>
          <w:rFonts w:cs="Arial"/>
        </w:rPr>
        <w:t xml:space="preserve"> (</w:t>
      </w:r>
      <w:r w:rsidR="00F40DD1">
        <w:rPr>
          <w:rFonts w:cs="Arial"/>
        </w:rPr>
        <w:t>do úrovně</w:t>
      </w:r>
      <w:r>
        <w:rPr>
          <w:rFonts w:cs="Arial"/>
        </w:rPr>
        <w:t xml:space="preserve"> sekcí a oddíl</w:t>
      </w:r>
      <w:r w:rsidR="00092DFE">
        <w:rPr>
          <w:rFonts w:cs="Arial"/>
        </w:rPr>
        <w:t>ů</w:t>
      </w:r>
      <w:r>
        <w:rPr>
          <w:rFonts w:cs="Arial"/>
        </w:rPr>
        <w:t xml:space="preserve"> odvětvové klasifikace CZ-NACE) </w:t>
      </w:r>
      <w:r w:rsidRPr="00F40DD1">
        <w:rPr>
          <w:rFonts w:cs="Arial"/>
          <w:b/>
        </w:rPr>
        <w:t>zaměstnavatele</w:t>
      </w:r>
      <w:r>
        <w:rPr>
          <w:rFonts w:cs="Arial"/>
        </w:rPr>
        <w:t xml:space="preserve"> osob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</w:t>
      </w:r>
      <w:r w:rsidR="0096445E">
        <w:rPr>
          <w:rFonts w:cs="Arial"/>
        </w:rPr>
        <w:t xml:space="preserve"> a </w:t>
      </w:r>
      <w:r w:rsidR="0096445E" w:rsidRPr="0019771A">
        <w:rPr>
          <w:rFonts w:cs="Arial"/>
        </w:rPr>
        <w:t>dle k</w:t>
      </w:r>
      <w:r w:rsidR="0096445E" w:rsidRPr="0019771A">
        <w:t>lasifikace</w:t>
      </w:r>
      <w:r w:rsidR="0096445E" w:rsidRPr="00A00D45">
        <w:rPr>
          <w:b/>
        </w:rPr>
        <w:t xml:space="preserve"> institucionálních sektorů a </w:t>
      </w:r>
      <w:proofErr w:type="spellStart"/>
      <w:r w:rsidR="0096445E" w:rsidRPr="00A00D45">
        <w:rPr>
          <w:b/>
        </w:rPr>
        <w:t>subsektorů</w:t>
      </w:r>
      <w:proofErr w:type="spellEnd"/>
      <w:r w:rsidR="00A00D45" w:rsidRPr="00A00D45">
        <w:rPr>
          <w:b/>
        </w:rPr>
        <w:t>.</w:t>
      </w:r>
    </w:p>
    <w:p w:rsidR="007A7C65" w:rsidRDefault="00E90E17" w:rsidP="007F1D5D">
      <w:pPr>
        <w:jc w:val="both"/>
        <w:rPr>
          <w:rFonts w:cs="Arial"/>
          <w:szCs w:val="20"/>
        </w:rPr>
      </w:pPr>
      <w:hyperlink r:id="rId8" w:history="1">
        <w:r w:rsidR="0096445E" w:rsidRPr="008F5D0E">
          <w:rPr>
            <w:rStyle w:val="Hypertextovodkaz"/>
            <w:rFonts w:cs="Arial"/>
          </w:rPr>
          <w:t>https://www.czso.cz/csu/czso/klasifikace-institucionalnich-sektoru-a-subsektoru-cz-ciss</w:t>
        </w:r>
      </w:hyperlink>
      <w:r w:rsidR="007A7C65">
        <w:rPr>
          <w:rFonts w:cs="Arial"/>
        </w:rPr>
        <w:t xml:space="preserve"> Rozlišení dle krajů a okresů vychází z údaje o sídle útvaru, který vede evidenci mezd u zaměstnavatele osoby, která je v pracovní neschopnosti.</w:t>
      </w:r>
    </w:p>
    <w:p w:rsidR="007F1D5D" w:rsidRDefault="007F1D5D" w:rsidP="007F1D5D">
      <w:pPr>
        <w:jc w:val="both"/>
      </w:pPr>
      <w:r>
        <w:rPr>
          <w:rFonts w:cs="Arial"/>
          <w:szCs w:val="20"/>
        </w:rPr>
        <w:t>Kromě statistiky nově hlášených případů dočasné pracovní neschopnosti zpracovávané ČSÚ jsou z evidence ČSSZ zpracovávány a publikovány také údaje o ukončených případech pracovní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neschopnosti, které zpracovává Ústav zdravotnických informací </w:t>
      </w:r>
      <w:r w:rsidR="00DA2071">
        <w:rPr>
          <w:rFonts w:cs="Arial"/>
          <w:szCs w:val="20"/>
        </w:rPr>
        <w:t xml:space="preserve">a statistiky </w:t>
      </w:r>
      <w:r>
        <w:rPr>
          <w:rFonts w:cs="Arial"/>
          <w:szCs w:val="20"/>
        </w:rPr>
        <w:t>České republiky (ÚZIS ČR), viz </w:t>
      </w:r>
      <w:hyperlink r:id="rId9" w:history="1">
        <w:r>
          <w:rPr>
            <w:rStyle w:val="Hypertextovodkaz"/>
            <w:rFonts w:eastAsia="MS Gothic" w:cs="Arial"/>
            <w:szCs w:val="20"/>
          </w:rPr>
          <w:t>http://www.uzis.cz/category/tematicke-rady/zdravotnicka-statistika/pracovni-neschopnost</w:t>
        </w:r>
      </w:hyperlink>
      <w:r>
        <w:t xml:space="preserve">. </w:t>
      </w:r>
    </w:p>
    <w:p w:rsidR="004B17A6" w:rsidRDefault="007F1D5D" w:rsidP="007F1D5D">
      <w:pPr>
        <w:jc w:val="both"/>
      </w:pPr>
      <w:r>
        <w:t xml:space="preserve">Obdobné statistiky ukončených případů pracovní neschopnosti sleduje a zpracovává přímo i Česká správa sociálního zabezpečení, viz </w:t>
      </w:r>
      <w:hyperlink r:id="rId10" w:history="1">
        <w:r>
          <w:rPr>
            <w:rStyle w:val="Hypertextovodkaz"/>
            <w:rFonts w:eastAsia="MS Gothic"/>
          </w:rPr>
          <w:t>http://www.cssz.cz/cz/o-cssz/informace/statistiky/nemocenska-statistika/</w:t>
        </w:r>
      </w:hyperlink>
      <w:r>
        <w:t xml:space="preserve">. </w:t>
      </w:r>
    </w:p>
    <w:p w:rsidR="004B17A6" w:rsidRDefault="007F1D5D" w:rsidP="007F1D5D">
      <w:pPr>
        <w:jc w:val="both"/>
        <w:rPr>
          <w:rFonts w:cs="Arial"/>
        </w:rPr>
      </w:pPr>
      <w:r>
        <w:rPr>
          <w:rFonts w:cs="Arial"/>
          <w:szCs w:val="20"/>
        </w:rPr>
        <w:t>Na rozdíl od statistik nově hlášených případů dočasné neschopnosti, které zajišťuje a zpracovává ČSÚ</w:t>
      </w:r>
      <w:r>
        <w:rPr>
          <w:rFonts w:cs="Arial"/>
        </w:rPr>
        <w:t xml:space="preserve">, zaznamenává a zjišťuje </w:t>
      </w:r>
      <w:r>
        <w:rPr>
          <w:rFonts w:cs="Arial"/>
          <w:szCs w:val="20"/>
        </w:rPr>
        <w:t>ÚZIS ČR</w:t>
      </w:r>
      <w:r>
        <w:rPr>
          <w:rFonts w:cs="Arial"/>
        </w:rPr>
        <w:t xml:space="preserve"> dočasné pracovní neschopnosti z dat ČSSZ pouze pro případy ukončené ve sledovaném roce. Rozdíly v počtech nově hlášených a ukončených případů dočasné pracovní neschopnosti mezi oběma zdroji jsou dány odlišnou metodikou sběru dat.</w:t>
      </w:r>
      <w:r w:rsidR="004B17A6">
        <w:rPr>
          <w:rFonts w:cs="Arial"/>
        </w:rPr>
        <w:t xml:space="preserve"> </w:t>
      </w:r>
    </w:p>
    <w:p w:rsidR="007F1D5D" w:rsidRDefault="004B17A6" w:rsidP="007F1D5D">
      <w:pPr>
        <w:jc w:val="both"/>
        <w:rPr>
          <w:rFonts w:cs="Arial"/>
        </w:rPr>
      </w:pPr>
      <w:r>
        <w:rPr>
          <w:rFonts w:cs="Arial"/>
        </w:rPr>
        <w:t xml:space="preserve">ÚZIS ČR i ČSSZ však nabízí ve svých statistikách jiné třídění publikovaných dat než ČSÚ, a to zejména podle věku práce neschopných a podle </w:t>
      </w:r>
      <w:r w:rsidR="00B466E5">
        <w:rPr>
          <w:rFonts w:cs="Arial"/>
        </w:rPr>
        <w:t>příčin pracovní neschopnosti</w:t>
      </w:r>
      <w:r>
        <w:rPr>
          <w:rFonts w:cs="Arial"/>
        </w:rPr>
        <w:t>. Pro zpestření pohledu na statistiku nemocnosti</w:t>
      </w:r>
      <w:r w:rsidR="00B466E5">
        <w:rPr>
          <w:rFonts w:cs="Arial"/>
        </w:rPr>
        <w:t xml:space="preserve"> byla </w:t>
      </w:r>
      <w:r w:rsidR="00DF24E1">
        <w:rPr>
          <w:rFonts w:cs="Arial"/>
        </w:rPr>
        <w:t>vybraná data z uvedených zdrojů využita i v této publikaci.</w:t>
      </w:r>
    </w:p>
    <w:p w:rsidR="007F1D5D" w:rsidRDefault="007F1D5D" w:rsidP="00F8597B">
      <w:pPr>
        <w:spacing w:after="60"/>
        <w:jc w:val="both"/>
        <w:rPr>
          <w:rFonts w:cs="Arial"/>
        </w:rPr>
      </w:pPr>
      <w:r>
        <w:rPr>
          <w:rFonts w:cs="Arial"/>
        </w:rPr>
        <w:t>Vzhledem k výš</w:t>
      </w:r>
      <w:r w:rsidR="00E365EF">
        <w:rPr>
          <w:rFonts w:cs="Arial"/>
        </w:rPr>
        <w:t>e</w:t>
      </w:r>
      <w:r>
        <w:rPr>
          <w:rFonts w:cs="Arial"/>
        </w:rPr>
        <w:t xml:space="preserve"> uvedenému přechodu ze sběru dat prostřednictvím výkazu ČSÚ na administrativní zdroj Informačního systému ČSSZ v roce 2012 však </w:t>
      </w:r>
      <w:r w:rsidRPr="00393E1C">
        <w:rPr>
          <w:rFonts w:cs="Arial"/>
        </w:rPr>
        <w:t xml:space="preserve">nejsou některé dříve sledované ukazatele od roku 2012 </w:t>
      </w:r>
      <w:r w:rsidR="00DA2071">
        <w:rPr>
          <w:rFonts w:cs="Arial"/>
        </w:rPr>
        <w:t xml:space="preserve">ČSÚ </w:t>
      </w:r>
      <w:r w:rsidRPr="00393E1C">
        <w:rPr>
          <w:rFonts w:cs="Arial"/>
        </w:rPr>
        <w:t xml:space="preserve">dále zjišťovány. </w:t>
      </w:r>
      <w:r>
        <w:rPr>
          <w:rFonts w:cs="Arial"/>
        </w:rPr>
        <w:t>Tyto ukazatele však lze nalézt ve výstupech následujících administrativních zdrojů a dat z registrů:</w:t>
      </w:r>
    </w:p>
    <w:p w:rsidR="007F1D5D" w:rsidRDefault="007F1D5D" w:rsidP="00494E37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>Náklady na závodní preventivní péči</w:t>
      </w:r>
      <w:r>
        <w:rPr>
          <w:rFonts w:ascii="Arial" w:hAnsi="Arial" w:cs="Arial"/>
          <w:sz w:val="20"/>
        </w:rPr>
        <w:t xml:space="preserve"> </w:t>
      </w:r>
      <w:r w:rsidRPr="00A812BE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ukazatel je od roku 2012 zařazen do statistického </w:t>
      </w:r>
      <w:r>
        <w:rPr>
          <w:rFonts w:ascii="Arial" w:hAnsi="Arial" w:cs="Arial"/>
          <w:sz w:val="20"/>
        </w:rPr>
        <w:tab/>
        <w:t>zjišťování ČSÚ v rámci výkazu ÚNP 4-01;</w:t>
      </w:r>
    </w:p>
    <w:p w:rsidR="007F1D5D" w:rsidRDefault="007F1D5D" w:rsidP="00494E37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 xml:space="preserve">Náhrady a přirážky hrazené zaměstnavatelem za škodu při pracovním úrazu nebo nemoci </w:t>
      </w:r>
      <w:r>
        <w:rPr>
          <w:rFonts w:ascii="Arial" w:hAnsi="Arial" w:cs="Arial"/>
          <w:i/>
          <w:sz w:val="20"/>
        </w:rPr>
        <w:tab/>
        <w:t>z </w:t>
      </w:r>
      <w:r w:rsidRPr="004C1671">
        <w:rPr>
          <w:rFonts w:ascii="Arial" w:hAnsi="Arial" w:cs="Arial"/>
          <w:i/>
          <w:sz w:val="20"/>
        </w:rPr>
        <w:t>povolání</w:t>
      </w:r>
      <w:r w:rsidRPr="00A812BE">
        <w:rPr>
          <w:rFonts w:ascii="Arial" w:hAnsi="Arial" w:cs="Arial"/>
          <w:sz w:val="20"/>
        </w:rPr>
        <w:t> – údaje j</w:t>
      </w:r>
      <w:r w:rsidRPr="009075FA">
        <w:rPr>
          <w:rFonts w:ascii="Arial" w:hAnsi="Arial" w:cs="Arial"/>
          <w:sz w:val="20"/>
        </w:rPr>
        <w:t>s</w:t>
      </w:r>
      <w:r w:rsidRPr="00A812BE">
        <w:rPr>
          <w:rFonts w:ascii="Arial" w:hAnsi="Arial" w:cs="Arial"/>
          <w:sz w:val="20"/>
        </w:rPr>
        <w:t xml:space="preserve">ou dostupné ze standardních sestav Ministerstva financí </w:t>
      </w:r>
      <w:r w:rsidR="00B55638">
        <w:rPr>
          <w:rFonts w:ascii="Arial" w:hAnsi="Arial" w:cs="Arial"/>
          <w:sz w:val="20"/>
        </w:rPr>
        <w:t xml:space="preserve">ČR </w:t>
      </w:r>
      <w:r w:rsidRPr="00A812BE">
        <w:rPr>
          <w:rFonts w:ascii="Arial" w:hAnsi="Arial" w:cs="Arial"/>
          <w:sz w:val="20"/>
        </w:rPr>
        <w:t>(MF)</w:t>
      </w:r>
      <w:r>
        <w:rPr>
          <w:rFonts w:ascii="Arial" w:hAnsi="Arial" w:cs="Arial"/>
          <w:sz w:val="20"/>
        </w:rPr>
        <w:t>;</w:t>
      </w:r>
    </w:p>
    <w:p w:rsidR="007F1D5D" w:rsidRDefault="007F1D5D" w:rsidP="00494E37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>Kategorizace prací dle míry rizika</w:t>
      </w:r>
      <w:r w:rsidRPr="002469A6">
        <w:rPr>
          <w:rFonts w:ascii="Arial" w:hAnsi="Arial" w:cs="Arial"/>
          <w:sz w:val="20"/>
        </w:rPr>
        <w:t xml:space="preserve"> – statistická evidence prací dle míry rizika je od roku 2012 </w:t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 xml:space="preserve">zajišťována Registrem kategorizace prací (IS </w:t>
      </w:r>
      <w:proofErr w:type="spellStart"/>
      <w:r w:rsidRPr="002469A6">
        <w:rPr>
          <w:rFonts w:ascii="Arial" w:hAnsi="Arial" w:cs="Arial"/>
          <w:sz w:val="20"/>
        </w:rPr>
        <w:t>KaPr</w:t>
      </w:r>
      <w:proofErr w:type="spellEnd"/>
      <w:r w:rsidRPr="002469A6">
        <w:rPr>
          <w:rFonts w:ascii="Arial" w:hAnsi="Arial" w:cs="Arial"/>
          <w:sz w:val="20"/>
        </w:rPr>
        <w:t>)</w:t>
      </w:r>
      <w:r w:rsidR="00DA2071">
        <w:rPr>
          <w:rFonts w:ascii="Arial" w:hAnsi="Arial" w:cs="Arial"/>
          <w:sz w:val="20"/>
        </w:rPr>
        <w:t>;</w:t>
      </w:r>
      <w:r w:rsidRPr="002469A6">
        <w:rPr>
          <w:rFonts w:ascii="Arial" w:hAnsi="Arial" w:cs="Arial"/>
          <w:sz w:val="20"/>
        </w:rPr>
        <w:t xml:space="preserve"> </w:t>
      </w:r>
    </w:p>
    <w:p w:rsidR="007F1D5D" w:rsidRPr="002469A6" w:rsidRDefault="007F1D5D" w:rsidP="003B51A0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ind w:left="714" w:hanging="357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>Smrtelná pracovní úrazovost</w:t>
      </w:r>
      <w:r>
        <w:rPr>
          <w:rFonts w:ascii="Arial" w:hAnsi="Arial" w:cs="Arial"/>
          <w:sz w:val="20"/>
        </w:rPr>
        <w:t xml:space="preserve"> </w:t>
      </w:r>
      <w:r w:rsidRPr="00A812BE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Pr="002469A6">
        <w:rPr>
          <w:rFonts w:ascii="Arial" w:hAnsi="Arial" w:cs="Arial"/>
          <w:sz w:val="20"/>
        </w:rPr>
        <w:t xml:space="preserve">data jsou pravidelně uveřejňována v analýze Výzkumného </w:t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>ústavu bezpečnosti práce (VÚBP) a Státního úřadu inspekce práce (SÚIP) s názvem</w:t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>„Analýza smrtelné pracovní úrazovosti v České republice“;</w:t>
      </w:r>
    </w:p>
    <w:p w:rsidR="003B51A0" w:rsidRDefault="007F1D5D" w:rsidP="00EE2030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/>
        <w:jc w:val="both"/>
        <w:rPr>
          <w:rFonts w:ascii="Arial" w:hAnsi="Arial" w:cs="Arial"/>
          <w:sz w:val="20"/>
        </w:rPr>
      </w:pPr>
      <w:r w:rsidRPr="00EE2030">
        <w:rPr>
          <w:rFonts w:ascii="Arial" w:hAnsi="Arial" w:cs="Arial"/>
          <w:i/>
          <w:sz w:val="20"/>
        </w:rPr>
        <w:t>Nemoci z povolání</w:t>
      </w:r>
      <w:r w:rsidRPr="00EE2030">
        <w:rPr>
          <w:rFonts w:ascii="Arial" w:hAnsi="Arial" w:cs="Arial"/>
          <w:sz w:val="20"/>
        </w:rPr>
        <w:t xml:space="preserve"> – data jsou pravidelně uveřejňována v analýze Státního zdravotního </w:t>
      </w:r>
      <w:r w:rsidRPr="00EE2030">
        <w:rPr>
          <w:rFonts w:ascii="Arial" w:hAnsi="Arial" w:cs="Arial"/>
          <w:sz w:val="20"/>
        </w:rPr>
        <w:tab/>
      </w:r>
      <w:r w:rsidRPr="00EE2030">
        <w:rPr>
          <w:rFonts w:ascii="Arial" w:hAnsi="Arial" w:cs="Arial"/>
          <w:sz w:val="20"/>
        </w:rPr>
        <w:tab/>
        <w:t>ústavu (SZÚ) „Nemoci z povolání v České republice“.</w:t>
      </w:r>
    </w:p>
    <w:sectPr w:rsidR="003B51A0" w:rsidSect="006F541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1C0" w:rsidRDefault="000F21C0" w:rsidP="00E71A58">
      <w:r>
        <w:separator/>
      </w:r>
    </w:p>
  </w:endnote>
  <w:endnote w:type="continuationSeparator" w:id="0">
    <w:p w:rsidR="000F21C0" w:rsidRDefault="000F21C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69" w:rsidRPr="00932443" w:rsidRDefault="009D106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69" w:rsidRPr="00932443" w:rsidRDefault="009D106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1C0" w:rsidRDefault="000F21C0" w:rsidP="00E71A58">
      <w:r>
        <w:separator/>
      </w:r>
    </w:p>
  </w:footnote>
  <w:footnote w:type="continuationSeparator" w:id="0">
    <w:p w:rsidR="000F21C0" w:rsidRDefault="000F21C0" w:rsidP="00E71A58">
      <w:r>
        <w:continuationSeparator/>
      </w:r>
    </w:p>
  </w:footnote>
  <w:footnote w:id="1">
    <w:p w:rsidR="009D1069" w:rsidRPr="00785650" w:rsidRDefault="009D1069" w:rsidP="007F1D5D">
      <w:pPr>
        <w:spacing w:before="20" w:line="240" w:lineRule="auto"/>
        <w:jc w:val="both"/>
        <w:rPr>
          <w:rFonts w:cs="Arial"/>
          <w:sz w:val="16"/>
          <w:szCs w:val="20"/>
        </w:rPr>
      </w:pPr>
      <w:r w:rsidRPr="008301EE">
        <w:rPr>
          <w:rStyle w:val="Znakapoznpodarou"/>
          <w:szCs w:val="20"/>
        </w:rPr>
        <w:footnoteRef/>
      </w:r>
      <w:r w:rsidRPr="008301EE">
        <w:rPr>
          <w:szCs w:val="20"/>
        </w:rPr>
        <w:t xml:space="preserve"> </w:t>
      </w:r>
      <w:r w:rsidRPr="006D66F2">
        <w:rPr>
          <w:sz w:val="16"/>
        </w:rPr>
        <w:t xml:space="preserve">V údajích ČSSZ nejsou zahrnuti příslušníci </w:t>
      </w:r>
      <w:r w:rsidRPr="006D66F2">
        <w:rPr>
          <w:rFonts w:cs="Arial"/>
          <w:sz w:val="16"/>
        </w:rPr>
        <w:t xml:space="preserve">Policie ČR, Hasičského záchranného sboru ČR, Celní správy ČR, </w:t>
      </w:r>
      <w:r w:rsidRPr="006D66F2">
        <w:rPr>
          <w:rFonts w:cs="Arial"/>
          <w:sz w:val="16"/>
          <w:szCs w:val="20"/>
        </w:rPr>
        <w:t xml:space="preserve">Vězeňské služby ČR, </w:t>
      </w:r>
      <w:r>
        <w:rPr>
          <w:rFonts w:cs="Arial"/>
          <w:sz w:val="16"/>
          <w:szCs w:val="20"/>
        </w:rPr>
        <w:t xml:space="preserve">Generální inspekce bezpečnostních sborů, </w:t>
      </w:r>
      <w:r w:rsidRPr="006D66F2">
        <w:rPr>
          <w:rFonts w:cs="Arial"/>
          <w:sz w:val="16"/>
          <w:szCs w:val="20"/>
        </w:rPr>
        <w:t>Bezpečnostní informační služby, Úřadu pro zahraniční styky a informace a vojá</w:t>
      </w:r>
      <w:r>
        <w:rPr>
          <w:rFonts w:cs="Arial"/>
          <w:sz w:val="16"/>
          <w:szCs w:val="20"/>
        </w:rPr>
        <w:t>ci</w:t>
      </w:r>
      <w:r w:rsidRPr="006D66F2">
        <w:rPr>
          <w:rFonts w:cs="Arial"/>
          <w:sz w:val="16"/>
          <w:szCs w:val="20"/>
        </w:rPr>
        <w:t xml:space="preserve"> z povolání (§ 5 písm. a) bod 2 zákona č.187/2006 Sb.).</w:t>
      </w:r>
      <w:r w:rsidRPr="006D66F2">
        <w:rPr>
          <w:rFonts w:cs="Arial"/>
          <w:sz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69" w:rsidRPr="00C62BD6" w:rsidRDefault="009D1069" w:rsidP="00C62BD6">
    <w:pPr>
      <w:pStyle w:val="Zhlav"/>
    </w:pPr>
    <w:r>
      <w:t>Pracovní neschopnost pro nemoc a úraz v České republice za 1. pololetí 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69" w:rsidRPr="00C62BD6" w:rsidRDefault="009D1069" w:rsidP="00C62BD6">
    <w:pPr>
      <w:pStyle w:val="Zhlav"/>
    </w:pPr>
    <w:r>
      <w:t>Pracovní neschopnost pro nemoc a úraz v České republice za 1. pololetí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1F7F59"/>
    <w:multiLevelType w:val="hybridMultilevel"/>
    <w:tmpl w:val="9EACC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2469A9"/>
    <w:multiLevelType w:val="hybridMultilevel"/>
    <w:tmpl w:val="6E424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133F17"/>
    <w:multiLevelType w:val="hybridMultilevel"/>
    <w:tmpl w:val="1D3A9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03038"/>
    <w:multiLevelType w:val="multilevel"/>
    <w:tmpl w:val="33D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723F40"/>
    <w:multiLevelType w:val="hybridMultilevel"/>
    <w:tmpl w:val="65E8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6B787E"/>
    <w:multiLevelType w:val="hybridMultilevel"/>
    <w:tmpl w:val="A4A86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6F1BCF"/>
    <w:multiLevelType w:val="multilevel"/>
    <w:tmpl w:val="0CFA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772BC2"/>
    <w:multiLevelType w:val="multilevel"/>
    <w:tmpl w:val="B6E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C14F36"/>
    <w:multiLevelType w:val="multilevel"/>
    <w:tmpl w:val="1A9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9855A7"/>
    <w:multiLevelType w:val="hybridMultilevel"/>
    <w:tmpl w:val="5E74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FE13AA"/>
    <w:multiLevelType w:val="hybridMultilevel"/>
    <w:tmpl w:val="3B3005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435D6"/>
    <w:multiLevelType w:val="hybridMultilevel"/>
    <w:tmpl w:val="299CC6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757E69"/>
    <w:multiLevelType w:val="hybridMultilevel"/>
    <w:tmpl w:val="923CA67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42BA0E59"/>
    <w:multiLevelType w:val="hybridMultilevel"/>
    <w:tmpl w:val="3F88B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75EA9"/>
    <w:multiLevelType w:val="multilevel"/>
    <w:tmpl w:val="8EF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F873C3"/>
    <w:multiLevelType w:val="hybridMultilevel"/>
    <w:tmpl w:val="B83418D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74A64"/>
    <w:multiLevelType w:val="hybridMultilevel"/>
    <w:tmpl w:val="35CA03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159D4"/>
    <w:multiLevelType w:val="hybridMultilevel"/>
    <w:tmpl w:val="A4D2B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E1767"/>
    <w:multiLevelType w:val="hybridMultilevel"/>
    <w:tmpl w:val="20A01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34"/>
  </w:num>
  <w:num w:numId="14">
    <w:abstractNumId w:val="17"/>
  </w:num>
  <w:num w:numId="15">
    <w:abstractNumId w:val="27"/>
  </w:num>
  <w:num w:numId="16">
    <w:abstractNumId w:val="10"/>
  </w:num>
  <w:num w:numId="17">
    <w:abstractNumId w:val="40"/>
  </w:num>
  <w:num w:numId="18">
    <w:abstractNumId w:val="22"/>
  </w:num>
  <w:num w:numId="19">
    <w:abstractNumId w:val="36"/>
  </w:num>
  <w:num w:numId="20">
    <w:abstractNumId w:val="25"/>
  </w:num>
  <w:num w:numId="21">
    <w:abstractNumId w:val="32"/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5"/>
  </w:num>
  <w:num w:numId="25">
    <w:abstractNumId w:val="14"/>
  </w:num>
  <w:num w:numId="26">
    <w:abstractNumId w:val="38"/>
  </w:num>
  <w:num w:numId="27">
    <w:abstractNumId w:val="11"/>
  </w:num>
  <w:num w:numId="28">
    <w:abstractNumId w:val="12"/>
  </w:num>
  <w:num w:numId="29">
    <w:abstractNumId w:val="13"/>
  </w:num>
  <w:num w:numId="30">
    <w:abstractNumId w:val="28"/>
  </w:num>
  <w:num w:numId="31">
    <w:abstractNumId w:val="24"/>
  </w:num>
  <w:num w:numId="32">
    <w:abstractNumId w:val="16"/>
  </w:num>
  <w:num w:numId="33">
    <w:abstractNumId w:val="30"/>
  </w:num>
  <w:num w:numId="34">
    <w:abstractNumId w:val="41"/>
  </w:num>
  <w:num w:numId="35">
    <w:abstractNumId w:val="20"/>
  </w:num>
  <w:num w:numId="36">
    <w:abstractNumId w:val="21"/>
  </w:num>
  <w:num w:numId="37">
    <w:abstractNumId w:val="39"/>
  </w:num>
  <w:num w:numId="38">
    <w:abstractNumId w:val="26"/>
  </w:num>
  <w:num w:numId="39">
    <w:abstractNumId w:val="37"/>
  </w:num>
  <w:num w:numId="40">
    <w:abstractNumId w:val="29"/>
  </w:num>
  <w:num w:numId="41">
    <w:abstractNumId w:val="18"/>
  </w:num>
  <w:num w:numId="42">
    <w:abstractNumId w:val="31"/>
  </w:num>
  <w:num w:numId="43">
    <w:abstractNumId w:val="15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629F"/>
    <w:rsid w:val="00000F9E"/>
    <w:rsid w:val="0000209D"/>
    <w:rsid w:val="00004D5A"/>
    <w:rsid w:val="000056AC"/>
    <w:rsid w:val="000056D5"/>
    <w:rsid w:val="00006E59"/>
    <w:rsid w:val="00006FF8"/>
    <w:rsid w:val="000073B0"/>
    <w:rsid w:val="0000767A"/>
    <w:rsid w:val="00010702"/>
    <w:rsid w:val="00012AAA"/>
    <w:rsid w:val="00012D4C"/>
    <w:rsid w:val="000138D2"/>
    <w:rsid w:val="00014CB4"/>
    <w:rsid w:val="00016992"/>
    <w:rsid w:val="00020366"/>
    <w:rsid w:val="00020F5B"/>
    <w:rsid w:val="00021D4F"/>
    <w:rsid w:val="000220A7"/>
    <w:rsid w:val="00022CC3"/>
    <w:rsid w:val="000234D6"/>
    <w:rsid w:val="00023752"/>
    <w:rsid w:val="00023D29"/>
    <w:rsid w:val="00025962"/>
    <w:rsid w:val="00026389"/>
    <w:rsid w:val="00030C62"/>
    <w:rsid w:val="000318FA"/>
    <w:rsid w:val="00031AE0"/>
    <w:rsid w:val="000322EF"/>
    <w:rsid w:val="00033FCD"/>
    <w:rsid w:val="00035D43"/>
    <w:rsid w:val="00036D75"/>
    <w:rsid w:val="0003700D"/>
    <w:rsid w:val="00037892"/>
    <w:rsid w:val="00040E2B"/>
    <w:rsid w:val="00041CD3"/>
    <w:rsid w:val="00041CEC"/>
    <w:rsid w:val="000422D6"/>
    <w:rsid w:val="00042338"/>
    <w:rsid w:val="00043077"/>
    <w:rsid w:val="000439E1"/>
    <w:rsid w:val="000441B2"/>
    <w:rsid w:val="000456B5"/>
    <w:rsid w:val="0004580B"/>
    <w:rsid w:val="00045DE5"/>
    <w:rsid w:val="00046914"/>
    <w:rsid w:val="0004694F"/>
    <w:rsid w:val="00047203"/>
    <w:rsid w:val="00052266"/>
    <w:rsid w:val="000522E4"/>
    <w:rsid w:val="00052494"/>
    <w:rsid w:val="00055BD9"/>
    <w:rsid w:val="000610E1"/>
    <w:rsid w:val="00061150"/>
    <w:rsid w:val="00061AF0"/>
    <w:rsid w:val="00062AE9"/>
    <w:rsid w:val="00062EC5"/>
    <w:rsid w:val="00062F22"/>
    <w:rsid w:val="000637B9"/>
    <w:rsid w:val="00063B7E"/>
    <w:rsid w:val="00063EF6"/>
    <w:rsid w:val="00065F99"/>
    <w:rsid w:val="00066244"/>
    <w:rsid w:val="00067CC5"/>
    <w:rsid w:val="00070698"/>
    <w:rsid w:val="000712B3"/>
    <w:rsid w:val="0007305F"/>
    <w:rsid w:val="00074B9E"/>
    <w:rsid w:val="00074D94"/>
    <w:rsid w:val="00075921"/>
    <w:rsid w:val="00076895"/>
    <w:rsid w:val="0008263E"/>
    <w:rsid w:val="00082C19"/>
    <w:rsid w:val="00085056"/>
    <w:rsid w:val="000850A2"/>
    <w:rsid w:val="00085395"/>
    <w:rsid w:val="00085DD0"/>
    <w:rsid w:val="00085EA1"/>
    <w:rsid w:val="000860AB"/>
    <w:rsid w:val="000860E7"/>
    <w:rsid w:val="00086E51"/>
    <w:rsid w:val="00087634"/>
    <w:rsid w:val="00087B0B"/>
    <w:rsid w:val="00087D6A"/>
    <w:rsid w:val="00087F2B"/>
    <w:rsid w:val="0009095C"/>
    <w:rsid w:val="00090DF3"/>
    <w:rsid w:val="00091189"/>
    <w:rsid w:val="00091548"/>
    <w:rsid w:val="00092DFE"/>
    <w:rsid w:val="0009305D"/>
    <w:rsid w:val="0009434D"/>
    <w:rsid w:val="00096738"/>
    <w:rsid w:val="00096A2D"/>
    <w:rsid w:val="000974D1"/>
    <w:rsid w:val="0009799E"/>
    <w:rsid w:val="00097C3A"/>
    <w:rsid w:val="000A0EDF"/>
    <w:rsid w:val="000A1183"/>
    <w:rsid w:val="000A1A53"/>
    <w:rsid w:val="000A1DDF"/>
    <w:rsid w:val="000A256D"/>
    <w:rsid w:val="000A34A2"/>
    <w:rsid w:val="000A376E"/>
    <w:rsid w:val="000A3A2C"/>
    <w:rsid w:val="000A3A51"/>
    <w:rsid w:val="000A5007"/>
    <w:rsid w:val="000A5190"/>
    <w:rsid w:val="000A5801"/>
    <w:rsid w:val="000A73A7"/>
    <w:rsid w:val="000A7FAF"/>
    <w:rsid w:val="000B046F"/>
    <w:rsid w:val="000B0F71"/>
    <w:rsid w:val="000B1299"/>
    <w:rsid w:val="000B18E1"/>
    <w:rsid w:val="000B30FA"/>
    <w:rsid w:val="000B3152"/>
    <w:rsid w:val="000B3416"/>
    <w:rsid w:val="000B3EF7"/>
    <w:rsid w:val="000B4F3F"/>
    <w:rsid w:val="000B5AB0"/>
    <w:rsid w:val="000B78F7"/>
    <w:rsid w:val="000C0175"/>
    <w:rsid w:val="000C3408"/>
    <w:rsid w:val="000C3871"/>
    <w:rsid w:val="000C4868"/>
    <w:rsid w:val="000C6AFD"/>
    <w:rsid w:val="000D0984"/>
    <w:rsid w:val="000D0B70"/>
    <w:rsid w:val="000D1857"/>
    <w:rsid w:val="000D2467"/>
    <w:rsid w:val="000D2B7A"/>
    <w:rsid w:val="000D3D37"/>
    <w:rsid w:val="000D4A30"/>
    <w:rsid w:val="000D5637"/>
    <w:rsid w:val="000D5763"/>
    <w:rsid w:val="000D6E68"/>
    <w:rsid w:val="000E1AB0"/>
    <w:rsid w:val="000E2F1E"/>
    <w:rsid w:val="000E3A0E"/>
    <w:rsid w:val="000E3A9C"/>
    <w:rsid w:val="000E43F6"/>
    <w:rsid w:val="000E525F"/>
    <w:rsid w:val="000E5B2D"/>
    <w:rsid w:val="000E6D18"/>
    <w:rsid w:val="000E6FBD"/>
    <w:rsid w:val="000E70A2"/>
    <w:rsid w:val="000F1056"/>
    <w:rsid w:val="000F1FE8"/>
    <w:rsid w:val="000F21C0"/>
    <w:rsid w:val="000F2C27"/>
    <w:rsid w:val="000F2DDC"/>
    <w:rsid w:val="000F5618"/>
    <w:rsid w:val="000F5FE0"/>
    <w:rsid w:val="000F64E8"/>
    <w:rsid w:val="000F68B6"/>
    <w:rsid w:val="00100C17"/>
    <w:rsid w:val="00100F5C"/>
    <w:rsid w:val="00102149"/>
    <w:rsid w:val="00102408"/>
    <w:rsid w:val="001030DF"/>
    <w:rsid w:val="0010437D"/>
    <w:rsid w:val="00104C4C"/>
    <w:rsid w:val="0010665F"/>
    <w:rsid w:val="00106C1B"/>
    <w:rsid w:val="00106E17"/>
    <w:rsid w:val="001077C2"/>
    <w:rsid w:val="0011072F"/>
    <w:rsid w:val="001116A9"/>
    <w:rsid w:val="001122E0"/>
    <w:rsid w:val="0011447F"/>
    <w:rsid w:val="00117A2D"/>
    <w:rsid w:val="0012192F"/>
    <w:rsid w:val="00121BBA"/>
    <w:rsid w:val="00125175"/>
    <w:rsid w:val="001253F3"/>
    <w:rsid w:val="00125D69"/>
    <w:rsid w:val="00125F56"/>
    <w:rsid w:val="00126448"/>
    <w:rsid w:val="00130594"/>
    <w:rsid w:val="00130A21"/>
    <w:rsid w:val="0013134F"/>
    <w:rsid w:val="001316B8"/>
    <w:rsid w:val="0013313C"/>
    <w:rsid w:val="001338A0"/>
    <w:rsid w:val="00133F2E"/>
    <w:rsid w:val="0013513B"/>
    <w:rsid w:val="00135C05"/>
    <w:rsid w:val="001405FA"/>
    <w:rsid w:val="00140D94"/>
    <w:rsid w:val="00141374"/>
    <w:rsid w:val="001425C3"/>
    <w:rsid w:val="0014311C"/>
    <w:rsid w:val="001436FE"/>
    <w:rsid w:val="00144CD5"/>
    <w:rsid w:val="001451B7"/>
    <w:rsid w:val="001458CD"/>
    <w:rsid w:val="00150CBE"/>
    <w:rsid w:val="001555A9"/>
    <w:rsid w:val="001558A1"/>
    <w:rsid w:val="00155E6E"/>
    <w:rsid w:val="00156FA0"/>
    <w:rsid w:val="001572B6"/>
    <w:rsid w:val="00157C4E"/>
    <w:rsid w:val="00157C82"/>
    <w:rsid w:val="00157F4D"/>
    <w:rsid w:val="00157FF8"/>
    <w:rsid w:val="00160704"/>
    <w:rsid w:val="00161A21"/>
    <w:rsid w:val="00162142"/>
    <w:rsid w:val="0016224B"/>
    <w:rsid w:val="0016256B"/>
    <w:rsid w:val="00162967"/>
    <w:rsid w:val="00162C96"/>
    <w:rsid w:val="00162CEB"/>
    <w:rsid w:val="00163793"/>
    <w:rsid w:val="00165721"/>
    <w:rsid w:val="001670A7"/>
    <w:rsid w:val="0017027A"/>
    <w:rsid w:val="001706D6"/>
    <w:rsid w:val="00170C5F"/>
    <w:rsid w:val="001714F2"/>
    <w:rsid w:val="001722C1"/>
    <w:rsid w:val="00172DAA"/>
    <w:rsid w:val="00172F7F"/>
    <w:rsid w:val="001730B3"/>
    <w:rsid w:val="00173D29"/>
    <w:rsid w:val="00174FF2"/>
    <w:rsid w:val="00175140"/>
    <w:rsid w:val="001757D7"/>
    <w:rsid w:val="00176686"/>
    <w:rsid w:val="001771A3"/>
    <w:rsid w:val="00177AF9"/>
    <w:rsid w:val="00184B08"/>
    <w:rsid w:val="00185010"/>
    <w:rsid w:val="001906E1"/>
    <w:rsid w:val="00191074"/>
    <w:rsid w:val="00191B90"/>
    <w:rsid w:val="00192C20"/>
    <w:rsid w:val="00193CBE"/>
    <w:rsid w:val="00194E14"/>
    <w:rsid w:val="00194FAA"/>
    <w:rsid w:val="00196668"/>
    <w:rsid w:val="0019672E"/>
    <w:rsid w:val="00196D71"/>
    <w:rsid w:val="00196DFF"/>
    <w:rsid w:val="0019752B"/>
    <w:rsid w:val="0019771A"/>
    <w:rsid w:val="001A0FEE"/>
    <w:rsid w:val="001A1661"/>
    <w:rsid w:val="001A552F"/>
    <w:rsid w:val="001A620D"/>
    <w:rsid w:val="001A6B70"/>
    <w:rsid w:val="001A73CD"/>
    <w:rsid w:val="001B2CA9"/>
    <w:rsid w:val="001B2E27"/>
    <w:rsid w:val="001B3110"/>
    <w:rsid w:val="001B46BC"/>
    <w:rsid w:val="001B4729"/>
    <w:rsid w:val="001B5429"/>
    <w:rsid w:val="001B64E2"/>
    <w:rsid w:val="001B6683"/>
    <w:rsid w:val="001B6C09"/>
    <w:rsid w:val="001C05CD"/>
    <w:rsid w:val="001C1006"/>
    <w:rsid w:val="001C1467"/>
    <w:rsid w:val="001C180F"/>
    <w:rsid w:val="001C2FEB"/>
    <w:rsid w:val="001C3015"/>
    <w:rsid w:val="001C4847"/>
    <w:rsid w:val="001C4A15"/>
    <w:rsid w:val="001C691D"/>
    <w:rsid w:val="001C69CD"/>
    <w:rsid w:val="001C77B0"/>
    <w:rsid w:val="001D3447"/>
    <w:rsid w:val="001D4179"/>
    <w:rsid w:val="001D4D07"/>
    <w:rsid w:val="001D520B"/>
    <w:rsid w:val="001D5F5C"/>
    <w:rsid w:val="001D68B2"/>
    <w:rsid w:val="001D7E19"/>
    <w:rsid w:val="001D7F96"/>
    <w:rsid w:val="001E0887"/>
    <w:rsid w:val="001E1882"/>
    <w:rsid w:val="001E36E8"/>
    <w:rsid w:val="001E5798"/>
    <w:rsid w:val="001F07BD"/>
    <w:rsid w:val="001F1AF6"/>
    <w:rsid w:val="001F3AEC"/>
    <w:rsid w:val="001F4597"/>
    <w:rsid w:val="001F4CD7"/>
    <w:rsid w:val="001F6B79"/>
    <w:rsid w:val="00200470"/>
    <w:rsid w:val="002011C2"/>
    <w:rsid w:val="002033D2"/>
    <w:rsid w:val="00204A73"/>
    <w:rsid w:val="00204F00"/>
    <w:rsid w:val="0020632C"/>
    <w:rsid w:val="00206C9F"/>
    <w:rsid w:val="00210FC4"/>
    <w:rsid w:val="002110A0"/>
    <w:rsid w:val="0021141B"/>
    <w:rsid w:val="00211604"/>
    <w:rsid w:val="002118B9"/>
    <w:rsid w:val="0021219D"/>
    <w:rsid w:val="00215605"/>
    <w:rsid w:val="00215904"/>
    <w:rsid w:val="0021605D"/>
    <w:rsid w:val="00217163"/>
    <w:rsid w:val="00217C5B"/>
    <w:rsid w:val="00217DDE"/>
    <w:rsid w:val="00220202"/>
    <w:rsid w:val="00220A25"/>
    <w:rsid w:val="0022139E"/>
    <w:rsid w:val="00223EE6"/>
    <w:rsid w:val="00224078"/>
    <w:rsid w:val="002247CA"/>
    <w:rsid w:val="002252E0"/>
    <w:rsid w:val="002255F6"/>
    <w:rsid w:val="00225CCC"/>
    <w:rsid w:val="00225D02"/>
    <w:rsid w:val="00225ECD"/>
    <w:rsid w:val="00225F24"/>
    <w:rsid w:val="00227850"/>
    <w:rsid w:val="00227A53"/>
    <w:rsid w:val="00227ADD"/>
    <w:rsid w:val="002305E5"/>
    <w:rsid w:val="00230C6E"/>
    <w:rsid w:val="00230D01"/>
    <w:rsid w:val="002321F2"/>
    <w:rsid w:val="0023272F"/>
    <w:rsid w:val="002329E4"/>
    <w:rsid w:val="002332C5"/>
    <w:rsid w:val="002339CB"/>
    <w:rsid w:val="00233ECF"/>
    <w:rsid w:val="002345D2"/>
    <w:rsid w:val="00235C79"/>
    <w:rsid w:val="00236443"/>
    <w:rsid w:val="00236769"/>
    <w:rsid w:val="00240D82"/>
    <w:rsid w:val="00241BC0"/>
    <w:rsid w:val="002436BA"/>
    <w:rsid w:val="0024398E"/>
    <w:rsid w:val="00244A15"/>
    <w:rsid w:val="00247319"/>
    <w:rsid w:val="0024793B"/>
    <w:rsid w:val="0024799E"/>
    <w:rsid w:val="00253914"/>
    <w:rsid w:val="00253C0F"/>
    <w:rsid w:val="0025512D"/>
    <w:rsid w:val="0025728D"/>
    <w:rsid w:val="00263C28"/>
    <w:rsid w:val="00263C92"/>
    <w:rsid w:val="002646DA"/>
    <w:rsid w:val="0026618C"/>
    <w:rsid w:val="002665F3"/>
    <w:rsid w:val="0026772B"/>
    <w:rsid w:val="00267A3A"/>
    <w:rsid w:val="00270A73"/>
    <w:rsid w:val="00271088"/>
    <w:rsid w:val="002710B1"/>
    <w:rsid w:val="00271465"/>
    <w:rsid w:val="00272934"/>
    <w:rsid w:val="002737BB"/>
    <w:rsid w:val="00273D70"/>
    <w:rsid w:val="00276756"/>
    <w:rsid w:val="002770B9"/>
    <w:rsid w:val="00277F1A"/>
    <w:rsid w:val="0028194C"/>
    <w:rsid w:val="00282919"/>
    <w:rsid w:val="00284606"/>
    <w:rsid w:val="00284C89"/>
    <w:rsid w:val="00285412"/>
    <w:rsid w:val="00285599"/>
    <w:rsid w:val="0028613E"/>
    <w:rsid w:val="00292C38"/>
    <w:rsid w:val="00292EA8"/>
    <w:rsid w:val="002936BC"/>
    <w:rsid w:val="002970C7"/>
    <w:rsid w:val="00297EB5"/>
    <w:rsid w:val="002A00BE"/>
    <w:rsid w:val="002A16D4"/>
    <w:rsid w:val="002A2003"/>
    <w:rsid w:val="002A230C"/>
    <w:rsid w:val="002A5602"/>
    <w:rsid w:val="002A6DD0"/>
    <w:rsid w:val="002B03C8"/>
    <w:rsid w:val="002B1452"/>
    <w:rsid w:val="002B1C15"/>
    <w:rsid w:val="002B234B"/>
    <w:rsid w:val="002B2842"/>
    <w:rsid w:val="002B2E2F"/>
    <w:rsid w:val="002B3776"/>
    <w:rsid w:val="002B3C69"/>
    <w:rsid w:val="002B4327"/>
    <w:rsid w:val="002B58CA"/>
    <w:rsid w:val="002B6146"/>
    <w:rsid w:val="002B7597"/>
    <w:rsid w:val="002C0154"/>
    <w:rsid w:val="002C23FB"/>
    <w:rsid w:val="002C394F"/>
    <w:rsid w:val="002C43BD"/>
    <w:rsid w:val="002C44D3"/>
    <w:rsid w:val="002C47E9"/>
    <w:rsid w:val="002C4C21"/>
    <w:rsid w:val="002C55B2"/>
    <w:rsid w:val="002C63D7"/>
    <w:rsid w:val="002C7AE2"/>
    <w:rsid w:val="002C7B67"/>
    <w:rsid w:val="002C7FE0"/>
    <w:rsid w:val="002D0E59"/>
    <w:rsid w:val="002D2EC8"/>
    <w:rsid w:val="002D548C"/>
    <w:rsid w:val="002D55A7"/>
    <w:rsid w:val="002E0185"/>
    <w:rsid w:val="002E02A1"/>
    <w:rsid w:val="002E1012"/>
    <w:rsid w:val="002E1172"/>
    <w:rsid w:val="002E165B"/>
    <w:rsid w:val="002E246B"/>
    <w:rsid w:val="002E3A00"/>
    <w:rsid w:val="002E3A71"/>
    <w:rsid w:val="002E4E4C"/>
    <w:rsid w:val="002E575B"/>
    <w:rsid w:val="002E72B0"/>
    <w:rsid w:val="002F1459"/>
    <w:rsid w:val="002F1BB4"/>
    <w:rsid w:val="002F2413"/>
    <w:rsid w:val="002F3B4C"/>
    <w:rsid w:val="002F5215"/>
    <w:rsid w:val="002F5756"/>
    <w:rsid w:val="003007A7"/>
    <w:rsid w:val="0030154A"/>
    <w:rsid w:val="00302799"/>
    <w:rsid w:val="00302820"/>
    <w:rsid w:val="00304771"/>
    <w:rsid w:val="003052D4"/>
    <w:rsid w:val="0030568C"/>
    <w:rsid w:val="0030594B"/>
    <w:rsid w:val="00306C5B"/>
    <w:rsid w:val="003116A3"/>
    <w:rsid w:val="00312502"/>
    <w:rsid w:val="003125C1"/>
    <w:rsid w:val="00312E21"/>
    <w:rsid w:val="0031360D"/>
    <w:rsid w:val="00315540"/>
    <w:rsid w:val="003168AE"/>
    <w:rsid w:val="00316B01"/>
    <w:rsid w:val="00320302"/>
    <w:rsid w:val="003209D6"/>
    <w:rsid w:val="00321924"/>
    <w:rsid w:val="003221C3"/>
    <w:rsid w:val="003222D9"/>
    <w:rsid w:val="00323C27"/>
    <w:rsid w:val="0032656E"/>
    <w:rsid w:val="00326B09"/>
    <w:rsid w:val="00330AC3"/>
    <w:rsid w:val="00332190"/>
    <w:rsid w:val="00334C1B"/>
    <w:rsid w:val="00334C4B"/>
    <w:rsid w:val="00335F3A"/>
    <w:rsid w:val="003366ED"/>
    <w:rsid w:val="0033734D"/>
    <w:rsid w:val="003417AC"/>
    <w:rsid w:val="003417FB"/>
    <w:rsid w:val="0034383F"/>
    <w:rsid w:val="00344668"/>
    <w:rsid w:val="00344BAE"/>
    <w:rsid w:val="00344EF8"/>
    <w:rsid w:val="003462D9"/>
    <w:rsid w:val="00346FDD"/>
    <w:rsid w:val="00347869"/>
    <w:rsid w:val="003507B0"/>
    <w:rsid w:val="00350ACD"/>
    <w:rsid w:val="00350C58"/>
    <w:rsid w:val="00350CCA"/>
    <w:rsid w:val="00350E50"/>
    <w:rsid w:val="003528D9"/>
    <w:rsid w:val="00352D01"/>
    <w:rsid w:val="00357586"/>
    <w:rsid w:val="0036061D"/>
    <w:rsid w:val="003607F1"/>
    <w:rsid w:val="00360C86"/>
    <w:rsid w:val="00361483"/>
    <w:rsid w:val="0036240E"/>
    <w:rsid w:val="00362679"/>
    <w:rsid w:val="003630F4"/>
    <w:rsid w:val="00363275"/>
    <w:rsid w:val="0036354F"/>
    <w:rsid w:val="00364662"/>
    <w:rsid w:val="00364D94"/>
    <w:rsid w:val="003657F3"/>
    <w:rsid w:val="00365CBF"/>
    <w:rsid w:val="00366009"/>
    <w:rsid w:val="003705BC"/>
    <w:rsid w:val="003738AC"/>
    <w:rsid w:val="00374DBC"/>
    <w:rsid w:val="0037575F"/>
    <w:rsid w:val="003759C4"/>
    <w:rsid w:val="00377D0A"/>
    <w:rsid w:val="00377F6C"/>
    <w:rsid w:val="00380598"/>
    <w:rsid w:val="003818DC"/>
    <w:rsid w:val="0038419F"/>
    <w:rsid w:val="00384327"/>
    <w:rsid w:val="003847A9"/>
    <w:rsid w:val="003847CF"/>
    <w:rsid w:val="00385D98"/>
    <w:rsid w:val="00385E35"/>
    <w:rsid w:val="00386032"/>
    <w:rsid w:val="00386A33"/>
    <w:rsid w:val="00387E51"/>
    <w:rsid w:val="00390861"/>
    <w:rsid w:val="0039169F"/>
    <w:rsid w:val="003927A5"/>
    <w:rsid w:val="00393054"/>
    <w:rsid w:val="00393A3A"/>
    <w:rsid w:val="00393CDA"/>
    <w:rsid w:val="00393E1C"/>
    <w:rsid w:val="00395D6A"/>
    <w:rsid w:val="00395E54"/>
    <w:rsid w:val="00397E88"/>
    <w:rsid w:val="00397F8B"/>
    <w:rsid w:val="003A01A6"/>
    <w:rsid w:val="003A1230"/>
    <w:rsid w:val="003A1C4E"/>
    <w:rsid w:val="003A2B4D"/>
    <w:rsid w:val="003A2E6F"/>
    <w:rsid w:val="003A478C"/>
    <w:rsid w:val="003A4B26"/>
    <w:rsid w:val="003A5525"/>
    <w:rsid w:val="003A586C"/>
    <w:rsid w:val="003A60D7"/>
    <w:rsid w:val="003A66F7"/>
    <w:rsid w:val="003A6B38"/>
    <w:rsid w:val="003A6C48"/>
    <w:rsid w:val="003B161F"/>
    <w:rsid w:val="003B2E45"/>
    <w:rsid w:val="003B305D"/>
    <w:rsid w:val="003B33EE"/>
    <w:rsid w:val="003B4380"/>
    <w:rsid w:val="003B43F6"/>
    <w:rsid w:val="003B49FF"/>
    <w:rsid w:val="003B51A0"/>
    <w:rsid w:val="003B5A32"/>
    <w:rsid w:val="003B5EEE"/>
    <w:rsid w:val="003C08B4"/>
    <w:rsid w:val="003C0FB0"/>
    <w:rsid w:val="003C1083"/>
    <w:rsid w:val="003C29AB"/>
    <w:rsid w:val="003C3490"/>
    <w:rsid w:val="003C434D"/>
    <w:rsid w:val="003C629F"/>
    <w:rsid w:val="003C6D7F"/>
    <w:rsid w:val="003D106E"/>
    <w:rsid w:val="003D1806"/>
    <w:rsid w:val="003D2E88"/>
    <w:rsid w:val="003D3FC2"/>
    <w:rsid w:val="003D679F"/>
    <w:rsid w:val="003D6920"/>
    <w:rsid w:val="003D6F1D"/>
    <w:rsid w:val="003E05D3"/>
    <w:rsid w:val="003E0A23"/>
    <w:rsid w:val="003E12C3"/>
    <w:rsid w:val="003E2845"/>
    <w:rsid w:val="003E2CA0"/>
    <w:rsid w:val="003E4049"/>
    <w:rsid w:val="003E466E"/>
    <w:rsid w:val="003E4C91"/>
    <w:rsid w:val="003E7488"/>
    <w:rsid w:val="003E7697"/>
    <w:rsid w:val="003F1703"/>
    <w:rsid w:val="003F17C5"/>
    <w:rsid w:val="003F2678"/>
    <w:rsid w:val="003F2FB6"/>
    <w:rsid w:val="003F313C"/>
    <w:rsid w:val="003F3A8B"/>
    <w:rsid w:val="003F4B2C"/>
    <w:rsid w:val="003F551C"/>
    <w:rsid w:val="003F647B"/>
    <w:rsid w:val="003F65C2"/>
    <w:rsid w:val="003F7D23"/>
    <w:rsid w:val="00401585"/>
    <w:rsid w:val="0040166C"/>
    <w:rsid w:val="00401F91"/>
    <w:rsid w:val="00402E84"/>
    <w:rsid w:val="0040332E"/>
    <w:rsid w:val="00404192"/>
    <w:rsid w:val="0040419B"/>
    <w:rsid w:val="004054C2"/>
    <w:rsid w:val="00405801"/>
    <w:rsid w:val="00405C2F"/>
    <w:rsid w:val="00406205"/>
    <w:rsid w:val="00406CE0"/>
    <w:rsid w:val="0040736D"/>
    <w:rsid w:val="00407422"/>
    <w:rsid w:val="004078CE"/>
    <w:rsid w:val="00407C13"/>
    <w:rsid w:val="00407DB7"/>
    <w:rsid w:val="00410638"/>
    <w:rsid w:val="0041080A"/>
    <w:rsid w:val="00411214"/>
    <w:rsid w:val="0041543D"/>
    <w:rsid w:val="00415A3C"/>
    <w:rsid w:val="00415BF4"/>
    <w:rsid w:val="00416B7F"/>
    <w:rsid w:val="00417C49"/>
    <w:rsid w:val="0042086A"/>
    <w:rsid w:val="004231CF"/>
    <w:rsid w:val="0042374E"/>
    <w:rsid w:val="0042447C"/>
    <w:rsid w:val="004247C0"/>
    <w:rsid w:val="004261ED"/>
    <w:rsid w:val="00427AB2"/>
    <w:rsid w:val="004309B2"/>
    <w:rsid w:val="00432A58"/>
    <w:rsid w:val="004338EA"/>
    <w:rsid w:val="00433BEB"/>
    <w:rsid w:val="00434617"/>
    <w:rsid w:val="00436034"/>
    <w:rsid w:val="00440900"/>
    <w:rsid w:val="00442489"/>
    <w:rsid w:val="00443D15"/>
    <w:rsid w:val="004441A0"/>
    <w:rsid w:val="00446E1A"/>
    <w:rsid w:val="00451B1D"/>
    <w:rsid w:val="004522CC"/>
    <w:rsid w:val="004529E3"/>
    <w:rsid w:val="00452AB0"/>
    <w:rsid w:val="00455C27"/>
    <w:rsid w:val="00456A66"/>
    <w:rsid w:val="0045766E"/>
    <w:rsid w:val="00460FB3"/>
    <w:rsid w:val="00462A81"/>
    <w:rsid w:val="004638C2"/>
    <w:rsid w:val="00464A3E"/>
    <w:rsid w:val="0046583C"/>
    <w:rsid w:val="00466E03"/>
    <w:rsid w:val="00467C9A"/>
    <w:rsid w:val="0047002D"/>
    <w:rsid w:val="0047042F"/>
    <w:rsid w:val="00470704"/>
    <w:rsid w:val="00472BF3"/>
    <w:rsid w:val="004757D5"/>
    <w:rsid w:val="0047619A"/>
    <w:rsid w:val="00476240"/>
    <w:rsid w:val="00476439"/>
    <w:rsid w:val="0047735C"/>
    <w:rsid w:val="004776BC"/>
    <w:rsid w:val="00477A9C"/>
    <w:rsid w:val="0048139F"/>
    <w:rsid w:val="004818DE"/>
    <w:rsid w:val="00481E40"/>
    <w:rsid w:val="00484180"/>
    <w:rsid w:val="0048469C"/>
    <w:rsid w:val="00484ECE"/>
    <w:rsid w:val="004852BF"/>
    <w:rsid w:val="00486193"/>
    <w:rsid w:val="004900FF"/>
    <w:rsid w:val="004911FA"/>
    <w:rsid w:val="004915CB"/>
    <w:rsid w:val="004924DC"/>
    <w:rsid w:val="00492702"/>
    <w:rsid w:val="00492ADF"/>
    <w:rsid w:val="004937C8"/>
    <w:rsid w:val="004949FA"/>
    <w:rsid w:val="00494C69"/>
    <w:rsid w:val="00494E37"/>
    <w:rsid w:val="004952C5"/>
    <w:rsid w:val="00495B22"/>
    <w:rsid w:val="00496B5E"/>
    <w:rsid w:val="00496D9B"/>
    <w:rsid w:val="004974FE"/>
    <w:rsid w:val="004A14E4"/>
    <w:rsid w:val="004A199B"/>
    <w:rsid w:val="004A2CC4"/>
    <w:rsid w:val="004A3212"/>
    <w:rsid w:val="004A4A16"/>
    <w:rsid w:val="004A4B7A"/>
    <w:rsid w:val="004A50E3"/>
    <w:rsid w:val="004A5E6C"/>
    <w:rsid w:val="004A61C5"/>
    <w:rsid w:val="004A77DF"/>
    <w:rsid w:val="004B12B7"/>
    <w:rsid w:val="004B1417"/>
    <w:rsid w:val="004B17A6"/>
    <w:rsid w:val="004B1E06"/>
    <w:rsid w:val="004B2E40"/>
    <w:rsid w:val="004B4122"/>
    <w:rsid w:val="004B4654"/>
    <w:rsid w:val="004B5465"/>
    <w:rsid w:val="004B55B7"/>
    <w:rsid w:val="004B5EA6"/>
    <w:rsid w:val="004B6468"/>
    <w:rsid w:val="004C2339"/>
    <w:rsid w:val="004C35FD"/>
    <w:rsid w:val="004C37A4"/>
    <w:rsid w:val="004C384C"/>
    <w:rsid w:val="004C3867"/>
    <w:rsid w:val="004C4CD0"/>
    <w:rsid w:val="004C7031"/>
    <w:rsid w:val="004C70DC"/>
    <w:rsid w:val="004C73DA"/>
    <w:rsid w:val="004C7A61"/>
    <w:rsid w:val="004C7F91"/>
    <w:rsid w:val="004D0211"/>
    <w:rsid w:val="004D043B"/>
    <w:rsid w:val="004D0794"/>
    <w:rsid w:val="004D3282"/>
    <w:rsid w:val="004D334E"/>
    <w:rsid w:val="004D341B"/>
    <w:rsid w:val="004D6204"/>
    <w:rsid w:val="004D6588"/>
    <w:rsid w:val="004D7A0C"/>
    <w:rsid w:val="004E2877"/>
    <w:rsid w:val="004E364D"/>
    <w:rsid w:val="004E46B4"/>
    <w:rsid w:val="004E62A5"/>
    <w:rsid w:val="004E6D7F"/>
    <w:rsid w:val="004E6FD3"/>
    <w:rsid w:val="004E7C48"/>
    <w:rsid w:val="004E7CB3"/>
    <w:rsid w:val="004E7F92"/>
    <w:rsid w:val="004F06F5"/>
    <w:rsid w:val="004F0D45"/>
    <w:rsid w:val="004F0F17"/>
    <w:rsid w:val="004F1EC1"/>
    <w:rsid w:val="004F29EC"/>
    <w:rsid w:val="004F2E80"/>
    <w:rsid w:val="004F33A0"/>
    <w:rsid w:val="004F45A7"/>
    <w:rsid w:val="004F4624"/>
    <w:rsid w:val="004F6CFB"/>
    <w:rsid w:val="004F7787"/>
    <w:rsid w:val="004F7964"/>
    <w:rsid w:val="00500A8A"/>
    <w:rsid w:val="00501105"/>
    <w:rsid w:val="0050262D"/>
    <w:rsid w:val="00502729"/>
    <w:rsid w:val="00502782"/>
    <w:rsid w:val="00503FBC"/>
    <w:rsid w:val="005059D5"/>
    <w:rsid w:val="00506326"/>
    <w:rsid w:val="00510308"/>
    <w:rsid w:val="005108C0"/>
    <w:rsid w:val="0051143F"/>
    <w:rsid w:val="00511873"/>
    <w:rsid w:val="005129CB"/>
    <w:rsid w:val="00512A2F"/>
    <w:rsid w:val="00513B7E"/>
    <w:rsid w:val="00514420"/>
    <w:rsid w:val="00515C74"/>
    <w:rsid w:val="005164AE"/>
    <w:rsid w:val="00516DC4"/>
    <w:rsid w:val="00517816"/>
    <w:rsid w:val="0052007E"/>
    <w:rsid w:val="00520FF1"/>
    <w:rsid w:val="005229A8"/>
    <w:rsid w:val="0052337A"/>
    <w:rsid w:val="00524184"/>
    <w:rsid w:val="00525137"/>
    <w:rsid w:val="005251DD"/>
    <w:rsid w:val="0052542E"/>
    <w:rsid w:val="00526C04"/>
    <w:rsid w:val="00526EBF"/>
    <w:rsid w:val="00532CE7"/>
    <w:rsid w:val="00532E6C"/>
    <w:rsid w:val="0053324C"/>
    <w:rsid w:val="00534A28"/>
    <w:rsid w:val="00534A75"/>
    <w:rsid w:val="00535648"/>
    <w:rsid w:val="00536482"/>
    <w:rsid w:val="00540B61"/>
    <w:rsid w:val="00541508"/>
    <w:rsid w:val="00541AE1"/>
    <w:rsid w:val="00542C0A"/>
    <w:rsid w:val="00544075"/>
    <w:rsid w:val="00544095"/>
    <w:rsid w:val="00545321"/>
    <w:rsid w:val="005454FC"/>
    <w:rsid w:val="00546FB5"/>
    <w:rsid w:val="005475EC"/>
    <w:rsid w:val="005506C4"/>
    <w:rsid w:val="00551034"/>
    <w:rsid w:val="0055182B"/>
    <w:rsid w:val="00552895"/>
    <w:rsid w:val="0055378A"/>
    <w:rsid w:val="00553870"/>
    <w:rsid w:val="00553F56"/>
    <w:rsid w:val="0055461C"/>
    <w:rsid w:val="00554F88"/>
    <w:rsid w:val="00555319"/>
    <w:rsid w:val="0055576C"/>
    <w:rsid w:val="0055599F"/>
    <w:rsid w:val="00556D68"/>
    <w:rsid w:val="00556FA9"/>
    <w:rsid w:val="00557423"/>
    <w:rsid w:val="00563D96"/>
    <w:rsid w:val="00563FC7"/>
    <w:rsid w:val="005642EA"/>
    <w:rsid w:val="005647BF"/>
    <w:rsid w:val="005677FF"/>
    <w:rsid w:val="00570106"/>
    <w:rsid w:val="005701A4"/>
    <w:rsid w:val="005706B1"/>
    <w:rsid w:val="00570BDC"/>
    <w:rsid w:val="00572EBF"/>
    <w:rsid w:val="00573578"/>
    <w:rsid w:val="0057364B"/>
    <w:rsid w:val="005739A3"/>
    <w:rsid w:val="00573B0B"/>
    <w:rsid w:val="00573D06"/>
    <w:rsid w:val="00574773"/>
    <w:rsid w:val="00574C7C"/>
    <w:rsid w:val="00575802"/>
    <w:rsid w:val="00577646"/>
    <w:rsid w:val="0057789D"/>
    <w:rsid w:val="00577B80"/>
    <w:rsid w:val="00580A58"/>
    <w:rsid w:val="005827D5"/>
    <w:rsid w:val="00583F66"/>
    <w:rsid w:val="00583FFD"/>
    <w:rsid w:val="00584874"/>
    <w:rsid w:val="00587ABB"/>
    <w:rsid w:val="00587E8A"/>
    <w:rsid w:val="0059012E"/>
    <w:rsid w:val="005911BE"/>
    <w:rsid w:val="00592F94"/>
    <w:rsid w:val="00593152"/>
    <w:rsid w:val="0059552B"/>
    <w:rsid w:val="00597555"/>
    <w:rsid w:val="00597CC3"/>
    <w:rsid w:val="005A10F2"/>
    <w:rsid w:val="005A1B31"/>
    <w:rsid w:val="005A1D3A"/>
    <w:rsid w:val="005A1DBB"/>
    <w:rsid w:val="005A21E0"/>
    <w:rsid w:val="005A267D"/>
    <w:rsid w:val="005A28FF"/>
    <w:rsid w:val="005A2A92"/>
    <w:rsid w:val="005A3DF8"/>
    <w:rsid w:val="005A3EC3"/>
    <w:rsid w:val="005A4E90"/>
    <w:rsid w:val="005A5549"/>
    <w:rsid w:val="005A7888"/>
    <w:rsid w:val="005B0EB6"/>
    <w:rsid w:val="005B121D"/>
    <w:rsid w:val="005B1FE4"/>
    <w:rsid w:val="005B270C"/>
    <w:rsid w:val="005B3A2E"/>
    <w:rsid w:val="005B4D90"/>
    <w:rsid w:val="005B52C1"/>
    <w:rsid w:val="005B5837"/>
    <w:rsid w:val="005B720A"/>
    <w:rsid w:val="005B7285"/>
    <w:rsid w:val="005C06ED"/>
    <w:rsid w:val="005C0CBD"/>
    <w:rsid w:val="005C2F72"/>
    <w:rsid w:val="005C3AFB"/>
    <w:rsid w:val="005C52B4"/>
    <w:rsid w:val="005C568A"/>
    <w:rsid w:val="005C78E2"/>
    <w:rsid w:val="005D5802"/>
    <w:rsid w:val="005D6703"/>
    <w:rsid w:val="005D7890"/>
    <w:rsid w:val="005E0948"/>
    <w:rsid w:val="005E2092"/>
    <w:rsid w:val="005E23AF"/>
    <w:rsid w:val="005E408D"/>
    <w:rsid w:val="005E4739"/>
    <w:rsid w:val="005E5347"/>
    <w:rsid w:val="005E5DFC"/>
    <w:rsid w:val="005E7112"/>
    <w:rsid w:val="005E72F8"/>
    <w:rsid w:val="005E79D6"/>
    <w:rsid w:val="005E7C78"/>
    <w:rsid w:val="005F2E14"/>
    <w:rsid w:val="005F348E"/>
    <w:rsid w:val="005F3EB1"/>
    <w:rsid w:val="005F4843"/>
    <w:rsid w:val="005F5469"/>
    <w:rsid w:val="005F554F"/>
    <w:rsid w:val="006006C5"/>
    <w:rsid w:val="00602D0B"/>
    <w:rsid w:val="00603EB8"/>
    <w:rsid w:val="00604307"/>
    <w:rsid w:val="0060487F"/>
    <w:rsid w:val="00604EAD"/>
    <w:rsid w:val="00606BF5"/>
    <w:rsid w:val="006074F9"/>
    <w:rsid w:val="006104FB"/>
    <w:rsid w:val="00611E58"/>
    <w:rsid w:val="006124AE"/>
    <w:rsid w:val="00612A2F"/>
    <w:rsid w:val="00612FF2"/>
    <w:rsid w:val="00614B4C"/>
    <w:rsid w:val="00614BF6"/>
    <w:rsid w:val="006157D3"/>
    <w:rsid w:val="00616E05"/>
    <w:rsid w:val="00621BD0"/>
    <w:rsid w:val="0062229D"/>
    <w:rsid w:val="0062262E"/>
    <w:rsid w:val="0062268C"/>
    <w:rsid w:val="00622CCE"/>
    <w:rsid w:val="00624093"/>
    <w:rsid w:val="006257DA"/>
    <w:rsid w:val="00627926"/>
    <w:rsid w:val="00627DC4"/>
    <w:rsid w:val="006301B8"/>
    <w:rsid w:val="00630BF7"/>
    <w:rsid w:val="00631642"/>
    <w:rsid w:val="0063168C"/>
    <w:rsid w:val="00633FEB"/>
    <w:rsid w:val="006355CC"/>
    <w:rsid w:val="00635B3F"/>
    <w:rsid w:val="00637484"/>
    <w:rsid w:val="006404A7"/>
    <w:rsid w:val="00640CD1"/>
    <w:rsid w:val="00641A57"/>
    <w:rsid w:val="00641E00"/>
    <w:rsid w:val="00642E80"/>
    <w:rsid w:val="006437C1"/>
    <w:rsid w:val="00644488"/>
    <w:rsid w:val="00644534"/>
    <w:rsid w:val="006451E4"/>
    <w:rsid w:val="006452AE"/>
    <w:rsid w:val="00645B33"/>
    <w:rsid w:val="0065097C"/>
    <w:rsid w:val="00651553"/>
    <w:rsid w:val="006516CB"/>
    <w:rsid w:val="00655193"/>
    <w:rsid w:val="00655BD5"/>
    <w:rsid w:val="006574B7"/>
    <w:rsid w:val="00657E87"/>
    <w:rsid w:val="00660123"/>
    <w:rsid w:val="006601C5"/>
    <w:rsid w:val="0066149B"/>
    <w:rsid w:val="00661B65"/>
    <w:rsid w:val="00662E7C"/>
    <w:rsid w:val="00662FE6"/>
    <w:rsid w:val="00664803"/>
    <w:rsid w:val="00665A65"/>
    <w:rsid w:val="00665BA4"/>
    <w:rsid w:val="006661B0"/>
    <w:rsid w:val="00666A89"/>
    <w:rsid w:val="00667AF2"/>
    <w:rsid w:val="00667F20"/>
    <w:rsid w:val="006701EE"/>
    <w:rsid w:val="0067037C"/>
    <w:rsid w:val="006710C9"/>
    <w:rsid w:val="0067418E"/>
    <w:rsid w:val="006743FC"/>
    <w:rsid w:val="00674D89"/>
    <w:rsid w:val="00675E37"/>
    <w:rsid w:val="00676F1E"/>
    <w:rsid w:val="00677B7D"/>
    <w:rsid w:val="0068174E"/>
    <w:rsid w:val="00681DCE"/>
    <w:rsid w:val="0068260E"/>
    <w:rsid w:val="00685013"/>
    <w:rsid w:val="0068544B"/>
    <w:rsid w:val="00685594"/>
    <w:rsid w:val="00687770"/>
    <w:rsid w:val="00687950"/>
    <w:rsid w:val="006916AF"/>
    <w:rsid w:val="00691796"/>
    <w:rsid w:val="00692196"/>
    <w:rsid w:val="00695851"/>
    <w:rsid w:val="00695BEF"/>
    <w:rsid w:val="00695EF9"/>
    <w:rsid w:val="006970CA"/>
    <w:rsid w:val="006977F6"/>
    <w:rsid w:val="00697A13"/>
    <w:rsid w:val="00697D62"/>
    <w:rsid w:val="006A109C"/>
    <w:rsid w:val="006A184B"/>
    <w:rsid w:val="006A1AA1"/>
    <w:rsid w:val="006A1B07"/>
    <w:rsid w:val="006A3987"/>
    <w:rsid w:val="006B0111"/>
    <w:rsid w:val="006B0338"/>
    <w:rsid w:val="006B18F1"/>
    <w:rsid w:val="006B24F7"/>
    <w:rsid w:val="006B344A"/>
    <w:rsid w:val="006B3F46"/>
    <w:rsid w:val="006B4327"/>
    <w:rsid w:val="006B4468"/>
    <w:rsid w:val="006B78D8"/>
    <w:rsid w:val="006B78EE"/>
    <w:rsid w:val="006C113F"/>
    <w:rsid w:val="006C123E"/>
    <w:rsid w:val="006C15F7"/>
    <w:rsid w:val="006C1A0A"/>
    <w:rsid w:val="006C438F"/>
    <w:rsid w:val="006C52A1"/>
    <w:rsid w:val="006C56D4"/>
    <w:rsid w:val="006C605D"/>
    <w:rsid w:val="006C6924"/>
    <w:rsid w:val="006C6B94"/>
    <w:rsid w:val="006C7CA6"/>
    <w:rsid w:val="006D03D8"/>
    <w:rsid w:val="006D3527"/>
    <w:rsid w:val="006D36FB"/>
    <w:rsid w:val="006D389B"/>
    <w:rsid w:val="006D3E8A"/>
    <w:rsid w:val="006D4AB9"/>
    <w:rsid w:val="006D61F6"/>
    <w:rsid w:val="006E1860"/>
    <w:rsid w:val="006E279A"/>
    <w:rsid w:val="006E313B"/>
    <w:rsid w:val="006E3675"/>
    <w:rsid w:val="006E4470"/>
    <w:rsid w:val="006E49D7"/>
    <w:rsid w:val="006E53FE"/>
    <w:rsid w:val="006E6496"/>
    <w:rsid w:val="006E7B95"/>
    <w:rsid w:val="006E7F28"/>
    <w:rsid w:val="006F04E1"/>
    <w:rsid w:val="006F0A07"/>
    <w:rsid w:val="006F21AC"/>
    <w:rsid w:val="006F290A"/>
    <w:rsid w:val="006F4F97"/>
    <w:rsid w:val="006F5416"/>
    <w:rsid w:val="006F5655"/>
    <w:rsid w:val="006F61FF"/>
    <w:rsid w:val="006F7068"/>
    <w:rsid w:val="006F7137"/>
    <w:rsid w:val="00700B12"/>
    <w:rsid w:val="00701B58"/>
    <w:rsid w:val="00702DFC"/>
    <w:rsid w:val="00704BE9"/>
    <w:rsid w:val="007060E6"/>
    <w:rsid w:val="00706AD4"/>
    <w:rsid w:val="00710388"/>
    <w:rsid w:val="00710926"/>
    <w:rsid w:val="00712A15"/>
    <w:rsid w:val="007140BC"/>
    <w:rsid w:val="007140BE"/>
    <w:rsid w:val="00714A5B"/>
    <w:rsid w:val="00715DF2"/>
    <w:rsid w:val="00717416"/>
    <w:rsid w:val="00717B13"/>
    <w:rsid w:val="00720547"/>
    <w:rsid w:val="00721096"/>
    <w:rsid w:val="007211F5"/>
    <w:rsid w:val="00722C20"/>
    <w:rsid w:val="00724433"/>
    <w:rsid w:val="00724A1D"/>
    <w:rsid w:val="00724D2B"/>
    <w:rsid w:val="00725BB5"/>
    <w:rsid w:val="00727506"/>
    <w:rsid w:val="00730AE8"/>
    <w:rsid w:val="00730FC0"/>
    <w:rsid w:val="007315D5"/>
    <w:rsid w:val="00731955"/>
    <w:rsid w:val="00731FC9"/>
    <w:rsid w:val="00732F2A"/>
    <w:rsid w:val="00733A55"/>
    <w:rsid w:val="00734018"/>
    <w:rsid w:val="00735A37"/>
    <w:rsid w:val="00736537"/>
    <w:rsid w:val="0074069C"/>
    <w:rsid w:val="00741493"/>
    <w:rsid w:val="00742B33"/>
    <w:rsid w:val="007441F5"/>
    <w:rsid w:val="007445BF"/>
    <w:rsid w:val="00745E8A"/>
    <w:rsid w:val="007508FD"/>
    <w:rsid w:val="00752180"/>
    <w:rsid w:val="007544B5"/>
    <w:rsid w:val="00755202"/>
    <w:rsid w:val="007558F5"/>
    <w:rsid w:val="00755D3A"/>
    <w:rsid w:val="007565E1"/>
    <w:rsid w:val="007568DD"/>
    <w:rsid w:val="007578D3"/>
    <w:rsid w:val="0076054D"/>
    <w:rsid w:val="007609C6"/>
    <w:rsid w:val="00760B64"/>
    <w:rsid w:val="0076173C"/>
    <w:rsid w:val="0076175D"/>
    <w:rsid w:val="007647FA"/>
    <w:rsid w:val="00764989"/>
    <w:rsid w:val="00764EDB"/>
    <w:rsid w:val="0076521E"/>
    <w:rsid w:val="007661E9"/>
    <w:rsid w:val="00766569"/>
    <w:rsid w:val="00772F7E"/>
    <w:rsid w:val="0077355B"/>
    <w:rsid w:val="00773F41"/>
    <w:rsid w:val="0077609F"/>
    <w:rsid w:val="00776169"/>
    <w:rsid w:val="007761A6"/>
    <w:rsid w:val="00776527"/>
    <w:rsid w:val="00780C67"/>
    <w:rsid w:val="00780CDB"/>
    <w:rsid w:val="00780EF1"/>
    <w:rsid w:val="0078196B"/>
    <w:rsid w:val="00782A3A"/>
    <w:rsid w:val="00783112"/>
    <w:rsid w:val="00783E45"/>
    <w:rsid w:val="0078584A"/>
    <w:rsid w:val="00786257"/>
    <w:rsid w:val="0078678E"/>
    <w:rsid w:val="00786B8F"/>
    <w:rsid w:val="00790764"/>
    <w:rsid w:val="00793E89"/>
    <w:rsid w:val="0079453C"/>
    <w:rsid w:val="007945FC"/>
    <w:rsid w:val="00794677"/>
    <w:rsid w:val="0079652D"/>
    <w:rsid w:val="007965D2"/>
    <w:rsid w:val="00796E73"/>
    <w:rsid w:val="007A0E7D"/>
    <w:rsid w:val="007A19CD"/>
    <w:rsid w:val="007A266B"/>
    <w:rsid w:val="007A30B2"/>
    <w:rsid w:val="007A32F7"/>
    <w:rsid w:val="007A48F9"/>
    <w:rsid w:val="007A5A82"/>
    <w:rsid w:val="007A600D"/>
    <w:rsid w:val="007A7C65"/>
    <w:rsid w:val="007B17CC"/>
    <w:rsid w:val="007B2702"/>
    <w:rsid w:val="007B2D45"/>
    <w:rsid w:val="007B4579"/>
    <w:rsid w:val="007B573F"/>
    <w:rsid w:val="007B6689"/>
    <w:rsid w:val="007B7979"/>
    <w:rsid w:val="007C0204"/>
    <w:rsid w:val="007C1650"/>
    <w:rsid w:val="007C1E57"/>
    <w:rsid w:val="007C21CE"/>
    <w:rsid w:val="007C48B2"/>
    <w:rsid w:val="007C51D7"/>
    <w:rsid w:val="007C540D"/>
    <w:rsid w:val="007C5A37"/>
    <w:rsid w:val="007C66C6"/>
    <w:rsid w:val="007D1522"/>
    <w:rsid w:val="007D290E"/>
    <w:rsid w:val="007D2DE0"/>
    <w:rsid w:val="007D40DF"/>
    <w:rsid w:val="007D4160"/>
    <w:rsid w:val="007D54E1"/>
    <w:rsid w:val="007D5731"/>
    <w:rsid w:val="007E063A"/>
    <w:rsid w:val="007E0679"/>
    <w:rsid w:val="007E09FA"/>
    <w:rsid w:val="007E14DB"/>
    <w:rsid w:val="007E1BCE"/>
    <w:rsid w:val="007E21AC"/>
    <w:rsid w:val="007E34D5"/>
    <w:rsid w:val="007E3D00"/>
    <w:rsid w:val="007E3F3A"/>
    <w:rsid w:val="007E46E2"/>
    <w:rsid w:val="007E6165"/>
    <w:rsid w:val="007E6990"/>
    <w:rsid w:val="007E6BAD"/>
    <w:rsid w:val="007E7E61"/>
    <w:rsid w:val="007E7FDD"/>
    <w:rsid w:val="007F0845"/>
    <w:rsid w:val="007F1D5D"/>
    <w:rsid w:val="007F1EBD"/>
    <w:rsid w:val="007F39CF"/>
    <w:rsid w:val="007F6998"/>
    <w:rsid w:val="007F799E"/>
    <w:rsid w:val="008021F7"/>
    <w:rsid w:val="008057CB"/>
    <w:rsid w:val="00805BF2"/>
    <w:rsid w:val="00807123"/>
    <w:rsid w:val="00807C82"/>
    <w:rsid w:val="00807F51"/>
    <w:rsid w:val="0081010C"/>
    <w:rsid w:val="008112F3"/>
    <w:rsid w:val="00811819"/>
    <w:rsid w:val="00813687"/>
    <w:rsid w:val="00814C52"/>
    <w:rsid w:val="00816905"/>
    <w:rsid w:val="008176E8"/>
    <w:rsid w:val="008202D1"/>
    <w:rsid w:val="00821FF6"/>
    <w:rsid w:val="00822BA7"/>
    <w:rsid w:val="0082321A"/>
    <w:rsid w:val="00825C4D"/>
    <w:rsid w:val="008300B8"/>
    <w:rsid w:val="008301EE"/>
    <w:rsid w:val="008305CB"/>
    <w:rsid w:val="0083066F"/>
    <w:rsid w:val="008310A4"/>
    <w:rsid w:val="0083143E"/>
    <w:rsid w:val="00831CDE"/>
    <w:rsid w:val="00832655"/>
    <w:rsid w:val="008330E8"/>
    <w:rsid w:val="00834298"/>
    <w:rsid w:val="00834304"/>
    <w:rsid w:val="00834FAA"/>
    <w:rsid w:val="0083606E"/>
    <w:rsid w:val="00836086"/>
    <w:rsid w:val="00836A50"/>
    <w:rsid w:val="00836EE4"/>
    <w:rsid w:val="0083748E"/>
    <w:rsid w:val="00840858"/>
    <w:rsid w:val="0084299E"/>
    <w:rsid w:val="00844F6D"/>
    <w:rsid w:val="0084708F"/>
    <w:rsid w:val="00847661"/>
    <w:rsid w:val="008477C8"/>
    <w:rsid w:val="00847FF3"/>
    <w:rsid w:val="008507D8"/>
    <w:rsid w:val="0085091B"/>
    <w:rsid w:val="00850977"/>
    <w:rsid w:val="0085114D"/>
    <w:rsid w:val="00852115"/>
    <w:rsid w:val="00852217"/>
    <w:rsid w:val="0085318E"/>
    <w:rsid w:val="00853CAE"/>
    <w:rsid w:val="00854334"/>
    <w:rsid w:val="00855408"/>
    <w:rsid w:val="008557F6"/>
    <w:rsid w:val="00856213"/>
    <w:rsid w:val="008562DF"/>
    <w:rsid w:val="00856D65"/>
    <w:rsid w:val="0085764A"/>
    <w:rsid w:val="00861B41"/>
    <w:rsid w:val="00861C33"/>
    <w:rsid w:val="008629F8"/>
    <w:rsid w:val="00863434"/>
    <w:rsid w:val="00864F31"/>
    <w:rsid w:val="00865807"/>
    <w:rsid w:val="00865E4C"/>
    <w:rsid w:val="0086633B"/>
    <w:rsid w:val="00866779"/>
    <w:rsid w:val="00866F6A"/>
    <w:rsid w:val="0086773F"/>
    <w:rsid w:val="008701E4"/>
    <w:rsid w:val="00870D8A"/>
    <w:rsid w:val="00872FA0"/>
    <w:rsid w:val="00875A32"/>
    <w:rsid w:val="00876086"/>
    <w:rsid w:val="008777C8"/>
    <w:rsid w:val="008803BD"/>
    <w:rsid w:val="00880500"/>
    <w:rsid w:val="00882C6E"/>
    <w:rsid w:val="00883D46"/>
    <w:rsid w:val="008849C2"/>
    <w:rsid w:val="0088572C"/>
    <w:rsid w:val="008868E6"/>
    <w:rsid w:val="008873D4"/>
    <w:rsid w:val="00887509"/>
    <w:rsid w:val="00891046"/>
    <w:rsid w:val="0089159B"/>
    <w:rsid w:val="00891FEA"/>
    <w:rsid w:val="00892950"/>
    <w:rsid w:val="00893D9C"/>
    <w:rsid w:val="00893E85"/>
    <w:rsid w:val="00894031"/>
    <w:rsid w:val="0089447D"/>
    <w:rsid w:val="008947FE"/>
    <w:rsid w:val="0089601F"/>
    <w:rsid w:val="008961BE"/>
    <w:rsid w:val="0089762D"/>
    <w:rsid w:val="008A1753"/>
    <w:rsid w:val="008A1E01"/>
    <w:rsid w:val="008A1E63"/>
    <w:rsid w:val="008A324F"/>
    <w:rsid w:val="008B1014"/>
    <w:rsid w:val="008B111A"/>
    <w:rsid w:val="008B31A0"/>
    <w:rsid w:val="008B3DA5"/>
    <w:rsid w:val="008B4FEF"/>
    <w:rsid w:val="008B7776"/>
    <w:rsid w:val="008B7C02"/>
    <w:rsid w:val="008B7D2B"/>
    <w:rsid w:val="008C0049"/>
    <w:rsid w:val="008C0A80"/>
    <w:rsid w:val="008C0B00"/>
    <w:rsid w:val="008C0E38"/>
    <w:rsid w:val="008C0E88"/>
    <w:rsid w:val="008C2DFB"/>
    <w:rsid w:val="008C5C6B"/>
    <w:rsid w:val="008C6565"/>
    <w:rsid w:val="008C667A"/>
    <w:rsid w:val="008C73B1"/>
    <w:rsid w:val="008D1E6A"/>
    <w:rsid w:val="008D25F1"/>
    <w:rsid w:val="008D267F"/>
    <w:rsid w:val="008D27B0"/>
    <w:rsid w:val="008D2A16"/>
    <w:rsid w:val="008D3268"/>
    <w:rsid w:val="008D3293"/>
    <w:rsid w:val="008D40B9"/>
    <w:rsid w:val="008D40FC"/>
    <w:rsid w:val="008D451C"/>
    <w:rsid w:val="008D4AB7"/>
    <w:rsid w:val="008D52F8"/>
    <w:rsid w:val="008D5B84"/>
    <w:rsid w:val="008D7208"/>
    <w:rsid w:val="008E048A"/>
    <w:rsid w:val="008E1BD2"/>
    <w:rsid w:val="008E1DD6"/>
    <w:rsid w:val="008E2B76"/>
    <w:rsid w:val="008E2C57"/>
    <w:rsid w:val="008E31FF"/>
    <w:rsid w:val="008E657B"/>
    <w:rsid w:val="008E664F"/>
    <w:rsid w:val="008E687A"/>
    <w:rsid w:val="008E6F06"/>
    <w:rsid w:val="008E74A6"/>
    <w:rsid w:val="008F029B"/>
    <w:rsid w:val="008F1070"/>
    <w:rsid w:val="008F165D"/>
    <w:rsid w:val="008F1850"/>
    <w:rsid w:val="008F26A0"/>
    <w:rsid w:val="008F3FC9"/>
    <w:rsid w:val="008F46F1"/>
    <w:rsid w:val="008F585B"/>
    <w:rsid w:val="008F5D0E"/>
    <w:rsid w:val="008F7E19"/>
    <w:rsid w:val="009003A8"/>
    <w:rsid w:val="00902500"/>
    <w:rsid w:val="00902BE2"/>
    <w:rsid w:val="00902CC1"/>
    <w:rsid w:val="00902EFF"/>
    <w:rsid w:val="009033BC"/>
    <w:rsid w:val="0090394F"/>
    <w:rsid w:val="00904E83"/>
    <w:rsid w:val="00906401"/>
    <w:rsid w:val="009064D8"/>
    <w:rsid w:val="0091006C"/>
    <w:rsid w:val="0091019B"/>
    <w:rsid w:val="0091155E"/>
    <w:rsid w:val="009123DA"/>
    <w:rsid w:val="009124AB"/>
    <w:rsid w:val="00912A92"/>
    <w:rsid w:val="0091377A"/>
    <w:rsid w:val="009141DD"/>
    <w:rsid w:val="009159A2"/>
    <w:rsid w:val="00915A24"/>
    <w:rsid w:val="00915A26"/>
    <w:rsid w:val="00915BA2"/>
    <w:rsid w:val="009160BD"/>
    <w:rsid w:val="0091689F"/>
    <w:rsid w:val="00916B54"/>
    <w:rsid w:val="0091728D"/>
    <w:rsid w:val="00920A7F"/>
    <w:rsid w:val="00921332"/>
    <w:rsid w:val="0092180B"/>
    <w:rsid w:val="00921F14"/>
    <w:rsid w:val="00924266"/>
    <w:rsid w:val="00924AC8"/>
    <w:rsid w:val="00925344"/>
    <w:rsid w:val="0092597A"/>
    <w:rsid w:val="00926386"/>
    <w:rsid w:val="00926E5D"/>
    <w:rsid w:val="00927F23"/>
    <w:rsid w:val="009301D7"/>
    <w:rsid w:val="00932443"/>
    <w:rsid w:val="00932746"/>
    <w:rsid w:val="009328DB"/>
    <w:rsid w:val="00933B68"/>
    <w:rsid w:val="00933C5B"/>
    <w:rsid w:val="009340AD"/>
    <w:rsid w:val="0093420B"/>
    <w:rsid w:val="009354B5"/>
    <w:rsid w:val="00937AE2"/>
    <w:rsid w:val="00937F97"/>
    <w:rsid w:val="00942578"/>
    <w:rsid w:val="00942832"/>
    <w:rsid w:val="00942D80"/>
    <w:rsid w:val="0094357D"/>
    <w:rsid w:val="009439D1"/>
    <w:rsid w:val="009440E0"/>
    <w:rsid w:val="0094427A"/>
    <w:rsid w:val="00944344"/>
    <w:rsid w:val="00945187"/>
    <w:rsid w:val="00950169"/>
    <w:rsid w:val="00951456"/>
    <w:rsid w:val="00953759"/>
    <w:rsid w:val="00954EB4"/>
    <w:rsid w:val="009557DA"/>
    <w:rsid w:val="00956122"/>
    <w:rsid w:val="00956159"/>
    <w:rsid w:val="00956D26"/>
    <w:rsid w:val="0096136C"/>
    <w:rsid w:val="00962306"/>
    <w:rsid w:val="0096445E"/>
    <w:rsid w:val="009674BF"/>
    <w:rsid w:val="00972D12"/>
    <w:rsid w:val="00972F12"/>
    <w:rsid w:val="00973496"/>
    <w:rsid w:val="009738D3"/>
    <w:rsid w:val="0097481B"/>
    <w:rsid w:val="00974923"/>
    <w:rsid w:val="0097701C"/>
    <w:rsid w:val="00977F2A"/>
    <w:rsid w:val="00980D3D"/>
    <w:rsid w:val="0098101A"/>
    <w:rsid w:val="0098169D"/>
    <w:rsid w:val="0098336C"/>
    <w:rsid w:val="00984415"/>
    <w:rsid w:val="00985C98"/>
    <w:rsid w:val="00985FE8"/>
    <w:rsid w:val="009870BD"/>
    <w:rsid w:val="00987526"/>
    <w:rsid w:val="00987A30"/>
    <w:rsid w:val="00991128"/>
    <w:rsid w:val="00992BE9"/>
    <w:rsid w:val="00992CF3"/>
    <w:rsid w:val="00992D07"/>
    <w:rsid w:val="009968D6"/>
    <w:rsid w:val="009A187B"/>
    <w:rsid w:val="009A1CAB"/>
    <w:rsid w:val="009A2ADD"/>
    <w:rsid w:val="009A3455"/>
    <w:rsid w:val="009A3A03"/>
    <w:rsid w:val="009A55F5"/>
    <w:rsid w:val="009A60D1"/>
    <w:rsid w:val="009A6833"/>
    <w:rsid w:val="009A7F9C"/>
    <w:rsid w:val="009B0236"/>
    <w:rsid w:val="009B1329"/>
    <w:rsid w:val="009B13DF"/>
    <w:rsid w:val="009B156D"/>
    <w:rsid w:val="009B2883"/>
    <w:rsid w:val="009B2BB2"/>
    <w:rsid w:val="009B5FF0"/>
    <w:rsid w:val="009B6961"/>
    <w:rsid w:val="009B6FD3"/>
    <w:rsid w:val="009C1750"/>
    <w:rsid w:val="009C2E29"/>
    <w:rsid w:val="009C3A9A"/>
    <w:rsid w:val="009C554B"/>
    <w:rsid w:val="009C5D8C"/>
    <w:rsid w:val="009C6BC5"/>
    <w:rsid w:val="009C719E"/>
    <w:rsid w:val="009D0D51"/>
    <w:rsid w:val="009D1069"/>
    <w:rsid w:val="009D1642"/>
    <w:rsid w:val="009D39DC"/>
    <w:rsid w:val="009D3ACD"/>
    <w:rsid w:val="009D44C6"/>
    <w:rsid w:val="009D6320"/>
    <w:rsid w:val="009D6623"/>
    <w:rsid w:val="009E046D"/>
    <w:rsid w:val="009E14BE"/>
    <w:rsid w:val="009E22F5"/>
    <w:rsid w:val="009E2434"/>
    <w:rsid w:val="009E4456"/>
    <w:rsid w:val="009E468E"/>
    <w:rsid w:val="009E4D91"/>
    <w:rsid w:val="009E5273"/>
    <w:rsid w:val="009E5330"/>
    <w:rsid w:val="009E5DDB"/>
    <w:rsid w:val="009F0FB7"/>
    <w:rsid w:val="009F1425"/>
    <w:rsid w:val="009F22E0"/>
    <w:rsid w:val="009F436B"/>
    <w:rsid w:val="009F4CA7"/>
    <w:rsid w:val="009F55A2"/>
    <w:rsid w:val="009F57D7"/>
    <w:rsid w:val="00A00C73"/>
    <w:rsid w:val="00A00D45"/>
    <w:rsid w:val="00A02A9E"/>
    <w:rsid w:val="00A0398B"/>
    <w:rsid w:val="00A03E8E"/>
    <w:rsid w:val="00A0534B"/>
    <w:rsid w:val="00A05546"/>
    <w:rsid w:val="00A062F4"/>
    <w:rsid w:val="00A07544"/>
    <w:rsid w:val="00A10D66"/>
    <w:rsid w:val="00A11191"/>
    <w:rsid w:val="00A117BA"/>
    <w:rsid w:val="00A136D6"/>
    <w:rsid w:val="00A13B06"/>
    <w:rsid w:val="00A13E30"/>
    <w:rsid w:val="00A14114"/>
    <w:rsid w:val="00A14163"/>
    <w:rsid w:val="00A15600"/>
    <w:rsid w:val="00A16413"/>
    <w:rsid w:val="00A2028E"/>
    <w:rsid w:val="00A2036D"/>
    <w:rsid w:val="00A209E5"/>
    <w:rsid w:val="00A20AA1"/>
    <w:rsid w:val="00A21FDD"/>
    <w:rsid w:val="00A22C2E"/>
    <w:rsid w:val="00A239B9"/>
    <w:rsid w:val="00A23E43"/>
    <w:rsid w:val="00A24164"/>
    <w:rsid w:val="00A247BC"/>
    <w:rsid w:val="00A25054"/>
    <w:rsid w:val="00A26069"/>
    <w:rsid w:val="00A2673E"/>
    <w:rsid w:val="00A26EB2"/>
    <w:rsid w:val="00A26F00"/>
    <w:rsid w:val="00A279C8"/>
    <w:rsid w:val="00A30773"/>
    <w:rsid w:val="00A30F65"/>
    <w:rsid w:val="00A317E0"/>
    <w:rsid w:val="00A31E19"/>
    <w:rsid w:val="00A322CE"/>
    <w:rsid w:val="00A32678"/>
    <w:rsid w:val="00A32AC3"/>
    <w:rsid w:val="00A332FB"/>
    <w:rsid w:val="00A333B8"/>
    <w:rsid w:val="00A33D88"/>
    <w:rsid w:val="00A34C92"/>
    <w:rsid w:val="00A34D72"/>
    <w:rsid w:val="00A35FA0"/>
    <w:rsid w:val="00A3716F"/>
    <w:rsid w:val="00A37C85"/>
    <w:rsid w:val="00A418BC"/>
    <w:rsid w:val="00A421A3"/>
    <w:rsid w:val="00A45784"/>
    <w:rsid w:val="00A46DE0"/>
    <w:rsid w:val="00A50D73"/>
    <w:rsid w:val="00A50DA1"/>
    <w:rsid w:val="00A5168E"/>
    <w:rsid w:val="00A51FE6"/>
    <w:rsid w:val="00A52BBE"/>
    <w:rsid w:val="00A52CAD"/>
    <w:rsid w:val="00A53336"/>
    <w:rsid w:val="00A53E07"/>
    <w:rsid w:val="00A53FC7"/>
    <w:rsid w:val="00A54C8E"/>
    <w:rsid w:val="00A557D4"/>
    <w:rsid w:val="00A567C7"/>
    <w:rsid w:val="00A623F0"/>
    <w:rsid w:val="00A62CE1"/>
    <w:rsid w:val="00A63EEE"/>
    <w:rsid w:val="00A64C37"/>
    <w:rsid w:val="00A6579E"/>
    <w:rsid w:val="00A6741E"/>
    <w:rsid w:val="00A67D11"/>
    <w:rsid w:val="00A70CE0"/>
    <w:rsid w:val="00A71891"/>
    <w:rsid w:val="00A735F6"/>
    <w:rsid w:val="00A73B75"/>
    <w:rsid w:val="00A743C7"/>
    <w:rsid w:val="00A75E40"/>
    <w:rsid w:val="00A77D1D"/>
    <w:rsid w:val="00A829BF"/>
    <w:rsid w:val="00A82D93"/>
    <w:rsid w:val="00A857C0"/>
    <w:rsid w:val="00A85F44"/>
    <w:rsid w:val="00A86013"/>
    <w:rsid w:val="00A868DC"/>
    <w:rsid w:val="00A8730D"/>
    <w:rsid w:val="00A87EC2"/>
    <w:rsid w:val="00A92BED"/>
    <w:rsid w:val="00A93A05"/>
    <w:rsid w:val="00A94F86"/>
    <w:rsid w:val="00A95DFC"/>
    <w:rsid w:val="00A96047"/>
    <w:rsid w:val="00A96828"/>
    <w:rsid w:val="00AA1C10"/>
    <w:rsid w:val="00AA2996"/>
    <w:rsid w:val="00AA2EA0"/>
    <w:rsid w:val="00AA3579"/>
    <w:rsid w:val="00AA3EC3"/>
    <w:rsid w:val="00AA4AFF"/>
    <w:rsid w:val="00AA52BF"/>
    <w:rsid w:val="00AA559A"/>
    <w:rsid w:val="00AA58EB"/>
    <w:rsid w:val="00AA5E0B"/>
    <w:rsid w:val="00AA5FC4"/>
    <w:rsid w:val="00AA7252"/>
    <w:rsid w:val="00AA7C9D"/>
    <w:rsid w:val="00AB26F9"/>
    <w:rsid w:val="00AB2800"/>
    <w:rsid w:val="00AB2A28"/>
    <w:rsid w:val="00AB2AF1"/>
    <w:rsid w:val="00AB3FBB"/>
    <w:rsid w:val="00AB570B"/>
    <w:rsid w:val="00AB5EF4"/>
    <w:rsid w:val="00AB63F2"/>
    <w:rsid w:val="00AB6CE1"/>
    <w:rsid w:val="00AB7239"/>
    <w:rsid w:val="00AC0812"/>
    <w:rsid w:val="00AC09DD"/>
    <w:rsid w:val="00AC1857"/>
    <w:rsid w:val="00AC5C2A"/>
    <w:rsid w:val="00AC74F3"/>
    <w:rsid w:val="00AD306C"/>
    <w:rsid w:val="00AD32E7"/>
    <w:rsid w:val="00AD3B2C"/>
    <w:rsid w:val="00AD3FEE"/>
    <w:rsid w:val="00AD43E3"/>
    <w:rsid w:val="00AD5262"/>
    <w:rsid w:val="00AD5376"/>
    <w:rsid w:val="00AD6583"/>
    <w:rsid w:val="00AD74B8"/>
    <w:rsid w:val="00AD787C"/>
    <w:rsid w:val="00AE09B3"/>
    <w:rsid w:val="00AE0DBE"/>
    <w:rsid w:val="00AE1A83"/>
    <w:rsid w:val="00AE1E1F"/>
    <w:rsid w:val="00AE2563"/>
    <w:rsid w:val="00AE3ACD"/>
    <w:rsid w:val="00AE5059"/>
    <w:rsid w:val="00AE6162"/>
    <w:rsid w:val="00AE6232"/>
    <w:rsid w:val="00AF0E9A"/>
    <w:rsid w:val="00AF2E89"/>
    <w:rsid w:val="00AF3D61"/>
    <w:rsid w:val="00AF3FDC"/>
    <w:rsid w:val="00AF4854"/>
    <w:rsid w:val="00AF6409"/>
    <w:rsid w:val="00AF7A82"/>
    <w:rsid w:val="00B00135"/>
    <w:rsid w:val="00B00913"/>
    <w:rsid w:val="00B00F39"/>
    <w:rsid w:val="00B01593"/>
    <w:rsid w:val="00B052F7"/>
    <w:rsid w:val="00B0599A"/>
    <w:rsid w:val="00B07D89"/>
    <w:rsid w:val="00B100E6"/>
    <w:rsid w:val="00B10A4D"/>
    <w:rsid w:val="00B10DD3"/>
    <w:rsid w:val="00B1157F"/>
    <w:rsid w:val="00B11FC0"/>
    <w:rsid w:val="00B1279D"/>
    <w:rsid w:val="00B13C76"/>
    <w:rsid w:val="00B17D34"/>
    <w:rsid w:val="00B17E71"/>
    <w:rsid w:val="00B17FDE"/>
    <w:rsid w:val="00B21FF6"/>
    <w:rsid w:val="00B2281D"/>
    <w:rsid w:val="00B22A87"/>
    <w:rsid w:val="00B2326D"/>
    <w:rsid w:val="00B2379C"/>
    <w:rsid w:val="00B240C9"/>
    <w:rsid w:val="00B2687D"/>
    <w:rsid w:val="00B30390"/>
    <w:rsid w:val="00B30400"/>
    <w:rsid w:val="00B30F55"/>
    <w:rsid w:val="00B3235F"/>
    <w:rsid w:val="00B3240A"/>
    <w:rsid w:val="00B3274A"/>
    <w:rsid w:val="00B32CA3"/>
    <w:rsid w:val="00B32DDB"/>
    <w:rsid w:val="00B334D9"/>
    <w:rsid w:val="00B34528"/>
    <w:rsid w:val="00B353F9"/>
    <w:rsid w:val="00B40073"/>
    <w:rsid w:val="00B40241"/>
    <w:rsid w:val="00B402FC"/>
    <w:rsid w:val="00B408F0"/>
    <w:rsid w:val="00B40EA9"/>
    <w:rsid w:val="00B44599"/>
    <w:rsid w:val="00B445C5"/>
    <w:rsid w:val="00B45399"/>
    <w:rsid w:val="00B46604"/>
    <w:rsid w:val="00B466E5"/>
    <w:rsid w:val="00B467EC"/>
    <w:rsid w:val="00B46E78"/>
    <w:rsid w:val="00B47683"/>
    <w:rsid w:val="00B47694"/>
    <w:rsid w:val="00B47D35"/>
    <w:rsid w:val="00B50BF2"/>
    <w:rsid w:val="00B520C9"/>
    <w:rsid w:val="00B530CD"/>
    <w:rsid w:val="00B5452C"/>
    <w:rsid w:val="00B54761"/>
    <w:rsid w:val="00B554C7"/>
    <w:rsid w:val="00B55638"/>
    <w:rsid w:val="00B55F4A"/>
    <w:rsid w:val="00B55F5E"/>
    <w:rsid w:val="00B5752E"/>
    <w:rsid w:val="00B57734"/>
    <w:rsid w:val="00B57A37"/>
    <w:rsid w:val="00B57DBA"/>
    <w:rsid w:val="00B57FA0"/>
    <w:rsid w:val="00B630A8"/>
    <w:rsid w:val="00B63A11"/>
    <w:rsid w:val="00B63E16"/>
    <w:rsid w:val="00B64C24"/>
    <w:rsid w:val="00B6608F"/>
    <w:rsid w:val="00B679FB"/>
    <w:rsid w:val="00B67E5F"/>
    <w:rsid w:val="00B71AD2"/>
    <w:rsid w:val="00B72CBF"/>
    <w:rsid w:val="00B732D9"/>
    <w:rsid w:val="00B73B84"/>
    <w:rsid w:val="00B73F80"/>
    <w:rsid w:val="00B74FBC"/>
    <w:rsid w:val="00B7550F"/>
    <w:rsid w:val="00B757BC"/>
    <w:rsid w:val="00B7631B"/>
    <w:rsid w:val="00B76D1E"/>
    <w:rsid w:val="00B80EC6"/>
    <w:rsid w:val="00B817E5"/>
    <w:rsid w:val="00B81CC4"/>
    <w:rsid w:val="00B8355D"/>
    <w:rsid w:val="00B83E6D"/>
    <w:rsid w:val="00B84FF9"/>
    <w:rsid w:val="00B86A37"/>
    <w:rsid w:val="00B86D45"/>
    <w:rsid w:val="00B9253D"/>
    <w:rsid w:val="00B92D1D"/>
    <w:rsid w:val="00B938C5"/>
    <w:rsid w:val="00B95940"/>
    <w:rsid w:val="00B96AE1"/>
    <w:rsid w:val="00B97385"/>
    <w:rsid w:val="00BA1760"/>
    <w:rsid w:val="00BA2808"/>
    <w:rsid w:val="00BA3AFA"/>
    <w:rsid w:val="00BA3CED"/>
    <w:rsid w:val="00BA5248"/>
    <w:rsid w:val="00BA52AC"/>
    <w:rsid w:val="00BA5ABB"/>
    <w:rsid w:val="00BA67A0"/>
    <w:rsid w:val="00BB2C19"/>
    <w:rsid w:val="00BB46F3"/>
    <w:rsid w:val="00BB4CB1"/>
    <w:rsid w:val="00BB4F98"/>
    <w:rsid w:val="00BB5DB3"/>
    <w:rsid w:val="00BB70FA"/>
    <w:rsid w:val="00BC21EC"/>
    <w:rsid w:val="00BC2D19"/>
    <w:rsid w:val="00BC2E08"/>
    <w:rsid w:val="00BC2EE6"/>
    <w:rsid w:val="00BC3D45"/>
    <w:rsid w:val="00BC4956"/>
    <w:rsid w:val="00BC7154"/>
    <w:rsid w:val="00BD0745"/>
    <w:rsid w:val="00BD15F7"/>
    <w:rsid w:val="00BD30CC"/>
    <w:rsid w:val="00BD35B7"/>
    <w:rsid w:val="00BD366B"/>
    <w:rsid w:val="00BD49E8"/>
    <w:rsid w:val="00BD5AA2"/>
    <w:rsid w:val="00BD602C"/>
    <w:rsid w:val="00BD64F6"/>
    <w:rsid w:val="00BD664B"/>
    <w:rsid w:val="00BD6D50"/>
    <w:rsid w:val="00BE18B9"/>
    <w:rsid w:val="00BE2495"/>
    <w:rsid w:val="00BE2E55"/>
    <w:rsid w:val="00BE52D6"/>
    <w:rsid w:val="00BE61AB"/>
    <w:rsid w:val="00BE7F0A"/>
    <w:rsid w:val="00BF0D77"/>
    <w:rsid w:val="00BF1410"/>
    <w:rsid w:val="00BF1578"/>
    <w:rsid w:val="00BF576A"/>
    <w:rsid w:val="00BF62BF"/>
    <w:rsid w:val="00BF7EA5"/>
    <w:rsid w:val="00C02411"/>
    <w:rsid w:val="00C02C16"/>
    <w:rsid w:val="00C02D54"/>
    <w:rsid w:val="00C03339"/>
    <w:rsid w:val="00C03857"/>
    <w:rsid w:val="00C048C9"/>
    <w:rsid w:val="00C05003"/>
    <w:rsid w:val="00C065FE"/>
    <w:rsid w:val="00C07704"/>
    <w:rsid w:val="00C07A76"/>
    <w:rsid w:val="00C11750"/>
    <w:rsid w:val="00C11B22"/>
    <w:rsid w:val="00C11C0A"/>
    <w:rsid w:val="00C132AF"/>
    <w:rsid w:val="00C1393C"/>
    <w:rsid w:val="00C16508"/>
    <w:rsid w:val="00C20048"/>
    <w:rsid w:val="00C21F94"/>
    <w:rsid w:val="00C24890"/>
    <w:rsid w:val="00C25AC8"/>
    <w:rsid w:val="00C26854"/>
    <w:rsid w:val="00C26C4E"/>
    <w:rsid w:val="00C2757F"/>
    <w:rsid w:val="00C27913"/>
    <w:rsid w:val="00C27980"/>
    <w:rsid w:val="00C27A21"/>
    <w:rsid w:val="00C27ECC"/>
    <w:rsid w:val="00C31081"/>
    <w:rsid w:val="00C314A0"/>
    <w:rsid w:val="00C31DB6"/>
    <w:rsid w:val="00C3345B"/>
    <w:rsid w:val="00C33B68"/>
    <w:rsid w:val="00C348D6"/>
    <w:rsid w:val="00C35505"/>
    <w:rsid w:val="00C35701"/>
    <w:rsid w:val="00C36A31"/>
    <w:rsid w:val="00C36A79"/>
    <w:rsid w:val="00C372E9"/>
    <w:rsid w:val="00C37668"/>
    <w:rsid w:val="00C3789E"/>
    <w:rsid w:val="00C37FBC"/>
    <w:rsid w:val="00C405D4"/>
    <w:rsid w:val="00C41518"/>
    <w:rsid w:val="00C42146"/>
    <w:rsid w:val="00C43E7A"/>
    <w:rsid w:val="00C447C1"/>
    <w:rsid w:val="00C4513B"/>
    <w:rsid w:val="00C454F9"/>
    <w:rsid w:val="00C45D78"/>
    <w:rsid w:val="00C46A1C"/>
    <w:rsid w:val="00C47E8D"/>
    <w:rsid w:val="00C52B60"/>
    <w:rsid w:val="00C52DD1"/>
    <w:rsid w:val="00C53647"/>
    <w:rsid w:val="00C53D42"/>
    <w:rsid w:val="00C54697"/>
    <w:rsid w:val="00C54F66"/>
    <w:rsid w:val="00C55D3F"/>
    <w:rsid w:val="00C579C4"/>
    <w:rsid w:val="00C60EAA"/>
    <w:rsid w:val="00C61315"/>
    <w:rsid w:val="00C613C3"/>
    <w:rsid w:val="00C62BD6"/>
    <w:rsid w:val="00C63197"/>
    <w:rsid w:val="00C634E0"/>
    <w:rsid w:val="00C6382E"/>
    <w:rsid w:val="00C63A93"/>
    <w:rsid w:val="00C63D29"/>
    <w:rsid w:val="00C642C9"/>
    <w:rsid w:val="00C65507"/>
    <w:rsid w:val="00C6673D"/>
    <w:rsid w:val="00C700FC"/>
    <w:rsid w:val="00C730A3"/>
    <w:rsid w:val="00C73885"/>
    <w:rsid w:val="00C747B1"/>
    <w:rsid w:val="00C82191"/>
    <w:rsid w:val="00C84E58"/>
    <w:rsid w:val="00C86A96"/>
    <w:rsid w:val="00C878E6"/>
    <w:rsid w:val="00C904CE"/>
    <w:rsid w:val="00C90CF4"/>
    <w:rsid w:val="00C91D7E"/>
    <w:rsid w:val="00C92EB6"/>
    <w:rsid w:val="00C93194"/>
    <w:rsid w:val="00C93389"/>
    <w:rsid w:val="00C93504"/>
    <w:rsid w:val="00C9485A"/>
    <w:rsid w:val="00C952AE"/>
    <w:rsid w:val="00C95C73"/>
    <w:rsid w:val="00C96D3F"/>
    <w:rsid w:val="00CA04F2"/>
    <w:rsid w:val="00CA17EB"/>
    <w:rsid w:val="00CA25B2"/>
    <w:rsid w:val="00CA271C"/>
    <w:rsid w:val="00CA2EB1"/>
    <w:rsid w:val="00CA48A2"/>
    <w:rsid w:val="00CA50DA"/>
    <w:rsid w:val="00CA57C9"/>
    <w:rsid w:val="00CA60C2"/>
    <w:rsid w:val="00CA6CC8"/>
    <w:rsid w:val="00CA774F"/>
    <w:rsid w:val="00CA79AC"/>
    <w:rsid w:val="00CB0A23"/>
    <w:rsid w:val="00CB0B1F"/>
    <w:rsid w:val="00CB4930"/>
    <w:rsid w:val="00CB59BB"/>
    <w:rsid w:val="00CB5CFB"/>
    <w:rsid w:val="00CB71CA"/>
    <w:rsid w:val="00CB73DA"/>
    <w:rsid w:val="00CC07C7"/>
    <w:rsid w:val="00CC088A"/>
    <w:rsid w:val="00CC28E0"/>
    <w:rsid w:val="00CC2E7D"/>
    <w:rsid w:val="00CC4392"/>
    <w:rsid w:val="00CC457C"/>
    <w:rsid w:val="00CC5C8B"/>
    <w:rsid w:val="00CC659A"/>
    <w:rsid w:val="00CC6E4B"/>
    <w:rsid w:val="00CC7F6A"/>
    <w:rsid w:val="00CD10A5"/>
    <w:rsid w:val="00CD2076"/>
    <w:rsid w:val="00CD2783"/>
    <w:rsid w:val="00CD2CF0"/>
    <w:rsid w:val="00CD2DB7"/>
    <w:rsid w:val="00CD3C81"/>
    <w:rsid w:val="00CD3EEE"/>
    <w:rsid w:val="00CD4300"/>
    <w:rsid w:val="00CD5722"/>
    <w:rsid w:val="00CD573A"/>
    <w:rsid w:val="00CD66CE"/>
    <w:rsid w:val="00CD7F0B"/>
    <w:rsid w:val="00CE53B8"/>
    <w:rsid w:val="00CE5647"/>
    <w:rsid w:val="00CE670B"/>
    <w:rsid w:val="00CE702A"/>
    <w:rsid w:val="00CF2CEE"/>
    <w:rsid w:val="00CF40B5"/>
    <w:rsid w:val="00CF51EC"/>
    <w:rsid w:val="00CF73AE"/>
    <w:rsid w:val="00CF75B1"/>
    <w:rsid w:val="00CF797C"/>
    <w:rsid w:val="00D0041C"/>
    <w:rsid w:val="00D02FB3"/>
    <w:rsid w:val="00D040DD"/>
    <w:rsid w:val="00D04EC2"/>
    <w:rsid w:val="00D0614E"/>
    <w:rsid w:val="00D06983"/>
    <w:rsid w:val="00D06F01"/>
    <w:rsid w:val="00D11B8B"/>
    <w:rsid w:val="00D13986"/>
    <w:rsid w:val="00D15AAE"/>
    <w:rsid w:val="00D17A90"/>
    <w:rsid w:val="00D20CD3"/>
    <w:rsid w:val="00D2121A"/>
    <w:rsid w:val="00D21E88"/>
    <w:rsid w:val="00D235B7"/>
    <w:rsid w:val="00D2462F"/>
    <w:rsid w:val="00D24A11"/>
    <w:rsid w:val="00D251E2"/>
    <w:rsid w:val="00D25F28"/>
    <w:rsid w:val="00D27973"/>
    <w:rsid w:val="00D27E2C"/>
    <w:rsid w:val="00D303A2"/>
    <w:rsid w:val="00D30E0E"/>
    <w:rsid w:val="00D326DC"/>
    <w:rsid w:val="00D338CD"/>
    <w:rsid w:val="00D348CD"/>
    <w:rsid w:val="00D371DA"/>
    <w:rsid w:val="00D3720A"/>
    <w:rsid w:val="00D378EB"/>
    <w:rsid w:val="00D420A5"/>
    <w:rsid w:val="00D4237F"/>
    <w:rsid w:val="00D4240E"/>
    <w:rsid w:val="00D43819"/>
    <w:rsid w:val="00D44D76"/>
    <w:rsid w:val="00D44D86"/>
    <w:rsid w:val="00D46337"/>
    <w:rsid w:val="00D47982"/>
    <w:rsid w:val="00D50F46"/>
    <w:rsid w:val="00D52642"/>
    <w:rsid w:val="00D53D17"/>
    <w:rsid w:val="00D567E1"/>
    <w:rsid w:val="00D606E9"/>
    <w:rsid w:val="00D60C8B"/>
    <w:rsid w:val="00D62C76"/>
    <w:rsid w:val="00D6448B"/>
    <w:rsid w:val="00D64773"/>
    <w:rsid w:val="00D650FC"/>
    <w:rsid w:val="00D65482"/>
    <w:rsid w:val="00D6573C"/>
    <w:rsid w:val="00D65865"/>
    <w:rsid w:val="00D66223"/>
    <w:rsid w:val="00D664F9"/>
    <w:rsid w:val="00D7051B"/>
    <w:rsid w:val="00D708DB"/>
    <w:rsid w:val="00D72304"/>
    <w:rsid w:val="00D74C16"/>
    <w:rsid w:val="00D76139"/>
    <w:rsid w:val="00D770CA"/>
    <w:rsid w:val="00D8084C"/>
    <w:rsid w:val="00D80917"/>
    <w:rsid w:val="00D82646"/>
    <w:rsid w:val="00D82821"/>
    <w:rsid w:val="00D833BA"/>
    <w:rsid w:val="00D84C36"/>
    <w:rsid w:val="00D86F84"/>
    <w:rsid w:val="00D8720A"/>
    <w:rsid w:val="00D92443"/>
    <w:rsid w:val="00D951D5"/>
    <w:rsid w:val="00D95AD4"/>
    <w:rsid w:val="00D963CC"/>
    <w:rsid w:val="00D97380"/>
    <w:rsid w:val="00D9745B"/>
    <w:rsid w:val="00D97D02"/>
    <w:rsid w:val="00D97F77"/>
    <w:rsid w:val="00DA0A68"/>
    <w:rsid w:val="00DA0DF0"/>
    <w:rsid w:val="00DA15A5"/>
    <w:rsid w:val="00DA2071"/>
    <w:rsid w:val="00DA3391"/>
    <w:rsid w:val="00DA3FFE"/>
    <w:rsid w:val="00DA5612"/>
    <w:rsid w:val="00DA7B0A"/>
    <w:rsid w:val="00DA7C0C"/>
    <w:rsid w:val="00DB1B98"/>
    <w:rsid w:val="00DB2EC8"/>
    <w:rsid w:val="00DB4336"/>
    <w:rsid w:val="00DB4496"/>
    <w:rsid w:val="00DB44CC"/>
    <w:rsid w:val="00DB5444"/>
    <w:rsid w:val="00DB6726"/>
    <w:rsid w:val="00DB67FD"/>
    <w:rsid w:val="00DC159D"/>
    <w:rsid w:val="00DC235B"/>
    <w:rsid w:val="00DC4F91"/>
    <w:rsid w:val="00DC5A5F"/>
    <w:rsid w:val="00DC5B3B"/>
    <w:rsid w:val="00DC6DD3"/>
    <w:rsid w:val="00DD04C2"/>
    <w:rsid w:val="00DD07A3"/>
    <w:rsid w:val="00DD0D6F"/>
    <w:rsid w:val="00DD129F"/>
    <w:rsid w:val="00DD3730"/>
    <w:rsid w:val="00DD6112"/>
    <w:rsid w:val="00DD72DE"/>
    <w:rsid w:val="00DD7AA0"/>
    <w:rsid w:val="00DE096E"/>
    <w:rsid w:val="00DE1FCF"/>
    <w:rsid w:val="00DE244A"/>
    <w:rsid w:val="00DE28AE"/>
    <w:rsid w:val="00DE2A88"/>
    <w:rsid w:val="00DE2D5D"/>
    <w:rsid w:val="00DE3224"/>
    <w:rsid w:val="00DE3A0F"/>
    <w:rsid w:val="00DE4294"/>
    <w:rsid w:val="00DE4B39"/>
    <w:rsid w:val="00DE5B4C"/>
    <w:rsid w:val="00DE5D47"/>
    <w:rsid w:val="00DE6447"/>
    <w:rsid w:val="00DE6702"/>
    <w:rsid w:val="00DE701E"/>
    <w:rsid w:val="00DF07F3"/>
    <w:rsid w:val="00DF08CD"/>
    <w:rsid w:val="00DF0F74"/>
    <w:rsid w:val="00DF24E1"/>
    <w:rsid w:val="00DF42FF"/>
    <w:rsid w:val="00DF4A21"/>
    <w:rsid w:val="00DF5B85"/>
    <w:rsid w:val="00DF5FAC"/>
    <w:rsid w:val="00DF6019"/>
    <w:rsid w:val="00DF6103"/>
    <w:rsid w:val="00DF6A22"/>
    <w:rsid w:val="00E00C80"/>
    <w:rsid w:val="00E01C0E"/>
    <w:rsid w:val="00E02B4A"/>
    <w:rsid w:val="00E03F9A"/>
    <w:rsid w:val="00E0424E"/>
    <w:rsid w:val="00E04694"/>
    <w:rsid w:val="00E04833"/>
    <w:rsid w:val="00E065C6"/>
    <w:rsid w:val="00E06DE4"/>
    <w:rsid w:val="00E06E04"/>
    <w:rsid w:val="00E119FC"/>
    <w:rsid w:val="00E12B1E"/>
    <w:rsid w:val="00E17262"/>
    <w:rsid w:val="00E20908"/>
    <w:rsid w:val="00E2338D"/>
    <w:rsid w:val="00E2346D"/>
    <w:rsid w:val="00E23DF6"/>
    <w:rsid w:val="00E2420F"/>
    <w:rsid w:val="00E253A2"/>
    <w:rsid w:val="00E25DC1"/>
    <w:rsid w:val="00E25EE7"/>
    <w:rsid w:val="00E2797D"/>
    <w:rsid w:val="00E304B8"/>
    <w:rsid w:val="00E3162B"/>
    <w:rsid w:val="00E31A21"/>
    <w:rsid w:val="00E3309D"/>
    <w:rsid w:val="00E347B9"/>
    <w:rsid w:val="00E34C83"/>
    <w:rsid w:val="00E35DB6"/>
    <w:rsid w:val="00E365EF"/>
    <w:rsid w:val="00E3682C"/>
    <w:rsid w:val="00E37668"/>
    <w:rsid w:val="00E377DA"/>
    <w:rsid w:val="00E4543C"/>
    <w:rsid w:val="00E460E2"/>
    <w:rsid w:val="00E476DF"/>
    <w:rsid w:val="00E50156"/>
    <w:rsid w:val="00E5050F"/>
    <w:rsid w:val="00E50B5D"/>
    <w:rsid w:val="00E51B4F"/>
    <w:rsid w:val="00E53470"/>
    <w:rsid w:val="00E539F6"/>
    <w:rsid w:val="00E53F32"/>
    <w:rsid w:val="00E543DC"/>
    <w:rsid w:val="00E54519"/>
    <w:rsid w:val="00E54C98"/>
    <w:rsid w:val="00E555EA"/>
    <w:rsid w:val="00E57EBE"/>
    <w:rsid w:val="00E61425"/>
    <w:rsid w:val="00E6186A"/>
    <w:rsid w:val="00E62416"/>
    <w:rsid w:val="00E63F61"/>
    <w:rsid w:val="00E63F94"/>
    <w:rsid w:val="00E6403A"/>
    <w:rsid w:val="00E6519D"/>
    <w:rsid w:val="00E655F4"/>
    <w:rsid w:val="00E65730"/>
    <w:rsid w:val="00E67611"/>
    <w:rsid w:val="00E67696"/>
    <w:rsid w:val="00E679B0"/>
    <w:rsid w:val="00E704B3"/>
    <w:rsid w:val="00E7195D"/>
    <w:rsid w:val="00E71A58"/>
    <w:rsid w:val="00E7263C"/>
    <w:rsid w:val="00E72A7A"/>
    <w:rsid w:val="00E730E1"/>
    <w:rsid w:val="00E73E6C"/>
    <w:rsid w:val="00E745AE"/>
    <w:rsid w:val="00E7552F"/>
    <w:rsid w:val="00E75C94"/>
    <w:rsid w:val="00E7699C"/>
    <w:rsid w:val="00E76D7A"/>
    <w:rsid w:val="00E77EE7"/>
    <w:rsid w:val="00E800A2"/>
    <w:rsid w:val="00E806B8"/>
    <w:rsid w:val="00E814CF"/>
    <w:rsid w:val="00E835E4"/>
    <w:rsid w:val="00E8731A"/>
    <w:rsid w:val="00E87F02"/>
    <w:rsid w:val="00E9007A"/>
    <w:rsid w:val="00E90E17"/>
    <w:rsid w:val="00E91461"/>
    <w:rsid w:val="00E91BAF"/>
    <w:rsid w:val="00E92827"/>
    <w:rsid w:val="00E93820"/>
    <w:rsid w:val="00E948CC"/>
    <w:rsid w:val="00E95883"/>
    <w:rsid w:val="00E9671F"/>
    <w:rsid w:val="00E96A41"/>
    <w:rsid w:val="00EA09A4"/>
    <w:rsid w:val="00EA0C68"/>
    <w:rsid w:val="00EA0DC0"/>
    <w:rsid w:val="00EA0F16"/>
    <w:rsid w:val="00EA1AC5"/>
    <w:rsid w:val="00EA217A"/>
    <w:rsid w:val="00EA29E7"/>
    <w:rsid w:val="00EA32BC"/>
    <w:rsid w:val="00EA35D8"/>
    <w:rsid w:val="00EA3B4C"/>
    <w:rsid w:val="00EA53EA"/>
    <w:rsid w:val="00EA7587"/>
    <w:rsid w:val="00EB32B8"/>
    <w:rsid w:val="00EB35FF"/>
    <w:rsid w:val="00EB4511"/>
    <w:rsid w:val="00EB4A1C"/>
    <w:rsid w:val="00EB4E1E"/>
    <w:rsid w:val="00EB515A"/>
    <w:rsid w:val="00EC03D7"/>
    <w:rsid w:val="00EC1220"/>
    <w:rsid w:val="00EC14DF"/>
    <w:rsid w:val="00EC277B"/>
    <w:rsid w:val="00EC4E6F"/>
    <w:rsid w:val="00EC666B"/>
    <w:rsid w:val="00ED2C99"/>
    <w:rsid w:val="00ED62C6"/>
    <w:rsid w:val="00ED64C1"/>
    <w:rsid w:val="00ED6D0C"/>
    <w:rsid w:val="00ED79AF"/>
    <w:rsid w:val="00EE09C9"/>
    <w:rsid w:val="00EE2030"/>
    <w:rsid w:val="00EE22A4"/>
    <w:rsid w:val="00EE32DC"/>
    <w:rsid w:val="00EE3446"/>
    <w:rsid w:val="00EE3E78"/>
    <w:rsid w:val="00EE4B1B"/>
    <w:rsid w:val="00EE6CB8"/>
    <w:rsid w:val="00EF1455"/>
    <w:rsid w:val="00EF150D"/>
    <w:rsid w:val="00EF1F5A"/>
    <w:rsid w:val="00EF38A1"/>
    <w:rsid w:val="00EF47BF"/>
    <w:rsid w:val="00EF49FE"/>
    <w:rsid w:val="00EF56F0"/>
    <w:rsid w:val="00EF5F06"/>
    <w:rsid w:val="00EF6746"/>
    <w:rsid w:val="00EF6CC6"/>
    <w:rsid w:val="00F00C8A"/>
    <w:rsid w:val="00F018FD"/>
    <w:rsid w:val="00F01ECB"/>
    <w:rsid w:val="00F0211D"/>
    <w:rsid w:val="00F02CDA"/>
    <w:rsid w:val="00F02CF5"/>
    <w:rsid w:val="00F03713"/>
    <w:rsid w:val="00F04285"/>
    <w:rsid w:val="00F04811"/>
    <w:rsid w:val="00F0488C"/>
    <w:rsid w:val="00F05F5E"/>
    <w:rsid w:val="00F06F3B"/>
    <w:rsid w:val="00F07CCC"/>
    <w:rsid w:val="00F1053F"/>
    <w:rsid w:val="00F10F11"/>
    <w:rsid w:val="00F113D5"/>
    <w:rsid w:val="00F11480"/>
    <w:rsid w:val="00F12F00"/>
    <w:rsid w:val="00F14D4C"/>
    <w:rsid w:val="00F156BE"/>
    <w:rsid w:val="00F15AAA"/>
    <w:rsid w:val="00F15BEF"/>
    <w:rsid w:val="00F17588"/>
    <w:rsid w:val="00F176F7"/>
    <w:rsid w:val="00F20251"/>
    <w:rsid w:val="00F20986"/>
    <w:rsid w:val="00F23DB0"/>
    <w:rsid w:val="00F24407"/>
    <w:rsid w:val="00F24FAA"/>
    <w:rsid w:val="00F25D37"/>
    <w:rsid w:val="00F269BC"/>
    <w:rsid w:val="00F273D0"/>
    <w:rsid w:val="00F311A7"/>
    <w:rsid w:val="00F323A3"/>
    <w:rsid w:val="00F327AA"/>
    <w:rsid w:val="00F32DE9"/>
    <w:rsid w:val="00F3364D"/>
    <w:rsid w:val="00F35DBA"/>
    <w:rsid w:val="00F362B9"/>
    <w:rsid w:val="00F368B6"/>
    <w:rsid w:val="00F40594"/>
    <w:rsid w:val="00F40DD1"/>
    <w:rsid w:val="00F41279"/>
    <w:rsid w:val="00F42E31"/>
    <w:rsid w:val="00F4325A"/>
    <w:rsid w:val="00F4341D"/>
    <w:rsid w:val="00F437CC"/>
    <w:rsid w:val="00F449CD"/>
    <w:rsid w:val="00F45472"/>
    <w:rsid w:val="00F45C1D"/>
    <w:rsid w:val="00F46792"/>
    <w:rsid w:val="00F46EA8"/>
    <w:rsid w:val="00F47067"/>
    <w:rsid w:val="00F5018B"/>
    <w:rsid w:val="00F501A6"/>
    <w:rsid w:val="00F515CB"/>
    <w:rsid w:val="00F516B1"/>
    <w:rsid w:val="00F51EC0"/>
    <w:rsid w:val="00F5251A"/>
    <w:rsid w:val="00F525EB"/>
    <w:rsid w:val="00F527BD"/>
    <w:rsid w:val="00F52952"/>
    <w:rsid w:val="00F53BD9"/>
    <w:rsid w:val="00F540C6"/>
    <w:rsid w:val="00F5640A"/>
    <w:rsid w:val="00F56A79"/>
    <w:rsid w:val="00F5749E"/>
    <w:rsid w:val="00F57A27"/>
    <w:rsid w:val="00F60985"/>
    <w:rsid w:val="00F6109F"/>
    <w:rsid w:val="00F6133A"/>
    <w:rsid w:val="00F61DF1"/>
    <w:rsid w:val="00F6238A"/>
    <w:rsid w:val="00F62AD8"/>
    <w:rsid w:val="00F63DDE"/>
    <w:rsid w:val="00F63FB7"/>
    <w:rsid w:val="00F649B5"/>
    <w:rsid w:val="00F649D2"/>
    <w:rsid w:val="00F64B87"/>
    <w:rsid w:val="00F64E97"/>
    <w:rsid w:val="00F6505B"/>
    <w:rsid w:val="00F65853"/>
    <w:rsid w:val="00F659EB"/>
    <w:rsid w:val="00F65F09"/>
    <w:rsid w:val="00F6602B"/>
    <w:rsid w:val="00F7045B"/>
    <w:rsid w:val="00F715BF"/>
    <w:rsid w:val="00F7260E"/>
    <w:rsid w:val="00F72B45"/>
    <w:rsid w:val="00F72B48"/>
    <w:rsid w:val="00F737C3"/>
    <w:rsid w:val="00F739D7"/>
    <w:rsid w:val="00F73A0C"/>
    <w:rsid w:val="00F73A5D"/>
    <w:rsid w:val="00F74551"/>
    <w:rsid w:val="00F748EF"/>
    <w:rsid w:val="00F756DB"/>
    <w:rsid w:val="00F77E3B"/>
    <w:rsid w:val="00F80A26"/>
    <w:rsid w:val="00F81888"/>
    <w:rsid w:val="00F826BA"/>
    <w:rsid w:val="00F8293A"/>
    <w:rsid w:val="00F8297C"/>
    <w:rsid w:val="00F85066"/>
    <w:rsid w:val="00F8597B"/>
    <w:rsid w:val="00F878C2"/>
    <w:rsid w:val="00F87D7B"/>
    <w:rsid w:val="00F906E8"/>
    <w:rsid w:val="00F9071A"/>
    <w:rsid w:val="00F90B23"/>
    <w:rsid w:val="00F9151E"/>
    <w:rsid w:val="00F92269"/>
    <w:rsid w:val="00F94398"/>
    <w:rsid w:val="00F94436"/>
    <w:rsid w:val="00F95781"/>
    <w:rsid w:val="00F96D4A"/>
    <w:rsid w:val="00F97D0B"/>
    <w:rsid w:val="00F97FFB"/>
    <w:rsid w:val="00FA0878"/>
    <w:rsid w:val="00FA1ACA"/>
    <w:rsid w:val="00FA1E74"/>
    <w:rsid w:val="00FA2642"/>
    <w:rsid w:val="00FA2D8E"/>
    <w:rsid w:val="00FA436A"/>
    <w:rsid w:val="00FA5D4D"/>
    <w:rsid w:val="00FA6210"/>
    <w:rsid w:val="00FA6C3F"/>
    <w:rsid w:val="00FA7982"/>
    <w:rsid w:val="00FB09FE"/>
    <w:rsid w:val="00FB0EE2"/>
    <w:rsid w:val="00FB33B0"/>
    <w:rsid w:val="00FB4E48"/>
    <w:rsid w:val="00FB542E"/>
    <w:rsid w:val="00FB5965"/>
    <w:rsid w:val="00FB7EE1"/>
    <w:rsid w:val="00FC09CD"/>
    <w:rsid w:val="00FC0E5F"/>
    <w:rsid w:val="00FC1A95"/>
    <w:rsid w:val="00FC2D9F"/>
    <w:rsid w:val="00FC358D"/>
    <w:rsid w:val="00FC494B"/>
    <w:rsid w:val="00FC4C80"/>
    <w:rsid w:val="00FC56DE"/>
    <w:rsid w:val="00FC684B"/>
    <w:rsid w:val="00FC6D8D"/>
    <w:rsid w:val="00FC7652"/>
    <w:rsid w:val="00FD1136"/>
    <w:rsid w:val="00FD23A9"/>
    <w:rsid w:val="00FD3265"/>
    <w:rsid w:val="00FD3E96"/>
    <w:rsid w:val="00FD6DDD"/>
    <w:rsid w:val="00FD7AEC"/>
    <w:rsid w:val="00FE049D"/>
    <w:rsid w:val="00FE0CF2"/>
    <w:rsid w:val="00FE13BF"/>
    <w:rsid w:val="00FE1E9C"/>
    <w:rsid w:val="00FE2407"/>
    <w:rsid w:val="00FE247E"/>
    <w:rsid w:val="00FE251F"/>
    <w:rsid w:val="00FE26A1"/>
    <w:rsid w:val="00FE2F78"/>
    <w:rsid w:val="00FE31A5"/>
    <w:rsid w:val="00FE3526"/>
    <w:rsid w:val="00FE3BCF"/>
    <w:rsid w:val="00FE4C49"/>
    <w:rsid w:val="00FE5AE6"/>
    <w:rsid w:val="00FF00AC"/>
    <w:rsid w:val="00FF0634"/>
    <w:rsid w:val="00FF1661"/>
    <w:rsid w:val="00FF1901"/>
    <w:rsid w:val="00FF2BDB"/>
    <w:rsid w:val="00FF308E"/>
    <w:rsid w:val="00FF3B8F"/>
    <w:rsid w:val="00FF53D3"/>
    <w:rsid w:val="00FF5E69"/>
    <w:rsid w:val="00FF6F77"/>
    <w:rsid w:val="00FF7B96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9328DB"/>
    <w:pPr>
      <w:ind w:left="142"/>
    </w:pPr>
  </w:style>
  <w:style w:type="paragraph" w:styleId="Obsah3">
    <w:name w:val="toc 3"/>
    <w:basedOn w:val="Obsahpoloky"/>
    <w:next w:val="Obsahpoloky"/>
    <w:autoRedefine/>
    <w:uiPriority w:val="39"/>
    <w:unhideWhenUsed/>
    <w:rsid w:val="009328DB"/>
    <w:pPr>
      <w:ind w:left="284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  <w:style w:type="paragraph" w:styleId="Normlnweb">
    <w:name w:val="Normal (Web)"/>
    <w:basedOn w:val="Normln"/>
    <w:uiPriority w:val="99"/>
    <w:unhideWhenUsed/>
    <w:rsid w:val="003E2CA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input-std">
    <w:name w:val="input-std"/>
    <w:basedOn w:val="Standardnpsmoodstavce"/>
    <w:rsid w:val="002F3B4C"/>
  </w:style>
  <w:style w:type="paragraph" w:customStyle="1" w:styleId="Default">
    <w:name w:val="Default"/>
    <w:rsid w:val="001C30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E6990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lasifikace-institucionalnich-sektoru-a-subsektoru-cz-cis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sz.cz/cz/o-cssz/informace/statistiky/nemocenska-statis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is.cz/category/tematicke-rady/zdravotnicka-statistika/pracovni-neschopnos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5F0B-681B-4D23-9F97-FB555612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2</TotalTime>
  <Pages>1</Pages>
  <Words>1583</Words>
  <Characters>9343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10905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Hrivíková</dc:creator>
  <cp:lastModifiedBy>hrivikova2924</cp:lastModifiedBy>
  <cp:revision>4</cp:revision>
  <cp:lastPrinted>2018-11-02T09:15:00Z</cp:lastPrinted>
  <dcterms:created xsi:type="dcterms:W3CDTF">2018-11-14T14:28:00Z</dcterms:created>
  <dcterms:modified xsi:type="dcterms:W3CDTF">2018-11-14T14:35:00Z</dcterms:modified>
</cp:coreProperties>
</file>