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</w:t>
      </w:r>
      <w:r w:rsidR="00580C4A">
        <w:rPr>
          <w:rFonts w:ascii="Arial" w:hAnsi="Arial" w:cs="Arial"/>
          <w:sz w:val="32"/>
        </w:rPr>
        <w:t>březnu</w:t>
      </w:r>
      <w:r w:rsidR="00B74C74">
        <w:rPr>
          <w:rFonts w:ascii="Arial" w:hAnsi="Arial" w:cs="Arial"/>
          <w:sz w:val="32"/>
        </w:rPr>
        <w:t xml:space="preserve"> 2025</w:t>
      </w:r>
    </w:p>
    <w:p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:rsidR="00FF2040" w:rsidRPr="00D403E7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D403E7">
        <w:rPr>
          <w:rFonts w:ascii="Arial" w:hAnsi="Arial" w:cs="Arial"/>
          <w:b/>
          <w:sz w:val="20"/>
          <w:szCs w:val="20"/>
        </w:rPr>
        <w:t>Meziměsíční srovnání:</w:t>
      </w:r>
    </w:p>
    <w:p w:rsidR="008F025D" w:rsidRPr="00D403E7" w:rsidRDefault="008F025D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D403E7" w:rsidRDefault="00D403E7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b/>
          <w:sz w:val="20"/>
          <w:szCs w:val="20"/>
        </w:rPr>
        <w:t xml:space="preserve">Meziměsíčně </w:t>
      </w:r>
      <w:r w:rsidRPr="00D403E7">
        <w:rPr>
          <w:rFonts w:ascii="Arial" w:hAnsi="Arial" w:cs="Arial"/>
          <w:sz w:val="20"/>
          <w:szCs w:val="20"/>
        </w:rPr>
        <w:t xml:space="preserve">ceny </w:t>
      </w:r>
      <w:r w:rsidRPr="00D403E7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D403E7">
        <w:rPr>
          <w:rFonts w:ascii="Arial" w:hAnsi="Arial" w:cs="Arial"/>
          <w:sz w:val="20"/>
          <w:szCs w:val="20"/>
        </w:rPr>
        <w:t>klesly o 0,3 %.</w:t>
      </w:r>
    </w:p>
    <w:p w:rsidR="00D64689" w:rsidRPr="00D403E7" w:rsidRDefault="00D64689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:rsidR="00D403E7" w:rsidRDefault="00D64689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86DCFAB" wp14:editId="5B8B7D1B">
            <wp:extent cx="5760720" cy="3926205"/>
            <wp:effectExtent l="0" t="0" r="11430" b="171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4689" w:rsidRPr="00D403E7" w:rsidRDefault="00D64689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:rsidR="00D403E7" w:rsidRDefault="00D403E7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Snížily se zejména ceny koksu a rafinérských ropných výrobků. Nižší byly ceny ropy a zemního plynu o 3,9 %, černého a hnědého uhlí a lignitu o 1,6 %, nápojů o 0,9 % a počítačů, elektronických a optických přístrojů o 0,7 %.</w:t>
      </w:r>
    </w:p>
    <w:p w:rsidR="00D403E7" w:rsidRDefault="00D403E7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:rsidR="00D403E7" w:rsidRDefault="00D403E7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Zvýšily se ceny ostatních dopravních prostředků a zařízení o 1,7 %, tiskařských a nahrávacích služeb o 1,6 % a textilií a nábytku shodně o 0,5 %.</w:t>
      </w:r>
    </w:p>
    <w:p w:rsidR="00D403E7" w:rsidRDefault="00D403E7" w:rsidP="004124D2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:rsidR="00E915E0" w:rsidRPr="00D403E7" w:rsidRDefault="00D403E7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Ceny potravinářských výrobků vzrostly o 0,1%, zejména rostlinné a živočišné oleje a tuky o 1,4 %, mlýnské a škrobárenské výrobky o 1,2 % a průmyslová krmiva o 0,6 %. Naopak se snížily ceny zpracované a konzervované zeleniny a ovoce o 0,6 % a ostatních potravinářských výrobků o 0,5 %.</w:t>
      </w:r>
    </w:p>
    <w:p w:rsidR="00E915E0" w:rsidRPr="00D403E7" w:rsidRDefault="00E915E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7536DF" w:rsidRPr="00D403E7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:rsidR="00B01C62" w:rsidRPr="00D403E7" w:rsidRDefault="00B01C62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7536DF" w:rsidRPr="00D403E7" w:rsidRDefault="00D64689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D64689">
        <w:drawing>
          <wp:inline distT="0" distB="0" distL="0" distR="0">
            <wp:extent cx="5741035" cy="138366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52" w:rsidRPr="00D403E7" w:rsidRDefault="008E0052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6B2ED7" w:rsidRPr="00D403E7" w:rsidRDefault="006B2ED7" w:rsidP="006E7983">
      <w:pPr>
        <w:spacing w:line="276" w:lineRule="auto"/>
        <w:rPr>
          <w:rFonts w:ascii="Arial" w:hAnsi="Arial" w:cs="Arial"/>
          <w:sz w:val="20"/>
          <w:szCs w:val="20"/>
        </w:rPr>
      </w:pPr>
    </w:p>
    <w:p w:rsidR="008F025D" w:rsidRPr="00D403E7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F025D" w:rsidRPr="00D403E7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D0B68" w:rsidRPr="00D403E7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403E7">
        <w:rPr>
          <w:rFonts w:ascii="Arial" w:hAnsi="Arial" w:cs="Arial"/>
          <w:b/>
          <w:sz w:val="20"/>
          <w:szCs w:val="20"/>
        </w:rPr>
        <w:t>Meziroční srovnání:</w:t>
      </w:r>
    </w:p>
    <w:p w:rsidR="002E6362" w:rsidRPr="00D403E7" w:rsidRDefault="002E6362" w:rsidP="007536DF">
      <w:pPr>
        <w:rPr>
          <w:rFonts w:ascii="Arial" w:hAnsi="Arial" w:cs="Arial"/>
          <w:sz w:val="20"/>
          <w:szCs w:val="20"/>
        </w:rPr>
      </w:pPr>
    </w:p>
    <w:p w:rsidR="00D403E7" w:rsidRPr="00D403E7" w:rsidRDefault="00D403E7" w:rsidP="00D403E7">
      <w:pPr>
        <w:rPr>
          <w:rFonts w:ascii="Arial" w:hAnsi="Arial" w:cs="Arial"/>
          <w:bCs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 xml:space="preserve">Ceny </w:t>
      </w:r>
      <w:r w:rsidRPr="00D403E7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D403E7">
        <w:rPr>
          <w:rFonts w:ascii="Arial" w:hAnsi="Arial" w:cs="Arial"/>
          <w:bCs/>
          <w:sz w:val="20"/>
          <w:szCs w:val="20"/>
        </w:rPr>
        <w:t>se</w:t>
      </w:r>
      <w:r w:rsidRPr="00D403E7">
        <w:rPr>
          <w:rFonts w:ascii="Arial" w:hAnsi="Arial" w:cs="Arial"/>
          <w:b/>
          <w:bCs/>
          <w:sz w:val="20"/>
          <w:szCs w:val="20"/>
        </w:rPr>
        <w:t xml:space="preserve"> meziročně</w:t>
      </w:r>
      <w:r w:rsidRPr="00D403E7">
        <w:rPr>
          <w:rFonts w:ascii="Arial" w:hAnsi="Arial" w:cs="Arial"/>
          <w:bCs/>
          <w:sz w:val="20"/>
          <w:szCs w:val="20"/>
        </w:rPr>
        <w:t xml:space="preserve"> snížily o 0,3 % (v únoru o 0,1 %). </w:t>
      </w:r>
    </w:p>
    <w:p w:rsidR="00D403E7" w:rsidRPr="00D403E7" w:rsidRDefault="00D403E7" w:rsidP="00D403E7">
      <w:pPr>
        <w:rPr>
          <w:rFonts w:ascii="Arial" w:hAnsi="Arial" w:cs="Arial"/>
          <w:sz w:val="20"/>
          <w:szCs w:val="20"/>
        </w:rPr>
      </w:pPr>
    </w:p>
    <w:p w:rsidR="00D403E7" w:rsidRDefault="00D64689" w:rsidP="00D403E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504E032" wp14:editId="618E1BBB">
            <wp:extent cx="5760720" cy="34988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4689" w:rsidRDefault="00D64689" w:rsidP="00D403E7">
      <w:pPr>
        <w:rPr>
          <w:rFonts w:ascii="Arial" w:hAnsi="Arial" w:cs="Arial"/>
          <w:sz w:val="20"/>
          <w:szCs w:val="20"/>
        </w:rPr>
      </w:pPr>
    </w:p>
    <w:p w:rsidR="00D64689" w:rsidRDefault="00D64689" w:rsidP="00D403E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AE538CD" wp14:editId="02AD25D2">
            <wp:extent cx="5760720" cy="4377055"/>
            <wp:effectExtent l="0" t="0" r="11430" b="444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4689" w:rsidRPr="00D403E7" w:rsidRDefault="00D64689" w:rsidP="00D403E7">
      <w:pPr>
        <w:rPr>
          <w:rFonts w:ascii="Arial" w:hAnsi="Arial" w:cs="Arial"/>
          <w:sz w:val="20"/>
          <w:szCs w:val="20"/>
        </w:rPr>
      </w:pPr>
    </w:p>
    <w:p w:rsidR="00D403E7" w:rsidRPr="00D403E7" w:rsidRDefault="00D403E7" w:rsidP="00D403E7">
      <w:pPr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N</w:t>
      </w:r>
      <w:r w:rsidRPr="00D403E7">
        <w:rPr>
          <w:rFonts w:ascii="Arial" w:hAnsi="Arial" w:cs="Arial"/>
          <w:sz w:val="20"/>
          <w:szCs w:val="20"/>
        </w:rPr>
        <w:t>ižší byly zejména ceny koksu a rafinovaných ropných výrobků. Klesaly ceny ropy a zemního plynu o 17,4 %, černého a hnědého uhlí a lignitu o 9,5 %, základních kovů o 3,7 % a chemických látek a přípravků o 3,1 %.</w:t>
      </w:r>
    </w:p>
    <w:p w:rsidR="00D403E7" w:rsidRPr="00D403E7" w:rsidRDefault="00D403E7" w:rsidP="00D403E7">
      <w:pPr>
        <w:rPr>
          <w:rFonts w:ascii="Arial" w:hAnsi="Arial" w:cs="Arial"/>
          <w:sz w:val="20"/>
          <w:szCs w:val="20"/>
        </w:rPr>
      </w:pPr>
    </w:p>
    <w:p w:rsidR="00D403E7" w:rsidRDefault="00D403E7" w:rsidP="00D403E7">
      <w:pPr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 xml:space="preserve">Ceny potravinářských výrobků se zvýšily o 1,9 %, zejména mléčných výrobků o 12,4 %, rostlinných a živočišných olejů a tuků o 9,8 % a zpracovaného a konzervovaného masa a výrobků z masa o 0,4 %. </w:t>
      </w:r>
    </w:p>
    <w:p w:rsidR="00D403E7" w:rsidRDefault="00D403E7" w:rsidP="00D403E7">
      <w:pPr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Klesly ceny ostatních potravinářských výrobků o 4,6 % a mlýnských a škrobárenských výrobků o 1,8 %.</w:t>
      </w:r>
    </w:p>
    <w:p w:rsidR="00D403E7" w:rsidRDefault="00D403E7" w:rsidP="00D403E7">
      <w:pPr>
        <w:rPr>
          <w:rFonts w:ascii="Arial" w:hAnsi="Arial" w:cs="Arial"/>
          <w:bCs/>
          <w:sz w:val="20"/>
          <w:szCs w:val="20"/>
        </w:rPr>
      </w:pPr>
    </w:p>
    <w:p w:rsidR="00D403E7" w:rsidRPr="00D403E7" w:rsidRDefault="00D403E7" w:rsidP="00D403E7">
      <w:pPr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bCs/>
          <w:sz w:val="20"/>
          <w:szCs w:val="20"/>
        </w:rPr>
        <w:t xml:space="preserve">Rostly ceny ostatní těžby a dobývání nerostných surovin o 5,6 %, ostatních dopravních prostředků o 4,2 % a </w:t>
      </w:r>
      <w:r w:rsidRPr="00D403E7">
        <w:rPr>
          <w:rFonts w:ascii="Arial" w:hAnsi="Arial" w:cs="Arial"/>
          <w:sz w:val="20"/>
          <w:szCs w:val="20"/>
        </w:rPr>
        <w:t>oprav, údržby a instalace strojů a zařízení o 3,8 %.</w:t>
      </w:r>
    </w:p>
    <w:p w:rsidR="00D403E7" w:rsidRPr="00D403E7" w:rsidRDefault="00D403E7" w:rsidP="007536DF">
      <w:pPr>
        <w:rPr>
          <w:rFonts w:ascii="Arial" w:hAnsi="Arial" w:cs="Arial"/>
          <w:sz w:val="20"/>
          <w:szCs w:val="20"/>
        </w:rPr>
      </w:pPr>
    </w:p>
    <w:p w:rsidR="007536DF" w:rsidRPr="00D403E7" w:rsidRDefault="007536DF" w:rsidP="007536DF">
      <w:pPr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:rsidR="00F86D68" w:rsidRPr="00D403E7" w:rsidRDefault="00F86D68" w:rsidP="007536DF">
      <w:pPr>
        <w:rPr>
          <w:rFonts w:ascii="Arial" w:hAnsi="Arial" w:cs="Arial"/>
          <w:sz w:val="20"/>
          <w:szCs w:val="20"/>
        </w:rPr>
      </w:pPr>
    </w:p>
    <w:p w:rsidR="00BF7491" w:rsidRPr="00D403E7" w:rsidRDefault="00D64689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64689">
        <w:drawing>
          <wp:inline distT="0" distB="0" distL="0" distR="0">
            <wp:extent cx="5741035" cy="16859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49EF" w:rsidRPr="00D403E7" w:rsidRDefault="003149EF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103EA" w:rsidRPr="00D403E7" w:rsidRDefault="002103EA" w:rsidP="002103EA">
      <w:pPr>
        <w:spacing w:line="276" w:lineRule="auto"/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b/>
          <w:sz w:val="20"/>
          <w:szCs w:val="20"/>
        </w:rPr>
        <w:t xml:space="preserve">Klouzavý průměr </w:t>
      </w:r>
      <w:r w:rsidRPr="00D403E7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D403E7">
        <w:rPr>
          <w:rFonts w:ascii="Arial" w:hAnsi="Arial" w:cs="Arial"/>
          <w:sz w:val="20"/>
          <w:szCs w:val="20"/>
        </w:rPr>
        <w:t xml:space="preserve">xů za předchozích 12 měsíců) byl </w:t>
      </w:r>
      <w:r w:rsidR="00D403E7" w:rsidRPr="00D403E7">
        <w:rPr>
          <w:rFonts w:ascii="Arial" w:hAnsi="Arial" w:cs="Arial"/>
          <w:sz w:val="20"/>
          <w:szCs w:val="20"/>
        </w:rPr>
        <w:t>101,0</w:t>
      </w:r>
    </w:p>
    <w:p w:rsidR="003B51B9" w:rsidRPr="00D403E7" w:rsidRDefault="003B51B9" w:rsidP="002103EA">
      <w:pPr>
        <w:spacing w:line="276" w:lineRule="auto"/>
        <w:rPr>
          <w:rFonts w:ascii="Arial" w:hAnsi="Arial" w:cs="Arial"/>
          <w:sz w:val="20"/>
          <w:szCs w:val="20"/>
        </w:rPr>
      </w:pPr>
    </w:p>
    <w:p w:rsidR="002103EA" w:rsidRPr="00D403E7" w:rsidRDefault="002103EA" w:rsidP="002103EA">
      <w:pPr>
        <w:rPr>
          <w:rFonts w:ascii="Arial" w:hAnsi="Arial" w:cs="Arial"/>
          <w:sz w:val="20"/>
          <w:szCs w:val="20"/>
        </w:rPr>
      </w:pPr>
    </w:p>
    <w:p w:rsidR="00D403E7" w:rsidRPr="00D403E7" w:rsidRDefault="00D403E7" w:rsidP="00D403E7">
      <w:pPr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sz w:val="20"/>
          <w:szCs w:val="20"/>
        </w:rPr>
        <w:t xml:space="preserve">Při hodnocení podle </w:t>
      </w:r>
      <w:r w:rsidRPr="00D403E7">
        <w:rPr>
          <w:rFonts w:ascii="Arial" w:hAnsi="Arial" w:cs="Arial"/>
          <w:b/>
          <w:sz w:val="20"/>
          <w:szCs w:val="20"/>
        </w:rPr>
        <w:t>hlavních průmyslových skupin</w:t>
      </w:r>
      <w:r w:rsidRPr="00D403E7">
        <w:rPr>
          <w:rFonts w:ascii="Arial" w:hAnsi="Arial" w:cs="Arial"/>
          <w:sz w:val="20"/>
          <w:szCs w:val="20"/>
        </w:rPr>
        <w:t xml:space="preserve"> vzrostly </w:t>
      </w:r>
      <w:r w:rsidRPr="00D403E7">
        <w:rPr>
          <w:rFonts w:ascii="Arial" w:hAnsi="Arial" w:cs="Arial"/>
          <w:b/>
          <w:sz w:val="20"/>
          <w:szCs w:val="20"/>
        </w:rPr>
        <w:t>meziročně</w:t>
      </w:r>
      <w:r w:rsidRPr="00D403E7">
        <w:rPr>
          <w:rFonts w:ascii="Arial" w:hAnsi="Arial" w:cs="Arial"/>
          <w:sz w:val="20"/>
          <w:szCs w:val="20"/>
        </w:rPr>
        <w:t xml:space="preserve"> ceny zboží krátkodobé spotřeby o 1,4 % a výrobků investiční povahy o 1,6 %, klesly ceny energií o 2,6 %. Ceny </w:t>
      </w:r>
      <w:r w:rsidRPr="00D403E7">
        <w:rPr>
          <w:rFonts w:ascii="Arial" w:hAnsi="Arial" w:cs="Arial"/>
          <w:b/>
          <w:sz w:val="20"/>
          <w:szCs w:val="20"/>
        </w:rPr>
        <w:t>průmyslových výrobců</w:t>
      </w:r>
      <w:r w:rsidRPr="00D403E7">
        <w:rPr>
          <w:rFonts w:ascii="Arial" w:hAnsi="Arial" w:cs="Arial"/>
          <w:sz w:val="20"/>
          <w:szCs w:val="20"/>
        </w:rPr>
        <w:t xml:space="preserve"> </w:t>
      </w:r>
      <w:r w:rsidRPr="00D403E7">
        <w:rPr>
          <w:rFonts w:ascii="Arial" w:hAnsi="Arial" w:cs="Arial"/>
          <w:b/>
          <w:sz w:val="20"/>
          <w:szCs w:val="20"/>
        </w:rPr>
        <w:t>bez energií</w:t>
      </w:r>
      <w:r w:rsidRPr="00D403E7">
        <w:rPr>
          <w:rFonts w:ascii="Arial" w:hAnsi="Arial" w:cs="Arial"/>
          <w:sz w:val="20"/>
          <w:szCs w:val="20"/>
        </w:rPr>
        <w:t xml:space="preserve"> byly vyšší o  0,6 % (v únoru rostly o 1,1 %).</w:t>
      </w:r>
    </w:p>
    <w:p w:rsidR="00FF2040" w:rsidRPr="00D403E7" w:rsidRDefault="00FF2040" w:rsidP="007219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B5C6F" w:rsidRPr="00D403E7" w:rsidRDefault="00FB5C6F" w:rsidP="00F84BA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07528" w:rsidRPr="00D403E7" w:rsidRDefault="00FF2040" w:rsidP="00F84BAE">
      <w:pPr>
        <w:spacing w:line="276" w:lineRule="auto"/>
        <w:rPr>
          <w:rFonts w:ascii="Arial" w:hAnsi="Arial" w:cs="Arial"/>
          <w:sz w:val="20"/>
          <w:szCs w:val="20"/>
        </w:rPr>
      </w:pPr>
      <w:r w:rsidRPr="00D403E7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580C4A" w:rsidRPr="00D403E7">
        <w:rPr>
          <w:rFonts w:ascii="Arial" w:hAnsi="Arial" w:cs="Arial"/>
          <w:b/>
          <w:sz w:val="20"/>
          <w:szCs w:val="20"/>
        </w:rPr>
        <w:t>březen</w:t>
      </w:r>
      <w:r w:rsidR="00B74C74" w:rsidRPr="00D403E7">
        <w:rPr>
          <w:rFonts w:ascii="Arial" w:hAnsi="Arial" w:cs="Arial"/>
          <w:b/>
          <w:sz w:val="20"/>
          <w:szCs w:val="20"/>
        </w:rPr>
        <w:t xml:space="preserve"> 2025</w:t>
      </w:r>
    </w:p>
    <w:p w:rsidR="00D403E7" w:rsidRDefault="00D403E7" w:rsidP="00D403E7">
      <w:pPr>
        <w:rPr>
          <w:rFonts w:ascii="Arial" w:hAnsi="Arial" w:cs="Arial"/>
          <w:b/>
          <w:sz w:val="20"/>
          <w:szCs w:val="20"/>
        </w:rPr>
      </w:pPr>
    </w:p>
    <w:p w:rsidR="00D403E7" w:rsidRDefault="00D403E7" w:rsidP="00D403E7">
      <w:pPr>
        <w:rPr>
          <w:rFonts w:ascii="Arial" w:hAnsi="Arial" w:cs="Arial"/>
          <w:sz w:val="20"/>
          <w:szCs w:val="20"/>
        </w:rPr>
      </w:pPr>
      <w:r w:rsidRPr="00916AEC">
        <w:rPr>
          <w:rFonts w:ascii="Arial" w:hAnsi="Arial" w:cs="Arial"/>
          <w:b/>
          <w:sz w:val="20"/>
          <w:szCs w:val="20"/>
        </w:rPr>
        <w:t>101111 Hovězí maso přední i zadní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916AEC">
        <w:rPr>
          <w:rFonts w:ascii="Arial" w:hAnsi="Arial" w:cs="Arial"/>
          <w:sz w:val="20"/>
          <w:szCs w:val="20"/>
        </w:rPr>
        <w:t>cena hovězího masa stále mírně roste</w:t>
      </w:r>
      <w:r>
        <w:rPr>
          <w:rFonts w:ascii="Arial" w:hAnsi="Arial" w:cs="Arial"/>
          <w:sz w:val="20"/>
          <w:szCs w:val="20"/>
        </w:rPr>
        <w:t xml:space="preserve"> </w:t>
      </w:r>
      <w:r w:rsidRPr="00916AEC">
        <w:rPr>
          <w:rFonts w:ascii="Arial" w:hAnsi="Arial" w:cs="Arial"/>
          <w:sz w:val="20"/>
          <w:szCs w:val="20"/>
        </w:rPr>
        <w:t>vlivem snižování stavu skotu v Evropě.</w:t>
      </w:r>
      <w:r>
        <w:rPr>
          <w:rFonts w:ascii="Arial" w:hAnsi="Arial" w:cs="Arial"/>
          <w:sz w:val="20"/>
          <w:szCs w:val="20"/>
        </w:rPr>
        <w:t xml:space="preserve"> </w:t>
      </w:r>
      <w:r w:rsidRPr="00916AEC">
        <w:rPr>
          <w:rFonts w:ascii="Arial" w:hAnsi="Arial" w:cs="Arial"/>
          <w:sz w:val="20"/>
          <w:szCs w:val="20"/>
        </w:rPr>
        <w:t>Zatím není ovlivněna slintavkou a kulhavkou.</w:t>
      </w:r>
    </w:p>
    <w:p w:rsidR="00D403E7" w:rsidRDefault="00D403E7" w:rsidP="00D403E7">
      <w:pPr>
        <w:rPr>
          <w:rFonts w:ascii="Arial" w:hAnsi="Arial" w:cs="Arial"/>
          <w:sz w:val="20"/>
          <w:szCs w:val="20"/>
        </w:rPr>
      </w:pPr>
    </w:p>
    <w:p w:rsidR="00D403E7" w:rsidRDefault="00D403E7" w:rsidP="00D403E7">
      <w:pPr>
        <w:rPr>
          <w:rFonts w:ascii="Arial" w:hAnsi="Arial" w:cs="Arial"/>
          <w:sz w:val="20"/>
          <w:szCs w:val="20"/>
        </w:rPr>
      </w:pPr>
      <w:r w:rsidRPr="00916AEC">
        <w:rPr>
          <w:rFonts w:ascii="Arial" w:hAnsi="Arial" w:cs="Arial"/>
          <w:b/>
          <w:sz w:val="20"/>
          <w:szCs w:val="20"/>
        </w:rPr>
        <w:t>105130 Máslo</w:t>
      </w:r>
      <w:r>
        <w:rPr>
          <w:rFonts w:ascii="Arial" w:hAnsi="Arial" w:cs="Arial"/>
          <w:sz w:val="20"/>
          <w:szCs w:val="20"/>
        </w:rPr>
        <w:t xml:space="preserve">: </w:t>
      </w:r>
      <w:r w:rsidRPr="00916AEC">
        <w:rPr>
          <w:rFonts w:ascii="Arial" w:hAnsi="Arial" w:cs="Arial"/>
          <w:sz w:val="20"/>
          <w:szCs w:val="20"/>
        </w:rPr>
        <w:t>nízká cena smetany</w:t>
      </w:r>
    </w:p>
    <w:p w:rsidR="00D403E7" w:rsidRPr="00916AEC" w:rsidRDefault="00D403E7" w:rsidP="00D403E7">
      <w:pPr>
        <w:rPr>
          <w:rFonts w:ascii="Arial" w:hAnsi="Arial" w:cs="Arial"/>
          <w:sz w:val="20"/>
          <w:szCs w:val="20"/>
        </w:rPr>
      </w:pPr>
    </w:p>
    <w:p w:rsidR="00D403E7" w:rsidRPr="00916AEC" w:rsidRDefault="00D403E7" w:rsidP="00D403E7">
      <w:pPr>
        <w:rPr>
          <w:rFonts w:ascii="Arial" w:hAnsi="Arial" w:cs="Arial"/>
          <w:sz w:val="20"/>
          <w:szCs w:val="20"/>
        </w:rPr>
      </w:pPr>
      <w:r w:rsidRPr="00916AEC">
        <w:rPr>
          <w:rFonts w:ascii="Arial" w:hAnsi="Arial" w:cs="Arial"/>
          <w:sz w:val="20"/>
          <w:szCs w:val="20"/>
        </w:rPr>
        <w:t xml:space="preserve">  </w:t>
      </w:r>
    </w:p>
    <w:p w:rsidR="00FB5C6F" w:rsidRPr="00D403E7" w:rsidRDefault="00FB5C6F" w:rsidP="00FB5C6F">
      <w:pPr>
        <w:rPr>
          <w:rFonts w:ascii="Arial" w:hAnsi="Arial" w:cs="Arial"/>
          <w:b/>
          <w:sz w:val="20"/>
          <w:szCs w:val="20"/>
        </w:rPr>
      </w:pPr>
    </w:p>
    <w:sectPr w:rsidR="00FB5C6F" w:rsidRPr="00D403E7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3DA6"/>
    <w:rsid w:val="00023E59"/>
    <w:rsid w:val="000254C0"/>
    <w:rsid w:val="00032AB0"/>
    <w:rsid w:val="00033058"/>
    <w:rsid w:val="00035BE7"/>
    <w:rsid w:val="00042A37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409B"/>
    <w:rsid w:val="00105D75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48B6"/>
    <w:rsid w:val="00350B23"/>
    <w:rsid w:val="00352062"/>
    <w:rsid w:val="00357423"/>
    <w:rsid w:val="0036165F"/>
    <w:rsid w:val="0036166C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35B4A"/>
    <w:rsid w:val="00546770"/>
    <w:rsid w:val="005566DB"/>
    <w:rsid w:val="00557407"/>
    <w:rsid w:val="00560EB8"/>
    <w:rsid w:val="00560F0A"/>
    <w:rsid w:val="005617F2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C03F2"/>
    <w:rsid w:val="005C220D"/>
    <w:rsid w:val="005C6810"/>
    <w:rsid w:val="005C6C3B"/>
    <w:rsid w:val="005D28C5"/>
    <w:rsid w:val="005D350A"/>
    <w:rsid w:val="005D5D38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544B"/>
    <w:rsid w:val="00675EC8"/>
    <w:rsid w:val="00676E87"/>
    <w:rsid w:val="00683450"/>
    <w:rsid w:val="006856E2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751B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CA3"/>
    <w:rsid w:val="009B6EF5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2510"/>
    <w:rsid w:val="00B4512F"/>
    <w:rsid w:val="00B45822"/>
    <w:rsid w:val="00B46F4E"/>
    <w:rsid w:val="00B518C8"/>
    <w:rsid w:val="00B545A0"/>
    <w:rsid w:val="00B55175"/>
    <w:rsid w:val="00B56FE7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9071F"/>
    <w:rsid w:val="00B9177F"/>
    <w:rsid w:val="00B934B4"/>
    <w:rsid w:val="00B95695"/>
    <w:rsid w:val="00B95718"/>
    <w:rsid w:val="00B9609B"/>
    <w:rsid w:val="00B96113"/>
    <w:rsid w:val="00BA05E1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2B35"/>
    <w:rsid w:val="00CA4712"/>
    <w:rsid w:val="00CB1C2D"/>
    <w:rsid w:val="00CB1C3A"/>
    <w:rsid w:val="00CB71B4"/>
    <w:rsid w:val="00CD5037"/>
    <w:rsid w:val="00CD70BD"/>
    <w:rsid w:val="00CE0CD7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7C5"/>
    <w:rsid w:val="00D37091"/>
    <w:rsid w:val="00D403E7"/>
    <w:rsid w:val="00D41624"/>
    <w:rsid w:val="00D4444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E889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03-2025\0110442503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3-2025\0110442503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3-2025\0110442503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77-43EF-B425-4AF2F9CEF841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77-43EF-B425-4AF2F9CEF841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A77-43EF-B425-4AF2F9CEF841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77-43EF-B425-4AF2F9CEF841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77-43EF-B425-4AF2F9CEF841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77-43EF-B425-4AF2F9CEF841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77-43EF-B425-4AF2F9CEF841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77-43EF-B425-4AF2F9CEF841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77-43EF-B425-4AF2F9CEF841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77-43EF-B425-4AF2F9CEF841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A77-43EF-B425-4AF2F9CEF841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A77-43EF-B425-4AF2F9CEF841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A77-43EF-B425-4AF2F9CEF841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A77-43EF-B425-4AF2F9CEF841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A77-43EF-B425-4AF2F9CEF841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A77-43EF-B425-4AF2F9CEF841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A77-43EF-B425-4AF2F9CEF841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3A77-43EF-B425-4AF2F9CEF841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A77-43EF-B425-4AF2F9CEF841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A77-43EF-B425-4AF2F9CEF841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A77-43EF-B425-4AF2F9CEF841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3A77-43EF-B425-4AF2F9CEF841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A77-43EF-B425-4AF2F9CEF841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IV.23</c:v>
                </c:pt>
                <c:pt idx="1">
                  <c:v>V.23</c:v>
                </c:pt>
                <c:pt idx="2">
                  <c:v>VI.23</c:v>
                </c:pt>
                <c:pt idx="3">
                  <c:v>VII.23</c:v>
                </c:pt>
                <c:pt idx="4">
                  <c:v>VIII.23</c:v>
                </c:pt>
                <c:pt idx="5">
                  <c:v>IX.23</c:v>
                </c:pt>
                <c:pt idx="6">
                  <c:v>X.23</c:v>
                </c:pt>
                <c:pt idx="7">
                  <c:v>XI.23</c:v>
                </c:pt>
                <c:pt idx="8">
                  <c:v>XII.23</c:v>
                </c:pt>
                <c:pt idx="9">
                  <c:v>I.24</c:v>
                </c:pt>
                <c:pt idx="10">
                  <c:v>II.24</c:v>
                </c:pt>
                <c:pt idx="11">
                  <c:v>III.24</c:v>
                </c:pt>
                <c:pt idx="12">
                  <c:v>IV.24</c:v>
                </c:pt>
                <c:pt idx="13">
                  <c:v>V.24</c:v>
                </c:pt>
                <c:pt idx="14">
                  <c:v>VI.24</c:v>
                </c:pt>
                <c:pt idx="15">
                  <c:v>VII.24</c:v>
                </c:pt>
                <c:pt idx="16">
                  <c:v>VIII.24</c:v>
                </c:pt>
                <c:pt idx="17">
                  <c:v>IX.24</c:v>
                </c:pt>
                <c:pt idx="18">
                  <c:v>X.24</c:v>
                </c:pt>
                <c:pt idx="19">
                  <c:v>XI.24</c:v>
                </c:pt>
                <c:pt idx="20">
                  <c:v>XII.24</c:v>
                </c:pt>
                <c:pt idx="21">
                  <c:v>I.25</c:v>
                </c:pt>
                <c:pt idx="22">
                  <c:v>II.25</c:v>
                </c:pt>
                <c:pt idx="23">
                  <c:v>III.25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-1.2</c:v>
                </c:pt>
                <c:pt idx="1">
                  <c:v>-0.8</c:v>
                </c:pt>
                <c:pt idx="2">
                  <c:v>-0.3</c:v>
                </c:pt>
                <c:pt idx="3">
                  <c:v>-0.1</c:v>
                </c:pt>
                <c:pt idx="4">
                  <c:v>0.2</c:v>
                </c:pt>
                <c:pt idx="5">
                  <c:v>0.3</c:v>
                </c:pt>
                <c:pt idx="6">
                  <c:v>-0.1</c:v>
                </c:pt>
                <c:pt idx="7">
                  <c:v>-0.4</c:v>
                </c:pt>
                <c:pt idx="8">
                  <c:v>-0.5</c:v>
                </c:pt>
                <c:pt idx="9">
                  <c:v>2.5</c:v>
                </c:pt>
                <c:pt idx="10" formatCode="General">
                  <c:v>0.5</c:v>
                </c:pt>
                <c:pt idx="11">
                  <c:v>-0.1</c:v>
                </c:pt>
                <c:pt idx="12">
                  <c:v>0.2</c:v>
                </c:pt>
                <c:pt idx="13">
                  <c:v>-1.2</c:v>
                </c:pt>
                <c:pt idx="14">
                  <c:v>-0.3</c:v>
                </c:pt>
                <c:pt idx="15">
                  <c:v>0.6</c:v>
                </c:pt>
                <c:pt idx="16">
                  <c:v>-0.4</c:v>
                </c:pt>
                <c:pt idx="17">
                  <c:v>-0.2</c:v>
                </c:pt>
                <c:pt idx="18">
                  <c:v>0.1</c:v>
                </c:pt>
                <c:pt idx="19">
                  <c:v>0.4</c:v>
                </c:pt>
                <c:pt idx="20" formatCode="General">
                  <c:v>0.6</c:v>
                </c:pt>
                <c:pt idx="21">
                  <c:v>0.2</c:v>
                </c:pt>
                <c:pt idx="22">
                  <c:v>-0.1</c:v>
                </c:pt>
                <c:pt idx="23">
                  <c:v>-0.3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3A77-43EF-B425-4AF2F9CEF8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IV.23</c:v>
                </c:pt>
                <c:pt idx="1">
                  <c:v>V.23</c:v>
                </c:pt>
                <c:pt idx="2">
                  <c:v>VI.23</c:v>
                </c:pt>
                <c:pt idx="3">
                  <c:v>VII.23</c:v>
                </c:pt>
                <c:pt idx="4">
                  <c:v>VIII.23</c:v>
                </c:pt>
                <c:pt idx="5">
                  <c:v>IX.23</c:v>
                </c:pt>
                <c:pt idx="6">
                  <c:v>X.23</c:v>
                </c:pt>
                <c:pt idx="7">
                  <c:v>XI.23</c:v>
                </c:pt>
                <c:pt idx="8">
                  <c:v>XII.23</c:v>
                </c:pt>
                <c:pt idx="9">
                  <c:v>I.24</c:v>
                </c:pt>
                <c:pt idx="10">
                  <c:v>II.24</c:v>
                </c:pt>
                <c:pt idx="11">
                  <c:v>III.24</c:v>
                </c:pt>
                <c:pt idx="12">
                  <c:v>IV.24</c:v>
                </c:pt>
                <c:pt idx="13">
                  <c:v>V.24</c:v>
                </c:pt>
                <c:pt idx="14">
                  <c:v>VI.24</c:v>
                </c:pt>
                <c:pt idx="15">
                  <c:v>VII.24</c:v>
                </c:pt>
                <c:pt idx="16">
                  <c:v>VIII.24</c:v>
                </c:pt>
                <c:pt idx="17">
                  <c:v>IX.24</c:v>
                </c:pt>
                <c:pt idx="18">
                  <c:v>X.24</c:v>
                </c:pt>
                <c:pt idx="19">
                  <c:v>XI.24</c:v>
                </c:pt>
                <c:pt idx="20">
                  <c:v>XII.24</c:v>
                </c:pt>
                <c:pt idx="21">
                  <c:v>I.25</c:v>
                </c:pt>
                <c:pt idx="22">
                  <c:v>II.25</c:v>
                </c:pt>
                <c:pt idx="23">
                  <c:v>III.25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6.4</c:v>
                </c:pt>
                <c:pt idx="1">
                  <c:v>3.6</c:v>
                </c:pt>
                <c:pt idx="2">
                  <c:v>1.9</c:v>
                </c:pt>
                <c:pt idx="3">
                  <c:v>1.4</c:v>
                </c:pt>
                <c:pt idx="4">
                  <c:v>1.8</c:v>
                </c:pt>
                <c:pt idx="5">
                  <c:v>0.8</c:v>
                </c:pt>
                <c:pt idx="6">
                  <c:v>0.2</c:v>
                </c:pt>
                <c:pt idx="7">
                  <c:v>0.8</c:v>
                </c:pt>
                <c:pt idx="8">
                  <c:v>1.4</c:v>
                </c:pt>
                <c:pt idx="9">
                  <c:v>-1.8</c:v>
                </c:pt>
                <c:pt idx="10">
                  <c:v>-0.9</c:v>
                </c:pt>
                <c:pt idx="11">
                  <c:v>0</c:v>
                </c:pt>
                <c:pt idx="12">
                  <c:v>1.4</c:v>
                </c:pt>
                <c:pt idx="13" formatCode="0.0">
                  <c:v>1</c:v>
                </c:pt>
                <c:pt idx="14" formatCode="0.0">
                  <c:v>1</c:v>
                </c:pt>
                <c:pt idx="15">
                  <c:v>1.7</c:v>
                </c:pt>
                <c:pt idx="16">
                  <c:v>1.1000000000000001</c:v>
                </c:pt>
                <c:pt idx="17">
                  <c:v>0.6</c:v>
                </c:pt>
                <c:pt idx="18">
                  <c:v>0.8</c:v>
                </c:pt>
                <c:pt idx="19">
                  <c:v>1.7</c:v>
                </c:pt>
                <c:pt idx="20">
                  <c:v>2.8</c:v>
                </c:pt>
                <c:pt idx="21">
                  <c:v>0.5</c:v>
                </c:pt>
                <c:pt idx="22">
                  <c:v>-0.1</c:v>
                </c:pt>
                <c:pt idx="23">
                  <c:v>-0.3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69-4318-97DE-3A369CE03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7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IV.23</c:v>
                </c:pt>
                <c:pt idx="1">
                  <c:v>V.23</c:v>
                </c:pt>
                <c:pt idx="2">
                  <c:v>VI.23</c:v>
                </c:pt>
                <c:pt idx="3">
                  <c:v>VII.23</c:v>
                </c:pt>
                <c:pt idx="4">
                  <c:v>VIII.23</c:v>
                </c:pt>
                <c:pt idx="5">
                  <c:v>IX.23</c:v>
                </c:pt>
                <c:pt idx="6">
                  <c:v>X.23</c:v>
                </c:pt>
                <c:pt idx="7">
                  <c:v>XI.23</c:v>
                </c:pt>
                <c:pt idx="8">
                  <c:v>XII.23</c:v>
                </c:pt>
                <c:pt idx="9">
                  <c:v>I.24</c:v>
                </c:pt>
                <c:pt idx="10">
                  <c:v>II.24</c:v>
                </c:pt>
                <c:pt idx="11">
                  <c:v>III.24</c:v>
                </c:pt>
                <c:pt idx="12">
                  <c:v>IV.24</c:v>
                </c:pt>
                <c:pt idx="13">
                  <c:v>V.24</c:v>
                </c:pt>
                <c:pt idx="14">
                  <c:v>VI.24</c:v>
                </c:pt>
                <c:pt idx="15">
                  <c:v>VII.24</c:v>
                </c:pt>
                <c:pt idx="16">
                  <c:v>VIII.24</c:v>
                </c:pt>
                <c:pt idx="17">
                  <c:v>IX.24</c:v>
                </c:pt>
                <c:pt idx="18">
                  <c:v>X.24</c:v>
                </c:pt>
                <c:pt idx="19">
                  <c:v>XI.24</c:v>
                </c:pt>
                <c:pt idx="20">
                  <c:v>XII.24</c:v>
                </c:pt>
                <c:pt idx="21">
                  <c:v>I.25</c:v>
                </c:pt>
                <c:pt idx="22">
                  <c:v>II.25</c:v>
                </c:pt>
                <c:pt idx="23">
                  <c:v>III.25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2.4</c:v>
                </c:pt>
                <c:pt idx="1">
                  <c:v>-1.4</c:v>
                </c:pt>
                <c:pt idx="2">
                  <c:v>-3.6</c:v>
                </c:pt>
                <c:pt idx="3">
                  <c:v>-3.5</c:v>
                </c:pt>
                <c:pt idx="4">
                  <c:v>-2.2000000000000028</c:v>
                </c:pt>
                <c:pt idx="5" formatCode="General">
                  <c:v>-1.6</c:v>
                </c:pt>
                <c:pt idx="6">
                  <c:v>-3</c:v>
                </c:pt>
                <c:pt idx="7">
                  <c:v>-2.5</c:v>
                </c:pt>
                <c:pt idx="8">
                  <c:v>-1.4</c:v>
                </c:pt>
                <c:pt idx="9" formatCode="General">
                  <c:v>-2.5</c:v>
                </c:pt>
                <c:pt idx="10" formatCode="General">
                  <c:v>-1.7000000000000028</c:v>
                </c:pt>
                <c:pt idx="11">
                  <c:v>-0.9</c:v>
                </c:pt>
                <c:pt idx="12">
                  <c:v>0.3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0.2</c:v>
                </c:pt>
                <c:pt idx="17">
                  <c:v>-0.8</c:v>
                </c:pt>
                <c:pt idx="18">
                  <c:v>-0.3</c:v>
                </c:pt>
                <c:pt idx="19">
                  <c:v>0.5</c:v>
                </c:pt>
                <c:pt idx="20">
                  <c:v>1</c:v>
                </c:pt>
                <c:pt idx="21">
                  <c:v>1.3</c:v>
                </c:pt>
                <c:pt idx="22">
                  <c:v>0</c:v>
                </c:pt>
                <c:pt idx="23">
                  <c:v>-0.4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3A-45D8-99C6-DFDD0C14ED2A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IV.23</c:v>
                </c:pt>
                <c:pt idx="1">
                  <c:v>V.23</c:v>
                </c:pt>
                <c:pt idx="2">
                  <c:v>VI.23</c:v>
                </c:pt>
                <c:pt idx="3">
                  <c:v>VII.23</c:v>
                </c:pt>
                <c:pt idx="4">
                  <c:v>VIII.23</c:v>
                </c:pt>
                <c:pt idx="5">
                  <c:v>IX.23</c:v>
                </c:pt>
                <c:pt idx="6">
                  <c:v>X.23</c:v>
                </c:pt>
                <c:pt idx="7">
                  <c:v>XI.23</c:v>
                </c:pt>
                <c:pt idx="8">
                  <c:v>XII.23</c:v>
                </c:pt>
                <c:pt idx="9">
                  <c:v>I.24</c:v>
                </c:pt>
                <c:pt idx="10">
                  <c:v>II.24</c:v>
                </c:pt>
                <c:pt idx="11">
                  <c:v>III.24</c:v>
                </c:pt>
                <c:pt idx="12">
                  <c:v>IV.24</c:v>
                </c:pt>
                <c:pt idx="13">
                  <c:v>V.24</c:v>
                </c:pt>
                <c:pt idx="14">
                  <c:v>VI.24</c:v>
                </c:pt>
                <c:pt idx="15">
                  <c:v>VII.24</c:v>
                </c:pt>
                <c:pt idx="16">
                  <c:v>VIII.24</c:v>
                </c:pt>
                <c:pt idx="17">
                  <c:v>IX.24</c:v>
                </c:pt>
                <c:pt idx="18">
                  <c:v>X.24</c:v>
                </c:pt>
                <c:pt idx="19">
                  <c:v>XI.24</c:v>
                </c:pt>
                <c:pt idx="20">
                  <c:v>XII.24</c:v>
                </c:pt>
                <c:pt idx="21">
                  <c:v>I.25</c:v>
                </c:pt>
                <c:pt idx="22">
                  <c:v>II.25</c:v>
                </c:pt>
                <c:pt idx="23">
                  <c:v>III.25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16.5</c:v>
                </c:pt>
                <c:pt idx="1">
                  <c:v>19.3</c:v>
                </c:pt>
                <c:pt idx="2">
                  <c:v>19.600000000000001</c:v>
                </c:pt>
                <c:pt idx="3">
                  <c:v>15.900000000000006</c:v>
                </c:pt>
                <c:pt idx="4">
                  <c:v>11.700000000000003</c:v>
                </c:pt>
                <c:pt idx="5">
                  <c:v>4.4000000000000004</c:v>
                </c:pt>
                <c:pt idx="6">
                  <c:v>7</c:v>
                </c:pt>
                <c:pt idx="7">
                  <c:v>8</c:v>
                </c:pt>
                <c:pt idx="8">
                  <c:v>6.3</c:v>
                </c:pt>
                <c:pt idx="9" formatCode="General">
                  <c:v>-0.7</c:v>
                </c:pt>
                <c:pt idx="10" formatCode="General">
                  <c:v>0.7</c:v>
                </c:pt>
                <c:pt idx="11">
                  <c:v>2.6</c:v>
                </c:pt>
                <c:pt idx="12">
                  <c:v>5.0999999999999996</c:v>
                </c:pt>
                <c:pt idx="13">
                  <c:v>4.2</c:v>
                </c:pt>
                <c:pt idx="14">
                  <c:v>4.2</c:v>
                </c:pt>
                <c:pt idx="15">
                  <c:v>4</c:v>
                </c:pt>
                <c:pt idx="16">
                  <c:v>3.7</c:v>
                </c:pt>
                <c:pt idx="17">
                  <c:v>5</c:v>
                </c:pt>
                <c:pt idx="18">
                  <c:v>4.7</c:v>
                </c:pt>
                <c:pt idx="19">
                  <c:v>6</c:v>
                </c:pt>
                <c:pt idx="20">
                  <c:v>9.2999999999999972</c:v>
                </c:pt>
                <c:pt idx="21">
                  <c:v>-2</c:v>
                </c:pt>
                <c:pt idx="22">
                  <c:v>-0.3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3A-45D8-99C6-DFDD0C14E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IV.23</c:v>
                </c:pt>
                <c:pt idx="1">
                  <c:v>V.23</c:v>
                </c:pt>
                <c:pt idx="2">
                  <c:v>VI.23</c:v>
                </c:pt>
                <c:pt idx="3">
                  <c:v>VII.23</c:v>
                </c:pt>
                <c:pt idx="4">
                  <c:v>VIII.23</c:v>
                </c:pt>
                <c:pt idx="5">
                  <c:v>IX.23</c:v>
                </c:pt>
                <c:pt idx="6">
                  <c:v>X.23</c:v>
                </c:pt>
                <c:pt idx="7">
                  <c:v>XI.23</c:v>
                </c:pt>
                <c:pt idx="8">
                  <c:v>XII.23</c:v>
                </c:pt>
                <c:pt idx="9">
                  <c:v>I.24</c:v>
                </c:pt>
                <c:pt idx="10">
                  <c:v>II.24</c:v>
                </c:pt>
                <c:pt idx="11">
                  <c:v>III.24</c:v>
                </c:pt>
                <c:pt idx="12">
                  <c:v>IV.24</c:v>
                </c:pt>
                <c:pt idx="13">
                  <c:v>V.24</c:v>
                </c:pt>
                <c:pt idx="14">
                  <c:v>VI.24</c:v>
                </c:pt>
                <c:pt idx="15">
                  <c:v>VII.24</c:v>
                </c:pt>
                <c:pt idx="16">
                  <c:v>VIII.24</c:v>
                </c:pt>
                <c:pt idx="17">
                  <c:v>IX.24</c:v>
                </c:pt>
                <c:pt idx="18">
                  <c:v>X.24</c:v>
                </c:pt>
                <c:pt idx="19">
                  <c:v>XI.24</c:v>
                </c:pt>
                <c:pt idx="20">
                  <c:v>XII.24</c:v>
                </c:pt>
                <c:pt idx="21">
                  <c:v>I.25</c:v>
                </c:pt>
                <c:pt idx="22">
                  <c:v>II.25</c:v>
                </c:pt>
                <c:pt idx="23">
                  <c:v>III.25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51.4</c:v>
                </c:pt>
                <c:pt idx="1">
                  <c:v>45.6</c:v>
                </c:pt>
                <c:pt idx="2">
                  <c:v>45.9</c:v>
                </c:pt>
                <c:pt idx="3">
                  <c:v>46</c:v>
                </c:pt>
                <c:pt idx="4">
                  <c:v>45</c:v>
                </c:pt>
                <c:pt idx="5">
                  <c:v>42.5</c:v>
                </c:pt>
                <c:pt idx="6">
                  <c:v>40.200000000000003</c:v>
                </c:pt>
                <c:pt idx="7">
                  <c:v>39.700000000000003</c:v>
                </c:pt>
                <c:pt idx="8">
                  <c:v>40.5</c:v>
                </c:pt>
                <c:pt idx="9" formatCode="General">
                  <c:v>-1.3</c:v>
                </c:pt>
                <c:pt idx="10" formatCode="General">
                  <c:v>-0.4</c:v>
                </c:pt>
                <c:pt idx="11">
                  <c:v>-2</c:v>
                </c:pt>
                <c:pt idx="12">
                  <c:v>-1.3</c:v>
                </c:pt>
                <c:pt idx="13">
                  <c:v>-1.8</c:v>
                </c:pt>
                <c:pt idx="14">
                  <c:v>-1.9</c:v>
                </c:pt>
                <c:pt idx="15">
                  <c:v>-0.3</c:v>
                </c:pt>
                <c:pt idx="16">
                  <c:v>-0.1</c:v>
                </c:pt>
                <c:pt idx="17">
                  <c:v>-1.1000000000000001</c:v>
                </c:pt>
                <c:pt idx="18">
                  <c:v>-1.8</c:v>
                </c:pt>
                <c:pt idx="19">
                  <c:v>-1.9</c:v>
                </c:pt>
                <c:pt idx="20">
                  <c:v>-1.6</c:v>
                </c:pt>
                <c:pt idx="21">
                  <c:v>-0.8</c:v>
                </c:pt>
                <c:pt idx="22">
                  <c:v>-0.1</c:v>
                </c:pt>
                <c:pt idx="23">
                  <c:v>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3A-45D8-99C6-DFDD0C14ED2A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IV.23</c:v>
                </c:pt>
                <c:pt idx="1">
                  <c:v>V.23</c:v>
                </c:pt>
                <c:pt idx="2">
                  <c:v>VI.23</c:v>
                </c:pt>
                <c:pt idx="3">
                  <c:v>VII.23</c:v>
                </c:pt>
                <c:pt idx="4">
                  <c:v>VIII.23</c:v>
                </c:pt>
                <c:pt idx="5">
                  <c:v>IX.23</c:v>
                </c:pt>
                <c:pt idx="6">
                  <c:v>X.23</c:v>
                </c:pt>
                <c:pt idx="7">
                  <c:v>XI.23</c:v>
                </c:pt>
                <c:pt idx="8">
                  <c:v>XII.23</c:v>
                </c:pt>
                <c:pt idx="9">
                  <c:v>I.24</c:v>
                </c:pt>
                <c:pt idx="10">
                  <c:v>II.24</c:v>
                </c:pt>
                <c:pt idx="11">
                  <c:v>III.24</c:v>
                </c:pt>
                <c:pt idx="12">
                  <c:v>IV.24</c:v>
                </c:pt>
                <c:pt idx="13">
                  <c:v>V.24</c:v>
                </c:pt>
                <c:pt idx="14">
                  <c:v>VI.24</c:v>
                </c:pt>
                <c:pt idx="15">
                  <c:v>VII.24</c:v>
                </c:pt>
                <c:pt idx="16">
                  <c:v>VIII.24</c:v>
                </c:pt>
                <c:pt idx="17">
                  <c:v>IX.24</c:v>
                </c:pt>
                <c:pt idx="18">
                  <c:v>X.24</c:v>
                </c:pt>
                <c:pt idx="19">
                  <c:v>XI.24</c:v>
                </c:pt>
                <c:pt idx="20">
                  <c:v>XII.24</c:v>
                </c:pt>
                <c:pt idx="21">
                  <c:v>I.25</c:v>
                </c:pt>
                <c:pt idx="22">
                  <c:v>II.25</c:v>
                </c:pt>
                <c:pt idx="23">
                  <c:v>III.25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16.3</c:v>
                </c:pt>
                <c:pt idx="1">
                  <c:v>16.3</c:v>
                </c:pt>
                <c:pt idx="2">
                  <c:v>16.3</c:v>
                </c:pt>
                <c:pt idx="3">
                  <c:v>16.299999999999997</c:v>
                </c:pt>
                <c:pt idx="4">
                  <c:v>16.299999999999997</c:v>
                </c:pt>
                <c:pt idx="5">
                  <c:v>16.3</c:v>
                </c:pt>
                <c:pt idx="6">
                  <c:v>16.3</c:v>
                </c:pt>
                <c:pt idx="7">
                  <c:v>16.3</c:v>
                </c:pt>
                <c:pt idx="8">
                  <c:v>16.3</c:v>
                </c:pt>
                <c:pt idx="9" formatCode="General">
                  <c:v>9.1999999999999993</c:v>
                </c:pt>
                <c:pt idx="10" formatCode="General">
                  <c:v>9.2000000000000028</c:v>
                </c:pt>
                <c:pt idx="11">
                  <c:v>9.1999999999999993</c:v>
                </c:pt>
                <c:pt idx="12">
                  <c:v>9.1999999999999993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9.1999999999999993</c:v>
                </c:pt>
                <c:pt idx="19">
                  <c:v>9.1999999999999993</c:v>
                </c:pt>
                <c:pt idx="20">
                  <c:v>9.2000000000000028</c:v>
                </c:pt>
                <c:pt idx="21">
                  <c:v>4.0999999999999996</c:v>
                </c:pt>
                <c:pt idx="22">
                  <c:v>0</c:v>
                </c:pt>
                <c:pt idx="23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13A-45D8-99C6-DFDD0C14E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55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2261-EDE9-4BB4-8647-97940979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24</cp:revision>
  <cp:lastPrinted>2024-11-13T08:41:00Z</cp:lastPrinted>
  <dcterms:created xsi:type="dcterms:W3CDTF">2024-10-10T07:26:00Z</dcterms:created>
  <dcterms:modified xsi:type="dcterms:W3CDTF">2025-04-11T07:37:00Z</dcterms:modified>
</cp:coreProperties>
</file>