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F2E3" w14:textId="77777777" w:rsidR="009B1324" w:rsidRDefault="009B1324" w:rsidP="009B1324">
      <w:pPr>
        <w:pStyle w:val="Nadpis11"/>
      </w:pPr>
      <w:bookmarkStart w:id="0" w:name="_Toc58605377"/>
      <w:bookmarkStart w:id="1" w:name="_Toc26865023"/>
      <w:bookmarkStart w:id="2" w:name="_Toc66719933"/>
      <w:r>
        <w:t>7. Měnové podmínky</w:t>
      </w:r>
      <w:bookmarkEnd w:id="0"/>
      <w:bookmarkEnd w:id="2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9B1324" w14:paraId="4735024B" w14:textId="77777777" w:rsidTr="00275758">
        <w:trPr>
          <w:trHeight w:val="145"/>
        </w:trPr>
        <w:tc>
          <w:tcPr>
            <w:tcW w:w="1802" w:type="dxa"/>
          </w:tcPr>
          <w:p w14:paraId="08409369" w14:textId="77777777" w:rsidR="009B1324" w:rsidRDefault="009B1324" w:rsidP="0027575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 roce 2020 došlo k opětovnému snižování měnověpolitických sazeb.</w:t>
            </w:r>
          </w:p>
        </w:tc>
        <w:tc>
          <w:tcPr>
            <w:tcW w:w="229" w:type="dxa"/>
          </w:tcPr>
          <w:p w14:paraId="3063C551" w14:textId="77777777" w:rsidR="009B1324" w:rsidRDefault="009B1324" w:rsidP="0027575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7E95784C" w14:textId="77777777" w:rsidR="009B1324" w:rsidRDefault="009B1324" w:rsidP="00275758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Ekonomický vývoj v roce 2020 byl značně turbulentní, což se projevilo i na vývoji hlavních měnověpolitických sazeb. Z počátku roku ještě došlo k navýšení sazeb v reakci na rostoucí inflační tlaky v ekonomice (maximum činilo 2,25 pro dvoutýdenní repo sazbu)</w:t>
            </w:r>
            <w:r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>. Příchod krize ale vedl k rychlému uvolnění měnové politiky – v březnu byla repo sazba snížena na 1,00 % a v květnu na 0,25 %. Na této úrovni repo sazba setrvala nezměněna až do konce roku. Diskontní sazba přitom byla nastavena na 0,05 % a lombardní sazba na 1,0 %. Ekonomická situace značně ovlivnila i vývoj směnného kurzu. Koruna v průběhu března prudce oslabila vůči euru i dolaru. V případě dolarového kurzu trend směřoval k opětovnému posílení a na konci roku už byl kurz koruny vůči dolaru meziročně silnější (ke konci roku kurz dosáhl 21,39 CZK/USD). Mírná korekce se odehrála i v případě kurzu vůči euru, od 13. března 2020 ale kurz neklesl pod úroveň 26 CZK/EUR. Výsledkem byly tlaky na růst cen zboží obchodovaného v eurech.</w:t>
            </w:r>
          </w:p>
        </w:tc>
      </w:tr>
      <w:tr w:rsidR="009B1324" w14:paraId="74E58107" w14:textId="77777777" w:rsidTr="00275758">
        <w:trPr>
          <w:trHeight w:val="145"/>
        </w:trPr>
        <w:tc>
          <w:tcPr>
            <w:tcW w:w="1802" w:type="dxa"/>
            <w:hideMark/>
          </w:tcPr>
          <w:p w14:paraId="57A5D116" w14:textId="77777777" w:rsidR="009B1324" w:rsidRDefault="009B1324" w:rsidP="0027575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Ke konci roku vzrostly výnosy vládních dluhopisů.</w:t>
            </w:r>
          </w:p>
        </w:tc>
        <w:tc>
          <w:tcPr>
            <w:tcW w:w="229" w:type="dxa"/>
          </w:tcPr>
          <w:p w14:paraId="0F530AAB" w14:textId="77777777" w:rsidR="009B1324" w:rsidRDefault="009B1324" w:rsidP="0027575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7FCCF525" w14:textId="77777777" w:rsidR="009B1324" w:rsidRDefault="009B1324" w:rsidP="00275758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Mezibankovní úroková sazba PRIBOR je těsně navázána na měnověpolitické sazby, a tak se od června prakticky nezměnila. Ke konci roku 2020 činila tříměsíční sazba PRIBOR 0,36 % (na konci roku 2019 to bylo 2,17 %). V průběhu roku se poměrně výrazně měnily výnosy na domácích vládních dluhopisech. V lednu činila úroková sazba na krátkodobých dluhopisech 1,55 %, na těch se střednědobou splatností 1,51 % a u dlouhodobých to bylo 1,62 %. V průběhu roku pak sazby u všech splatností klesaly a dna dosáhly v říjnu (0 %, 0,54 % a 0,94 % u jednotlivých splatností). V závěru roku pak sazby poměrně rychle rostly. K 31. 12. 2020 činil průměrný výnos krátkodobých dluhopisů 0,16 %, střednědobých 0,8 % a dlouhodobých 1,26 %.</w:t>
            </w:r>
          </w:p>
        </w:tc>
      </w:tr>
      <w:tr w:rsidR="009B1324" w14:paraId="35568841" w14:textId="77777777" w:rsidTr="00275758">
        <w:trPr>
          <w:trHeight w:val="145"/>
        </w:trPr>
        <w:tc>
          <w:tcPr>
            <w:tcW w:w="1802" w:type="dxa"/>
            <w:hideMark/>
          </w:tcPr>
          <w:p w14:paraId="2393DBA9" w14:textId="77777777" w:rsidR="009B1324" w:rsidRDefault="009B1324" w:rsidP="0027575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Výrazně klesly úrokové sazby na termínovaných vkladech.</w:t>
            </w:r>
          </w:p>
        </w:tc>
        <w:tc>
          <w:tcPr>
            <w:tcW w:w="229" w:type="dxa"/>
          </w:tcPr>
          <w:p w14:paraId="7A5EAE72" w14:textId="77777777" w:rsidR="009B1324" w:rsidRDefault="009B1324" w:rsidP="0027575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1D573344" w14:textId="77777777" w:rsidR="009B1324" w:rsidRDefault="009B1324" w:rsidP="00275758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Pokles se nevyhnul ani některým klientským úrokovým sazbám, zejména těm na termínovaných vkladech. U vkladů na běžných účtech domácností sazby prakticky neměly kam klesat (od začátku roku 2016 jsou pod 0,1 % a ke konci prosince 2020 byly průměrně na 0,02 %). Na druhé straně úrokové sazby na vkladech s dohodnutou splatností během let 2018 a 2019 rostly. V loňském roce tak v reakci na pokles hlavních ekonomických sazeb mohly být velmi rychle upraveny (ke konci března 2020 byl průměrný úrok na vkladech s dohodnutou splatností 1,43 %, na konci června už to bylo 0,6 %). Na konci roku průměrné úročení těchto vkladů činilo 0,59 %. Nejvíce klesaly sazby u vkladů se splatností do 1 roku – banky pravděpodobně předpokládaly, že v dohledné době úroveň úrokových sazeb půjde nahoru. Nefinanční podniky mohly jen krátce využívat nárůstu sazeb na běžných účtech – během loňska se opět propadly téměř na nulu. Zároveň nefinančním podnikům výrazně kleslo i úročení na vkladech s dohodnutou splatností – ještě výrazněji než domácnostem (ke konci prosince průměrné úročení dosáhlo 0,16 %, meziročně o 1,36 p. b. méně). Změna sazeb jasně ovlivnila vývoj objemu termínovaných vkladů – ty od 2. čtvrtletí meziročně klesaly. Zajímavý je i pohled na vklady domácností – od 2. čtvrtletí je vidět výrazné zvýšení růstu jejich objemu v souladu se zvýšenou mírou úspor, která souvisí s omezením možnosti spotřeby uvalením restrikcí na provoz maloobchodu a služeb.</w:t>
            </w:r>
          </w:p>
        </w:tc>
      </w:tr>
      <w:tr w:rsidR="009B1324" w14:paraId="4987BC6C" w14:textId="77777777" w:rsidTr="00275758">
        <w:trPr>
          <w:trHeight w:val="145"/>
        </w:trPr>
        <w:tc>
          <w:tcPr>
            <w:tcW w:w="1802" w:type="dxa"/>
          </w:tcPr>
          <w:p w14:paraId="53B5E334" w14:textId="77777777" w:rsidR="009B1324" w:rsidRDefault="009B1324" w:rsidP="0027575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Dále zlevňovalo úvěrové financování pro domácnosti.</w:t>
            </w:r>
          </w:p>
        </w:tc>
        <w:tc>
          <w:tcPr>
            <w:tcW w:w="229" w:type="dxa"/>
          </w:tcPr>
          <w:p w14:paraId="03DA2793" w14:textId="77777777" w:rsidR="009B1324" w:rsidRDefault="009B1324" w:rsidP="0027575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632CD22C" w14:textId="77777777" w:rsidR="009B1324" w:rsidRDefault="009B1324" w:rsidP="002757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Mírný pokles byl v průběhu roku vidět i na úrokových sazbách úvěrů pro domácnosti. Pokles úročení úvěrů na spotřebu je dlouhodobý a rok 2020 na tento trend navázal. Ke konci prosince průměrná sazba činila 7,69 %, což je meziročně o 0,59 p. b. méně. Úročení úvěrů na bydlení loni také klesalo. Ke konci roku průměrně činilo 2,1 %, což je meziročně o 0,39 p. b. méně. Dynamika spotřebních úvěrů od 2. čtvrtletí dle očekávání výrazně zpomalovala. Kombinace omezené spotřeby i značné nejistoty domácností srazila na konci roku meziroční přírůstek objemu úvěrů na spotřebu na 2,6 %. Naopak </w:t>
            </w:r>
            <w:r>
              <w:rPr>
                <w:lang w:eastAsia="en-US"/>
              </w:rPr>
              <w:lastRenderedPageBreak/>
              <w:t>poměrně vysoké zůstalo meziroční tempo růstu objemu úvěrů na bydlení (v průběhu roku nekleslo pod 7,5 % a ve 2. pololetí zrychlilo nad 8 %). Zadlužení domácností ve výsledku rostlo podobným tempem jako v předchozích letech (k 31. prosinci bylo meziročně vyšší o 6,1 %). Zadlužení na spotřebu bylo ke konci roku meziročně nižší o 0,1 % a zadlužení na bydlení vyšší o 8,0 %.</w:t>
            </w:r>
          </w:p>
        </w:tc>
      </w:tr>
      <w:tr w:rsidR="009B1324" w14:paraId="25A025DC" w14:textId="77777777" w:rsidTr="00275758">
        <w:trPr>
          <w:trHeight w:val="145"/>
        </w:trPr>
        <w:tc>
          <w:tcPr>
            <w:tcW w:w="1802" w:type="dxa"/>
          </w:tcPr>
          <w:p w14:paraId="77545E49" w14:textId="77777777" w:rsidR="009B1324" w:rsidRDefault="009B1324" w:rsidP="00275758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V mnoha odvětvích úvěrová dynamika značně přibrzdila.</w:t>
            </w:r>
          </w:p>
        </w:tc>
        <w:tc>
          <w:tcPr>
            <w:tcW w:w="229" w:type="dxa"/>
          </w:tcPr>
          <w:p w14:paraId="7AB21BAA" w14:textId="77777777" w:rsidR="009B1324" w:rsidRDefault="009B1324" w:rsidP="0027575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1DDC406C" w14:textId="77777777" w:rsidR="009B1324" w:rsidRDefault="009B1324" w:rsidP="00275758">
            <w:pPr>
              <w:rPr>
                <w:lang w:eastAsia="en-US"/>
              </w:rPr>
            </w:pPr>
            <w:r>
              <w:rPr>
                <w:lang w:eastAsia="en-US"/>
              </w:rPr>
              <w:t>Průměrná úroková sazba úvěrů pro nefinanční podniky v průběhu roku klesala a dna dosáhla ve 3. čtvrtletí. V závěru roku se ale prudce zvýšila. Tento vývoj ovlivnila hlavně kategorie úvěrů nad 30 mil. korun. Zde úročení kleslo až na 1,15 % ve 3. čtvrtletí, ale do konce prosince stouplo na 1,72 %. Podobnou dynamiku měly i úvěry mezi 7,5 a 30 miliony (do konce září zde úroková sazba klesla na 2,3 %, ale opět vzrostla na 2,54 %). Naopak úročení úvěrů do 7,5 mil. korun v průběhu celého roku klesalo. Ke konci prosince 2020 činilo 3,26 % a meziročně se snížilo o 0,85 p. b. Celkový objem úvěrů a pohledávek nefinančních podniků ke konci roku 2020 dosáhl 1 123,0 mld. korun a meziročně se zvýšil o 2,3 %. Zatímco objem úvěrů a pohledávek v korunách od 2. čtvrtletí meziročně klesal, opět výrazně zrychlil růst objemu půjček v cizích měnách, především půjček krátkodobých</w:t>
            </w:r>
            <w:r>
              <w:rPr>
                <w:rStyle w:val="Znakapoznpodarou"/>
                <w:lang w:eastAsia="en-US"/>
              </w:rPr>
              <w:footnoteReference w:id="2"/>
            </w:r>
            <w:r>
              <w:rPr>
                <w:lang w:eastAsia="en-US"/>
              </w:rPr>
              <w:t xml:space="preserve"> a dlouhodobých. Ke konci roku 2020 byl meziročně nižší objem poskytnutých úvěrů zejména v odvětvích výroba a rozvod elektřiny, plynu, tepla, vzduchu, vody (–20,8 %), v kulturních, zábavních, rekreačních a ostatních činnostech (–13,8 %), velkoobchod a maloobchod, opravy a údržba motorových vozidel (–4,5 %) a informační a komunikační činnosti (–4,3 %). Po celý rok výrazně zpomaloval růst půjček zpracovatelskému průmyslu (na konci prosince byl objem meziročně o 0,9 % vyšší). Posílení tempa naopak probíhalo u dopravy a skladování a ubytování (až na 11,0 % ke konci roku) a stravování a pohostinství (19,7 %).</w:t>
            </w:r>
          </w:p>
        </w:tc>
      </w:tr>
      <w:tr w:rsidR="009B1324" w14:paraId="1E2B34C9" w14:textId="77777777" w:rsidTr="00275758">
        <w:trPr>
          <w:trHeight w:val="304"/>
        </w:trPr>
        <w:tc>
          <w:tcPr>
            <w:tcW w:w="1802" w:type="dxa"/>
            <w:vMerge w:val="restart"/>
          </w:tcPr>
          <w:p w14:paraId="0BD92C5C" w14:textId="77777777" w:rsidR="009B1324" w:rsidRDefault="009B1324" w:rsidP="00275758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25878B2F" w14:textId="77777777" w:rsidR="009B1324" w:rsidRDefault="009B1324" w:rsidP="00275758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5BF341AB" w14:textId="69F2242C" w:rsidR="009B1324" w:rsidRPr="00D721B4" w:rsidRDefault="00B026FE" w:rsidP="00275758">
            <w:pPr>
              <w:spacing w:after="0"/>
              <w:rPr>
                <w:szCs w:val="20"/>
                <w:lang w:eastAsia="en-US"/>
              </w:rPr>
            </w:pPr>
            <w:r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16</w:t>
            </w:r>
            <w:r w:rsidR="009B1324"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 </w:t>
            </w:r>
            <w:r w:rsidR="009B1324" w:rsidRPr="00D721B4">
              <w:rPr>
                <w:b/>
                <w:spacing w:val="-4"/>
                <w:szCs w:val="20"/>
                <w:lang w:eastAsia="en-US"/>
              </w:rPr>
              <w:t xml:space="preserve">Tržní úrokové sazby </w:t>
            </w:r>
            <w:r w:rsidR="009B1324" w:rsidRPr="00D721B4">
              <w:rPr>
                <w:bCs/>
                <w:spacing w:val="-4"/>
                <w:szCs w:val="20"/>
                <w:lang w:eastAsia="en-US"/>
              </w:rPr>
              <w:t>(v %)</w:t>
            </w:r>
          </w:p>
        </w:tc>
      </w:tr>
      <w:tr w:rsidR="009B1324" w14:paraId="4F90BC44" w14:textId="77777777" w:rsidTr="00275758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7A94B990" w14:textId="77777777" w:rsidR="009B1324" w:rsidRDefault="009B1324" w:rsidP="00275758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369FD282" w14:textId="77777777" w:rsidR="009B1324" w:rsidRDefault="009B1324" w:rsidP="00275758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2C5B8F2F" w14:textId="77777777" w:rsidR="009B1324" w:rsidRDefault="009B1324" w:rsidP="00275758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5CBCD6" wp14:editId="46C54F42">
                  <wp:extent cx="4737600" cy="3432550"/>
                  <wp:effectExtent l="0" t="0" r="6350" b="0"/>
                  <wp:docPr id="42" name="Graf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9B1324" w14:paraId="30DD4BA7" w14:textId="77777777" w:rsidTr="00275758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7E934D66" w14:textId="77777777" w:rsidR="009B1324" w:rsidRDefault="009B1324" w:rsidP="00275758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0D33F1" w14:textId="77777777" w:rsidR="009B1324" w:rsidRDefault="009B1324" w:rsidP="00275758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398EA85A" w14:textId="77777777" w:rsidR="009B1324" w:rsidRDefault="009B1324" w:rsidP="00275758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ČNB</w:t>
            </w:r>
          </w:p>
        </w:tc>
      </w:tr>
    </w:tbl>
    <w:p w14:paraId="34AC2008" w14:textId="77777777" w:rsidR="009B1324" w:rsidRDefault="009B1324" w:rsidP="009B1324">
      <w:pPr>
        <w:pStyle w:val="Nadpis11"/>
        <w:rPr>
          <w:b w:val="0"/>
          <w:sz w:val="2"/>
          <w:szCs w:val="2"/>
          <w:highlight w:val="yellow"/>
        </w:rPr>
      </w:pPr>
    </w:p>
    <w:p w14:paraId="4A55AEFE" w14:textId="77777777" w:rsidR="009B1324" w:rsidRDefault="009B1324" w:rsidP="009B1324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5427292E" w14:textId="77777777" w:rsidR="009B1324" w:rsidRPr="00E42054" w:rsidRDefault="009B1324" w:rsidP="009B1324">
      <w:pPr>
        <w:pStyle w:val="Nadpis11"/>
        <w:spacing w:after="0"/>
        <w:rPr>
          <w:b w:val="0"/>
          <w:sz w:val="2"/>
          <w:szCs w:val="2"/>
        </w:rPr>
      </w:pPr>
    </w:p>
    <w:p w14:paraId="7D639A8E" w14:textId="77777777" w:rsidR="009B1324" w:rsidRDefault="009B1324" w:rsidP="009B1324">
      <w:pPr>
        <w:pStyle w:val="Nadpis11"/>
        <w:rPr>
          <w:b w:val="0"/>
          <w:sz w:val="2"/>
          <w:szCs w:val="2"/>
          <w:highlight w:val="yellow"/>
        </w:rPr>
      </w:pPr>
    </w:p>
    <w:p w14:paraId="712D3969" w14:textId="77777777" w:rsidR="009B1324" w:rsidRDefault="009B1324" w:rsidP="009B1324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6F006CD9" w14:textId="77777777" w:rsidR="009B1324" w:rsidRPr="00E42054" w:rsidRDefault="009B1324" w:rsidP="009B1324">
      <w:pPr>
        <w:spacing w:after="0" w:line="240" w:lineRule="auto"/>
        <w:jc w:val="left"/>
        <w:rPr>
          <w:b/>
          <w:sz w:val="2"/>
          <w:szCs w:val="2"/>
        </w:rPr>
      </w:pPr>
    </w:p>
    <w:p w14:paraId="3E974863" w14:textId="2EEF6166" w:rsidR="000663F0" w:rsidRPr="00E42054" w:rsidRDefault="000663F0" w:rsidP="00E97F14">
      <w:pPr>
        <w:pStyle w:val="Nadpis11"/>
        <w:spacing w:after="0"/>
        <w:rPr>
          <w:b w:val="0"/>
          <w:sz w:val="2"/>
          <w:szCs w:val="2"/>
        </w:rPr>
      </w:pPr>
      <w:bookmarkStart w:id="3" w:name="_GoBack"/>
      <w:bookmarkEnd w:id="1"/>
      <w:bookmarkEnd w:id="3"/>
    </w:p>
    <w:sectPr w:rsidR="000663F0" w:rsidRPr="00E42054" w:rsidSect="003D1DB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D51C5" w14:textId="77777777" w:rsidR="0091476D" w:rsidRDefault="0091476D" w:rsidP="00E71A58">
      <w:r>
        <w:separator/>
      </w:r>
    </w:p>
  </w:endnote>
  <w:endnote w:type="continuationSeparator" w:id="0">
    <w:p w14:paraId="7E79BE89" w14:textId="77777777" w:rsidR="0091476D" w:rsidRDefault="0091476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1A0D" w14:textId="426CF6E6" w:rsidR="0091476D" w:rsidRPr="00932443" w:rsidRDefault="0091476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3D1DB3">
      <w:rPr>
        <w:szCs w:val="16"/>
      </w:rPr>
      <w:t>32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7E4B" w14:textId="6BD49E25" w:rsidR="0091476D" w:rsidRPr="00932443" w:rsidRDefault="0091476D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rok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D1DB3">
      <w:rPr>
        <w:rStyle w:val="ZpatChar"/>
        <w:szCs w:val="16"/>
      </w:rPr>
      <w:t>31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E61E" w14:textId="77777777" w:rsidR="0091476D" w:rsidRDefault="0091476D" w:rsidP="00A21B4D">
      <w:pPr>
        <w:spacing w:after="0"/>
      </w:pPr>
      <w:r>
        <w:separator/>
      </w:r>
    </w:p>
  </w:footnote>
  <w:footnote w:type="continuationSeparator" w:id="0">
    <w:p w14:paraId="14D7D261" w14:textId="77777777" w:rsidR="0091476D" w:rsidRDefault="0091476D" w:rsidP="00E71A58">
      <w:r>
        <w:continuationSeparator/>
      </w:r>
    </w:p>
  </w:footnote>
  <w:footnote w:id="1">
    <w:p w14:paraId="1A7E7803" w14:textId="77777777" w:rsidR="0091476D" w:rsidRDefault="0091476D" w:rsidP="009B1324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</w:t>
      </w:r>
      <w:r>
        <w:rPr>
          <w:sz w:val="16"/>
          <w:szCs w:val="16"/>
        </w:rPr>
        <w:noBreakHyphen/>
        <w:t>li uvedeno jinak, je zdrojem údajů v této kapitole databáze ARAD České národní banky. Hodnoty směnných kurzů jsou rovněž převzaty od ČNB.</w:t>
      </w:r>
    </w:p>
  </w:footnote>
  <w:footnote w:id="2">
    <w:p w14:paraId="00CEC730" w14:textId="77777777" w:rsidR="0091476D" w:rsidRPr="00D275CA" w:rsidRDefault="0091476D" w:rsidP="009B1324">
      <w:pPr>
        <w:pStyle w:val="Textpoznpodarou"/>
        <w:rPr>
          <w:sz w:val="16"/>
          <w:szCs w:val="16"/>
        </w:rPr>
      </w:pPr>
      <w:r w:rsidRPr="00D275CA">
        <w:rPr>
          <w:rStyle w:val="Znakapoznpodarou"/>
          <w:sz w:val="16"/>
          <w:szCs w:val="16"/>
        </w:rPr>
        <w:footnoteRef/>
      </w:r>
      <w:r w:rsidRPr="00D275CA">
        <w:rPr>
          <w:sz w:val="16"/>
          <w:szCs w:val="16"/>
        </w:rPr>
        <w:t xml:space="preserve"> V minulosti souvisel prudký růst objemu krátkodobých úvěrů v cizí měně s</w:t>
      </w:r>
      <w:r>
        <w:rPr>
          <w:sz w:val="16"/>
          <w:szCs w:val="16"/>
        </w:rPr>
        <w:t> očekávaným posílením kurzu (například před ukončením intervencí v roce 2017). V roce 2020 mělo oslabení kurzu vůči euru a dolaru spíše dočasný charakter, což posilovalo spekulace.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85C8" w14:textId="77777777" w:rsidR="0091476D" w:rsidRDefault="0091476D" w:rsidP="00937AE2">
    <w:pPr>
      <w:pStyle w:val="Zhlav"/>
    </w:pPr>
    <w:r>
      <w:t>Vývoj ekonomiky České republiky</w:t>
    </w:r>
  </w:p>
  <w:p w14:paraId="675E4C41" w14:textId="77777777" w:rsidR="0091476D" w:rsidRPr="006F5416" w:rsidRDefault="0091476D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12FB" w14:textId="77777777" w:rsidR="0091476D" w:rsidRDefault="0091476D" w:rsidP="00937AE2">
    <w:pPr>
      <w:pStyle w:val="Zhlav"/>
    </w:pPr>
    <w:r>
      <w:t>Vývoj ekonomiky České republiky</w:t>
    </w:r>
  </w:p>
  <w:p w14:paraId="0CDCFD48" w14:textId="77777777" w:rsidR="0091476D" w:rsidRPr="006F5416" w:rsidRDefault="0091476D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12"/>
  </w:num>
  <w:num w:numId="15">
    <w:abstractNumId w:val="18"/>
  </w:num>
  <w:num w:numId="16">
    <w:abstractNumId w:val="14"/>
  </w:num>
  <w:num w:numId="17">
    <w:abstractNumId w:val="26"/>
  </w:num>
  <w:num w:numId="18">
    <w:abstractNumId w:val="19"/>
  </w:num>
  <w:num w:numId="19">
    <w:abstractNumId w:val="27"/>
  </w:num>
  <w:num w:numId="20">
    <w:abstractNumId w:val="28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669F"/>
    <w:rsid w:val="000279E5"/>
    <w:rsid w:val="00031AE0"/>
    <w:rsid w:val="00031BB2"/>
    <w:rsid w:val="000322EF"/>
    <w:rsid w:val="00033FCD"/>
    <w:rsid w:val="000348AF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70A87"/>
    <w:rsid w:val="000712B3"/>
    <w:rsid w:val="00071A7C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E5F"/>
    <w:rsid w:val="000A3A2C"/>
    <w:rsid w:val="000A3D9E"/>
    <w:rsid w:val="000A4A54"/>
    <w:rsid w:val="000A4ED9"/>
    <w:rsid w:val="000A5DB7"/>
    <w:rsid w:val="000A6D94"/>
    <w:rsid w:val="000A7377"/>
    <w:rsid w:val="000A7FF4"/>
    <w:rsid w:val="000B03CC"/>
    <w:rsid w:val="000B4212"/>
    <w:rsid w:val="000B67B7"/>
    <w:rsid w:val="000C0EA8"/>
    <w:rsid w:val="000C13A2"/>
    <w:rsid w:val="000C21E7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3058"/>
    <w:rsid w:val="000D310A"/>
    <w:rsid w:val="000D3EF4"/>
    <w:rsid w:val="000D4DC0"/>
    <w:rsid w:val="000D5637"/>
    <w:rsid w:val="000D6F4E"/>
    <w:rsid w:val="000D73BB"/>
    <w:rsid w:val="000E0E96"/>
    <w:rsid w:val="000E298B"/>
    <w:rsid w:val="000E2C7D"/>
    <w:rsid w:val="000E3E56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56B"/>
    <w:rsid w:val="00162F81"/>
    <w:rsid w:val="00163793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BBC"/>
    <w:rsid w:val="0018385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A0487"/>
    <w:rsid w:val="001A0675"/>
    <w:rsid w:val="001A1F68"/>
    <w:rsid w:val="001A21FA"/>
    <w:rsid w:val="001A4EF0"/>
    <w:rsid w:val="001A552F"/>
    <w:rsid w:val="001A70B1"/>
    <w:rsid w:val="001B0738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3306"/>
    <w:rsid w:val="001E504C"/>
    <w:rsid w:val="001E5A17"/>
    <w:rsid w:val="001E74C5"/>
    <w:rsid w:val="001F1236"/>
    <w:rsid w:val="001F2F90"/>
    <w:rsid w:val="001F4597"/>
    <w:rsid w:val="001F4826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1D5"/>
    <w:rsid w:val="002111E5"/>
    <w:rsid w:val="002118B9"/>
    <w:rsid w:val="00213691"/>
    <w:rsid w:val="002142C0"/>
    <w:rsid w:val="00217C5B"/>
    <w:rsid w:val="00220A43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120E"/>
    <w:rsid w:val="00262582"/>
    <w:rsid w:val="0026291D"/>
    <w:rsid w:val="00262CF3"/>
    <w:rsid w:val="00264309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E7AEB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300C31"/>
    <w:rsid w:val="003017EC"/>
    <w:rsid w:val="00302165"/>
    <w:rsid w:val="00304771"/>
    <w:rsid w:val="003052D4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2058C"/>
    <w:rsid w:val="003208D0"/>
    <w:rsid w:val="003209D6"/>
    <w:rsid w:val="003217B9"/>
    <w:rsid w:val="00321924"/>
    <w:rsid w:val="00321EB6"/>
    <w:rsid w:val="003220A5"/>
    <w:rsid w:val="003238E0"/>
    <w:rsid w:val="00323A1C"/>
    <w:rsid w:val="00324B59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6739"/>
    <w:rsid w:val="003978B1"/>
    <w:rsid w:val="003A04F6"/>
    <w:rsid w:val="003A0837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5B59"/>
    <w:rsid w:val="003B7B50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DB3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F313C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30C96"/>
    <w:rsid w:val="0043174F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953"/>
    <w:rsid w:val="004604D8"/>
    <w:rsid w:val="00460656"/>
    <w:rsid w:val="00460FB3"/>
    <w:rsid w:val="00463D3C"/>
    <w:rsid w:val="00464851"/>
    <w:rsid w:val="00466595"/>
    <w:rsid w:val="0046746A"/>
    <w:rsid w:val="00467B14"/>
    <w:rsid w:val="004707FE"/>
    <w:rsid w:val="00470EDC"/>
    <w:rsid w:val="0047276D"/>
    <w:rsid w:val="00472AF6"/>
    <w:rsid w:val="00473482"/>
    <w:rsid w:val="00474A04"/>
    <w:rsid w:val="00476240"/>
    <w:rsid w:val="00476439"/>
    <w:rsid w:val="00476450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372F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0498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468"/>
    <w:rsid w:val="004B6EF8"/>
    <w:rsid w:val="004B7125"/>
    <w:rsid w:val="004B756A"/>
    <w:rsid w:val="004B7FB1"/>
    <w:rsid w:val="004C0B3F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5F6"/>
    <w:rsid w:val="0054582F"/>
    <w:rsid w:val="00546FC7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0E"/>
    <w:rsid w:val="00557E45"/>
    <w:rsid w:val="00560C41"/>
    <w:rsid w:val="00561F44"/>
    <w:rsid w:val="00562B4D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21E0"/>
    <w:rsid w:val="005A28FF"/>
    <w:rsid w:val="005A2C09"/>
    <w:rsid w:val="005A3778"/>
    <w:rsid w:val="005A3DF8"/>
    <w:rsid w:val="005A5549"/>
    <w:rsid w:val="005A566A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ADE"/>
    <w:rsid w:val="00601EEF"/>
    <w:rsid w:val="0060255A"/>
    <w:rsid w:val="00602EB3"/>
    <w:rsid w:val="00604307"/>
    <w:rsid w:val="0060487F"/>
    <w:rsid w:val="00604EAD"/>
    <w:rsid w:val="0060513F"/>
    <w:rsid w:val="0060694B"/>
    <w:rsid w:val="006104FB"/>
    <w:rsid w:val="0061176D"/>
    <w:rsid w:val="0061200F"/>
    <w:rsid w:val="00612756"/>
    <w:rsid w:val="00612A2F"/>
    <w:rsid w:val="00612AAE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3CC"/>
    <w:rsid w:val="00665982"/>
    <w:rsid w:val="00665BA4"/>
    <w:rsid w:val="00666BF3"/>
    <w:rsid w:val="00667856"/>
    <w:rsid w:val="00667AF2"/>
    <w:rsid w:val="00670489"/>
    <w:rsid w:val="006710C9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19"/>
    <w:rsid w:val="00677591"/>
    <w:rsid w:val="00677594"/>
    <w:rsid w:val="0068032F"/>
    <w:rsid w:val="00680D37"/>
    <w:rsid w:val="0068174E"/>
    <w:rsid w:val="00681DCE"/>
    <w:rsid w:val="00682110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4355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317E"/>
    <w:rsid w:val="006D3E8A"/>
    <w:rsid w:val="006D61F6"/>
    <w:rsid w:val="006E1332"/>
    <w:rsid w:val="006E19CB"/>
    <w:rsid w:val="006E279A"/>
    <w:rsid w:val="006E313B"/>
    <w:rsid w:val="006E34B2"/>
    <w:rsid w:val="006E3A45"/>
    <w:rsid w:val="006E4078"/>
    <w:rsid w:val="006E53AD"/>
    <w:rsid w:val="006E58CB"/>
    <w:rsid w:val="006E7227"/>
    <w:rsid w:val="006E761A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E4D"/>
    <w:rsid w:val="0071677A"/>
    <w:rsid w:val="00716F48"/>
    <w:rsid w:val="00717114"/>
    <w:rsid w:val="0071779F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F3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C10B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334C"/>
    <w:rsid w:val="00855408"/>
    <w:rsid w:val="00855D03"/>
    <w:rsid w:val="00856D65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A5D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1E5B"/>
    <w:rsid w:val="00952B7B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BB3"/>
    <w:rsid w:val="00992CF3"/>
    <w:rsid w:val="00993194"/>
    <w:rsid w:val="0099321E"/>
    <w:rsid w:val="00994171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1324"/>
    <w:rsid w:val="009B284F"/>
    <w:rsid w:val="009B3764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ED"/>
    <w:rsid w:val="00A16C37"/>
    <w:rsid w:val="00A16E1D"/>
    <w:rsid w:val="00A171D5"/>
    <w:rsid w:val="00A17A15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731E"/>
    <w:rsid w:val="00A309AC"/>
    <w:rsid w:val="00A30F65"/>
    <w:rsid w:val="00A3279E"/>
    <w:rsid w:val="00A33DB1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C91"/>
    <w:rsid w:val="00A83150"/>
    <w:rsid w:val="00A83398"/>
    <w:rsid w:val="00A83D6E"/>
    <w:rsid w:val="00A83FD5"/>
    <w:rsid w:val="00A8521A"/>
    <w:rsid w:val="00A857C0"/>
    <w:rsid w:val="00A85AC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F1A"/>
    <w:rsid w:val="00A96116"/>
    <w:rsid w:val="00A9614E"/>
    <w:rsid w:val="00A96422"/>
    <w:rsid w:val="00A96C0F"/>
    <w:rsid w:val="00A97075"/>
    <w:rsid w:val="00AA0E80"/>
    <w:rsid w:val="00AA17CD"/>
    <w:rsid w:val="00AA1D85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6414"/>
    <w:rsid w:val="00AE7269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550"/>
    <w:rsid w:val="00B00913"/>
    <w:rsid w:val="00B01593"/>
    <w:rsid w:val="00B01FF9"/>
    <w:rsid w:val="00B023F2"/>
    <w:rsid w:val="00B026FE"/>
    <w:rsid w:val="00B038CA"/>
    <w:rsid w:val="00B05F00"/>
    <w:rsid w:val="00B06DB4"/>
    <w:rsid w:val="00B0750D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62C3"/>
    <w:rsid w:val="00B16DD1"/>
    <w:rsid w:val="00B16EB8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528"/>
    <w:rsid w:val="00B34CC9"/>
    <w:rsid w:val="00B34CDA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2151"/>
    <w:rsid w:val="00B530CD"/>
    <w:rsid w:val="00B53639"/>
    <w:rsid w:val="00B53C7D"/>
    <w:rsid w:val="00B53E56"/>
    <w:rsid w:val="00B55A97"/>
    <w:rsid w:val="00B55F5E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EA2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4329"/>
    <w:rsid w:val="00BF4E43"/>
    <w:rsid w:val="00BF5C4C"/>
    <w:rsid w:val="00BF77F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246C"/>
    <w:rsid w:val="00C1493E"/>
    <w:rsid w:val="00C15DBD"/>
    <w:rsid w:val="00C2010D"/>
    <w:rsid w:val="00C20CB5"/>
    <w:rsid w:val="00C21430"/>
    <w:rsid w:val="00C216DF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834"/>
    <w:rsid w:val="00CC0AEA"/>
    <w:rsid w:val="00CC20FE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020B"/>
    <w:rsid w:val="00CF2E4D"/>
    <w:rsid w:val="00CF4205"/>
    <w:rsid w:val="00CF4908"/>
    <w:rsid w:val="00CF51EC"/>
    <w:rsid w:val="00CF545D"/>
    <w:rsid w:val="00CF5873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70289"/>
    <w:rsid w:val="00D70822"/>
    <w:rsid w:val="00D72076"/>
    <w:rsid w:val="00D721B4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450F"/>
    <w:rsid w:val="00DE5CA6"/>
    <w:rsid w:val="00DE7AC8"/>
    <w:rsid w:val="00DF0830"/>
    <w:rsid w:val="00DF2C5D"/>
    <w:rsid w:val="00DF3643"/>
    <w:rsid w:val="00DF42FF"/>
    <w:rsid w:val="00DF4369"/>
    <w:rsid w:val="00DF4423"/>
    <w:rsid w:val="00DF4ADF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0B1"/>
    <w:rsid w:val="00E35A53"/>
    <w:rsid w:val="00E3656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90CA8"/>
    <w:rsid w:val="00E930A1"/>
    <w:rsid w:val="00E93820"/>
    <w:rsid w:val="00E94A86"/>
    <w:rsid w:val="00E953F6"/>
    <w:rsid w:val="00E96143"/>
    <w:rsid w:val="00E96833"/>
    <w:rsid w:val="00E97506"/>
    <w:rsid w:val="00E97BB5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DF0"/>
    <w:rsid w:val="00ED2386"/>
    <w:rsid w:val="00ED2EA1"/>
    <w:rsid w:val="00ED3851"/>
    <w:rsid w:val="00ED3E51"/>
    <w:rsid w:val="00ED3F10"/>
    <w:rsid w:val="00ED4D04"/>
    <w:rsid w:val="00ED566D"/>
    <w:rsid w:val="00ED5907"/>
    <w:rsid w:val="00ED5F5B"/>
    <w:rsid w:val="00ED62C6"/>
    <w:rsid w:val="00ED64C1"/>
    <w:rsid w:val="00ED781F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47BF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75D3"/>
    <w:rsid w:val="00F62BFF"/>
    <w:rsid w:val="00F63AAE"/>
    <w:rsid w:val="00F63DDE"/>
    <w:rsid w:val="00F63FB7"/>
    <w:rsid w:val="00F6421B"/>
    <w:rsid w:val="00F647F1"/>
    <w:rsid w:val="00F649D2"/>
    <w:rsid w:val="00F6602B"/>
    <w:rsid w:val="00F6799D"/>
    <w:rsid w:val="00F7150B"/>
    <w:rsid w:val="00F717E4"/>
    <w:rsid w:val="00F71DE6"/>
    <w:rsid w:val="00F72D71"/>
    <w:rsid w:val="00F7381C"/>
    <w:rsid w:val="00F73A0C"/>
    <w:rsid w:val="00F7549F"/>
    <w:rsid w:val="00F756DB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0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05E-2"/>
          <c:y val="2.1711264016309892E-2"/>
          <c:w val="0.93508633063154345"/>
          <c:h val="0.73130361364405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1'!$A$42:$B$113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1'!$C$42:$C$113</c:f>
              <c:numCache>
                <c:formatCode>0.00</c:formatCode>
                <c:ptCount val="72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  <c:pt idx="10">
                  <c:v>0.05</c:v>
                </c:pt>
                <c:pt idx="11">
                  <c:v>0.05</c:v>
                </c:pt>
                <c:pt idx="12" formatCode="General">
                  <c:v>0.05</c:v>
                </c:pt>
                <c:pt idx="13" formatCode="General">
                  <c:v>0.05</c:v>
                </c:pt>
                <c:pt idx="14" formatCode="General">
                  <c:v>0.05</c:v>
                </c:pt>
                <c:pt idx="15" formatCode="General">
                  <c:v>0.05</c:v>
                </c:pt>
                <c:pt idx="16" formatCode="General">
                  <c:v>0.05</c:v>
                </c:pt>
                <c:pt idx="17" formatCode="General">
                  <c:v>0.05</c:v>
                </c:pt>
                <c:pt idx="18" formatCode="General">
                  <c:v>0.05</c:v>
                </c:pt>
                <c:pt idx="19" formatCode="General">
                  <c:v>0.05</c:v>
                </c:pt>
                <c:pt idx="20" formatCode="General">
                  <c:v>0.05</c:v>
                </c:pt>
                <c:pt idx="21" formatCode="General">
                  <c:v>0.05</c:v>
                </c:pt>
                <c:pt idx="22" formatCode="General">
                  <c:v>0.05</c:v>
                </c:pt>
                <c:pt idx="23" formatCode="General">
                  <c:v>0.05</c:v>
                </c:pt>
                <c:pt idx="24" formatCode="General">
                  <c:v>0.05</c:v>
                </c:pt>
                <c:pt idx="25" formatCode="General">
                  <c:v>0.05</c:v>
                </c:pt>
                <c:pt idx="26" formatCode="General">
                  <c:v>0.05</c:v>
                </c:pt>
                <c:pt idx="27" formatCode="General">
                  <c:v>0.05</c:v>
                </c:pt>
                <c:pt idx="28" formatCode="General">
                  <c:v>0.05</c:v>
                </c:pt>
                <c:pt idx="29" formatCode="General">
                  <c:v>0.05</c:v>
                </c:pt>
                <c:pt idx="30" formatCode="General">
                  <c:v>0.05</c:v>
                </c:pt>
                <c:pt idx="31" formatCode="General">
                  <c:v>0.25</c:v>
                </c:pt>
                <c:pt idx="32" formatCode="General">
                  <c:v>0.25</c:v>
                </c:pt>
                <c:pt idx="33" formatCode="General">
                  <c:v>0.25</c:v>
                </c:pt>
                <c:pt idx="34" formatCode="General">
                  <c:v>0.5</c:v>
                </c:pt>
                <c:pt idx="35" formatCode="General">
                  <c:v>0.5</c:v>
                </c:pt>
                <c:pt idx="36" formatCode="General">
                  <c:v>0.5</c:v>
                </c:pt>
                <c:pt idx="37" formatCode="General">
                  <c:v>0.75</c:v>
                </c:pt>
                <c:pt idx="38" formatCode="General">
                  <c:v>0.75</c:v>
                </c:pt>
                <c:pt idx="39" formatCode="General">
                  <c:v>0.75</c:v>
                </c:pt>
                <c:pt idx="40" formatCode="General">
                  <c:v>0.75</c:v>
                </c:pt>
                <c:pt idx="41" formatCode="General">
                  <c:v>1</c:v>
                </c:pt>
                <c:pt idx="42" formatCode="General">
                  <c:v>1</c:v>
                </c:pt>
                <c:pt idx="43" formatCode="General">
                  <c:v>1.25</c:v>
                </c:pt>
                <c:pt idx="44" formatCode="General">
                  <c:v>1.5</c:v>
                </c:pt>
                <c:pt idx="45" formatCode="General">
                  <c:v>1.5</c:v>
                </c:pt>
                <c:pt idx="46" formatCode="General">
                  <c:v>1.75</c:v>
                </c:pt>
                <c:pt idx="47" formatCode="General">
                  <c:v>1.75</c:v>
                </c:pt>
                <c:pt idx="48" formatCode="General">
                  <c:v>1.75</c:v>
                </c:pt>
                <c:pt idx="49" formatCode="General">
                  <c:v>1.75</c:v>
                </c:pt>
                <c:pt idx="50" formatCode="General">
                  <c:v>1.75</c:v>
                </c:pt>
                <c:pt idx="51" formatCode="General">
                  <c:v>1.75</c:v>
                </c:pt>
                <c:pt idx="52" formatCode="General">
                  <c:v>2</c:v>
                </c:pt>
                <c:pt idx="53" formatCode="General">
                  <c:v>2</c:v>
                </c:pt>
                <c:pt idx="54" formatCode="General">
                  <c:v>2</c:v>
                </c:pt>
                <c:pt idx="55" formatCode="General">
                  <c:v>2</c:v>
                </c:pt>
                <c:pt idx="56" formatCode="General">
                  <c:v>2</c:v>
                </c:pt>
                <c:pt idx="57" formatCode="General">
                  <c:v>2</c:v>
                </c:pt>
                <c:pt idx="58" formatCode="General">
                  <c:v>2</c:v>
                </c:pt>
                <c:pt idx="59" formatCode="General">
                  <c:v>2</c:v>
                </c:pt>
                <c:pt idx="60" formatCode="General">
                  <c:v>2</c:v>
                </c:pt>
                <c:pt idx="61" formatCode="General">
                  <c:v>2.25</c:v>
                </c:pt>
                <c:pt idx="62" formatCode="General">
                  <c:v>1</c:v>
                </c:pt>
                <c:pt idx="63" formatCode="General">
                  <c:v>1</c:v>
                </c:pt>
                <c:pt idx="64" formatCode="General">
                  <c:v>0.25</c:v>
                </c:pt>
                <c:pt idx="65" formatCode="General">
                  <c:v>0.25</c:v>
                </c:pt>
                <c:pt idx="66" formatCode="General">
                  <c:v>0.25</c:v>
                </c:pt>
                <c:pt idx="67" formatCode="General">
                  <c:v>0.25</c:v>
                </c:pt>
                <c:pt idx="68" formatCode="General">
                  <c:v>0.25</c:v>
                </c:pt>
                <c:pt idx="69" formatCode="General">
                  <c:v>0.25</c:v>
                </c:pt>
                <c:pt idx="70" formatCode="General">
                  <c:v>0.25</c:v>
                </c:pt>
                <c:pt idx="71" formatCode="General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6-4E08-8E70-40D6F7F7D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271742464"/>
        <c:axId val="271744000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1'!$A$42:$B$113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1'!$F$42:$F$113</c:f>
              <c:numCache>
                <c:formatCode>General</c:formatCode>
                <c:ptCount val="72"/>
                <c:pt idx="0">
                  <c:v>0.09</c:v>
                </c:pt>
                <c:pt idx="1">
                  <c:v>0.06</c:v>
                </c:pt>
                <c:pt idx="2">
                  <c:v>0.04</c:v>
                </c:pt>
                <c:pt idx="3">
                  <c:v>-0.03</c:v>
                </c:pt>
                <c:pt idx="4">
                  <c:v>0.04</c:v>
                </c:pt>
                <c:pt idx="5">
                  <c:v>0.11</c:v>
                </c:pt>
                <c:pt idx="6">
                  <c:v>0.02</c:v>
                </c:pt>
                <c:pt idx="7">
                  <c:v>-7.0000000000000007E-2</c:v>
                </c:pt>
                <c:pt idx="8">
                  <c:v>-0.3</c:v>
                </c:pt>
                <c:pt idx="9">
                  <c:v>-0.28000000000000003</c:v>
                </c:pt>
                <c:pt idx="10">
                  <c:v>-0.33</c:v>
                </c:pt>
                <c:pt idx="11">
                  <c:v>-0.38</c:v>
                </c:pt>
                <c:pt idx="12">
                  <c:v>-0.21</c:v>
                </c:pt>
                <c:pt idx="13">
                  <c:v>-0.18</c:v>
                </c:pt>
                <c:pt idx="14">
                  <c:v>-0.17</c:v>
                </c:pt>
                <c:pt idx="15">
                  <c:v>-0.08</c:v>
                </c:pt>
                <c:pt idx="16">
                  <c:v>-0.04</c:v>
                </c:pt>
                <c:pt idx="17">
                  <c:v>-0.05</c:v>
                </c:pt>
                <c:pt idx="18">
                  <c:v>-0.13</c:v>
                </c:pt>
                <c:pt idx="19">
                  <c:v>-0.22</c:v>
                </c:pt>
                <c:pt idx="20">
                  <c:v>-0.5</c:v>
                </c:pt>
                <c:pt idx="21">
                  <c:v>-0.74</c:v>
                </c:pt>
                <c:pt idx="22">
                  <c:v>-0.73</c:v>
                </c:pt>
                <c:pt idx="23">
                  <c:v>-0.81</c:v>
                </c:pt>
                <c:pt idx="24">
                  <c:v>-0.88</c:v>
                </c:pt>
                <c:pt idx="25">
                  <c:v>-0.53</c:v>
                </c:pt>
                <c:pt idx="26">
                  <c:v>-0.44</c:v>
                </c:pt>
                <c:pt idx="27">
                  <c:v>-0.23</c:v>
                </c:pt>
                <c:pt idx="28">
                  <c:v>-0.24</c:v>
                </c:pt>
                <c:pt idx="29">
                  <c:v>-0.25</c:v>
                </c:pt>
                <c:pt idx="30">
                  <c:v>-0.28999999999999998</c:v>
                </c:pt>
                <c:pt idx="31">
                  <c:v>-0.33</c:v>
                </c:pt>
                <c:pt idx="32">
                  <c:v>-0.28999999999999998</c:v>
                </c:pt>
                <c:pt idx="33">
                  <c:v>0.12</c:v>
                </c:pt>
                <c:pt idx="34">
                  <c:v>0.31</c:v>
                </c:pt>
                <c:pt idx="35">
                  <c:v>0.19</c:v>
                </c:pt>
                <c:pt idx="36">
                  <c:v>0.46</c:v>
                </c:pt>
                <c:pt idx="37">
                  <c:v>0.55000000000000004</c:v>
                </c:pt>
                <c:pt idx="38">
                  <c:v>0.62</c:v>
                </c:pt>
                <c:pt idx="39">
                  <c:v>0.6</c:v>
                </c:pt>
                <c:pt idx="40">
                  <c:v>0.7</c:v>
                </c:pt>
                <c:pt idx="41">
                  <c:v>0.89</c:v>
                </c:pt>
                <c:pt idx="42">
                  <c:v>1.0900000000000001</c:v>
                </c:pt>
                <c:pt idx="43">
                  <c:v>1.26</c:v>
                </c:pt>
                <c:pt idx="44">
                  <c:v>1.34</c:v>
                </c:pt>
                <c:pt idx="45">
                  <c:v>1.44</c:v>
                </c:pt>
                <c:pt idx="46">
                  <c:v>1.49</c:v>
                </c:pt>
                <c:pt idx="47">
                  <c:v>1.52</c:v>
                </c:pt>
                <c:pt idx="48">
                  <c:v>1.66</c:v>
                </c:pt>
                <c:pt idx="49">
                  <c:v>1.74</c:v>
                </c:pt>
                <c:pt idx="50">
                  <c:v>1.71</c:v>
                </c:pt>
                <c:pt idx="51">
                  <c:v>1.63</c:v>
                </c:pt>
                <c:pt idx="52">
                  <c:v>1.62</c:v>
                </c:pt>
                <c:pt idx="53">
                  <c:v>1.52</c:v>
                </c:pt>
                <c:pt idx="54">
                  <c:v>1.35</c:v>
                </c:pt>
                <c:pt idx="55">
                  <c:v>0.85</c:v>
                </c:pt>
                <c:pt idx="56">
                  <c:v>1.07</c:v>
                </c:pt>
                <c:pt idx="57">
                  <c:v>1.17</c:v>
                </c:pt>
                <c:pt idx="58">
                  <c:v>1.33</c:v>
                </c:pt>
                <c:pt idx="59">
                  <c:v>1.36</c:v>
                </c:pt>
                <c:pt idx="60">
                  <c:v>1.55</c:v>
                </c:pt>
                <c:pt idx="61">
                  <c:v>1.57</c:v>
                </c:pt>
                <c:pt idx="62">
                  <c:v>1.27</c:v>
                </c:pt>
                <c:pt idx="63">
                  <c:v>0.71</c:v>
                </c:pt>
                <c:pt idx="64">
                  <c:v>0.13</c:v>
                </c:pt>
                <c:pt idx="65">
                  <c:v>0.08</c:v>
                </c:pt>
                <c:pt idx="66">
                  <c:v>0.02</c:v>
                </c:pt>
                <c:pt idx="67">
                  <c:v>0.04</c:v>
                </c:pt>
                <c:pt idx="68">
                  <c:v>0.05</c:v>
                </c:pt>
                <c:pt idx="69">
                  <c:v>0</c:v>
                </c:pt>
                <c:pt idx="70">
                  <c:v>0.06</c:v>
                </c:pt>
                <c:pt idx="71">
                  <c:v>0.16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76-4E08-8E70-40D6F7F7D36B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1'!$A$42:$B$113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1'!$D$42:$D$113</c:f>
              <c:numCache>
                <c:formatCode>General</c:formatCode>
                <c:ptCount val="72"/>
                <c:pt idx="0">
                  <c:v>0.33</c:v>
                </c:pt>
                <c:pt idx="1">
                  <c:v>0.33</c:v>
                </c:pt>
                <c:pt idx="2">
                  <c:v>0.32</c:v>
                </c:pt>
                <c:pt idx="3">
                  <c:v>0.31</c:v>
                </c:pt>
                <c:pt idx="4">
                  <c:v>0.31</c:v>
                </c:pt>
                <c:pt idx="5">
                  <c:v>0.31</c:v>
                </c:pt>
                <c:pt idx="6">
                  <c:v>0.31</c:v>
                </c:pt>
                <c:pt idx="7">
                  <c:v>0.31</c:v>
                </c:pt>
                <c:pt idx="8">
                  <c:v>0.3</c:v>
                </c:pt>
                <c:pt idx="9">
                  <c:v>0.28999999999999998</c:v>
                </c:pt>
                <c:pt idx="10">
                  <c:v>0.28999999999999998</c:v>
                </c:pt>
                <c:pt idx="11">
                  <c:v>0.28999999999999998</c:v>
                </c:pt>
                <c:pt idx="12">
                  <c:v>0.28999999999999998</c:v>
                </c:pt>
                <c:pt idx="13">
                  <c:v>0.28000000000000003</c:v>
                </c:pt>
                <c:pt idx="14">
                  <c:v>0.28999999999999998</c:v>
                </c:pt>
                <c:pt idx="15">
                  <c:v>0.28999999999999998</c:v>
                </c:pt>
                <c:pt idx="16">
                  <c:v>0.28999999999999998</c:v>
                </c:pt>
                <c:pt idx="17">
                  <c:v>0.28999999999999998</c:v>
                </c:pt>
                <c:pt idx="18">
                  <c:v>0.28999999999999998</c:v>
                </c:pt>
                <c:pt idx="19">
                  <c:v>0.28999999999999998</c:v>
                </c:pt>
                <c:pt idx="20">
                  <c:v>0.28999999999999998</c:v>
                </c:pt>
                <c:pt idx="21">
                  <c:v>0.28999999999999998</c:v>
                </c:pt>
                <c:pt idx="22">
                  <c:v>0.28999999999999998</c:v>
                </c:pt>
                <c:pt idx="23">
                  <c:v>0.28999999999999998</c:v>
                </c:pt>
                <c:pt idx="24">
                  <c:v>0.28000000000000003</c:v>
                </c:pt>
                <c:pt idx="25">
                  <c:v>0.28000000000000003</c:v>
                </c:pt>
                <c:pt idx="26">
                  <c:v>0.28000000000000003</c:v>
                </c:pt>
                <c:pt idx="27">
                  <c:v>0.28999999999999998</c:v>
                </c:pt>
                <c:pt idx="28">
                  <c:v>0.3</c:v>
                </c:pt>
                <c:pt idx="29">
                  <c:v>0.3</c:v>
                </c:pt>
                <c:pt idx="30">
                  <c:v>0.3</c:v>
                </c:pt>
                <c:pt idx="31">
                  <c:v>0.43</c:v>
                </c:pt>
                <c:pt idx="32">
                  <c:v>0.46</c:v>
                </c:pt>
                <c:pt idx="33">
                  <c:v>0.51</c:v>
                </c:pt>
                <c:pt idx="34">
                  <c:v>0.71</c:v>
                </c:pt>
                <c:pt idx="35">
                  <c:v>0.75</c:v>
                </c:pt>
                <c:pt idx="36">
                  <c:v>0.77</c:v>
                </c:pt>
                <c:pt idx="37">
                  <c:v>0.9</c:v>
                </c:pt>
                <c:pt idx="38">
                  <c:v>0.9</c:v>
                </c:pt>
                <c:pt idx="39">
                  <c:v>0.9</c:v>
                </c:pt>
                <c:pt idx="40">
                  <c:v>0.9</c:v>
                </c:pt>
                <c:pt idx="41">
                  <c:v>0.93</c:v>
                </c:pt>
                <c:pt idx="42">
                  <c:v>1.18</c:v>
                </c:pt>
                <c:pt idx="43">
                  <c:v>1.45</c:v>
                </c:pt>
                <c:pt idx="44">
                  <c:v>1.54</c:v>
                </c:pt>
                <c:pt idx="45">
                  <c:v>1.76</c:v>
                </c:pt>
                <c:pt idx="46">
                  <c:v>1.99</c:v>
                </c:pt>
                <c:pt idx="47">
                  <c:v>2.0099999999999998</c:v>
                </c:pt>
                <c:pt idx="48">
                  <c:v>2.0099999999999998</c:v>
                </c:pt>
                <c:pt idx="49">
                  <c:v>2.0099999999999998</c:v>
                </c:pt>
                <c:pt idx="50">
                  <c:v>2.0299999999999998</c:v>
                </c:pt>
                <c:pt idx="51">
                  <c:v>2.02</c:v>
                </c:pt>
                <c:pt idx="52">
                  <c:v>2.19</c:v>
                </c:pt>
                <c:pt idx="53">
                  <c:v>2.17</c:v>
                </c:pt>
                <c:pt idx="54">
                  <c:v>2.16</c:v>
                </c:pt>
                <c:pt idx="55">
                  <c:v>2.14</c:v>
                </c:pt>
                <c:pt idx="56">
                  <c:v>2.14</c:v>
                </c:pt>
                <c:pt idx="57">
                  <c:v>2.17</c:v>
                </c:pt>
                <c:pt idx="58">
                  <c:v>2.1800000000000002</c:v>
                </c:pt>
                <c:pt idx="59">
                  <c:v>2.1800000000000002</c:v>
                </c:pt>
                <c:pt idx="60">
                  <c:v>2.17</c:v>
                </c:pt>
                <c:pt idx="61">
                  <c:v>2.34</c:v>
                </c:pt>
                <c:pt idx="62">
                  <c:v>2</c:v>
                </c:pt>
                <c:pt idx="63">
                  <c:v>0.97</c:v>
                </c:pt>
                <c:pt idx="64">
                  <c:v>0.46</c:v>
                </c:pt>
                <c:pt idx="65">
                  <c:v>0.34</c:v>
                </c:pt>
                <c:pt idx="66">
                  <c:v>0.34</c:v>
                </c:pt>
                <c:pt idx="67">
                  <c:v>0.34</c:v>
                </c:pt>
                <c:pt idx="68">
                  <c:v>0.34</c:v>
                </c:pt>
                <c:pt idx="69">
                  <c:v>0.35</c:v>
                </c:pt>
                <c:pt idx="70">
                  <c:v>0.35</c:v>
                </c:pt>
                <c:pt idx="71">
                  <c:v>0.35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C76-4E08-8E70-40D6F7F7D36B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1'!$A$42:$B$113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1'!$G$42:$G$113</c:f>
              <c:numCache>
                <c:formatCode>General</c:formatCode>
                <c:ptCount val="72"/>
                <c:pt idx="0">
                  <c:v>0.13</c:v>
                </c:pt>
                <c:pt idx="1">
                  <c:v>0.17</c:v>
                </c:pt>
                <c:pt idx="2">
                  <c:v>0.14000000000000001</c:v>
                </c:pt>
                <c:pt idx="3">
                  <c:v>0.05</c:v>
                </c:pt>
                <c:pt idx="4">
                  <c:v>0.22</c:v>
                </c:pt>
                <c:pt idx="5">
                  <c:v>0.43</c:v>
                </c:pt>
                <c:pt idx="6">
                  <c:v>0.35</c:v>
                </c:pt>
                <c:pt idx="7">
                  <c:v>0.2</c:v>
                </c:pt>
                <c:pt idx="8">
                  <c:v>0.06</c:v>
                </c:pt>
                <c:pt idx="9">
                  <c:v>-0.05</c:v>
                </c:pt>
                <c:pt idx="10">
                  <c:v>-0.05</c:v>
                </c:pt>
                <c:pt idx="11">
                  <c:v>-0.11</c:v>
                </c:pt>
                <c:pt idx="12">
                  <c:v>0.04</c:v>
                </c:pt>
                <c:pt idx="13">
                  <c:v>-0.08</c:v>
                </c:pt>
                <c:pt idx="14">
                  <c:v>-0.1</c:v>
                </c:pt>
                <c:pt idx="15">
                  <c:v>0.04</c:v>
                </c:pt>
                <c:pt idx="16">
                  <c:v>7.0000000000000007E-2</c:v>
                </c:pt>
                <c:pt idx="17">
                  <c:v>0.05</c:v>
                </c:pt>
                <c:pt idx="18">
                  <c:v>-0.02</c:v>
                </c:pt>
                <c:pt idx="19">
                  <c:v>-0.09</c:v>
                </c:pt>
                <c:pt idx="20">
                  <c:v>-0.19</c:v>
                </c:pt>
                <c:pt idx="21">
                  <c:v>-0.17</c:v>
                </c:pt>
                <c:pt idx="22">
                  <c:v>-0.17</c:v>
                </c:pt>
                <c:pt idx="23">
                  <c:v>-0.21</c:v>
                </c:pt>
                <c:pt idx="24">
                  <c:v>-0.22</c:v>
                </c:pt>
                <c:pt idx="25">
                  <c:v>0.09</c:v>
                </c:pt>
                <c:pt idx="26">
                  <c:v>0.1</c:v>
                </c:pt>
                <c:pt idx="27">
                  <c:v>0.16</c:v>
                </c:pt>
                <c:pt idx="28">
                  <c:v>0.04</c:v>
                </c:pt>
                <c:pt idx="29">
                  <c:v>-0.03</c:v>
                </c:pt>
                <c:pt idx="30">
                  <c:v>0.14000000000000001</c:v>
                </c:pt>
                <c:pt idx="31">
                  <c:v>0.09</c:v>
                </c:pt>
                <c:pt idx="32">
                  <c:v>0.1</c:v>
                </c:pt>
                <c:pt idx="33">
                  <c:v>0.63</c:v>
                </c:pt>
                <c:pt idx="34">
                  <c:v>0.87</c:v>
                </c:pt>
                <c:pt idx="35">
                  <c:v>0.68</c:v>
                </c:pt>
                <c:pt idx="36">
                  <c:v>0.99</c:v>
                </c:pt>
                <c:pt idx="37">
                  <c:v>1.07</c:v>
                </c:pt>
                <c:pt idx="38">
                  <c:v>1.0900000000000001</c:v>
                </c:pt>
                <c:pt idx="39">
                  <c:v>1.05</c:v>
                </c:pt>
                <c:pt idx="40">
                  <c:v>1.21</c:v>
                </c:pt>
                <c:pt idx="41">
                  <c:v>1.41</c:v>
                </c:pt>
                <c:pt idx="42">
                  <c:v>1.44</c:v>
                </c:pt>
                <c:pt idx="43">
                  <c:v>1.55</c:v>
                </c:pt>
                <c:pt idx="44">
                  <c:v>1.7</c:v>
                </c:pt>
                <c:pt idx="45">
                  <c:v>1.81</c:v>
                </c:pt>
                <c:pt idx="46">
                  <c:v>1.79</c:v>
                </c:pt>
                <c:pt idx="47">
                  <c:v>1.71</c:v>
                </c:pt>
                <c:pt idx="48">
                  <c:v>1.6</c:v>
                </c:pt>
                <c:pt idx="49">
                  <c:v>1.61</c:v>
                </c:pt>
                <c:pt idx="50">
                  <c:v>1.7</c:v>
                </c:pt>
                <c:pt idx="51">
                  <c:v>1.63</c:v>
                </c:pt>
                <c:pt idx="52">
                  <c:v>1.57</c:v>
                </c:pt>
                <c:pt idx="53">
                  <c:v>1.43</c:v>
                </c:pt>
                <c:pt idx="54">
                  <c:v>1.31</c:v>
                </c:pt>
                <c:pt idx="55">
                  <c:v>0.89</c:v>
                </c:pt>
                <c:pt idx="56">
                  <c:v>1.1299999999999999</c:v>
                </c:pt>
                <c:pt idx="57">
                  <c:v>1.23</c:v>
                </c:pt>
                <c:pt idx="58">
                  <c:v>1.32</c:v>
                </c:pt>
                <c:pt idx="59">
                  <c:v>1.31</c:v>
                </c:pt>
                <c:pt idx="60">
                  <c:v>1.51</c:v>
                </c:pt>
                <c:pt idx="61">
                  <c:v>1.52</c:v>
                </c:pt>
                <c:pt idx="62">
                  <c:v>1.23</c:v>
                </c:pt>
                <c:pt idx="63">
                  <c:v>1.06</c:v>
                </c:pt>
                <c:pt idx="64">
                  <c:v>0.56999999999999995</c:v>
                </c:pt>
                <c:pt idx="65">
                  <c:v>0.52</c:v>
                </c:pt>
                <c:pt idx="66">
                  <c:v>0.52</c:v>
                </c:pt>
                <c:pt idx="67">
                  <c:v>0.57999999999999996</c:v>
                </c:pt>
                <c:pt idx="68">
                  <c:v>0.57999999999999996</c:v>
                </c:pt>
                <c:pt idx="69">
                  <c:v>0.54</c:v>
                </c:pt>
                <c:pt idx="70">
                  <c:v>0.66</c:v>
                </c:pt>
                <c:pt idx="71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76-4E08-8E70-40D6F7F7D36B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1'!$A$42:$B$113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1'!$E$42:$E$113</c:f>
              <c:numCache>
                <c:formatCode>General</c:formatCode>
                <c:ptCount val="72"/>
                <c:pt idx="0">
                  <c:v>0.51</c:v>
                </c:pt>
                <c:pt idx="1">
                  <c:v>0.51</c:v>
                </c:pt>
                <c:pt idx="2">
                  <c:v>0.49</c:v>
                </c:pt>
                <c:pt idx="3">
                  <c:v>0.48</c:v>
                </c:pt>
                <c:pt idx="4">
                  <c:v>0.48</c:v>
                </c:pt>
                <c:pt idx="5">
                  <c:v>0.48</c:v>
                </c:pt>
                <c:pt idx="6">
                  <c:v>0.48</c:v>
                </c:pt>
                <c:pt idx="7">
                  <c:v>0.48</c:v>
                </c:pt>
                <c:pt idx="8">
                  <c:v>0.47</c:v>
                </c:pt>
                <c:pt idx="9">
                  <c:v>0.46</c:v>
                </c:pt>
                <c:pt idx="10">
                  <c:v>0.46</c:v>
                </c:pt>
                <c:pt idx="11">
                  <c:v>0.46</c:v>
                </c:pt>
                <c:pt idx="12">
                  <c:v>0.45</c:v>
                </c:pt>
                <c:pt idx="13">
                  <c:v>0.45</c:v>
                </c:pt>
                <c:pt idx="14">
                  <c:v>0.45</c:v>
                </c:pt>
                <c:pt idx="15">
                  <c:v>0.45</c:v>
                </c:pt>
                <c:pt idx="16">
                  <c:v>0.45</c:v>
                </c:pt>
                <c:pt idx="17">
                  <c:v>0.45</c:v>
                </c:pt>
                <c:pt idx="18">
                  <c:v>0.45</c:v>
                </c:pt>
                <c:pt idx="19">
                  <c:v>0.45</c:v>
                </c:pt>
                <c:pt idx="20">
                  <c:v>0.45</c:v>
                </c:pt>
                <c:pt idx="21">
                  <c:v>0.45</c:v>
                </c:pt>
                <c:pt idx="22">
                  <c:v>0.45</c:v>
                </c:pt>
                <c:pt idx="23">
                  <c:v>0.45</c:v>
                </c:pt>
                <c:pt idx="24">
                  <c:v>0.44</c:v>
                </c:pt>
                <c:pt idx="25">
                  <c:v>0.44</c:v>
                </c:pt>
                <c:pt idx="26">
                  <c:v>0.44</c:v>
                </c:pt>
                <c:pt idx="27">
                  <c:v>0.45</c:v>
                </c:pt>
                <c:pt idx="28">
                  <c:v>0.46</c:v>
                </c:pt>
                <c:pt idx="29">
                  <c:v>0.46</c:v>
                </c:pt>
                <c:pt idx="30">
                  <c:v>0.47</c:v>
                </c:pt>
                <c:pt idx="31">
                  <c:v>0.6</c:v>
                </c:pt>
                <c:pt idx="32">
                  <c:v>0.64</c:v>
                </c:pt>
                <c:pt idx="33">
                  <c:v>0.69</c:v>
                </c:pt>
                <c:pt idx="34">
                  <c:v>0.91</c:v>
                </c:pt>
                <c:pt idx="35">
                  <c:v>0.96</c:v>
                </c:pt>
                <c:pt idx="36">
                  <c:v>0.98</c:v>
                </c:pt>
                <c:pt idx="37">
                  <c:v>1.1100000000000001</c:v>
                </c:pt>
                <c:pt idx="38">
                  <c:v>1.1200000000000001</c:v>
                </c:pt>
                <c:pt idx="39">
                  <c:v>1.1200000000000001</c:v>
                </c:pt>
                <c:pt idx="40">
                  <c:v>1.1200000000000001</c:v>
                </c:pt>
                <c:pt idx="41">
                  <c:v>1.1499999999999999</c:v>
                </c:pt>
                <c:pt idx="42">
                  <c:v>1.39</c:v>
                </c:pt>
                <c:pt idx="43">
                  <c:v>1.67</c:v>
                </c:pt>
                <c:pt idx="44">
                  <c:v>1.79</c:v>
                </c:pt>
                <c:pt idx="45">
                  <c:v>1.95</c:v>
                </c:pt>
                <c:pt idx="46">
                  <c:v>2.1800000000000002</c:v>
                </c:pt>
                <c:pt idx="47">
                  <c:v>2.21</c:v>
                </c:pt>
                <c:pt idx="48">
                  <c:v>2.21</c:v>
                </c:pt>
                <c:pt idx="49">
                  <c:v>2.2000000000000002</c:v>
                </c:pt>
                <c:pt idx="50">
                  <c:v>2.2000000000000002</c:v>
                </c:pt>
                <c:pt idx="51">
                  <c:v>2.21</c:v>
                </c:pt>
                <c:pt idx="52">
                  <c:v>2.3199999999999998</c:v>
                </c:pt>
                <c:pt idx="53">
                  <c:v>2.29</c:v>
                </c:pt>
                <c:pt idx="54">
                  <c:v>2.2799999999999998</c:v>
                </c:pt>
                <c:pt idx="55">
                  <c:v>2.2200000000000002</c:v>
                </c:pt>
                <c:pt idx="56">
                  <c:v>2.2000000000000002</c:v>
                </c:pt>
                <c:pt idx="57">
                  <c:v>2.2799999999999998</c:v>
                </c:pt>
                <c:pt idx="58">
                  <c:v>2.2799999999999998</c:v>
                </c:pt>
                <c:pt idx="59">
                  <c:v>2.27</c:v>
                </c:pt>
                <c:pt idx="60">
                  <c:v>2.27</c:v>
                </c:pt>
                <c:pt idx="61">
                  <c:v>2.42</c:v>
                </c:pt>
                <c:pt idx="62">
                  <c:v>2.0099999999999998</c:v>
                </c:pt>
                <c:pt idx="63">
                  <c:v>0.92</c:v>
                </c:pt>
                <c:pt idx="64">
                  <c:v>0.51</c:v>
                </c:pt>
                <c:pt idx="65">
                  <c:v>0.43</c:v>
                </c:pt>
                <c:pt idx="66">
                  <c:v>0.43</c:v>
                </c:pt>
                <c:pt idx="67">
                  <c:v>0.43</c:v>
                </c:pt>
                <c:pt idx="68">
                  <c:v>0.44</c:v>
                </c:pt>
                <c:pt idx="69">
                  <c:v>0.43</c:v>
                </c:pt>
                <c:pt idx="70">
                  <c:v>0.44</c:v>
                </c:pt>
                <c:pt idx="71">
                  <c:v>0.49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C76-4E08-8E70-40D6F7F7D36B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1'!$A$42:$B$113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1'!$H$42:$H$113</c:f>
              <c:numCache>
                <c:formatCode>General</c:formatCode>
                <c:ptCount val="72"/>
                <c:pt idx="0">
                  <c:v>0.35</c:v>
                </c:pt>
                <c:pt idx="1">
                  <c:v>0.4</c:v>
                </c:pt>
                <c:pt idx="2">
                  <c:v>0.35</c:v>
                </c:pt>
                <c:pt idx="3">
                  <c:v>0.26</c:v>
                </c:pt>
                <c:pt idx="4">
                  <c:v>0.6</c:v>
                </c:pt>
                <c:pt idx="5">
                  <c:v>1.01</c:v>
                </c:pt>
                <c:pt idx="6">
                  <c:v>0.97</c:v>
                </c:pt>
                <c:pt idx="7">
                  <c:v>0.74</c:v>
                </c:pt>
                <c:pt idx="8">
                  <c:v>0.68</c:v>
                </c:pt>
                <c:pt idx="9">
                  <c:v>0.56000000000000005</c:v>
                </c:pt>
                <c:pt idx="10">
                  <c:v>0.49</c:v>
                </c:pt>
                <c:pt idx="11">
                  <c:v>0.49</c:v>
                </c:pt>
                <c:pt idx="12">
                  <c:v>0.62</c:v>
                </c:pt>
                <c:pt idx="13">
                  <c:v>0.46</c:v>
                </c:pt>
                <c:pt idx="14">
                  <c:v>0.35</c:v>
                </c:pt>
                <c:pt idx="15">
                  <c:v>0.43</c:v>
                </c:pt>
                <c:pt idx="16">
                  <c:v>0.46</c:v>
                </c:pt>
                <c:pt idx="17">
                  <c:v>0.45</c:v>
                </c:pt>
                <c:pt idx="18">
                  <c:v>0.37</c:v>
                </c:pt>
                <c:pt idx="19">
                  <c:v>0.28999999999999998</c:v>
                </c:pt>
                <c:pt idx="20">
                  <c:v>0.25</c:v>
                </c:pt>
                <c:pt idx="21">
                  <c:v>0.37</c:v>
                </c:pt>
                <c:pt idx="22">
                  <c:v>0.55000000000000004</c:v>
                </c:pt>
                <c:pt idx="23">
                  <c:v>0.53</c:v>
                </c:pt>
                <c:pt idx="24">
                  <c:v>0.47</c:v>
                </c:pt>
                <c:pt idx="25">
                  <c:v>0.63</c:v>
                </c:pt>
                <c:pt idx="26">
                  <c:v>0.87</c:v>
                </c:pt>
                <c:pt idx="27">
                  <c:v>0.96</c:v>
                </c:pt>
                <c:pt idx="28">
                  <c:v>0.74</c:v>
                </c:pt>
                <c:pt idx="29">
                  <c:v>0.77</c:v>
                </c:pt>
                <c:pt idx="30">
                  <c:v>0.9</c:v>
                </c:pt>
                <c:pt idx="31">
                  <c:v>0.83</c:v>
                </c:pt>
                <c:pt idx="32">
                  <c:v>0.97</c:v>
                </c:pt>
                <c:pt idx="33">
                  <c:v>1.45</c:v>
                </c:pt>
                <c:pt idx="34">
                  <c:v>1.68</c:v>
                </c:pt>
                <c:pt idx="35">
                  <c:v>1.5</c:v>
                </c:pt>
                <c:pt idx="36">
                  <c:v>1.77</c:v>
                </c:pt>
                <c:pt idx="37">
                  <c:v>1.82</c:v>
                </c:pt>
                <c:pt idx="38">
                  <c:v>1.81</c:v>
                </c:pt>
                <c:pt idx="39">
                  <c:v>1.74</c:v>
                </c:pt>
                <c:pt idx="40">
                  <c:v>1.89</c:v>
                </c:pt>
                <c:pt idx="41">
                  <c:v>2.14</c:v>
                </c:pt>
                <c:pt idx="42">
                  <c:v>2.11</c:v>
                </c:pt>
                <c:pt idx="43">
                  <c:v>2.14</c:v>
                </c:pt>
                <c:pt idx="44">
                  <c:v>2.14</c:v>
                </c:pt>
                <c:pt idx="45">
                  <c:v>2.14</c:v>
                </c:pt>
                <c:pt idx="46">
                  <c:v>2.0699999999999998</c:v>
                </c:pt>
                <c:pt idx="47">
                  <c:v>2.0099999999999998</c:v>
                </c:pt>
                <c:pt idx="48">
                  <c:v>1.85</c:v>
                </c:pt>
                <c:pt idx="49">
                  <c:v>1.76</c:v>
                </c:pt>
                <c:pt idx="50">
                  <c:v>1.82</c:v>
                </c:pt>
                <c:pt idx="51">
                  <c:v>1.82</c:v>
                </c:pt>
                <c:pt idx="52">
                  <c:v>1.86</c:v>
                </c:pt>
                <c:pt idx="53">
                  <c:v>1.58</c:v>
                </c:pt>
                <c:pt idx="54">
                  <c:v>1.36</c:v>
                </c:pt>
                <c:pt idx="55">
                  <c:v>0.99</c:v>
                </c:pt>
                <c:pt idx="56">
                  <c:v>1.24</c:v>
                </c:pt>
                <c:pt idx="57">
                  <c:v>1.32</c:v>
                </c:pt>
                <c:pt idx="58">
                  <c:v>1.47</c:v>
                </c:pt>
                <c:pt idx="59">
                  <c:v>1.51</c:v>
                </c:pt>
                <c:pt idx="60">
                  <c:v>1.62</c:v>
                </c:pt>
                <c:pt idx="61">
                  <c:v>1.47</c:v>
                </c:pt>
                <c:pt idx="62">
                  <c:v>1.28</c:v>
                </c:pt>
                <c:pt idx="63">
                  <c:v>1.28</c:v>
                </c:pt>
                <c:pt idx="64">
                  <c:v>0.92</c:v>
                </c:pt>
                <c:pt idx="65">
                  <c:v>0.86</c:v>
                </c:pt>
                <c:pt idx="66">
                  <c:v>0.86</c:v>
                </c:pt>
                <c:pt idx="67">
                  <c:v>0.95</c:v>
                </c:pt>
                <c:pt idx="68">
                  <c:v>0.98</c:v>
                </c:pt>
                <c:pt idx="69">
                  <c:v>0.94</c:v>
                </c:pt>
                <c:pt idx="70">
                  <c:v>1.1200000000000001</c:v>
                </c:pt>
                <c:pt idx="71">
                  <c:v>1.26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C76-4E08-8E70-40D6F7F7D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742464"/>
        <c:axId val="271744000"/>
      </c:lineChart>
      <c:catAx>
        <c:axId val="27174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71744000"/>
        <c:crosses val="autoZero"/>
        <c:auto val="1"/>
        <c:lblAlgn val="ctr"/>
        <c:lblOffset val="100"/>
        <c:noMultiLvlLbl val="0"/>
      </c:catAx>
      <c:valAx>
        <c:axId val="271744000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174246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9E3F-F347-43BC-AB7A-5877A9FD3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22F19-1F83-48D8-9BA9-645461A5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2</Pages>
  <Words>864</Words>
  <Characters>5104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5957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3</cp:revision>
  <cp:lastPrinted>2019-04-08T10:52:00Z</cp:lastPrinted>
  <dcterms:created xsi:type="dcterms:W3CDTF">2021-03-18T08:13:00Z</dcterms:created>
  <dcterms:modified xsi:type="dcterms:W3CDTF">2021-03-18T09:04:00Z</dcterms:modified>
</cp:coreProperties>
</file>