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A3F11" w14:textId="77777777" w:rsidR="007C7530" w:rsidRPr="00007608" w:rsidRDefault="003A040F" w:rsidP="00640F07">
      <w:pPr>
        <w:pStyle w:val="Nadpis1"/>
        <w:spacing w:after="240" w:line="240" w:lineRule="auto"/>
        <w:rPr>
          <w:rFonts w:ascii="Arial" w:hAnsi="Arial" w:cs="Arial"/>
          <w:i/>
          <w:sz w:val="24"/>
        </w:rPr>
      </w:pPr>
      <w:r w:rsidRPr="00007608">
        <w:rPr>
          <w:rFonts w:ascii="Arial" w:hAnsi="Arial" w:cs="Arial"/>
          <w:i/>
          <w:sz w:val="24"/>
        </w:rPr>
        <w:t>METHODOLOGICAL NOTES</w:t>
      </w:r>
    </w:p>
    <w:p w14:paraId="69A20FD8" w14:textId="54F3415B"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The publication presents results of th</w:t>
      </w:r>
      <w:r w:rsidR="00397446">
        <w:rPr>
          <w:rFonts w:ascii="Arial" w:hAnsi="Arial" w:cs="Arial"/>
          <w:i/>
          <w:sz w:val="20"/>
          <w:lang w:val="en-GB"/>
        </w:rPr>
        <w:t>e food and</w:t>
      </w:r>
      <w:r w:rsidR="009A24D9">
        <w:rPr>
          <w:rFonts w:ascii="Arial" w:hAnsi="Arial" w:cs="Arial"/>
          <w:i/>
          <w:sz w:val="20"/>
          <w:lang w:val="en-GB"/>
        </w:rPr>
        <w:t xml:space="preserve"> beverages</w:t>
      </w:r>
      <w:r w:rsidR="009C76E0">
        <w:rPr>
          <w:rFonts w:ascii="Arial" w:hAnsi="Arial" w:cs="Arial"/>
          <w:i/>
          <w:sz w:val="20"/>
          <w:lang w:val="en-GB"/>
        </w:rPr>
        <w:t xml:space="preserve"> consumption statistics for 20</w:t>
      </w:r>
      <w:r w:rsidR="009A24D9">
        <w:rPr>
          <w:rFonts w:ascii="Arial" w:hAnsi="Arial" w:cs="Arial"/>
          <w:i/>
          <w:sz w:val="20"/>
          <w:lang w:val="en-GB"/>
        </w:rPr>
        <w:t>2</w:t>
      </w:r>
      <w:r w:rsidR="006167F9">
        <w:rPr>
          <w:rFonts w:ascii="Arial" w:hAnsi="Arial" w:cs="Arial"/>
          <w:i/>
          <w:sz w:val="20"/>
          <w:lang w:val="en-GB"/>
        </w:rPr>
        <w:t>4</w:t>
      </w:r>
      <w:r w:rsidRPr="008C50DC">
        <w:rPr>
          <w:rFonts w:ascii="Arial" w:hAnsi="Arial" w:cs="Arial"/>
          <w:i/>
          <w:sz w:val="20"/>
          <w:lang w:val="en-GB"/>
        </w:rPr>
        <w:t>. In order to improve user-friendliness it includes, among others, als</w:t>
      </w:r>
      <w:r w:rsidR="003965AD">
        <w:rPr>
          <w:rFonts w:ascii="Arial" w:hAnsi="Arial" w:cs="Arial"/>
          <w:i/>
          <w:sz w:val="20"/>
          <w:lang w:val="en-GB"/>
        </w:rPr>
        <w:t>o</w:t>
      </w:r>
      <w:r w:rsidR="006167F9">
        <w:rPr>
          <w:rFonts w:ascii="Arial" w:hAnsi="Arial" w:cs="Arial"/>
          <w:i/>
          <w:sz w:val="20"/>
          <w:lang w:val="en-GB"/>
        </w:rPr>
        <w:t xml:space="preserve"> time series beginning with 2015</w:t>
      </w:r>
      <w:r w:rsidRPr="008C50DC">
        <w:rPr>
          <w:rFonts w:ascii="Arial" w:hAnsi="Arial" w:cs="Arial"/>
          <w:i/>
          <w:sz w:val="20"/>
          <w:lang w:val="en-GB"/>
        </w:rPr>
        <w:t>.</w:t>
      </w:r>
    </w:p>
    <w:p w14:paraId="0946B2CE" w14:textId="77777777"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Totals, indices and c</w:t>
      </w:r>
      <w:r w:rsidRPr="008C50DC">
        <w:rPr>
          <w:rFonts w:ascii="Arial" w:hAnsi="Arial" w:cs="Arial"/>
          <w:i/>
          <w:iCs/>
          <w:sz w:val="20"/>
          <w:lang w:val="en-GB"/>
        </w:rPr>
        <w:t>alculations in the commentary</w:t>
      </w:r>
      <w:r w:rsidRPr="008C50DC">
        <w:rPr>
          <w:rFonts w:ascii="Arial" w:hAnsi="Arial" w:cs="Arial"/>
          <w:i/>
          <w:sz w:val="20"/>
          <w:lang w:val="en-GB"/>
        </w:rPr>
        <w:t xml:space="preserve"> are based on non-rounded figures.</w:t>
      </w:r>
    </w:p>
    <w:p w14:paraId="78463A6F" w14:textId="77777777"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The data for food and beverages consumption were obtained using the balance method applied to the following statistical information:</w:t>
      </w:r>
    </w:p>
    <w:p w14:paraId="393CBDF8" w14:textId="7733221C"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A</w:t>
      </w:r>
      <w:r w:rsidR="006167F9">
        <w:rPr>
          <w:rFonts w:ascii="Arial" w:hAnsi="Arial" w:cs="Arial"/>
          <w:i/>
          <w:sz w:val="20"/>
          <w:lang w:val="en-GB"/>
        </w:rPr>
        <w:t>nimal production statistics 2024</w:t>
      </w:r>
    </w:p>
    <w:p w14:paraId="6A50A07E" w14:textId="2ECB546E" w:rsidR="008C50DC" w:rsidRPr="008C50DC" w:rsidRDefault="007D67DA" w:rsidP="008C50DC">
      <w:pPr>
        <w:numPr>
          <w:ilvl w:val="0"/>
          <w:numId w:val="1"/>
        </w:numPr>
        <w:spacing w:before="120" w:after="120"/>
        <w:jc w:val="both"/>
        <w:rPr>
          <w:rFonts w:ascii="Arial" w:hAnsi="Arial" w:cs="Arial"/>
          <w:i/>
          <w:sz w:val="20"/>
          <w:lang w:val="en-GB"/>
        </w:rPr>
      </w:pPr>
      <w:r>
        <w:rPr>
          <w:rFonts w:ascii="Arial" w:hAnsi="Arial" w:cs="Arial"/>
          <w:i/>
          <w:sz w:val="20"/>
          <w:lang w:val="en-GB"/>
        </w:rPr>
        <w:t>Final harvest figures 202</w:t>
      </w:r>
      <w:r w:rsidR="006167F9">
        <w:rPr>
          <w:rFonts w:ascii="Arial" w:hAnsi="Arial" w:cs="Arial"/>
          <w:i/>
          <w:sz w:val="20"/>
          <w:lang w:val="en-GB"/>
        </w:rPr>
        <w:t>4</w:t>
      </w:r>
    </w:p>
    <w:p w14:paraId="3229F3F7" w14:textId="3BFA9158"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Production of s</w:t>
      </w:r>
      <w:r w:rsidR="003551F2">
        <w:rPr>
          <w:rFonts w:ascii="Arial" w:hAnsi="Arial" w:cs="Arial"/>
          <w:i/>
          <w:sz w:val="20"/>
          <w:lang w:val="en-GB"/>
        </w:rPr>
        <w:t>e</w:t>
      </w:r>
      <w:r w:rsidR="00B8571B">
        <w:rPr>
          <w:rFonts w:ascii="Arial" w:hAnsi="Arial" w:cs="Arial"/>
          <w:i/>
          <w:sz w:val="20"/>
          <w:lang w:val="en-GB"/>
        </w:rPr>
        <w:t>l</w:t>
      </w:r>
      <w:r w:rsidR="006167F9">
        <w:rPr>
          <w:rFonts w:ascii="Arial" w:hAnsi="Arial" w:cs="Arial"/>
          <w:i/>
          <w:sz w:val="20"/>
          <w:lang w:val="en-GB"/>
        </w:rPr>
        <w:t>ected industrial products 2024</w:t>
      </w:r>
    </w:p>
    <w:p w14:paraId="0E811DAE" w14:textId="77777777"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Initial and final stocks in agricultural enterprises</w:t>
      </w:r>
    </w:p>
    <w:p w14:paraId="0A5C529D" w14:textId="77777777"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Initial and final stocks in food processing enterprises</w:t>
      </w:r>
    </w:p>
    <w:p w14:paraId="12D9FF92" w14:textId="706DC9FC"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 xml:space="preserve">Import and export of food products based on external trade statistics of the Czech Statistical Office (as </w:t>
      </w:r>
      <w:r w:rsidRPr="003F5CE1">
        <w:rPr>
          <w:rFonts w:ascii="Arial" w:hAnsi="Arial" w:cs="Arial"/>
          <w:i/>
          <w:sz w:val="20"/>
          <w:lang w:val="en-GB"/>
        </w:rPr>
        <w:t xml:space="preserve">at </w:t>
      </w:r>
      <w:r w:rsidR="003551F2">
        <w:rPr>
          <w:rFonts w:ascii="Arial" w:hAnsi="Arial" w:cs="Arial"/>
          <w:i/>
          <w:sz w:val="20"/>
          <w:lang w:val="en-GB"/>
        </w:rPr>
        <w:t>1 September 202</w:t>
      </w:r>
      <w:r w:rsidR="006167F9">
        <w:rPr>
          <w:rFonts w:ascii="Arial" w:hAnsi="Arial" w:cs="Arial"/>
          <w:i/>
          <w:sz w:val="20"/>
          <w:lang w:val="en-GB"/>
        </w:rPr>
        <w:t>5</w:t>
      </w:r>
      <w:r w:rsidRPr="003F5CE1">
        <w:rPr>
          <w:rFonts w:ascii="Arial" w:hAnsi="Arial" w:cs="Arial"/>
          <w:i/>
          <w:sz w:val="20"/>
          <w:lang w:val="en-GB"/>
        </w:rPr>
        <w:t>)</w:t>
      </w:r>
    </w:p>
    <w:p w14:paraId="502E2FCC" w14:textId="77777777" w:rsidR="008C50DC" w:rsidRPr="008C50DC" w:rsidRDefault="008C50DC" w:rsidP="008C50DC">
      <w:pPr>
        <w:numPr>
          <w:ilvl w:val="0"/>
          <w:numId w:val="1"/>
        </w:numPr>
        <w:spacing w:before="120" w:after="120"/>
        <w:jc w:val="both"/>
        <w:rPr>
          <w:rFonts w:ascii="Arial" w:hAnsi="Arial" w:cs="Arial"/>
          <w:i/>
          <w:sz w:val="20"/>
          <w:lang w:val="en-GB"/>
        </w:rPr>
      </w:pPr>
      <w:r w:rsidRPr="008C50DC">
        <w:rPr>
          <w:rFonts w:ascii="Arial" w:hAnsi="Arial" w:cs="Arial"/>
          <w:i/>
          <w:sz w:val="20"/>
          <w:lang w:val="en-GB"/>
        </w:rPr>
        <w:t>Self-supply of food products</w:t>
      </w:r>
    </w:p>
    <w:p w14:paraId="16EC81F3" w14:textId="77777777"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Further data used for the calculation were obtained from the Ministry of Agriculture, the Institute of Agricultural Economics and Information, particular food producers’ unions and other organizations.</w:t>
      </w:r>
    </w:p>
    <w:p w14:paraId="0A41FCC8" w14:textId="77777777"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No obligatory classification standards exist for food consumption statistics either on national or international (Eurostat) level. Starting with the publication "Food consumption in 2001" the Czech Statistical Office has changed the order of published food commodities in order to improve the data use. Particular food consumption items were arranged in line with first two divisions of the CZ</w:t>
      </w:r>
      <w:r w:rsidR="00826CA1">
        <w:rPr>
          <w:rFonts w:cs="Arial"/>
          <w:i/>
          <w:lang w:val="en-GB"/>
        </w:rPr>
        <w:t> </w:t>
      </w:r>
      <w:r w:rsidRPr="008C50DC">
        <w:rPr>
          <w:rFonts w:ascii="Arial" w:hAnsi="Arial" w:cs="Arial"/>
          <w:i/>
          <w:sz w:val="20"/>
          <w:lang w:val="en-GB"/>
        </w:rPr>
        <w:t>-</w:t>
      </w:r>
      <w:r w:rsidR="00826CA1">
        <w:rPr>
          <w:rFonts w:cs="Arial"/>
          <w:i/>
          <w:lang w:val="en-GB"/>
        </w:rPr>
        <w:t> </w:t>
      </w:r>
      <w:r w:rsidRPr="008C50DC">
        <w:rPr>
          <w:rFonts w:ascii="Arial" w:hAnsi="Arial" w:cs="Arial"/>
          <w:i/>
          <w:sz w:val="20"/>
          <w:lang w:val="en-GB"/>
        </w:rPr>
        <w:t>COICOP classification (the Czech version of the international COICOP standard; designed to enable international comparisons and used also in the Household Budget Surveys statistics).</w:t>
      </w:r>
    </w:p>
    <w:p w14:paraId="208B2C4C" w14:textId="77777777"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Food consumption items cover two main divisions: 01 – Food and non-alcoholic beverages, 02 – Alcoholic beverages and cigarettes. The divisions break further down into groups and subgroups.</w:t>
      </w:r>
    </w:p>
    <w:p w14:paraId="162F1676" w14:textId="4E3D4B1F" w:rsidR="008C50DC" w:rsidRPr="008C50DC" w:rsidRDefault="008C50DC" w:rsidP="008C50DC">
      <w:pPr>
        <w:spacing w:before="120" w:after="120"/>
        <w:ind w:firstLine="567"/>
        <w:jc w:val="both"/>
        <w:rPr>
          <w:rFonts w:ascii="Arial" w:hAnsi="Arial" w:cs="Arial"/>
          <w:i/>
          <w:sz w:val="20"/>
          <w:lang w:val="en-GB"/>
        </w:rPr>
      </w:pPr>
      <w:r w:rsidRPr="008C50DC">
        <w:rPr>
          <w:rFonts w:ascii="Arial" w:hAnsi="Arial" w:cs="Arial"/>
          <w:i/>
          <w:sz w:val="20"/>
          <w:lang w:val="en-GB"/>
        </w:rPr>
        <w:t>The food, beverages and cigarettes consumption data were calculated as average per capita figures; mid-year population (as at 1 July of the given year) is used. The table show</w:t>
      </w:r>
      <w:r w:rsidR="00FC058E">
        <w:rPr>
          <w:rFonts w:ascii="Arial" w:hAnsi="Arial" w:cs="Arial"/>
          <w:i/>
          <w:sz w:val="20"/>
          <w:lang w:val="en-GB"/>
        </w:rPr>
        <w:t>s the mid-year population in 201</w:t>
      </w:r>
      <w:r w:rsidR="006167F9">
        <w:rPr>
          <w:rFonts w:ascii="Arial" w:hAnsi="Arial" w:cs="Arial"/>
          <w:i/>
          <w:sz w:val="20"/>
          <w:lang w:val="en-GB"/>
        </w:rPr>
        <w:t>5–2024</w:t>
      </w:r>
      <w:r w:rsidRPr="008C50DC">
        <w:rPr>
          <w:rFonts w:ascii="Arial" w:hAnsi="Arial" w:cs="Arial"/>
          <w:i/>
          <w:sz w:val="20"/>
          <w:lang w:val="en-GB"/>
        </w:rPr>
        <w:t>:</w:t>
      </w:r>
    </w:p>
    <w:tbl>
      <w:tblPr>
        <w:tblW w:w="0" w:type="auto"/>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131"/>
        <w:gridCol w:w="3390"/>
        <w:gridCol w:w="1131"/>
        <w:gridCol w:w="3390"/>
      </w:tblGrid>
      <w:tr w:rsidR="005015A5" w:rsidRPr="00007608" w14:paraId="41E28B29" w14:textId="77777777" w:rsidTr="005015A5">
        <w:trPr>
          <w:jc w:val="center"/>
        </w:trPr>
        <w:tc>
          <w:tcPr>
            <w:tcW w:w="1131" w:type="dxa"/>
            <w:tcBorders>
              <w:top w:val="single" w:sz="12" w:space="0" w:color="auto"/>
              <w:bottom w:val="double" w:sz="4" w:space="0" w:color="auto"/>
              <w:right w:val="single" w:sz="6" w:space="0" w:color="auto"/>
            </w:tcBorders>
            <w:vAlign w:val="center"/>
          </w:tcPr>
          <w:p w14:paraId="277D5ED9" w14:textId="77777777" w:rsidR="005015A5" w:rsidRPr="00007608" w:rsidRDefault="005015A5" w:rsidP="00F97759">
            <w:pPr>
              <w:spacing w:before="120"/>
              <w:jc w:val="center"/>
              <w:rPr>
                <w:rFonts w:ascii="Arial" w:hAnsi="Arial" w:cs="Arial"/>
                <w:b/>
                <w:bCs/>
                <w:i/>
                <w:sz w:val="20"/>
                <w:lang w:val="en-GB"/>
              </w:rPr>
            </w:pPr>
            <w:r w:rsidRPr="00007608">
              <w:rPr>
                <w:rFonts w:ascii="Arial" w:hAnsi="Arial" w:cs="Arial"/>
                <w:b/>
                <w:bCs/>
                <w:i/>
                <w:sz w:val="20"/>
                <w:lang w:val="en-GB"/>
              </w:rPr>
              <w:t>Year</w:t>
            </w:r>
          </w:p>
        </w:tc>
        <w:tc>
          <w:tcPr>
            <w:tcW w:w="3390" w:type="dxa"/>
            <w:tcBorders>
              <w:top w:val="single" w:sz="12" w:space="0" w:color="auto"/>
              <w:left w:val="single" w:sz="6" w:space="0" w:color="auto"/>
              <w:bottom w:val="double" w:sz="4" w:space="0" w:color="auto"/>
              <w:right w:val="single" w:sz="12" w:space="0" w:color="auto"/>
            </w:tcBorders>
          </w:tcPr>
          <w:p w14:paraId="0FAC643B" w14:textId="77777777" w:rsidR="005015A5" w:rsidRPr="00007608" w:rsidRDefault="005015A5" w:rsidP="00F97759">
            <w:pPr>
              <w:spacing w:before="120"/>
              <w:jc w:val="center"/>
              <w:rPr>
                <w:rFonts w:ascii="Arial" w:hAnsi="Arial" w:cs="Arial"/>
                <w:b/>
                <w:bCs/>
                <w:i/>
                <w:sz w:val="20"/>
                <w:lang w:val="en-GB"/>
              </w:rPr>
            </w:pPr>
            <w:r w:rsidRPr="00007608">
              <w:rPr>
                <w:rFonts w:ascii="Arial" w:hAnsi="Arial" w:cs="Arial"/>
                <w:b/>
                <w:bCs/>
                <w:i/>
                <w:sz w:val="20"/>
                <w:lang w:val="en-GB"/>
              </w:rPr>
              <w:t>Mid-year population</w:t>
            </w:r>
          </w:p>
        </w:tc>
        <w:tc>
          <w:tcPr>
            <w:tcW w:w="1131" w:type="dxa"/>
            <w:tcBorders>
              <w:top w:val="single" w:sz="12" w:space="0" w:color="auto"/>
              <w:left w:val="single" w:sz="12" w:space="0" w:color="auto"/>
              <w:bottom w:val="double" w:sz="4" w:space="0" w:color="auto"/>
              <w:right w:val="single" w:sz="6" w:space="0" w:color="auto"/>
            </w:tcBorders>
          </w:tcPr>
          <w:p w14:paraId="638DE427" w14:textId="77777777" w:rsidR="005015A5" w:rsidRPr="00007608" w:rsidRDefault="005015A5" w:rsidP="00F97759">
            <w:pPr>
              <w:spacing w:before="120"/>
              <w:jc w:val="center"/>
              <w:rPr>
                <w:rFonts w:ascii="Arial" w:hAnsi="Arial" w:cs="Arial"/>
                <w:b/>
                <w:bCs/>
                <w:i/>
                <w:sz w:val="20"/>
                <w:lang w:val="en-GB"/>
              </w:rPr>
            </w:pPr>
            <w:r w:rsidRPr="00007608">
              <w:rPr>
                <w:rFonts w:ascii="Arial" w:hAnsi="Arial" w:cs="Arial"/>
                <w:b/>
                <w:bCs/>
                <w:i/>
                <w:sz w:val="20"/>
                <w:lang w:val="en-GB"/>
              </w:rPr>
              <w:t>Year</w:t>
            </w:r>
          </w:p>
        </w:tc>
        <w:tc>
          <w:tcPr>
            <w:tcW w:w="3390" w:type="dxa"/>
            <w:tcBorders>
              <w:top w:val="single" w:sz="12" w:space="0" w:color="auto"/>
              <w:left w:val="single" w:sz="6" w:space="0" w:color="auto"/>
              <w:bottom w:val="double" w:sz="4" w:space="0" w:color="auto"/>
            </w:tcBorders>
          </w:tcPr>
          <w:p w14:paraId="55769943" w14:textId="77777777" w:rsidR="005015A5" w:rsidRPr="00007608" w:rsidRDefault="005015A5" w:rsidP="00F97759">
            <w:pPr>
              <w:spacing w:before="120"/>
              <w:jc w:val="center"/>
              <w:rPr>
                <w:rFonts w:ascii="Arial" w:hAnsi="Arial" w:cs="Arial"/>
                <w:b/>
                <w:bCs/>
                <w:i/>
                <w:sz w:val="20"/>
                <w:lang w:val="en-GB"/>
              </w:rPr>
            </w:pPr>
            <w:r w:rsidRPr="00007608">
              <w:rPr>
                <w:rFonts w:ascii="Arial" w:hAnsi="Arial" w:cs="Arial"/>
                <w:b/>
                <w:bCs/>
                <w:i/>
                <w:sz w:val="20"/>
                <w:lang w:val="en-GB"/>
              </w:rPr>
              <w:t>Mid-year population</w:t>
            </w:r>
          </w:p>
        </w:tc>
      </w:tr>
      <w:tr w:rsidR="00FC058E" w:rsidRPr="00007608" w14:paraId="1826A624" w14:textId="77777777" w:rsidTr="00526A15">
        <w:trPr>
          <w:jc w:val="center"/>
        </w:trPr>
        <w:tc>
          <w:tcPr>
            <w:tcW w:w="1131" w:type="dxa"/>
            <w:tcBorders>
              <w:top w:val="double" w:sz="4" w:space="0" w:color="auto"/>
              <w:bottom w:val="dotted" w:sz="6" w:space="0" w:color="auto"/>
              <w:right w:val="single" w:sz="6" w:space="0" w:color="auto"/>
            </w:tcBorders>
            <w:vAlign w:val="center"/>
          </w:tcPr>
          <w:p w14:paraId="2B018C59" w14:textId="6FAEB713" w:rsidR="00FC058E" w:rsidRPr="006167F9" w:rsidRDefault="00F02E73"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201</w:t>
            </w:r>
            <w:r w:rsidR="006167F9" w:rsidRPr="006167F9">
              <w:rPr>
                <w:rFonts w:ascii="Arial" w:hAnsi="Arial" w:cs="Arial"/>
                <w:i/>
                <w:sz w:val="20"/>
                <w:szCs w:val="20"/>
                <w:lang w:eastAsia="en-US"/>
              </w:rPr>
              <w:t>5</w:t>
            </w:r>
          </w:p>
        </w:tc>
        <w:tc>
          <w:tcPr>
            <w:tcW w:w="3390" w:type="dxa"/>
            <w:tcBorders>
              <w:top w:val="double" w:sz="4" w:space="0" w:color="auto"/>
              <w:left w:val="single" w:sz="6" w:space="0" w:color="auto"/>
              <w:bottom w:val="dotted" w:sz="6" w:space="0" w:color="auto"/>
              <w:right w:val="single" w:sz="12" w:space="0" w:color="auto"/>
            </w:tcBorders>
            <w:vAlign w:val="center"/>
          </w:tcPr>
          <w:p w14:paraId="7571EDBF" w14:textId="01DF9C8F" w:rsidR="00FC058E" w:rsidRPr="00DA5248" w:rsidRDefault="00DA5248" w:rsidP="00131697">
            <w:pPr>
              <w:spacing w:before="120" w:line="276" w:lineRule="auto"/>
              <w:jc w:val="center"/>
              <w:rPr>
                <w:rFonts w:ascii="Arial" w:hAnsi="Arial" w:cs="Arial"/>
                <w:i/>
                <w:sz w:val="20"/>
                <w:szCs w:val="20"/>
                <w:lang w:eastAsia="en-US"/>
              </w:rPr>
            </w:pPr>
            <w:r w:rsidRPr="00DA5248">
              <w:rPr>
                <w:rFonts w:ascii="Arial" w:hAnsi="Arial" w:cs="Arial"/>
                <w:i/>
                <w:sz w:val="20"/>
                <w:szCs w:val="20"/>
                <w:lang w:eastAsia="en-US"/>
              </w:rPr>
              <w:t>10 542 942</w:t>
            </w:r>
          </w:p>
        </w:tc>
        <w:tc>
          <w:tcPr>
            <w:tcW w:w="1131" w:type="dxa"/>
            <w:tcBorders>
              <w:top w:val="double" w:sz="4" w:space="0" w:color="auto"/>
              <w:left w:val="single" w:sz="12" w:space="0" w:color="auto"/>
              <w:bottom w:val="dotted" w:sz="6" w:space="0" w:color="auto"/>
              <w:right w:val="single" w:sz="6" w:space="0" w:color="auto"/>
            </w:tcBorders>
            <w:vAlign w:val="center"/>
          </w:tcPr>
          <w:p w14:paraId="2EBABA2A" w14:textId="139F701C"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2020</w:t>
            </w:r>
          </w:p>
        </w:tc>
        <w:tc>
          <w:tcPr>
            <w:tcW w:w="3390" w:type="dxa"/>
            <w:tcBorders>
              <w:top w:val="double" w:sz="4" w:space="0" w:color="auto"/>
              <w:left w:val="single" w:sz="6" w:space="0" w:color="auto"/>
              <w:bottom w:val="dotted" w:sz="6" w:space="0" w:color="auto"/>
            </w:tcBorders>
            <w:vAlign w:val="center"/>
          </w:tcPr>
          <w:p w14:paraId="4C84A7D0" w14:textId="2A10B62F" w:rsidR="00FC058E" w:rsidRPr="006167F9" w:rsidRDefault="00DA5248"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10 700 155</w:t>
            </w:r>
          </w:p>
        </w:tc>
      </w:tr>
      <w:tr w:rsidR="00FC058E" w:rsidRPr="00007608" w14:paraId="7103FA1F" w14:textId="77777777" w:rsidTr="00526A15">
        <w:trPr>
          <w:jc w:val="center"/>
        </w:trPr>
        <w:tc>
          <w:tcPr>
            <w:tcW w:w="1131" w:type="dxa"/>
            <w:tcBorders>
              <w:top w:val="dotted" w:sz="6" w:space="0" w:color="auto"/>
              <w:bottom w:val="dotted" w:sz="6" w:space="0" w:color="auto"/>
              <w:right w:val="single" w:sz="6" w:space="0" w:color="auto"/>
            </w:tcBorders>
            <w:vAlign w:val="center"/>
          </w:tcPr>
          <w:p w14:paraId="1DC062CF" w14:textId="2CA7668A"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2016</w:t>
            </w:r>
          </w:p>
        </w:tc>
        <w:tc>
          <w:tcPr>
            <w:tcW w:w="3390" w:type="dxa"/>
            <w:tcBorders>
              <w:top w:val="dotted" w:sz="6" w:space="0" w:color="auto"/>
              <w:left w:val="single" w:sz="6" w:space="0" w:color="auto"/>
              <w:bottom w:val="dotted" w:sz="6" w:space="0" w:color="auto"/>
              <w:right w:val="single" w:sz="12" w:space="0" w:color="auto"/>
            </w:tcBorders>
            <w:vAlign w:val="center"/>
          </w:tcPr>
          <w:p w14:paraId="789B6DB9" w14:textId="54A28801" w:rsidR="00FC058E" w:rsidRPr="006167F9" w:rsidRDefault="00DA5248"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10 565 284</w:t>
            </w:r>
          </w:p>
        </w:tc>
        <w:tc>
          <w:tcPr>
            <w:tcW w:w="1131" w:type="dxa"/>
            <w:tcBorders>
              <w:top w:val="dotted" w:sz="6" w:space="0" w:color="auto"/>
              <w:left w:val="single" w:sz="12" w:space="0" w:color="auto"/>
              <w:bottom w:val="dotted" w:sz="6" w:space="0" w:color="auto"/>
              <w:right w:val="single" w:sz="6" w:space="0" w:color="auto"/>
            </w:tcBorders>
            <w:vAlign w:val="center"/>
          </w:tcPr>
          <w:p w14:paraId="7DCD39D4" w14:textId="6770196A" w:rsidR="00FC058E" w:rsidRPr="006167F9" w:rsidRDefault="006167F9" w:rsidP="00D02800">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2021</w:t>
            </w:r>
          </w:p>
        </w:tc>
        <w:tc>
          <w:tcPr>
            <w:tcW w:w="3390" w:type="dxa"/>
            <w:tcBorders>
              <w:top w:val="dotted" w:sz="6" w:space="0" w:color="auto"/>
              <w:left w:val="single" w:sz="6" w:space="0" w:color="auto"/>
              <w:bottom w:val="dotted" w:sz="6" w:space="0" w:color="auto"/>
            </w:tcBorders>
            <w:vAlign w:val="center"/>
          </w:tcPr>
          <w:p w14:paraId="4530824F" w14:textId="74D12E62" w:rsidR="00FC058E" w:rsidRPr="006167F9" w:rsidRDefault="00040E91"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w:t>
            </w:r>
            <w:r w:rsidR="00DA5248" w:rsidRPr="00DA5248">
              <w:rPr>
                <w:rFonts w:ascii="Arial" w:hAnsi="Arial" w:cs="Arial"/>
                <w:i/>
                <w:sz w:val="20"/>
                <w:szCs w:val="20"/>
                <w:lang w:eastAsia="en-US"/>
              </w:rPr>
              <w:t>0 500 850</w:t>
            </w:r>
          </w:p>
        </w:tc>
      </w:tr>
      <w:tr w:rsidR="00FC058E" w:rsidRPr="00007608" w14:paraId="2BB46BB6" w14:textId="77777777" w:rsidTr="00526A15">
        <w:trPr>
          <w:jc w:val="center"/>
        </w:trPr>
        <w:tc>
          <w:tcPr>
            <w:tcW w:w="1131" w:type="dxa"/>
            <w:tcBorders>
              <w:top w:val="dotted" w:sz="6" w:space="0" w:color="auto"/>
              <w:bottom w:val="dotted" w:sz="6" w:space="0" w:color="auto"/>
              <w:right w:val="single" w:sz="6" w:space="0" w:color="auto"/>
            </w:tcBorders>
            <w:vAlign w:val="center"/>
          </w:tcPr>
          <w:p w14:paraId="409F66E8" w14:textId="4F9AC216"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2017</w:t>
            </w:r>
          </w:p>
        </w:tc>
        <w:tc>
          <w:tcPr>
            <w:tcW w:w="3390" w:type="dxa"/>
            <w:tcBorders>
              <w:top w:val="dotted" w:sz="6" w:space="0" w:color="auto"/>
              <w:left w:val="single" w:sz="6" w:space="0" w:color="auto"/>
              <w:bottom w:val="dotted" w:sz="6" w:space="0" w:color="auto"/>
              <w:right w:val="single" w:sz="12" w:space="0" w:color="auto"/>
            </w:tcBorders>
            <w:vAlign w:val="center"/>
          </w:tcPr>
          <w:p w14:paraId="3E3B9EA2" w14:textId="39B497A0" w:rsidR="00FC058E" w:rsidRPr="006167F9" w:rsidRDefault="00DA5248"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10 589 526</w:t>
            </w:r>
          </w:p>
        </w:tc>
        <w:tc>
          <w:tcPr>
            <w:tcW w:w="1131" w:type="dxa"/>
            <w:tcBorders>
              <w:top w:val="dotted" w:sz="6" w:space="0" w:color="auto"/>
              <w:left w:val="single" w:sz="12" w:space="0" w:color="auto"/>
              <w:bottom w:val="dotted" w:sz="6" w:space="0" w:color="auto"/>
              <w:right w:val="single" w:sz="6" w:space="0" w:color="auto"/>
            </w:tcBorders>
            <w:vAlign w:val="center"/>
          </w:tcPr>
          <w:p w14:paraId="10418A37" w14:textId="7789005D" w:rsidR="00FC058E" w:rsidRPr="006167F9" w:rsidRDefault="006167F9" w:rsidP="00714CAC">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2022</w:t>
            </w:r>
          </w:p>
        </w:tc>
        <w:tc>
          <w:tcPr>
            <w:tcW w:w="3390" w:type="dxa"/>
            <w:tcBorders>
              <w:top w:val="dotted" w:sz="6" w:space="0" w:color="auto"/>
              <w:left w:val="single" w:sz="6" w:space="0" w:color="auto"/>
              <w:bottom w:val="dotted" w:sz="6" w:space="0" w:color="auto"/>
            </w:tcBorders>
            <w:vAlign w:val="center"/>
          </w:tcPr>
          <w:p w14:paraId="3D601FE5" w14:textId="7DE26A30" w:rsidR="00FC058E" w:rsidRPr="006167F9" w:rsidRDefault="00FC058E"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w:t>
            </w:r>
            <w:r w:rsidR="00DA5248" w:rsidRPr="00DA5248">
              <w:rPr>
                <w:rFonts w:ascii="Arial" w:hAnsi="Arial" w:cs="Arial"/>
                <w:i/>
                <w:sz w:val="20"/>
                <w:szCs w:val="20"/>
                <w:lang w:eastAsia="en-US"/>
              </w:rPr>
              <w:t>0 759 525</w:t>
            </w:r>
          </w:p>
        </w:tc>
      </w:tr>
      <w:tr w:rsidR="00FC058E" w:rsidRPr="00007608" w14:paraId="6141984F" w14:textId="77777777" w:rsidTr="00526A15">
        <w:trPr>
          <w:jc w:val="center"/>
        </w:trPr>
        <w:tc>
          <w:tcPr>
            <w:tcW w:w="1131" w:type="dxa"/>
            <w:tcBorders>
              <w:top w:val="dotted" w:sz="6" w:space="0" w:color="auto"/>
              <w:bottom w:val="dotted" w:sz="6" w:space="0" w:color="auto"/>
              <w:right w:val="single" w:sz="6" w:space="0" w:color="auto"/>
            </w:tcBorders>
            <w:vAlign w:val="center"/>
          </w:tcPr>
          <w:p w14:paraId="4394DE96" w14:textId="55038F0B"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2018</w:t>
            </w:r>
          </w:p>
        </w:tc>
        <w:tc>
          <w:tcPr>
            <w:tcW w:w="3390" w:type="dxa"/>
            <w:tcBorders>
              <w:top w:val="dotted" w:sz="6" w:space="0" w:color="auto"/>
              <w:left w:val="single" w:sz="6" w:space="0" w:color="auto"/>
              <w:bottom w:val="dotted" w:sz="6" w:space="0" w:color="auto"/>
              <w:right w:val="single" w:sz="12" w:space="0" w:color="auto"/>
            </w:tcBorders>
            <w:vAlign w:val="center"/>
          </w:tcPr>
          <w:p w14:paraId="412C068B" w14:textId="1B8D0A08" w:rsidR="00FC058E" w:rsidRPr="006167F9" w:rsidRDefault="00DA5248"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10 626 430</w:t>
            </w:r>
          </w:p>
        </w:tc>
        <w:tc>
          <w:tcPr>
            <w:tcW w:w="1131" w:type="dxa"/>
            <w:tcBorders>
              <w:top w:val="dotted" w:sz="6" w:space="0" w:color="auto"/>
              <w:left w:val="single" w:sz="12" w:space="0" w:color="auto"/>
              <w:bottom w:val="dotted" w:sz="6" w:space="0" w:color="auto"/>
              <w:right w:val="single" w:sz="6" w:space="0" w:color="auto"/>
            </w:tcBorders>
            <w:vAlign w:val="center"/>
          </w:tcPr>
          <w:p w14:paraId="5103EB78" w14:textId="7246C6BE"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2023</w:t>
            </w:r>
          </w:p>
        </w:tc>
        <w:tc>
          <w:tcPr>
            <w:tcW w:w="3390" w:type="dxa"/>
            <w:tcBorders>
              <w:top w:val="dotted" w:sz="6" w:space="0" w:color="auto"/>
              <w:left w:val="single" w:sz="6" w:space="0" w:color="auto"/>
              <w:bottom w:val="dotted" w:sz="6" w:space="0" w:color="auto"/>
            </w:tcBorders>
            <w:vAlign w:val="center"/>
          </w:tcPr>
          <w:p w14:paraId="1E6D46CB" w14:textId="28401EF1" w:rsidR="00FC058E" w:rsidRPr="006167F9" w:rsidRDefault="00FC058E" w:rsidP="00131697">
            <w:pPr>
              <w:spacing w:before="120" w:line="276" w:lineRule="auto"/>
              <w:jc w:val="center"/>
              <w:rPr>
                <w:rFonts w:ascii="Arial" w:hAnsi="Arial" w:cs="Arial"/>
                <w:i/>
                <w:color w:val="000000"/>
                <w:sz w:val="20"/>
                <w:szCs w:val="20"/>
                <w:highlight w:val="yellow"/>
                <w:lang w:eastAsia="en-US"/>
              </w:rPr>
            </w:pPr>
            <w:r w:rsidRPr="00DA5248">
              <w:rPr>
                <w:rFonts w:ascii="Arial" w:hAnsi="Arial" w:cs="Arial"/>
                <w:i/>
                <w:sz w:val="20"/>
                <w:szCs w:val="20"/>
                <w:lang w:eastAsia="en-US"/>
              </w:rPr>
              <w:t>10</w:t>
            </w:r>
            <w:r w:rsidR="00DA5248" w:rsidRPr="00DA5248">
              <w:rPr>
                <w:rFonts w:ascii="Arial" w:hAnsi="Arial" w:cs="Arial"/>
                <w:i/>
                <w:color w:val="000000"/>
                <w:sz w:val="20"/>
                <w:szCs w:val="20"/>
                <w:lang w:eastAsia="en-US"/>
              </w:rPr>
              <w:t> 878 042</w:t>
            </w:r>
          </w:p>
        </w:tc>
      </w:tr>
      <w:tr w:rsidR="00FC058E" w:rsidRPr="00007608" w14:paraId="5B9E3D00" w14:textId="77777777" w:rsidTr="00526A15">
        <w:trPr>
          <w:jc w:val="center"/>
        </w:trPr>
        <w:tc>
          <w:tcPr>
            <w:tcW w:w="1131" w:type="dxa"/>
            <w:tcBorders>
              <w:top w:val="dotted" w:sz="6" w:space="0" w:color="auto"/>
              <w:bottom w:val="single" w:sz="12" w:space="0" w:color="auto"/>
              <w:right w:val="single" w:sz="6" w:space="0" w:color="auto"/>
            </w:tcBorders>
            <w:vAlign w:val="center"/>
          </w:tcPr>
          <w:p w14:paraId="2C7D023D" w14:textId="25EBC774" w:rsidR="00FC058E" w:rsidRPr="006167F9" w:rsidRDefault="006167F9" w:rsidP="00131697">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2019</w:t>
            </w:r>
          </w:p>
        </w:tc>
        <w:tc>
          <w:tcPr>
            <w:tcW w:w="3390" w:type="dxa"/>
            <w:tcBorders>
              <w:top w:val="dotted" w:sz="6" w:space="0" w:color="auto"/>
              <w:left w:val="single" w:sz="6" w:space="0" w:color="auto"/>
              <w:bottom w:val="single" w:sz="12" w:space="0" w:color="auto"/>
              <w:right w:val="single" w:sz="12" w:space="0" w:color="auto"/>
            </w:tcBorders>
            <w:vAlign w:val="center"/>
          </w:tcPr>
          <w:p w14:paraId="52CBBB72" w14:textId="601EF896" w:rsidR="00FC058E" w:rsidRPr="006167F9" w:rsidRDefault="00DA5248" w:rsidP="00131697">
            <w:pPr>
              <w:spacing w:before="120" w:line="276" w:lineRule="auto"/>
              <w:jc w:val="center"/>
              <w:rPr>
                <w:rFonts w:ascii="Arial" w:hAnsi="Arial" w:cs="Arial"/>
                <w:i/>
                <w:sz w:val="20"/>
                <w:szCs w:val="20"/>
                <w:highlight w:val="yellow"/>
                <w:lang w:eastAsia="en-US"/>
              </w:rPr>
            </w:pPr>
            <w:r w:rsidRPr="00DA5248">
              <w:rPr>
                <w:rFonts w:ascii="Arial" w:hAnsi="Arial" w:cs="Arial"/>
                <w:i/>
                <w:sz w:val="20"/>
                <w:szCs w:val="20"/>
                <w:lang w:eastAsia="en-US"/>
              </w:rPr>
              <w:t>10 669 324</w:t>
            </w:r>
          </w:p>
        </w:tc>
        <w:tc>
          <w:tcPr>
            <w:tcW w:w="1131" w:type="dxa"/>
            <w:tcBorders>
              <w:top w:val="dotted" w:sz="6" w:space="0" w:color="auto"/>
              <w:left w:val="single" w:sz="12" w:space="0" w:color="auto"/>
              <w:bottom w:val="single" w:sz="12" w:space="0" w:color="auto"/>
              <w:right w:val="single" w:sz="6" w:space="0" w:color="auto"/>
            </w:tcBorders>
            <w:vAlign w:val="center"/>
          </w:tcPr>
          <w:p w14:paraId="6CE2E3B8" w14:textId="5133E882" w:rsidR="00FC058E" w:rsidRPr="006167F9" w:rsidRDefault="00040E91" w:rsidP="009C76E0">
            <w:pPr>
              <w:spacing w:before="120" w:line="276" w:lineRule="auto"/>
              <w:jc w:val="center"/>
              <w:rPr>
                <w:rFonts w:ascii="Arial" w:hAnsi="Arial" w:cs="Arial"/>
                <w:i/>
                <w:sz w:val="20"/>
                <w:szCs w:val="20"/>
                <w:lang w:eastAsia="en-US"/>
              </w:rPr>
            </w:pPr>
            <w:r w:rsidRPr="006167F9">
              <w:rPr>
                <w:rFonts w:ascii="Arial" w:hAnsi="Arial" w:cs="Arial"/>
                <w:i/>
                <w:sz w:val="20"/>
                <w:szCs w:val="20"/>
                <w:lang w:eastAsia="en-US"/>
              </w:rPr>
              <w:t>20</w:t>
            </w:r>
            <w:r w:rsidR="00D671DF" w:rsidRPr="006167F9">
              <w:rPr>
                <w:rFonts w:ascii="Arial" w:hAnsi="Arial" w:cs="Arial"/>
                <w:i/>
                <w:sz w:val="20"/>
                <w:szCs w:val="20"/>
                <w:lang w:eastAsia="en-US"/>
              </w:rPr>
              <w:t>2</w:t>
            </w:r>
            <w:r w:rsidR="006167F9" w:rsidRPr="006167F9">
              <w:rPr>
                <w:rFonts w:ascii="Arial" w:hAnsi="Arial" w:cs="Arial"/>
                <w:i/>
                <w:sz w:val="20"/>
                <w:szCs w:val="20"/>
                <w:lang w:eastAsia="en-US"/>
              </w:rPr>
              <w:t>4</w:t>
            </w:r>
          </w:p>
        </w:tc>
        <w:tc>
          <w:tcPr>
            <w:tcW w:w="3390" w:type="dxa"/>
            <w:tcBorders>
              <w:top w:val="dotted" w:sz="6" w:space="0" w:color="auto"/>
              <w:left w:val="single" w:sz="6" w:space="0" w:color="auto"/>
              <w:bottom w:val="single" w:sz="12" w:space="0" w:color="auto"/>
            </w:tcBorders>
            <w:vAlign w:val="center"/>
          </w:tcPr>
          <w:p w14:paraId="57470BD8" w14:textId="1BB709C0" w:rsidR="00FC058E" w:rsidRPr="006167F9" w:rsidRDefault="00DA5248" w:rsidP="009C76E0">
            <w:pPr>
              <w:spacing w:before="120" w:line="276" w:lineRule="auto"/>
              <w:jc w:val="center"/>
              <w:rPr>
                <w:rFonts w:ascii="Arial" w:hAnsi="Arial" w:cs="Arial"/>
                <w:i/>
                <w:color w:val="000000"/>
                <w:sz w:val="20"/>
                <w:szCs w:val="20"/>
                <w:highlight w:val="yellow"/>
                <w:lang w:eastAsia="en-US"/>
              </w:rPr>
            </w:pPr>
            <w:bookmarkStart w:id="0" w:name="_GoBack"/>
            <w:bookmarkEnd w:id="0"/>
            <w:r w:rsidRPr="00DA5248">
              <w:rPr>
                <w:rFonts w:ascii="Arial" w:hAnsi="Arial" w:cs="Arial"/>
                <w:i/>
                <w:color w:val="000000"/>
                <w:sz w:val="20"/>
                <w:szCs w:val="20"/>
                <w:lang w:eastAsia="en-US"/>
              </w:rPr>
              <w:t>10 886 531</w:t>
            </w:r>
          </w:p>
        </w:tc>
      </w:tr>
    </w:tbl>
    <w:p w14:paraId="6097198A" w14:textId="77777777" w:rsidR="008C50DC" w:rsidRDefault="008C50DC" w:rsidP="008C50DC">
      <w:pPr>
        <w:spacing w:before="120" w:after="120"/>
        <w:ind w:firstLine="567"/>
        <w:jc w:val="both"/>
        <w:rPr>
          <w:rFonts w:ascii="Arial" w:hAnsi="Arial" w:cs="Arial"/>
          <w:i/>
          <w:sz w:val="20"/>
          <w:lang w:val="en-GB"/>
        </w:rPr>
      </w:pPr>
    </w:p>
    <w:p w14:paraId="1FBBBC98" w14:textId="77777777" w:rsidR="00B11288" w:rsidRDefault="00B11288" w:rsidP="00011DA1">
      <w:pPr>
        <w:spacing w:before="120" w:after="120"/>
        <w:ind w:firstLine="567"/>
        <w:jc w:val="both"/>
        <w:rPr>
          <w:rFonts w:ascii="Arial" w:hAnsi="Arial" w:cs="Arial"/>
          <w:i/>
          <w:sz w:val="20"/>
          <w:lang w:val="en-GB"/>
        </w:rPr>
      </w:pPr>
      <w:r>
        <w:rPr>
          <w:rFonts w:ascii="Arial" w:hAnsi="Arial" w:cs="Arial"/>
          <w:i/>
          <w:sz w:val="20"/>
          <w:lang w:val="en-GB"/>
        </w:rPr>
        <w:t xml:space="preserve">Food self-sufficiency, or self-sufficiency of food production, is expressed as domestic production divided by </w:t>
      </w:r>
      <w:r w:rsidRPr="002902DE">
        <w:rPr>
          <w:rFonts w:ascii="Arial" w:hAnsi="Arial" w:cs="Arial"/>
          <w:i/>
          <w:sz w:val="20"/>
          <w:lang w:val="en-GB"/>
        </w:rPr>
        <w:t>domestic consumption.</w:t>
      </w:r>
      <w:r>
        <w:rPr>
          <w:rFonts w:ascii="Arial" w:hAnsi="Arial" w:cs="Arial"/>
          <w:i/>
          <w:sz w:val="20"/>
          <w:lang w:val="en-GB"/>
        </w:rPr>
        <w:t xml:space="preserve"> </w:t>
      </w:r>
      <w:r w:rsidRPr="002902DE">
        <w:rPr>
          <w:rFonts w:ascii="Arial" w:hAnsi="Arial" w:cs="Arial"/>
          <w:i/>
          <w:sz w:val="20"/>
          <w:lang w:val="en-GB"/>
        </w:rPr>
        <w:t xml:space="preserve">The figures published for each item are calculated </w:t>
      </w:r>
      <w:r>
        <w:rPr>
          <w:rFonts w:ascii="Arial" w:hAnsi="Arial" w:cs="Arial"/>
          <w:i/>
          <w:sz w:val="20"/>
          <w:lang w:val="en-GB"/>
        </w:rPr>
        <w:t>as</w:t>
      </w:r>
      <w:r w:rsidRPr="002902DE">
        <w:rPr>
          <w:rFonts w:ascii="Arial" w:hAnsi="Arial" w:cs="Arial"/>
          <w:i/>
          <w:sz w:val="20"/>
          <w:lang w:val="en-GB"/>
        </w:rPr>
        <w:t xml:space="preserve"> the per capita production </w:t>
      </w:r>
      <w:r>
        <w:rPr>
          <w:rFonts w:ascii="Arial" w:hAnsi="Arial" w:cs="Arial"/>
          <w:i/>
          <w:sz w:val="20"/>
          <w:lang w:val="en-GB"/>
        </w:rPr>
        <w:t>divided by</w:t>
      </w:r>
      <w:r w:rsidRPr="002902DE">
        <w:rPr>
          <w:rFonts w:ascii="Arial" w:hAnsi="Arial" w:cs="Arial"/>
          <w:i/>
          <w:sz w:val="20"/>
          <w:lang w:val="en-GB"/>
        </w:rPr>
        <w:t xml:space="preserve"> per capita consumption, converted into percentages.</w:t>
      </w:r>
      <w:r>
        <w:rPr>
          <w:rFonts w:ascii="Arial" w:hAnsi="Arial" w:cs="Arial"/>
          <w:i/>
          <w:sz w:val="20"/>
          <w:lang w:val="en-GB"/>
        </w:rPr>
        <w:t xml:space="preserve"> Both </w:t>
      </w:r>
      <w:r w:rsidRPr="002902DE">
        <w:rPr>
          <w:rFonts w:ascii="Arial" w:hAnsi="Arial" w:cs="Arial"/>
          <w:i/>
          <w:sz w:val="20"/>
          <w:lang w:val="en-GB"/>
        </w:rPr>
        <w:t xml:space="preserve">materials and products enter </w:t>
      </w:r>
      <w:r>
        <w:rPr>
          <w:rFonts w:ascii="Arial" w:hAnsi="Arial" w:cs="Arial"/>
          <w:i/>
          <w:sz w:val="20"/>
          <w:lang w:val="en-GB"/>
        </w:rPr>
        <w:t xml:space="preserve">in </w:t>
      </w:r>
      <w:r w:rsidRPr="002902DE">
        <w:rPr>
          <w:rFonts w:ascii="Arial" w:hAnsi="Arial" w:cs="Arial"/>
          <w:i/>
          <w:sz w:val="20"/>
          <w:lang w:val="en-GB"/>
        </w:rPr>
        <w:t>the food self-sufficiency calculation</w:t>
      </w:r>
      <w:r>
        <w:rPr>
          <w:rFonts w:ascii="Arial" w:hAnsi="Arial" w:cs="Arial"/>
          <w:i/>
          <w:sz w:val="20"/>
          <w:lang w:val="en-GB"/>
        </w:rPr>
        <w:t xml:space="preserve">. </w:t>
      </w:r>
      <w:r w:rsidRPr="002902DE">
        <w:rPr>
          <w:rFonts w:ascii="Arial" w:hAnsi="Arial" w:cs="Arial"/>
          <w:i/>
          <w:sz w:val="20"/>
          <w:lang w:val="en-GB"/>
        </w:rPr>
        <w:t>The self-sufficiency in basic commodities published by the Ministry of Agriculture</w:t>
      </w:r>
      <w:r>
        <w:rPr>
          <w:rFonts w:ascii="Arial" w:hAnsi="Arial" w:cs="Arial"/>
          <w:i/>
          <w:sz w:val="20"/>
          <w:lang w:val="en-GB"/>
        </w:rPr>
        <w:t xml:space="preserve"> differs in methodology</w:t>
      </w:r>
      <w:r w:rsidRPr="002902DE">
        <w:rPr>
          <w:rFonts w:ascii="Arial" w:hAnsi="Arial" w:cs="Arial"/>
          <w:i/>
          <w:sz w:val="20"/>
          <w:lang w:val="en-GB"/>
        </w:rPr>
        <w:t>.</w:t>
      </w:r>
    </w:p>
    <w:p w14:paraId="003ED78F" w14:textId="77777777" w:rsidR="00B11288" w:rsidRPr="0035044B" w:rsidRDefault="00B11288" w:rsidP="00B11288">
      <w:pPr>
        <w:ind w:firstLine="708"/>
        <w:rPr>
          <w:rFonts w:ascii="Arial" w:hAnsi="Arial" w:cs="Arial"/>
          <w:i/>
          <w:sz w:val="20"/>
          <w:lang w:val="en-GB"/>
        </w:rPr>
      </w:pPr>
    </w:p>
    <w:p w14:paraId="05E02F3E" w14:textId="77777777" w:rsidR="005015A5" w:rsidRPr="00007608" w:rsidRDefault="005015A5" w:rsidP="005015A5">
      <w:pPr>
        <w:jc w:val="both"/>
        <w:rPr>
          <w:rFonts w:ascii="Arial" w:hAnsi="Arial" w:cs="Arial"/>
          <w:b/>
          <w:i/>
          <w:sz w:val="20"/>
          <w:lang w:val="en-US"/>
        </w:rPr>
      </w:pPr>
      <w:r w:rsidRPr="00007608">
        <w:rPr>
          <w:rFonts w:ascii="Arial" w:hAnsi="Arial" w:cs="Arial"/>
          <w:b/>
          <w:i/>
          <w:sz w:val="20"/>
          <w:lang w:val="en-US"/>
        </w:rPr>
        <w:t>Symbols used in the tables</w:t>
      </w:r>
    </w:p>
    <w:p w14:paraId="04810A09" w14:textId="77777777" w:rsidR="005015A5" w:rsidRPr="00007608" w:rsidRDefault="005015A5" w:rsidP="005015A5">
      <w:pPr>
        <w:jc w:val="both"/>
        <w:rPr>
          <w:rFonts w:ascii="Arial" w:hAnsi="Arial" w:cs="Arial"/>
          <w:b/>
          <w:i/>
          <w:sz w:val="20"/>
          <w:lang w:val="en-US"/>
        </w:rPr>
      </w:pPr>
    </w:p>
    <w:p w14:paraId="656AB912" w14:textId="77777777" w:rsidR="005015A5" w:rsidRPr="00007608" w:rsidRDefault="005015A5" w:rsidP="005015A5">
      <w:pPr>
        <w:tabs>
          <w:tab w:val="left" w:pos="567"/>
        </w:tabs>
        <w:jc w:val="both"/>
        <w:rPr>
          <w:rFonts w:ascii="Arial" w:hAnsi="Arial" w:cs="Arial"/>
          <w:i/>
          <w:sz w:val="20"/>
          <w:lang w:val="en-US"/>
        </w:rPr>
      </w:pPr>
      <w:r w:rsidRPr="00007608">
        <w:rPr>
          <w:rFonts w:ascii="Arial" w:hAnsi="Arial" w:cs="Arial"/>
          <w:b/>
          <w:i/>
          <w:sz w:val="20"/>
          <w:lang w:val="en-US"/>
        </w:rPr>
        <w:t>.</w:t>
      </w:r>
      <w:r>
        <w:rPr>
          <w:rFonts w:ascii="Arial" w:hAnsi="Arial" w:cs="Arial"/>
          <w:b/>
          <w:i/>
          <w:sz w:val="20"/>
          <w:lang w:val="en-US"/>
        </w:rPr>
        <w:tab/>
      </w:r>
      <w:r w:rsidRPr="00007608">
        <w:rPr>
          <w:rFonts w:ascii="Arial" w:hAnsi="Arial" w:cs="Arial"/>
          <w:i/>
          <w:sz w:val="20"/>
          <w:lang w:val="en-US"/>
        </w:rPr>
        <w:t>data unavailable</w:t>
      </w:r>
      <w:r w:rsidR="009A24D9">
        <w:rPr>
          <w:rFonts w:ascii="Arial" w:hAnsi="Arial" w:cs="Arial"/>
          <w:i/>
          <w:sz w:val="20"/>
          <w:lang w:val="en-US"/>
        </w:rPr>
        <w:t xml:space="preserve"> or unreliable</w:t>
      </w:r>
    </w:p>
    <w:p w14:paraId="4A4ACB3C" w14:textId="77777777" w:rsidR="005015A5" w:rsidRPr="00007608" w:rsidRDefault="005015A5" w:rsidP="005015A5">
      <w:pPr>
        <w:tabs>
          <w:tab w:val="left" w:pos="567"/>
        </w:tabs>
        <w:jc w:val="both"/>
        <w:rPr>
          <w:rFonts w:ascii="Arial" w:hAnsi="Arial" w:cs="Arial"/>
          <w:i/>
          <w:sz w:val="20"/>
          <w:lang w:val="en-US"/>
        </w:rPr>
      </w:pPr>
      <w:r w:rsidRPr="00007608">
        <w:rPr>
          <w:rFonts w:ascii="Arial" w:hAnsi="Arial" w:cs="Arial"/>
          <w:i/>
          <w:sz w:val="20"/>
          <w:lang w:val="en-US"/>
        </w:rPr>
        <w:t>x</w:t>
      </w:r>
      <w:r>
        <w:rPr>
          <w:rFonts w:ascii="Arial" w:hAnsi="Arial" w:cs="Arial"/>
          <w:i/>
          <w:sz w:val="20"/>
          <w:lang w:val="en-US"/>
        </w:rPr>
        <w:tab/>
      </w:r>
      <w:r w:rsidRPr="00007608">
        <w:rPr>
          <w:rFonts w:ascii="Arial" w:hAnsi="Arial" w:cs="Arial"/>
          <w:i/>
          <w:sz w:val="20"/>
          <w:lang w:val="en-US"/>
        </w:rPr>
        <w:t>not applicable</w:t>
      </w:r>
    </w:p>
    <w:p w14:paraId="3263A4E0" w14:textId="77777777" w:rsidR="00C26D00" w:rsidRPr="009156C9" w:rsidRDefault="005015A5" w:rsidP="00633D0E">
      <w:pPr>
        <w:tabs>
          <w:tab w:val="left" w:pos="567"/>
        </w:tabs>
        <w:rPr>
          <w:rFonts w:ascii="Arial" w:hAnsi="Arial"/>
          <w:i/>
          <w:sz w:val="20"/>
        </w:rPr>
      </w:pPr>
      <w:r w:rsidRPr="00007608">
        <w:rPr>
          <w:rFonts w:ascii="Arial" w:hAnsi="Arial" w:cs="Arial"/>
          <w:i/>
          <w:sz w:val="20"/>
          <w:lang w:val="en-US"/>
        </w:rPr>
        <w:t>0</w:t>
      </w:r>
      <w:r>
        <w:rPr>
          <w:rFonts w:ascii="Arial" w:hAnsi="Arial" w:cs="Arial"/>
          <w:i/>
          <w:sz w:val="20"/>
          <w:lang w:val="en-US"/>
        </w:rPr>
        <w:tab/>
      </w:r>
      <w:r w:rsidRPr="00007608">
        <w:rPr>
          <w:rFonts w:ascii="Arial" w:hAnsi="Arial" w:cs="Arial"/>
          <w:i/>
          <w:sz w:val="20"/>
          <w:lang w:val="en-US"/>
        </w:rPr>
        <w:t>less than half the final digit shown and greater than real zero</w:t>
      </w:r>
    </w:p>
    <w:sectPr w:rsidR="00C26D00" w:rsidRPr="009156C9" w:rsidSect="00C26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765"/>
    <w:multiLevelType w:val="hybridMultilevel"/>
    <w:tmpl w:val="255C8D66"/>
    <w:lvl w:ilvl="0" w:tplc="158631CE">
      <w:start w:val="1"/>
      <w:numFmt w:val="bullet"/>
      <w:lvlText w:val=""/>
      <w:lvlJc w:val="left"/>
      <w:pPr>
        <w:tabs>
          <w:tab w:val="num" w:pos="397"/>
        </w:tabs>
        <w:ind w:left="397" w:hanging="397"/>
      </w:pPr>
      <w:rPr>
        <w:rFonts w:ascii="Wingdings" w:hAnsi="Wingdings" w:hint="default"/>
        <w:sz w:val="14"/>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E8"/>
    <w:rsid w:val="00007608"/>
    <w:rsid w:val="00011DA1"/>
    <w:rsid w:val="00036E83"/>
    <w:rsid w:val="00040E91"/>
    <w:rsid w:val="0007667C"/>
    <w:rsid w:val="00140CBF"/>
    <w:rsid w:val="001854CD"/>
    <w:rsid w:val="00196A43"/>
    <w:rsid w:val="001D4DE4"/>
    <w:rsid w:val="001F331F"/>
    <w:rsid w:val="00211442"/>
    <w:rsid w:val="00274377"/>
    <w:rsid w:val="002A6A43"/>
    <w:rsid w:val="002C0928"/>
    <w:rsid w:val="00302140"/>
    <w:rsid w:val="00353860"/>
    <w:rsid w:val="003551F2"/>
    <w:rsid w:val="003965AD"/>
    <w:rsid w:val="00397446"/>
    <w:rsid w:val="003A040F"/>
    <w:rsid w:val="003F5CE1"/>
    <w:rsid w:val="003F793E"/>
    <w:rsid w:val="00401DF0"/>
    <w:rsid w:val="00415600"/>
    <w:rsid w:val="00451A76"/>
    <w:rsid w:val="004577EE"/>
    <w:rsid w:val="0048467C"/>
    <w:rsid w:val="0048483F"/>
    <w:rsid w:val="004A0A15"/>
    <w:rsid w:val="004A45E8"/>
    <w:rsid w:val="004B285D"/>
    <w:rsid w:val="004B3C54"/>
    <w:rsid w:val="005015A5"/>
    <w:rsid w:val="00512A42"/>
    <w:rsid w:val="0052714B"/>
    <w:rsid w:val="00554B8C"/>
    <w:rsid w:val="00573BA3"/>
    <w:rsid w:val="005A7DEA"/>
    <w:rsid w:val="005D5066"/>
    <w:rsid w:val="005D6207"/>
    <w:rsid w:val="006073D2"/>
    <w:rsid w:val="006167F9"/>
    <w:rsid w:val="00630507"/>
    <w:rsid w:val="00633D0E"/>
    <w:rsid w:val="00640F07"/>
    <w:rsid w:val="006C7F04"/>
    <w:rsid w:val="0070180B"/>
    <w:rsid w:val="00707B75"/>
    <w:rsid w:val="00714CAC"/>
    <w:rsid w:val="00724E11"/>
    <w:rsid w:val="007C037C"/>
    <w:rsid w:val="007C0A02"/>
    <w:rsid w:val="007C7530"/>
    <w:rsid w:val="007D67DA"/>
    <w:rsid w:val="008031FA"/>
    <w:rsid w:val="00813D31"/>
    <w:rsid w:val="00826CA1"/>
    <w:rsid w:val="00856BC8"/>
    <w:rsid w:val="008C2506"/>
    <w:rsid w:val="008C2621"/>
    <w:rsid w:val="008C50DC"/>
    <w:rsid w:val="008F6CA8"/>
    <w:rsid w:val="009044FC"/>
    <w:rsid w:val="009156C9"/>
    <w:rsid w:val="00954766"/>
    <w:rsid w:val="009752E3"/>
    <w:rsid w:val="009A24D9"/>
    <w:rsid w:val="009A4D06"/>
    <w:rsid w:val="009C76E0"/>
    <w:rsid w:val="00A15990"/>
    <w:rsid w:val="00A21A9D"/>
    <w:rsid w:val="00A27B7E"/>
    <w:rsid w:val="00A71E4E"/>
    <w:rsid w:val="00A919ED"/>
    <w:rsid w:val="00B11288"/>
    <w:rsid w:val="00B812D8"/>
    <w:rsid w:val="00B833DA"/>
    <w:rsid w:val="00B8571B"/>
    <w:rsid w:val="00B94D3D"/>
    <w:rsid w:val="00C26D00"/>
    <w:rsid w:val="00C9613F"/>
    <w:rsid w:val="00CB3F7E"/>
    <w:rsid w:val="00D02800"/>
    <w:rsid w:val="00D16767"/>
    <w:rsid w:val="00D671DF"/>
    <w:rsid w:val="00DA5248"/>
    <w:rsid w:val="00DF5A88"/>
    <w:rsid w:val="00E57971"/>
    <w:rsid w:val="00E610E8"/>
    <w:rsid w:val="00E825D0"/>
    <w:rsid w:val="00EA3B46"/>
    <w:rsid w:val="00F02E73"/>
    <w:rsid w:val="00F25156"/>
    <w:rsid w:val="00F97B0E"/>
    <w:rsid w:val="00FC0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6C1F"/>
  <w15:docId w15:val="{CDD69291-AC67-4047-9CB5-B3A76CE0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53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C75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tLeast"/>
      <w:jc w:val="center"/>
      <w:outlineLvl w:val="0"/>
    </w:pPr>
    <w:rPr>
      <w:rFonts w:ascii="Arial Narrow" w:hAnsi="Arial Narrow"/>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7530"/>
    <w:rPr>
      <w:rFonts w:ascii="Arial Narrow" w:eastAsia="Times New Roman" w:hAnsi="Arial Narrow" w:cs="Times New Roman"/>
      <w:b/>
      <w:bCs/>
      <w:sz w:val="30"/>
      <w:szCs w:val="30"/>
      <w:lang w:eastAsia="cs-CZ"/>
    </w:rPr>
  </w:style>
  <w:style w:type="paragraph" w:styleId="Textbubliny">
    <w:name w:val="Balloon Text"/>
    <w:basedOn w:val="Normln"/>
    <w:link w:val="TextbublinyChar"/>
    <w:uiPriority w:val="99"/>
    <w:semiHidden/>
    <w:unhideWhenUsed/>
    <w:rsid w:val="00415600"/>
    <w:rPr>
      <w:rFonts w:ascii="Tahoma" w:hAnsi="Tahoma" w:cs="Tahoma"/>
      <w:sz w:val="16"/>
      <w:szCs w:val="16"/>
    </w:rPr>
  </w:style>
  <w:style w:type="character" w:customStyle="1" w:styleId="TextbublinyChar">
    <w:name w:val="Text bubliny Char"/>
    <w:basedOn w:val="Standardnpsmoodstavce"/>
    <w:link w:val="Textbubliny"/>
    <w:uiPriority w:val="99"/>
    <w:semiHidden/>
    <w:rsid w:val="00415600"/>
    <w:rPr>
      <w:rFonts w:ascii="Tahoma" w:eastAsia="Times New Roman" w:hAnsi="Tahoma" w:cs="Tahoma"/>
      <w:sz w:val="16"/>
      <w:szCs w:val="16"/>
      <w:lang w:eastAsia="cs-CZ"/>
    </w:rPr>
  </w:style>
  <w:style w:type="paragraph" w:styleId="FormtovanvHTML">
    <w:name w:val="HTML Preformatted"/>
    <w:basedOn w:val="Normln"/>
    <w:link w:val="FormtovanvHTMLChar"/>
    <w:uiPriority w:val="99"/>
    <w:semiHidden/>
    <w:unhideWhenUsed/>
    <w:rsid w:val="0050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5015A5"/>
    <w:rPr>
      <w:rFonts w:ascii="Courier New" w:eastAsia="Times New Roman" w:hAnsi="Courier New" w:cs="Courier New"/>
      <w:sz w:val="20"/>
      <w:szCs w:val="20"/>
      <w:lang w:eastAsia="cs-CZ"/>
    </w:rPr>
  </w:style>
  <w:style w:type="character" w:styleId="Hypertextovodkaz">
    <w:name w:val="Hyperlink"/>
    <w:basedOn w:val="Standardnpsmoodstavce"/>
    <w:uiPriority w:val="99"/>
    <w:semiHidden/>
    <w:unhideWhenUsed/>
    <w:rsid w:val="00501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81807">
      <w:bodyDiv w:val="1"/>
      <w:marLeft w:val="0"/>
      <w:marRight w:val="0"/>
      <w:marTop w:val="0"/>
      <w:marBottom w:val="0"/>
      <w:divBdr>
        <w:top w:val="none" w:sz="0" w:space="0" w:color="auto"/>
        <w:left w:val="none" w:sz="0" w:space="0" w:color="auto"/>
        <w:bottom w:val="none" w:sz="0" w:space="0" w:color="auto"/>
        <w:right w:val="none" w:sz="0" w:space="0" w:color="auto"/>
      </w:divBdr>
    </w:div>
    <w:div w:id="19168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722724F75BCC40B23F9F69FEF041F6" ma:contentTypeVersion="11" ma:contentTypeDescription="Vytvoří nový dokument" ma:contentTypeScope="" ma:versionID="bf60e23eed03a5bc8c26e291e0970f4c">
  <xsd:schema xmlns:xsd="http://www.w3.org/2001/XMLSchema" xmlns:xs="http://www.w3.org/2001/XMLSchema" xmlns:p="http://schemas.microsoft.com/office/2006/metadata/properties" xmlns:ns3="359fd376-c996-45d8-a8fc-6f6c8084dc22" targetNamespace="http://schemas.microsoft.com/office/2006/metadata/properties" ma:root="true" ma:fieldsID="1aa6cc78f6ce5a0d06be0c043a0306ea" ns3:_="">
    <xsd:import namespace="359fd376-c996-45d8-a8fc-6f6c8084dc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fd376-c996-45d8-a8fc-6f6c8084d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973DA-FAC7-4040-9187-928A7E4CD4E4}">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359fd376-c996-45d8-a8fc-6f6c8084dc22"/>
    <ds:schemaRef ds:uri="http://purl.org/dc/terms/"/>
  </ds:schemaRefs>
</ds:datastoreItem>
</file>

<file path=customXml/itemProps2.xml><?xml version="1.0" encoding="utf-8"?>
<ds:datastoreItem xmlns:ds="http://schemas.openxmlformats.org/officeDocument/2006/customXml" ds:itemID="{771553D5-6B88-444A-8F2D-554A2E0CBA87}">
  <ds:schemaRefs>
    <ds:schemaRef ds:uri="http://schemas.microsoft.com/sharepoint/v3/contenttype/forms"/>
  </ds:schemaRefs>
</ds:datastoreItem>
</file>

<file path=customXml/itemProps3.xml><?xml version="1.0" encoding="utf-8"?>
<ds:datastoreItem xmlns:ds="http://schemas.openxmlformats.org/officeDocument/2006/customXml" ds:itemID="{6C7560D8-2E6A-4766-9258-E8EB5555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fd376-c996-45d8-a8fc-6f6c8084d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2406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ČSÚ</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hnidkova2727</dc:creator>
  <cp:lastModifiedBy>Klémová Lea</cp:lastModifiedBy>
  <cp:revision>4</cp:revision>
  <cp:lastPrinted>2015-11-04T14:13:00Z</cp:lastPrinted>
  <dcterms:created xsi:type="dcterms:W3CDTF">2025-08-05T08:31:00Z</dcterms:created>
  <dcterms:modified xsi:type="dcterms:W3CDTF">2025-10-08T09:18:00Z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0x010100B2722724F75BCC40B23F9F69FEF041F6</vt:lpwstr>
  </property>
</Properties>
</file>