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C4E0" w14:textId="77777777" w:rsidR="00AD4F16" w:rsidRDefault="00AD4F16" w:rsidP="00AD4F16">
      <w:pPr>
        <w:pStyle w:val="Nadpis1"/>
      </w:pPr>
      <w:bookmarkStart w:id="0" w:name="_Toc511215218"/>
      <w:bookmarkStart w:id="1" w:name="_Toc185241001"/>
      <w:r>
        <w:t>1. Shrnutí</w:t>
      </w:r>
      <w:bookmarkEnd w:id="1"/>
    </w:p>
    <w:p w14:paraId="4897C547" w14:textId="77777777" w:rsidR="00AD4F16" w:rsidRDefault="00AD4F16" w:rsidP="00AD4F16">
      <w:pPr>
        <w:pStyle w:val="Normalodrka"/>
        <w:ind w:left="357" w:hanging="357"/>
      </w:pPr>
      <w:r>
        <w:t>Hrubý domácí produkt (HDP) ve 3. čtvrtletí 2024 rostl mezičtvrtletně o 0,4 %</w:t>
      </w:r>
      <w:r>
        <w:rPr>
          <w:rStyle w:val="Znakapoznpodarou"/>
          <w:spacing w:val="-4"/>
        </w:rPr>
        <w:footnoteReference w:id="1"/>
      </w:r>
      <w:r>
        <w:t>. Pokračovalo mezičtvrtletní oživení domácí spotřeby a pozitivně působila změna zásob. Mezičtvrtletní růst HDP naopak brzdila investiční aktivita a zahraniční poptávka. Meziročně byl HDP vyšší o 1,3 %. Vyšší byla spotřeba domácností i vládních institucí a mírně pozitivně působila zahraniční poptávka. Klesala ale investiční aktivita a negativně se meziročně vyvíjela změna zásob. Hrubý domácí produkt v EU ve 3. čtvrtletí meziročně rostl o 1,0 % a mezičtvrtletně o 0,4 %. Pokračoval meziroční pokles HDP Německa a Rakouska. V rámci střední Evropy naopak kromě Česka meziročně rostlo Polsko i Slovensko. Mezičtvrtletně rostl HDP Česka a Slovenska. Naopak Německo, Polsko a Rakousko vykázaly drobné poklesy.</w:t>
      </w:r>
    </w:p>
    <w:p w14:paraId="01781109" w14:textId="77777777" w:rsidR="00AD4F16" w:rsidRDefault="00AD4F16" w:rsidP="00AD4F16">
      <w:pPr>
        <w:pStyle w:val="Normalodrka"/>
        <w:ind w:left="357" w:hanging="357"/>
      </w:pPr>
      <w:r>
        <w:t xml:space="preserve">Hrubá přidaná hodnota (HPH) se ve 3. čtvrtletí mezičtvrtletně zvýšila o 0,8 % a meziročně o 1,0 %. Mezičtvrtletní růst byl zaznamenán v řadě odvětví, nejvíce v peněžnictví a pojišťovnictví (2,8 %) a ve zpracovatelském průmyslu (2,5 %). HPH se zvyšovala i v dalších odvětvích s výjimkou profesních, vědeckých, technických a administrativních činností, kde byl zaznamenán pokles o 0,1 %. Meziročně nejvíce rostla HPH v peněžnictví a pojišťovnictví (3,2 %). Posilující domácí spotřeba se projevila také solidním meziročním zvýšením HPH v uskupení obchod, doprava, ubytování a pohostinství (2,6 %) </w:t>
      </w:r>
      <w:r>
        <w:br/>
        <w:t xml:space="preserve">a v ostatních činnostech (2,6 %). Mírný meziroční pokles HPH o 0,1 % byl zaznamenán ve zpracovatelském průmyslu i v průmyslu jako celku a ve stavebnictví. Nejhlouběji meziročně klesla HPH </w:t>
      </w:r>
      <w:r>
        <w:br/>
        <w:t>v zemědělství, lesnictví a rybářství (−1,8 %).</w:t>
      </w:r>
    </w:p>
    <w:p w14:paraId="76322A62" w14:textId="77777777" w:rsidR="00AD4F16" w:rsidRDefault="00AD4F16" w:rsidP="00AD4F16">
      <w:pPr>
        <w:pStyle w:val="Normalodrka"/>
        <w:ind w:left="357" w:hanging="357"/>
      </w:pPr>
      <w:r>
        <w:t>Vývoz zboží a služeb ve 3. čtvrtletí 2024 reálně meziročně vzrostl o 4,0 %</w:t>
      </w:r>
      <w:r>
        <w:rPr>
          <w:rStyle w:val="Znakapoznpodarou"/>
          <w:spacing w:val="-4"/>
        </w:rPr>
        <w:footnoteReference w:id="2"/>
      </w:r>
      <w:r>
        <w:t xml:space="preserve"> a dovoz o 3,4 %. Bilance zahraničního obchodu se zbožím a službami v běžných cenách ve 2. čtvrtletí celkově dosáhla přebytku 121,8 mld. korun a ten se tak meziročně zvýšil o 29,9 mld., zejména vlivem zvýšení přebytku obchodu se zbožím. K tomuto zlepšení nejvíce přispěl obchod s motorovými vozidly a počíta</w:t>
      </w:r>
      <w:r>
        <w:rPr>
          <w:lang w:eastAsia="en-US"/>
        </w:rPr>
        <w:t>či, elektronickými a optickými přístroji a zařízeními. Meziročně se ve 3. čtvrtletí nejvíce zhoršila bilance obchodu se základními kovy.</w:t>
      </w:r>
    </w:p>
    <w:p w14:paraId="7D90E091" w14:textId="77777777" w:rsidR="00AD4F16" w:rsidRDefault="00AD4F16" w:rsidP="00AD4F16">
      <w:pPr>
        <w:pStyle w:val="Normalodrka"/>
        <w:ind w:left="357" w:hanging="357"/>
      </w:pPr>
      <w:r>
        <w:t>Celková cenová hladina (podle deflátoru HDP) ve 3. čtvrtletí meziročně vzrostla o 3,9 % a mezičtvrtletně se zvýšila o 0,4 %. Spotřebitelské ceny byly ve 3. čtvrtletí meziročně vyšší o 2,3 % a mezičtvrtletně vzrostly o 0,5 %. Zpomalení meziročního přírůstku spotřebitelských cen ovlivnil nižší</w:t>
      </w:r>
      <w:r>
        <w:rPr>
          <w:lang w:eastAsia="en-US"/>
        </w:rPr>
        <w:t xml:space="preserve"> růst cen dopravy a dále zmírnění dynamiky cen alkoholických nápojů a tabáku a odívání a obuvi. Naopak zmírnil pokles cen potravin a nealkoholických nápojů. Značně posílil růst nabídkových i realizovaných cen bytů. </w:t>
      </w:r>
      <w:r>
        <w:t xml:space="preserve">Ceny průmyslových výrobců ve 3. čtvrtletí meziročně vzrostly o 1,2 %. Opět se zmírnil pokles cen zemědělských výrobců. </w:t>
      </w:r>
    </w:p>
    <w:p w14:paraId="3A0426DE" w14:textId="77777777" w:rsidR="00AD4F16" w:rsidRDefault="00AD4F16" w:rsidP="00AD4F16">
      <w:pPr>
        <w:pStyle w:val="Normalodrka"/>
        <w:ind w:left="357" w:hanging="357"/>
      </w:pPr>
      <w:r>
        <w:t xml:space="preserve">Základní měnověpolitické úrokové sazby dál klesaly a spolu s nimi také úrokové sazby u většiny druhů klientských vkladů a úvěrů. </w:t>
      </w:r>
      <w:r>
        <w:rPr>
          <w:lang w:eastAsia="en-US"/>
        </w:rPr>
        <w:t xml:space="preserve">Dynamika objemu poskytnutých úvěrů zpomalila včetně hypoték. V nových hypotečních smlouvách tvořila většinu </w:t>
      </w:r>
      <w:r>
        <w:t>dojednávání nových podmínek existujících smluv.</w:t>
      </w:r>
    </w:p>
    <w:p w14:paraId="44DF8B14" w14:textId="379BFCBD" w:rsidR="00AD4F16" w:rsidRDefault="00AD4F16" w:rsidP="002C7E4E">
      <w:pPr>
        <w:pStyle w:val="Normalodrka"/>
        <w:ind w:left="357" w:hanging="357"/>
      </w:pPr>
      <w:r>
        <w:t>Celková zaměstnanost</w:t>
      </w:r>
      <w:r>
        <w:rPr>
          <w:rStyle w:val="Znakapoznpodarou"/>
        </w:rPr>
        <w:footnoteReference w:id="3"/>
      </w:r>
      <w:r>
        <w:t xml:space="preserve"> ve 3. čtvrtletí byla meziročně vyšší o 0,4 % a mezičtvrtletně se nezměnila. Celková míra nezaměstnanosti stále kolísá pod 3 %. Průměrná hrubá měsíční nominální mzda ve 3. čtvrtletí meziročně vzrostla o 7,0 % a dosáhla 45 412 koru</w:t>
      </w:r>
      <w:r w:rsidR="00EF6DB3">
        <w:t>n. Reálně průměrná mzda posílila</w:t>
      </w:r>
      <w:r>
        <w:t xml:space="preserve"> o 4,6 %. Mezičtvrtletní nominální navýšení průměrné mzdy činilo 1,9 %.</w:t>
      </w:r>
    </w:p>
    <w:p w14:paraId="1C9E6474" w14:textId="4F71D1FB" w:rsidR="00AD4F16" w:rsidRDefault="00AD4F16" w:rsidP="00AD4F16">
      <w:pPr>
        <w:pStyle w:val="Normalodrka"/>
        <w:spacing w:after="0"/>
        <w:ind w:left="357" w:hanging="357"/>
      </w:pPr>
      <w:r>
        <w:t>V 1. až 3. čtvrtletí 2024 hospodařil státní rozpočet s</w:t>
      </w:r>
      <w:r w:rsidR="00D81AF3">
        <w:t>e</w:t>
      </w:r>
      <w:r>
        <w:t xml:space="preserve"> schodkem ve výši 181,7 mld. korun, což bylo téměř stejně jako v předchozím roce. Postupně odeznívala potřeba mimořádných výdajů domácnostem i firmám zasaženým dopady vysoké inflace a zřetelné jsou dopady schváleného konsolidačního balíčku. Je patrná i změna rozpočtového určení daní, která zvyšuje podíl na výnosu některých váhově významných daní ve prospěch státního rozpočtu. Přetrvávající slabý hospodářský růst ale brzdil růst příjmů z</w:t>
      </w:r>
      <w:r w:rsidR="00EF6DB3">
        <w:t xml:space="preserve"> některých </w:t>
      </w:r>
      <w:r>
        <w:t>daní.</w:t>
      </w:r>
    </w:p>
    <w:p w14:paraId="181E4D16" w14:textId="6E17C515" w:rsidR="00603FF5" w:rsidRDefault="00DB6566" w:rsidP="00E350ED">
      <w:pPr>
        <w:pStyle w:val="Normalodrka"/>
        <w:numPr>
          <w:ilvl w:val="0"/>
          <w:numId w:val="0"/>
        </w:numPr>
        <w:spacing w:after="0"/>
        <w:jc w:val="center"/>
      </w:pPr>
      <w:r w:rsidRPr="00DB6566">
        <w:rPr>
          <w:noProof/>
        </w:rPr>
        <w:lastRenderedPageBreak/>
        <w:drawing>
          <wp:inline distT="0" distB="0" distL="0" distR="0" wp14:anchorId="16CDD439" wp14:editId="3B1FB1B1">
            <wp:extent cx="5857875" cy="8867775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Toc145318531"/>
      <w:bookmarkStart w:id="3" w:name="_Toc153531174"/>
      <w:bookmarkStart w:id="4" w:name="_Toc169258114"/>
      <w:bookmarkStart w:id="5" w:name="_Toc137233026"/>
      <w:bookmarkStart w:id="6" w:name="_Toc130286019"/>
      <w:bookmarkStart w:id="7" w:name="_Toc114134050"/>
      <w:bookmarkStart w:id="8" w:name="_Toc145318534"/>
      <w:bookmarkStart w:id="9" w:name="_Toc153531177"/>
      <w:bookmarkStart w:id="10" w:name="_Toc121993822"/>
      <w:bookmarkStart w:id="11" w:name="_Toc137233031"/>
      <w:bookmarkEnd w:id="0"/>
    </w:p>
    <w:p w14:paraId="2143296F" w14:textId="056CBB00" w:rsidR="00A50D73" w:rsidRDefault="00A50D73" w:rsidP="00800216">
      <w:pPr>
        <w:spacing w:after="0"/>
      </w:pPr>
      <w:bookmarkStart w:id="12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A50D73" w:rsidSect="00B86853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DC48F1" w:rsidRDefault="00DC48F1" w:rsidP="00E71A58">
      <w:r>
        <w:separator/>
      </w:r>
    </w:p>
  </w:endnote>
  <w:endnote w:type="continuationSeparator" w:id="0">
    <w:p w14:paraId="70B7E2B6" w14:textId="77777777" w:rsidR="00DC48F1" w:rsidRDefault="00DC48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2D16A86F" w:rsidR="009855E1" w:rsidRPr="00932443" w:rsidRDefault="009855E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86853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17CD9633" w:rsidR="009855E1" w:rsidRPr="00932443" w:rsidRDefault="009855E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1. až 3.čtvrtletí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86853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DC48F1" w:rsidRDefault="00DC48F1" w:rsidP="00EA4302">
      <w:pPr>
        <w:spacing w:after="0"/>
      </w:pPr>
      <w:r>
        <w:separator/>
      </w:r>
    </w:p>
  </w:footnote>
  <w:footnote w:type="continuationSeparator" w:id="0">
    <w:p w14:paraId="70CDBF0C" w14:textId="77777777" w:rsidR="00DC48F1" w:rsidRDefault="00DC48F1" w:rsidP="00E71A58">
      <w:r>
        <w:continuationSeparator/>
      </w:r>
    </w:p>
  </w:footnote>
  <w:footnote w:id="1">
    <w:p w14:paraId="5EAD1454" w14:textId="77777777" w:rsidR="00AD4F16" w:rsidRDefault="00AD4F16" w:rsidP="00AD4F16">
      <w:pPr>
        <w:pStyle w:val="Textpoznpodarou"/>
        <w:rPr>
          <w:spacing w:val="-2"/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Data o HDP, hrubé přidané hodnotě a jejích složkách jsou vyjádřena ve stálých cenách a v očištění o sezónní a kalendářní vlivy.</w:t>
      </w:r>
    </w:p>
  </w:footnote>
  <w:footnote w:id="2">
    <w:p w14:paraId="30F1B2A2" w14:textId="77777777" w:rsidR="00AD4F16" w:rsidRDefault="00AD4F16" w:rsidP="00AD4F16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435EBBB4" w14:textId="77777777" w:rsidR="00AD4F16" w:rsidRDefault="00AD4F16" w:rsidP="00AD4F16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9855E1" w:rsidRPr="00C27E4F" w:rsidRDefault="009855E1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9855E1" w:rsidRPr="006F5416" w:rsidRDefault="009855E1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6443"/>
    <w:rsid w:val="00241B06"/>
    <w:rsid w:val="00242C10"/>
    <w:rsid w:val="002436BA"/>
    <w:rsid w:val="00244A15"/>
    <w:rsid w:val="00247319"/>
    <w:rsid w:val="0024799E"/>
    <w:rsid w:val="00253C0F"/>
    <w:rsid w:val="002558C1"/>
    <w:rsid w:val="00271465"/>
    <w:rsid w:val="0028207A"/>
    <w:rsid w:val="00285412"/>
    <w:rsid w:val="00291640"/>
    <w:rsid w:val="002A16D4"/>
    <w:rsid w:val="002A230C"/>
    <w:rsid w:val="002A66B0"/>
    <w:rsid w:val="002B2299"/>
    <w:rsid w:val="002B4845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8123E"/>
    <w:rsid w:val="003818DC"/>
    <w:rsid w:val="00384327"/>
    <w:rsid w:val="00385D98"/>
    <w:rsid w:val="003A2B4D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599F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0F92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23E43"/>
    <w:rsid w:val="00A25216"/>
    <w:rsid w:val="00A30F65"/>
    <w:rsid w:val="00A33A89"/>
    <w:rsid w:val="00A40EAC"/>
    <w:rsid w:val="00A418B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86853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7677"/>
    <w:rsid w:val="00D66223"/>
    <w:rsid w:val="00D71625"/>
    <w:rsid w:val="00D751DA"/>
    <w:rsid w:val="00D8084C"/>
    <w:rsid w:val="00D81AF3"/>
    <w:rsid w:val="00D915EA"/>
    <w:rsid w:val="00DA7C0C"/>
    <w:rsid w:val="00DB08A9"/>
    <w:rsid w:val="00DB2EC8"/>
    <w:rsid w:val="00DB6566"/>
    <w:rsid w:val="00DC48F1"/>
    <w:rsid w:val="00DC5B3B"/>
    <w:rsid w:val="00DD129F"/>
    <w:rsid w:val="00DD4EFE"/>
    <w:rsid w:val="00DE02BD"/>
    <w:rsid w:val="00DF42FF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5EB"/>
    <w:rsid w:val="00F63DDE"/>
    <w:rsid w:val="00F63FB7"/>
    <w:rsid w:val="00F6421B"/>
    <w:rsid w:val="00F649D2"/>
    <w:rsid w:val="00F6602B"/>
    <w:rsid w:val="00F67C4E"/>
    <w:rsid w:val="00F73A0C"/>
    <w:rsid w:val="00F756DB"/>
    <w:rsid w:val="00F84E7D"/>
    <w:rsid w:val="00F85066"/>
    <w:rsid w:val="00F87A4D"/>
    <w:rsid w:val="00F9785E"/>
    <w:rsid w:val="00FA5D4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7B96"/>
    <w:rsid w:val="11D0C0D9"/>
    <w:rsid w:val="30D0B3BE"/>
    <w:rsid w:val="7BD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b8c0c86d-151e-4fca-b0d5-747e6692fa1d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17542A-452A-49A6-BD70-25B5200F3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0DC1A-B42C-40C0-93D5-1D461ED3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2024-12-16T10:31:00Z</dcterms:created>
  <dcterms:modified xsi:type="dcterms:W3CDTF">2024-12-16T10:36:00Z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