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E30" w:rsidRDefault="00171E30">
      <w:pPr>
        <w:tabs>
          <w:tab w:val="left" w:pos="142"/>
          <w:tab w:val="left" w:pos="709"/>
          <w:tab w:val="left" w:pos="1418"/>
          <w:tab w:val="left" w:pos="2126"/>
        </w:tabs>
        <w:spacing w:after="360"/>
        <w:rPr>
          <w:rFonts w:ascii="Arial" w:hAnsi="Arial" w:cs="Arial"/>
          <w:b/>
          <w:bCs/>
          <w:i/>
          <w:iCs/>
          <w:sz w:val="32"/>
          <w:lang w:val="en-GB"/>
        </w:rPr>
      </w:pPr>
      <w:bookmarkStart w:id="0" w:name="_GoBack"/>
      <w:bookmarkEnd w:id="0"/>
      <w:r>
        <w:rPr>
          <w:rFonts w:ascii="Arial" w:hAnsi="Arial" w:cs="Arial"/>
          <w:b/>
          <w:bCs/>
          <w:i/>
          <w:iCs/>
          <w:sz w:val="32"/>
          <w:szCs w:val="24"/>
          <w:lang w:val="en-GB"/>
        </w:rPr>
        <w:t>M</w:t>
      </w:r>
      <w:r>
        <w:rPr>
          <w:rFonts w:ascii="Arial" w:hAnsi="Arial" w:cs="Arial"/>
          <w:b/>
          <w:bCs/>
          <w:i/>
          <w:iCs/>
          <w:sz w:val="32"/>
          <w:lang w:val="en-GB"/>
        </w:rPr>
        <w:t>ethodological notes</w:t>
      </w:r>
    </w:p>
    <w:p w:rsidR="008650FB" w:rsidRDefault="008650FB">
      <w:pPr>
        <w:pStyle w:val="Zkladntext"/>
        <w:spacing w:after="60"/>
        <w:ind w:firstLine="567"/>
        <w:rPr>
          <w:i/>
          <w:iCs/>
          <w:sz w:val="20"/>
        </w:rPr>
      </w:pPr>
    </w:p>
    <w:p w:rsidR="00171E30" w:rsidRDefault="00171E30">
      <w:pPr>
        <w:pStyle w:val="Zkladntext"/>
        <w:spacing w:after="60"/>
        <w:ind w:firstLine="567"/>
        <w:rPr>
          <w:i/>
          <w:iCs/>
          <w:sz w:val="20"/>
        </w:rPr>
      </w:pPr>
      <w:r>
        <w:rPr>
          <w:i/>
          <w:iCs/>
          <w:sz w:val="20"/>
        </w:rPr>
        <w:t xml:space="preserve">The </w:t>
      </w:r>
      <w:r w:rsidR="00D509E8">
        <w:rPr>
          <w:i/>
          <w:iCs/>
          <w:sz w:val="20"/>
        </w:rPr>
        <w:t>document</w:t>
      </w:r>
      <w:r>
        <w:rPr>
          <w:i/>
          <w:iCs/>
          <w:sz w:val="20"/>
        </w:rPr>
        <w:t xml:space="preserve"> contains selected fundamental indicators on financial interm</w:t>
      </w:r>
      <w:r>
        <w:rPr>
          <w:i/>
          <w:iCs/>
          <w:sz w:val="20"/>
        </w:rPr>
        <w:t>e</w:t>
      </w:r>
      <w:r>
        <w:rPr>
          <w:i/>
          <w:iCs/>
          <w:sz w:val="20"/>
        </w:rPr>
        <w:t>diation. According to the CZ-NACE this publicat</w:t>
      </w:r>
      <w:r w:rsidR="00D509E8">
        <w:rPr>
          <w:i/>
          <w:iCs/>
          <w:sz w:val="20"/>
        </w:rPr>
        <w:t>ion contains data of division 64</w:t>
      </w:r>
      <w:r>
        <w:rPr>
          <w:i/>
          <w:iCs/>
          <w:sz w:val="20"/>
        </w:rPr>
        <w:t xml:space="preserve"> (Financial </w:t>
      </w:r>
      <w:r w:rsidR="00D509E8">
        <w:rPr>
          <w:i/>
          <w:iCs/>
          <w:sz w:val="20"/>
        </w:rPr>
        <w:t>service activities</w:t>
      </w:r>
      <w:r>
        <w:rPr>
          <w:i/>
          <w:iCs/>
          <w:sz w:val="20"/>
        </w:rPr>
        <w:t>, except insurance a</w:t>
      </w:r>
      <w:r w:rsidR="00D509E8">
        <w:rPr>
          <w:i/>
          <w:iCs/>
          <w:sz w:val="20"/>
        </w:rPr>
        <w:t>nd pension funding), division 65</w:t>
      </w:r>
      <w:r>
        <w:rPr>
          <w:i/>
          <w:iCs/>
          <w:sz w:val="20"/>
        </w:rPr>
        <w:t xml:space="preserve"> </w:t>
      </w:r>
      <w:r w:rsidR="00D509E8">
        <w:rPr>
          <w:i/>
          <w:iCs/>
          <w:sz w:val="20"/>
        </w:rPr>
        <w:t>(I</w:t>
      </w:r>
      <w:r>
        <w:rPr>
          <w:i/>
          <w:iCs/>
          <w:sz w:val="20"/>
        </w:rPr>
        <w:t>nsurance</w:t>
      </w:r>
      <w:r w:rsidR="00D509E8">
        <w:rPr>
          <w:i/>
          <w:iCs/>
          <w:sz w:val="20"/>
        </w:rPr>
        <w:t>, reinsurance</w:t>
      </w:r>
      <w:r>
        <w:rPr>
          <w:i/>
          <w:iCs/>
          <w:sz w:val="20"/>
        </w:rPr>
        <w:t xml:space="preserve"> and pension funding, except compulsory social security) and division 6</w:t>
      </w:r>
      <w:r w:rsidR="00D509E8">
        <w:rPr>
          <w:i/>
          <w:iCs/>
          <w:sz w:val="20"/>
        </w:rPr>
        <w:t>6</w:t>
      </w:r>
      <w:r>
        <w:rPr>
          <w:i/>
          <w:iCs/>
          <w:sz w:val="20"/>
        </w:rPr>
        <w:t xml:space="preserve"> (Activities auxiliary to financial </w:t>
      </w:r>
      <w:r w:rsidR="00D509E8">
        <w:rPr>
          <w:i/>
          <w:iCs/>
          <w:sz w:val="20"/>
        </w:rPr>
        <w:t>services and insurance activities</w:t>
      </w:r>
      <w:r>
        <w:rPr>
          <w:i/>
          <w:iCs/>
          <w:sz w:val="20"/>
        </w:rPr>
        <w:t>).</w:t>
      </w:r>
    </w:p>
    <w:p w:rsidR="00171E30" w:rsidRDefault="00171E30">
      <w:pPr>
        <w:pStyle w:val="Zkladntextodsazen"/>
        <w:spacing w:after="60"/>
        <w:rPr>
          <w:rFonts w:ascii="Arial" w:hAnsi="Arial" w:cs="Arial"/>
          <w:i/>
          <w:iCs/>
          <w:sz w:val="20"/>
          <w:szCs w:val="20"/>
          <w:lang w:val="en-GB"/>
        </w:rPr>
      </w:pPr>
      <w:r>
        <w:rPr>
          <w:rFonts w:ascii="Arial" w:hAnsi="Arial" w:cs="Arial"/>
          <w:i/>
          <w:iCs/>
          <w:sz w:val="20"/>
          <w:szCs w:val="20"/>
          <w:lang w:val="en-GB"/>
        </w:rPr>
        <w:t xml:space="preserve">The data result from the processing of </w:t>
      </w:r>
      <w:r w:rsidR="00121442">
        <w:rPr>
          <w:rFonts w:ascii="Arial" w:hAnsi="Arial" w:cs="Arial"/>
          <w:i/>
          <w:iCs/>
          <w:sz w:val="20"/>
          <w:szCs w:val="20"/>
          <w:lang w:val="en-GB"/>
        </w:rPr>
        <w:t xml:space="preserve">two </w:t>
      </w:r>
      <w:r>
        <w:rPr>
          <w:rFonts w:ascii="Arial" w:hAnsi="Arial" w:cs="Arial"/>
          <w:i/>
          <w:iCs/>
          <w:sz w:val="20"/>
          <w:szCs w:val="20"/>
          <w:lang w:val="en-GB"/>
        </w:rPr>
        <w:t xml:space="preserve">quarterly statistical questionnaires and selected </w:t>
      </w:r>
      <w:r w:rsidR="00EF3C25">
        <w:rPr>
          <w:rFonts w:ascii="Arial" w:hAnsi="Arial" w:cs="Arial"/>
          <w:i/>
          <w:iCs/>
          <w:sz w:val="20"/>
          <w:szCs w:val="20"/>
          <w:lang w:val="en-GB"/>
        </w:rPr>
        <w:t>data</w:t>
      </w:r>
      <w:r>
        <w:rPr>
          <w:rFonts w:ascii="Arial" w:hAnsi="Arial" w:cs="Arial"/>
          <w:i/>
          <w:iCs/>
          <w:sz w:val="20"/>
          <w:szCs w:val="20"/>
          <w:lang w:val="en-GB"/>
        </w:rPr>
        <w:t xml:space="preserve"> of the Czech National Bank:</w:t>
      </w:r>
    </w:p>
    <w:p w:rsidR="00171E30" w:rsidRPr="00121442" w:rsidRDefault="00171E30" w:rsidP="00121442">
      <w:pPr>
        <w:pStyle w:val="Zkladntextodsazen"/>
        <w:numPr>
          <w:ilvl w:val="0"/>
          <w:numId w:val="20"/>
        </w:numPr>
        <w:spacing w:before="60"/>
        <w:jc w:val="both"/>
        <w:rPr>
          <w:rFonts w:ascii="Arial" w:hAnsi="Arial" w:cs="Arial"/>
          <w:i/>
          <w:iCs/>
          <w:sz w:val="20"/>
          <w:szCs w:val="20"/>
          <w:lang w:val="en-GB"/>
        </w:rPr>
      </w:pPr>
      <w:r>
        <w:rPr>
          <w:rFonts w:ascii="Arial" w:hAnsi="Arial" w:cs="Arial"/>
          <w:b/>
          <w:bCs/>
          <w:i/>
          <w:iCs/>
          <w:sz w:val="20"/>
          <w:szCs w:val="20"/>
          <w:lang w:val="en-GB"/>
        </w:rPr>
        <w:t>Pen</w:t>
      </w:r>
      <w:r w:rsidR="004564CC">
        <w:rPr>
          <w:rFonts w:ascii="Arial" w:hAnsi="Arial" w:cs="Arial"/>
          <w:b/>
          <w:bCs/>
          <w:i/>
          <w:iCs/>
          <w:sz w:val="20"/>
          <w:szCs w:val="20"/>
          <w:lang w:val="en-GB"/>
        </w:rPr>
        <w:t>Poj</w:t>
      </w:r>
      <w:r>
        <w:rPr>
          <w:rFonts w:ascii="Arial" w:hAnsi="Arial" w:cs="Arial"/>
          <w:b/>
          <w:bCs/>
          <w:i/>
          <w:iCs/>
          <w:sz w:val="20"/>
          <w:szCs w:val="20"/>
          <w:lang w:val="en-GB"/>
        </w:rPr>
        <w:t xml:space="preserve"> 3-04 </w:t>
      </w:r>
      <w:r>
        <w:rPr>
          <w:rFonts w:ascii="Arial" w:hAnsi="Arial" w:cs="Arial"/>
          <w:i/>
          <w:iCs/>
          <w:sz w:val="20"/>
          <w:szCs w:val="20"/>
          <w:lang w:val="en-GB"/>
        </w:rPr>
        <w:t>– filled out by banking monetary institutions,</w:t>
      </w:r>
      <w:r w:rsidR="007B4CDB" w:rsidRPr="007B4CDB">
        <w:rPr>
          <w:rFonts w:ascii="Arial" w:hAnsi="Arial" w:cs="Arial"/>
          <w:i/>
          <w:iCs/>
          <w:sz w:val="20"/>
          <w:szCs w:val="20"/>
          <w:lang w:val="en-GB"/>
        </w:rPr>
        <w:t xml:space="preserve"> </w:t>
      </w:r>
      <w:r w:rsidR="007B4CDB" w:rsidRPr="00121442">
        <w:rPr>
          <w:rFonts w:ascii="Arial" w:hAnsi="Arial" w:cs="Arial"/>
          <w:i/>
          <w:iCs/>
          <w:sz w:val="20"/>
          <w:szCs w:val="20"/>
          <w:lang w:val="en-GB"/>
        </w:rPr>
        <w:t xml:space="preserve">also saving and credit cooperatives </w:t>
      </w:r>
      <w:r w:rsidR="00690DA2">
        <w:rPr>
          <w:rFonts w:ascii="Arial" w:hAnsi="Arial" w:cs="Arial"/>
          <w:i/>
          <w:iCs/>
          <w:sz w:val="20"/>
          <w:szCs w:val="20"/>
          <w:lang w:val="en-GB"/>
        </w:rPr>
        <w:t xml:space="preserve">(CZ-NACE 64.1) </w:t>
      </w:r>
      <w:r w:rsidR="007B4CDB">
        <w:rPr>
          <w:rFonts w:ascii="Arial" w:hAnsi="Arial" w:cs="Arial"/>
          <w:i/>
          <w:iCs/>
          <w:sz w:val="20"/>
          <w:szCs w:val="20"/>
          <w:lang w:val="en-GB"/>
        </w:rPr>
        <w:t xml:space="preserve">and </w:t>
      </w:r>
      <w:r w:rsidRPr="00121442">
        <w:rPr>
          <w:rFonts w:ascii="Arial" w:hAnsi="Arial" w:cs="Arial"/>
          <w:i/>
          <w:iCs/>
          <w:sz w:val="20"/>
          <w:szCs w:val="20"/>
          <w:lang w:val="en-GB"/>
        </w:rPr>
        <w:t xml:space="preserve">all businesses with their principal </w:t>
      </w:r>
      <w:r w:rsidR="00D509E8" w:rsidRPr="00121442">
        <w:rPr>
          <w:rFonts w:ascii="Arial" w:hAnsi="Arial" w:cs="Arial"/>
          <w:i/>
          <w:iCs/>
          <w:sz w:val="20"/>
          <w:szCs w:val="20"/>
          <w:lang w:val="en-GB"/>
        </w:rPr>
        <w:t xml:space="preserve">activity coming under </w:t>
      </w:r>
      <w:r w:rsidR="000841E7" w:rsidRPr="00121442">
        <w:rPr>
          <w:rFonts w:cs="Arial"/>
          <w:i/>
          <w:sz w:val="20"/>
        </w:rPr>
        <w:t xml:space="preserve">CZ-NACE, </w:t>
      </w:r>
      <w:r w:rsidR="000841E7" w:rsidRPr="00121442">
        <w:rPr>
          <w:rFonts w:ascii="Arial" w:hAnsi="Arial" w:cs="Arial"/>
          <w:i/>
          <w:iCs/>
          <w:sz w:val="20"/>
          <w:szCs w:val="20"/>
          <w:lang w:val="en-GB"/>
        </w:rPr>
        <w:t>code 64.2, 64.3, 64.9 and 66</w:t>
      </w:r>
      <w:r w:rsidRPr="00121442">
        <w:rPr>
          <w:rFonts w:ascii="Arial" w:hAnsi="Arial" w:cs="Arial"/>
          <w:i/>
          <w:iCs/>
          <w:sz w:val="20"/>
          <w:szCs w:val="20"/>
          <w:lang w:val="en-GB"/>
        </w:rPr>
        <w:t xml:space="preserve"> </w:t>
      </w:r>
      <w:r w:rsidR="00121442">
        <w:rPr>
          <w:rFonts w:ascii="Arial" w:hAnsi="Arial" w:cs="Arial"/>
          <w:i/>
          <w:iCs/>
          <w:sz w:val="20"/>
          <w:szCs w:val="20"/>
          <w:lang w:val="en-GB"/>
        </w:rPr>
        <w:t>which</w:t>
      </w:r>
      <w:r w:rsidRPr="00121442">
        <w:rPr>
          <w:rFonts w:ascii="Arial" w:hAnsi="Arial" w:cs="Arial"/>
          <w:i/>
          <w:iCs/>
          <w:sz w:val="20"/>
          <w:szCs w:val="20"/>
          <w:lang w:val="en-GB"/>
        </w:rPr>
        <w:t xml:space="preserve"> keep the books in accordance with the chart of accounts for banks and mostly include investment comp</w:t>
      </w:r>
      <w:r w:rsidRPr="00121442">
        <w:rPr>
          <w:rFonts w:ascii="Arial" w:hAnsi="Arial" w:cs="Arial"/>
          <w:i/>
          <w:iCs/>
          <w:sz w:val="20"/>
          <w:szCs w:val="20"/>
          <w:lang w:val="en-GB"/>
        </w:rPr>
        <w:t>a</w:t>
      </w:r>
      <w:r w:rsidRPr="00121442">
        <w:rPr>
          <w:rFonts w:ascii="Arial" w:hAnsi="Arial" w:cs="Arial"/>
          <w:i/>
          <w:iCs/>
          <w:sz w:val="20"/>
          <w:szCs w:val="20"/>
          <w:lang w:val="en-GB"/>
        </w:rPr>
        <w:t xml:space="preserve">nies and funds managed </w:t>
      </w:r>
      <w:r w:rsidR="007B4CDB">
        <w:rPr>
          <w:rFonts w:ascii="Arial" w:hAnsi="Arial" w:cs="Arial"/>
          <w:i/>
          <w:iCs/>
          <w:sz w:val="20"/>
          <w:szCs w:val="20"/>
          <w:lang w:val="en-GB"/>
        </w:rPr>
        <w:t xml:space="preserve">by the investment companies </w:t>
      </w:r>
      <w:r w:rsidRPr="00121442">
        <w:rPr>
          <w:rFonts w:ascii="Arial" w:hAnsi="Arial" w:cs="Arial"/>
          <w:i/>
          <w:iCs/>
          <w:sz w:val="20"/>
          <w:szCs w:val="20"/>
          <w:lang w:val="en-GB"/>
        </w:rPr>
        <w:t>and licensed brokers</w:t>
      </w:r>
      <w:r w:rsidR="00121442">
        <w:rPr>
          <w:rFonts w:ascii="Arial" w:hAnsi="Arial" w:cs="Arial"/>
          <w:i/>
          <w:iCs/>
          <w:sz w:val="20"/>
          <w:szCs w:val="20"/>
          <w:lang w:val="en-GB"/>
        </w:rPr>
        <w:t xml:space="preserve"> </w:t>
      </w:r>
      <w:r w:rsidRPr="00121442">
        <w:rPr>
          <w:rFonts w:ascii="Arial" w:hAnsi="Arial" w:cs="Arial"/>
          <w:i/>
          <w:iCs/>
          <w:sz w:val="20"/>
          <w:szCs w:val="20"/>
          <w:lang w:val="en-GB"/>
        </w:rPr>
        <w:t>,</w:t>
      </w:r>
      <w:r w:rsidR="00121442">
        <w:rPr>
          <w:rFonts w:ascii="Arial" w:hAnsi="Arial" w:cs="Arial"/>
          <w:i/>
          <w:iCs/>
          <w:sz w:val="20"/>
          <w:szCs w:val="20"/>
          <w:lang w:val="en-GB"/>
        </w:rPr>
        <w:t>insurance (CZ-NACE 65.11 and 65.12) and reinsurance companies (CZ-NACE 65.20), pension</w:t>
      </w:r>
      <w:r w:rsidR="00F97E8D">
        <w:rPr>
          <w:rFonts w:ascii="Arial" w:hAnsi="Arial" w:cs="Arial"/>
          <w:i/>
          <w:iCs/>
          <w:sz w:val="20"/>
          <w:szCs w:val="20"/>
          <w:lang w:val="en-GB"/>
        </w:rPr>
        <w:t xml:space="preserve"> companies (CZ-NACE 66.3</w:t>
      </w:r>
      <w:r w:rsidR="00121442">
        <w:rPr>
          <w:rFonts w:ascii="Arial" w:hAnsi="Arial" w:cs="Arial"/>
          <w:i/>
          <w:iCs/>
          <w:sz w:val="20"/>
          <w:szCs w:val="20"/>
          <w:lang w:val="en-GB"/>
        </w:rPr>
        <w:t>0)</w:t>
      </w:r>
    </w:p>
    <w:p w:rsidR="00121442" w:rsidRDefault="00171E30" w:rsidP="00121442">
      <w:pPr>
        <w:pStyle w:val="Zkladntextodsazen"/>
        <w:numPr>
          <w:ilvl w:val="0"/>
          <w:numId w:val="20"/>
        </w:numPr>
        <w:jc w:val="both"/>
        <w:rPr>
          <w:rFonts w:ascii="Arial" w:hAnsi="Arial" w:cs="Arial"/>
          <w:i/>
          <w:iCs/>
          <w:sz w:val="20"/>
          <w:szCs w:val="20"/>
          <w:lang w:val="en-GB"/>
        </w:rPr>
      </w:pPr>
      <w:r>
        <w:rPr>
          <w:rFonts w:ascii="Arial" w:hAnsi="Arial" w:cs="Arial"/>
          <w:b/>
          <w:bCs/>
          <w:i/>
          <w:iCs/>
          <w:sz w:val="20"/>
          <w:szCs w:val="20"/>
          <w:lang w:val="en-GB"/>
        </w:rPr>
        <w:t>Pen 3c-04</w:t>
      </w:r>
      <w:r>
        <w:rPr>
          <w:rFonts w:ascii="Arial" w:hAnsi="Arial" w:cs="Arial"/>
          <w:i/>
          <w:iCs/>
          <w:sz w:val="20"/>
          <w:szCs w:val="20"/>
          <w:lang w:val="en-GB"/>
        </w:rPr>
        <w:t xml:space="preserve"> – all businesses with their principal </w:t>
      </w:r>
      <w:r w:rsidR="00D509E8">
        <w:rPr>
          <w:rFonts w:ascii="Arial" w:hAnsi="Arial" w:cs="Arial"/>
          <w:i/>
          <w:iCs/>
          <w:sz w:val="20"/>
          <w:szCs w:val="20"/>
          <w:lang w:val="en-GB"/>
        </w:rPr>
        <w:t xml:space="preserve">activity coming </w:t>
      </w:r>
      <w:r w:rsidR="00325712" w:rsidRPr="003A09AB">
        <w:rPr>
          <w:rFonts w:ascii="Arial" w:hAnsi="Arial" w:cs="Arial"/>
          <w:i/>
          <w:iCs/>
          <w:sz w:val="20"/>
          <w:szCs w:val="20"/>
          <w:lang w:val="en-GB"/>
        </w:rPr>
        <w:t>code 64.2, 64.3, 64.9 and 66</w:t>
      </w:r>
      <w:r>
        <w:rPr>
          <w:rFonts w:ascii="Arial" w:hAnsi="Arial" w:cs="Arial"/>
          <w:i/>
          <w:iCs/>
          <w:sz w:val="20"/>
          <w:szCs w:val="20"/>
          <w:lang w:val="en-GB"/>
        </w:rPr>
        <w:t xml:space="preserve"> are obliged to fill out this questionnaire. They use the chart of accounts for entrepreneurs and include financial leasing companies, persons registered by the Czech National Bank wi</w:t>
      </w:r>
      <w:r w:rsidR="00121442">
        <w:rPr>
          <w:rFonts w:ascii="Arial" w:hAnsi="Arial" w:cs="Arial"/>
          <w:i/>
          <w:iCs/>
          <w:sz w:val="20"/>
          <w:szCs w:val="20"/>
          <w:lang w:val="en-GB"/>
        </w:rPr>
        <w:t>thin Capital Market Supervision</w:t>
      </w:r>
    </w:p>
    <w:p w:rsidR="00171E30" w:rsidRDefault="00171E30">
      <w:pPr>
        <w:tabs>
          <w:tab w:val="left" w:pos="142"/>
          <w:tab w:val="left" w:pos="709"/>
          <w:tab w:val="left" w:pos="1418"/>
          <w:tab w:val="left" w:pos="2126"/>
        </w:tabs>
        <w:spacing w:before="60"/>
        <w:ind w:firstLine="567"/>
        <w:jc w:val="both"/>
        <w:rPr>
          <w:rFonts w:ascii="Arial" w:hAnsi="Arial" w:cs="Arial"/>
          <w:i/>
          <w:iCs/>
          <w:lang w:val="en-GB"/>
        </w:rPr>
      </w:pPr>
      <w:r>
        <w:rPr>
          <w:rFonts w:ascii="Arial" w:hAnsi="Arial" w:cs="Arial"/>
          <w:i/>
          <w:iCs/>
          <w:lang w:val="en-GB"/>
        </w:rPr>
        <w:t>If a business fails to submit the filled-in questionnaire for any reason, then the data for such a business are calculated by means of mathematical statistical methods, in which data they provided before or administr</w:t>
      </w:r>
      <w:r>
        <w:rPr>
          <w:rFonts w:ascii="Arial" w:hAnsi="Arial" w:cs="Arial"/>
          <w:i/>
          <w:iCs/>
          <w:lang w:val="en-GB"/>
        </w:rPr>
        <w:t>a</w:t>
      </w:r>
      <w:r>
        <w:rPr>
          <w:rFonts w:ascii="Arial" w:hAnsi="Arial" w:cs="Arial"/>
          <w:i/>
          <w:iCs/>
          <w:lang w:val="en-GB"/>
        </w:rPr>
        <w:t>tive data (e.g., on the number of employees) are used. Using expert guesses is permitted, where a business cannot provide a value of an indicator accurately according to the methodological notes attached to the questionnaire.</w:t>
      </w:r>
    </w:p>
    <w:p w:rsidR="00171E30" w:rsidRDefault="00171E30">
      <w:pPr>
        <w:tabs>
          <w:tab w:val="left" w:pos="142"/>
          <w:tab w:val="left" w:pos="709"/>
          <w:tab w:val="left" w:pos="1418"/>
          <w:tab w:val="left" w:pos="2126"/>
        </w:tabs>
        <w:spacing w:before="60"/>
        <w:ind w:firstLine="567"/>
        <w:jc w:val="both"/>
        <w:rPr>
          <w:rFonts w:ascii="Arial" w:hAnsi="Arial" w:cs="Arial"/>
          <w:i/>
          <w:iCs/>
          <w:lang w:val="en-GB"/>
        </w:rPr>
      </w:pPr>
      <w:r>
        <w:rPr>
          <w:rFonts w:ascii="Arial" w:hAnsi="Arial" w:cs="Arial"/>
          <w:i/>
          <w:iCs/>
          <w:lang w:val="en-GB"/>
        </w:rPr>
        <w:t>When current quarter data are processed, data for the previous period are corrected retroactiv</w:t>
      </w:r>
      <w:r>
        <w:rPr>
          <w:rFonts w:ascii="Arial" w:hAnsi="Arial" w:cs="Arial"/>
          <w:i/>
          <w:iCs/>
          <w:lang w:val="en-GB"/>
        </w:rPr>
        <w:t>e</w:t>
      </w:r>
      <w:r>
        <w:rPr>
          <w:rFonts w:ascii="Arial" w:hAnsi="Arial" w:cs="Arial"/>
          <w:i/>
          <w:iCs/>
          <w:lang w:val="en-GB"/>
        </w:rPr>
        <w:t xml:space="preserve">ly with regard to the questionnaires provided after the deadline for the previous quarter or to corrections submitted by reporting units. Hence, the data for the previous period may differ from those released before. </w:t>
      </w:r>
    </w:p>
    <w:p w:rsidR="00171E30" w:rsidRDefault="00171E30">
      <w:pPr>
        <w:pStyle w:val="Nadpis1"/>
        <w:tabs>
          <w:tab w:val="left" w:pos="142"/>
          <w:tab w:val="left" w:pos="709"/>
          <w:tab w:val="left" w:pos="1418"/>
          <w:tab w:val="left" w:pos="2126"/>
        </w:tabs>
        <w:spacing w:before="480" w:after="320"/>
        <w:jc w:val="both"/>
        <w:rPr>
          <w:rFonts w:ascii="Arial" w:hAnsi="Arial" w:cs="Arial"/>
          <w:i/>
          <w:iCs/>
          <w:sz w:val="28"/>
          <w:lang w:val="en-GB"/>
        </w:rPr>
      </w:pPr>
      <w:r>
        <w:rPr>
          <w:rFonts w:ascii="Arial" w:hAnsi="Arial" w:cs="Arial"/>
          <w:i/>
          <w:iCs/>
          <w:sz w:val="28"/>
          <w:lang w:val="en-GB"/>
        </w:rPr>
        <w:t>Notes on the tables</w:t>
      </w:r>
    </w:p>
    <w:p w:rsidR="00171E30" w:rsidRDefault="00171E30">
      <w:pPr>
        <w:pStyle w:val="Zkladntextodsazen"/>
        <w:ind w:left="62" w:firstLine="357"/>
        <w:jc w:val="both"/>
        <w:rPr>
          <w:rFonts w:ascii="Arial" w:hAnsi="Arial" w:cs="Arial"/>
          <w:i/>
          <w:iCs/>
          <w:sz w:val="20"/>
          <w:lang w:val="en-GB"/>
        </w:rPr>
      </w:pPr>
      <w:r>
        <w:rPr>
          <w:rFonts w:ascii="Arial" w:hAnsi="Arial" w:cs="Arial"/>
          <w:i/>
          <w:iCs/>
          <w:sz w:val="20"/>
          <w:lang w:val="en-GB"/>
        </w:rPr>
        <w:t>Selected economic indicators of monetary and insurance institutions table goes with number 1. The indicators on banking monetary institutions are listed in tables 2 to 4, on non-banking monetary institutions in tables 5 to 7, on investmen</w:t>
      </w:r>
      <w:r w:rsidR="00D62CCC">
        <w:rPr>
          <w:rFonts w:ascii="Arial" w:hAnsi="Arial" w:cs="Arial"/>
          <w:i/>
          <w:iCs/>
          <w:sz w:val="20"/>
          <w:lang w:val="en-GB"/>
        </w:rPr>
        <w:t>t companies and funds in 8</w:t>
      </w:r>
      <w:r>
        <w:rPr>
          <w:rFonts w:ascii="Arial" w:hAnsi="Arial" w:cs="Arial"/>
          <w:i/>
          <w:iCs/>
          <w:sz w:val="20"/>
          <w:lang w:val="en-GB"/>
        </w:rPr>
        <w:t>, on financia</w:t>
      </w:r>
      <w:r w:rsidR="00D62CCC">
        <w:rPr>
          <w:rFonts w:ascii="Arial" w:hAnsi="Arial" w:cs="Arial"/>
          <w:i/>
          <w:iCs/>
          <w:sz w:val="20"/>
          <w:lang w:val="en-GB"/>
        </w:rPr>
        <w:t>l l</w:t>
      </w:r>
      <w:r w:rsidR="00000994">
        <w:rPr>
          <w:rFonts w:ascii="Arial" w:hAnsi="Arial" w:cs="Arial"/>
          <w:i/>
          <w:iCs/>
          <w:sz w:val="20"/>
          <w:lang w:val="en-GB"/>
        </w:rPr>
        <w:t xml:space="preserve">easing companies in tables 9 to </w:t>
      </w:r>
      <w:r w:rsidR="00D62CCC">
        <w:rPr>
          <w:rFonts w:ascii="Arial" w:hAnsi="Arial" w:cs="Arial"/>
          <w:i/>
          <w:iCs/>
          <w:sz w:val="20"/>
          <w:lang w:val="en-GB"/>
        </w:rPr>
        <w:t>11</w:t>
      </w:r>
      <w:r>
        <w:rPr>
          <w:rFonts w:ascii="Arial" w:hAnsi="Arial" w:cs="Arial"/>
          <w:i/>
          <w:iCs/>
          <w:sz w:val="20"/>
          <w:lang w:val="en-GB"/>
        </w:rPr>
        <w:t xml:space="preserve">, on </w:t>
      </w:r>
      <w:r w:rsidR="00D62CCC">
        <w:rPr>
          <w:rFonts w:ascii="Arial" w:hAnsi="Arial" w:cs="Arial"/>
          <w:i/>
          <w:iCs/>
          <w:sz w:val="20"/>
          <w:lang w:val="en-GB"/>
        </w:rPr>
        <w:t>insurance companies in tables 12 to 16</w:t>
      </w:r>
      <w:r>
        <w:rPr>
          <w:rFonts w:ascii="Arial" w:hAnsi="Arial" w:cs="Arial"/>
          <w:i/>
          <w:iCs/>
          <w:sz w:val="20"/>
          <w:lang w:val="en-GB"/>
        </w:rPr>
        <w:t xml:space="preserve"> and finally on pension</w:t>
      </w:r>
      <w:r w:rsidR="00CD68E5">
        <w:rPr>
          <w:rFonts w:ascii="Arial" w:hAnsi="Arial" w:cs="Arial"/>
          <w:i/>
          <w:iCs/>
          <w:sz w:val="20"/>
          <w:lang w:val="en-GB"/>
        </w:rPr>
        <w:t xml:space="preserve"> co</w:t>
      </w:r>
      <w:r w:rsidR="00CD68E5">
        <w:rPr>
          <w:rFonts w:ascii="Arial" w:hAnsi="Arial" w:cs="Arial"/>
          <w:i/>
          <w:iCs/>
          <w:sz w:val="20"/>
          <w:lang w:val="en-GB"/>
        </w:rPr>
        <w:t>m</w:t>
      </w:r>
      <w:r w:rsidR="00CD68E5">
        <w:rPr>
          <w:rFonts w:ascii="Arial" w:hAnsi="Arial" w:cs="Arial"/>
          <w:i/>
          <w:iCs/>
          <w:sz w:val="20"/>
          <w:lang w:val="en-GB"/>
        </w:rPr>
        <w:t>panies/</w:t>
      </w:r>
      <w:r w:rsidR="00D62CCC">
        <w:rPr>
          <w:rFonts w:ascii="Arial" w:hAnsi="Arial" w:cs="Arial"/>
          <w:i/>
          <w:iCs/>
          <w:sz w:val="20"/>
          <w:lang w:val="en-GB"/>
        </w:rPr>
        <w:t>funds in tables 17 to 20</w:t>
      </w:r>
      <w:r>
        <w:rPr>
          <w:rFonts w:ascii="Arial" w:hAnsi="Arial" w:cs="Arial"/>
          <w:i/>
          <w:iCs/>
          <w:sz w:val="20"/>
          <w:lang w:val="en-GB"/>
        </w:rPr>
        <w:t>.</w:t>
      </w:r>
    </w:p>
    <w:p w:rsidR="00171E30" w:rsidRDefault="00171E30">
      <w:pPr>
        <w:pStyle w:val="Zkladntextodsazen"/>
        <w:spacing w:after="60"/>
        <w:ind w:left="62" w:firstLine="357"/>
        <w:rPr>
          <w:rFonts w:ascii="Arial" w:hAnsi="Arial" w:cs="Arial"/>
          <w:i/>
          <w:iCs/>
          <w:sz w:val="20"/>
          <w:szCs w:val="20"/>
          <w:lang w:val="en-GB"/>
        </w:rPr>
      </w:pPr>
      <w:r>
        <w:rPr>
          <w:rFonts w:ascii="Arial" w:hAnsi="Arial" w:cs="Arial"/>
          <w:i/>
          <w:iCs/>
          <w:sz w:val="20"/>
          <w:szCs w:val="20"/>
          <w:lang w:val="en-GB"/>
        </w:rPr>
        <w:t>In this publication, the following symbols are used:</w:t>
      </w:r>
    </w:p>
    <w:p w:rsidR="00171E30" w:rsidRDefault="00171E30">
      <w:pPr>
        <w:pStyle w:val="Zkladntextodsazen"/>
        <w:ind w:left="0" w:firstLine="0"/>
        <w:rPr>
          <w:rFonts w:ascii="Arial" w:hAnsi="Arial" w:cs="Arial"/>
          <w:i/>
          <w:iCs/>
          <w:sz w:val="20"/>
          <w:szCs w:val="20"/>
          <w:lang w:val="en-GB"/>
        </w:rPr>
      </w:pPr>
      <w:r>
        <w:rPr>
          <w:rFonts w:ascii="Arial" w:hAnsi="Arial" w:cs="Arial"/>
          <w:i/>
          <w:iCs/>
          <w:sz w:val="20"/>
          <w:szCs w:val="20"/>
          <w:lang w:val="en-GB"/>
        </w:rPr>
        <w:t xml:space="preserve"> “–“    – not available,</w:t>
      </w:r>
    </w:p>
    <w:p w:rsidR="00171E30" w:rsidRDefault="00171E30">
      <w:pPr>
        <w:pStyle w:val="Zkladntextodsazen"/>
        <w:ind w:left="0" w:firstLine="0"/>
        <w:rPr>
          <w:rFonts w:ascii="Arial" w:hAnsi="Arial" w:cs="Arial"/>
          <w:i/>
          <w:iCs/>
          <w:sz w:val="20"/>
          <w:szCs w:val="20"/>
          <w:lang w:val="en-GB"/>
        </w:rPr>
      </w:pPr>
      <w:r>
        <w:rPr>
          <w:rFonts w:ascii="Arial" w:hAnsi="Arial" w:cs="Arial"/>
          <w:i/>
          <w:iCs/>
          <w:sz w:val="20"/>
          <w:szCs w:val="20"/>
          <w:lang w:val="en-GB"/>
        </w:rPr>
        <w:t xml:space="preserve"> “</w:t>
      </w:r>
      <w:smartTag w:uri="urn:schemas-microsoft-com:office:smarttags" w:element="metricconverter">
        <w:smartTagPr>
          <w:attr w:name="ProductID" w:val="0”"/>
        </w:smartTagPr>
        <w:r>
          <w:rPr>
            <w:rFonts w:ascii="Arial" w:hAnsi="Arial" w:cs="Arial"/>
            <w:i/>
            <w:iCs/>
            <w:sz w:val="20"/>
            <w:szCs w:val="20"/>
            <w:lang w:val="en-GB"/>
          </w:rPr>
          <w:t>0”</w:t>
        </w:r>
      </w:smartTag>
      <w:r>
        <w:rPr>
          <w:rFonts w:ascii="Arial" w:hAnsi="Arial" w:cs="Arial"/>
          <w:i/>
          <w:iCs/>
          <w:sz w:val="20"/>
          <w:szCs w:val="20"/>
          <w:lang w:val="en-GB"/>
        </w:rPr>
        <w:t xml:space="preserve">    – zero or negligible,</w:t>
      </w:r>
    </w:p>
    <w:p w:rsidR="00171E30" w:rsidRDefault="00171E30">
      <w:pPr>
        <w:pStyle w:val="Zkladntextodsazen"/>
        <w:ind w:left="0" w:firstLine="0"/>
        <w:rPr>
          <w:rFonts w:ascii="Arial" w:hAnsi="Arial" w:cs="Arial"/>
          <w:i/>
          <w:iCs/>
          <w:sz w:val="20"/>
          <w:szCs w:val="20"/>
          <w:lang w:val="en-GB"/>
        </w:rPr>
      </w:pPr>
      <w:r>
        <w:rPr>
          <w:rFonts w:ascii="Arial" w:hAnsi="Arial" w:cs="Arial"/>
          <w:i/>
          <w:iCs/>
          <w:sz w:val="20"/>
          <w:szCs w:val="20"/>
          <w:lang w:val="en-GB"/>
        </w:rPr>
        <w:t xml:space="preserve"> “.”     – </w:t>
      </w:r>
      <w:proofErr w:type="gramStart"/>
      <w:r>
        <w:rPr>
          <w:rFonts w:ascii="Arial" w:hAnsi="Arial" w:cs="Arial"/>
          <w:i/>
          <w:iCs/>
          <w:sz w:val="20"/>
          <w:szCs w:val="20"/>
          <w:lang w:val="en-GB"/>
        </w:rPr>
        <w:t>confidential</w:t>
      </w:r>
      <w:proofErr w:type="gramEnd"/>
      <w:r>
        <w:rPr>
          <w:rFonts w:ascii="Arial" w:hAnsi="Arial" w:cs="Arial"/>
          <w:i/>
          <w:iCs/>
          <w:sz w:val="20"/>
          <w:szCs w:val="20"/>
          <w:lang w:val="en-GB"/>
        </w:rPr>
        <w:t>,</w:t>
      </w:r>
    </w:p>
    <w:p w:rsidR="00171E30" w:rsidRDefault="00171E30">
      <w:pPr>
        <w:pStyle w:val="Zkladntextodsazen"/>
        <w:tabs>
          <w:tab w:val="left" w:pos="142"/>
          <w:tab w:val="left" w:pos="709"/>
          <w:tab w:val="left" w:pos="1418"/>
          <w:tab w:val="left" w:pos="2126"/>
        </w:tabs>
        <w:spacing w:after="60"/>
        <w:ind w:left="0" w:firstLine="0"/>
        <w:jc w:val="both"/>
        <w:rPr>
          <w:rFonts w:ascii="Arial" w:hAnsi="Arial" w:cs="Arial"/>
          <w:i/>
          <w:iCs/>
          <w:sz w:val="20"/>
          <w:lang w:val="en-GB"/>
        </w:rPr>
      </w:pPr>
      <w:r>
        <w:rPr>
          <w:rFonts w:ascii="Arial" w:hAnsi="Arial" w:cs="Arial"/>
          <w:i/>
          <w:iCs/>
          <w:sz w:val="20"/>
          <w:szCs w:val="20"/>
          <w:lang w:val="en-GB"/>
        </w:rPr>
        <w:t>“</w:t>
      </w:r>
      <w:proofErr w:type="gramStart"/>
      <w:r>
        <w:rPr>
          <w:rFonts w:ascii="Arial" w:hAnsi="Arial" w:cs="Arial"/>
          <w:i/>
          <w:iCs/>
          <w:sz w:val="20"/>
          <w:szCs w:val="20"/>
          <w:lang w:val="en-GB"/>
        </w:rPr>
        <w:t>x</w:t>
      </w:r>
      <w:proofErr w:type="gramEnd"/>
      <w:r>
        <w:rPr>
          <w:rFonts w:ascii="Arial" w:hAnsi="Arial" w:cs="Arial"/>
          <w:i/>
          <w:iCs/>
          <w:sz w:val="20"/>
          <w:szCs w:val="20"/>
          <w:lang w:val="en-GB"/>
        </w:rPr>
        <w:t>”     – cannot be displayed for logical reasons (e.g. the index exceeds  999.9).</w:t>
      </w:r>
    </w:p>
    <w:p w:rsidR="00171E30" w:rsidRDefault="00171E30">
      <w:pPr>
        <w:tabs>
          <w:tab w:val="left" w:pos="142"/>
          <w:tab w:val="left" w:pos="709"/>
          <w:tab w:val="left" w:pos="1418"/>
          <w:tab w:val="left" w:pos="2126"/>
        </w:tabs>
        <w:spacing w:before="60"/>
        <w:ind w:firstLine="567"/>
        <w:jc w:val="both"/>
        <w:rPr>
          <w:rFonts w:ascii="Arial" w:hAnsi="Arial" w:cs="Arial"/>
          <w:i/>
          <w:iCs/>
          <w:lang w:val="en-GB"/>
        </w:rPr>
      </w:pPr>
      <w:r>
        <w:rPr>
          <w:rFonts w:ascii="Arial" w:hAnsi="Arial" w:cs="Arial"/>
          <w:b/>
          <w:bCs/>
          <w:i/>
          <w:iCs/>
          <w:lang w:val="en-GB"/>
        </w:rPr>
        <w:t xml:space="preserve">Index </w:t>
      </w:r>
      <w:r>
        <w:rPr>
          <w:rFonts w:ascii="Arial" w:hAnsi="Arial" w:cs="Arial"/>
          <w:i/>
          <w:iCs/>
          <w:lang w:val="en-GB"/>
        </w:rPr>
        <w:t xml:space="preserve">– shows development in comparison with </w:t>
      </w:r>
      <w:proofErr w:type="gramStart"/>
      <w:r>
        <w:rPr>
          <w:rFonts w:ascii="Arial" w:hAnsi="Arial" w:cs="Arial"/>
          <w:i/>
          <w:iCs/>
          <w:lang w:val="en-GB"/>
        </w:rPr>
        <w:t>the correspond</w:t>
      </w:r>
      <w:proofErr w:type="gramEnd"/>
      <w:r>
        <w:rPr>
          <w:rFonts w:ascii="Arial" w:hAnsi="Arial" w:cs="Arial"/>
          <w:i/>
          <w:iCs/>
          <w:lang w:val="en-GB"/>
        </w:rPr>
        <w:t xml:space="preserve">. </w:t>
      </w:r>
      <w:proofErr w:type="gramStart"/>
      <w:r>
        <w:rPr>
          <w:rFonts w:ascii="Arial" w:hAnsi="Arial" w:cs="Arial"/>
          <w:i/>
          <w:iCs/>
          <w:lang w:val="en-GB"/>
        </w:rPr>
        <w:t>period</w:t>
      </w:r>
      <w:proofErr w:type="gramEnd"/>
      <w:r>
        <w:rPr>
          <w:rFonts w:ascii="Arial" w:hAnsi="Arial" w:cs="Arial"/>
          <w:i/>
          <w:iCs/>
          <w:lang w:val="en-GB"/>
        </w:rPr>
        <w:t xml:space="preserve"> of the previous year (%).</w:t>
      </w:r>
    </w:p>
    <w:p w:rsidR="00171E30" w:rsidRDefault="00171E30">
      <w:pPr>
        <w:tabs>
          <w:tab w:val="left" w:pos="142"/>
          <w:tab w:val="left" w:pos="709"/>
          <w:tab w:val="left" w:pos="1418"/>
          <w:tab w:val="left" w:pos="2126"/>
        </w:tabs>
        <w:spacing w:before="60" w:after="60"/>
        <w:ind w:firstLine="567"/>
        <w:jc w:val="both"/>
        <w:rPr>
          <w:rFonts w:ascii="Arial" w:hAnsi="Arial" w:cs="Arial"/>
          <w:i/>
          <w:iCs/>
          <w:lang w:val="en-GB"/>
        </w:rPr>
      </w:pPr>
      <w:r>
        <w:rPr>
          <w:rFonts w:ascii="Arial" w:hAnsi="Arial" w:cs="Arial"/>
          <w:i/>
          <w:iCs/>
          <w:lang w:val="en-GB"/>
        </w:rPr>
        <w:t xml:space="preserve">The concept of </w:t>
      </w:r>
      <w:r>
        <w:rPr>
          <w:rFonts w:ascii="Arial" w:hAnsi="Arial" w:cs="Arial"/>
          <w:b/>
          <w:bCs/>
          <w:i/>
          <w:iCs/>
          <w:lang w:val="en-GB"/>
        </w:rPr>
        <w:t>natural person</w:t>
      </w:r>
      <w:r>
        <w:rPr>
          <w:rFonts w:ascii="Arial" w:hAnsi="Arial" w:cs="Arial"/>
          <w:i/>
          <w:iCs/>
          <w:lang w:val="en-GB"/>
        </w:rPr>
        <w:t xml:space="preserve"> includes individuals (citizens) and self-employed persons (entrepreneurs, traders, free professions), not incorporated in the business register.</w:t>
      </w:r>
    </w:p>
    <w:p w:rsidR="00171E30" w:rsidRDefault="00171E30">
      <w:pPr>
        <w:pStyle w:val="Nadpis2"/>
        <w:tabs>
          <w:tab w:val="left" w:pos="142"/>
          <w:tab w:val="left" w:pos="709"/>
          <w:tab w:val="left" w:pos="1418"/>
          <w:tab w:val="left" w:pos="2126"/>
        </w:tabs>
        <w:spacing w:before="240" w:after="140"/>
        <w:ind w:left="0" w:firstLine="0"/>
        <w:jc w:val="both"/>
        <w:rPr>
          <w:rFonts w:ascii="Arial" w:hAnsi="Arial" w:cs="Arial"/>
          <w:i/>
          <w:iCs/>
          <w:sz w:val="22"/>
          <w:lang w:val="en-GB"/>
        </w:rPr>
      </w:pPr>
      <w:r>
        <w:rPr>
          <w:rFonts w:ascii="Arial" w:hAnsi="Arial" w:cs="Arial"/>
          <w:i/>
          <w:iCs/>
          <w:sz w:val="22"/>
          <w:lang w:val="en-GB"/>
        </w:rPr>
        <w:t>Financial intermediation, total</w:t>
      </w:r>
    </w:p>
    <w:p w:rsidR="00171E30" w:rsidRDefault="00171E30">
      <w:pPr>
        <w:tabs>
          <w:tab w:val="left" w:pos="142"/>
          <w:tab w:val="left" w:pos="709"/>
          <w:tab w:val="left" w:pos="1418"/>
          <w:tab w:val="left" w:pos="2126"/>
        </w:tabs>
        <w:spacing w:after="60"/>
        <w:ind w:firstLine="567"/>
        <w:jc w:val="both"/>
        <w:rPr>
          <w:rFonts w:ascii="Arial" w:hAnsi="Arial" w:cs="Arial"/>
          <w:i/>
          <w:iCs/>
          <w:lang w:val="en-GB"/>
        </w:rPr>
      </w:pPr>
      <w:r>
        <w:rPr>
          <w:rFonts w:ascii="Arial" w:hAnsi="Arial" w:cs="Arial"/>
          <w:b/>
          <w:bCs/>
          <w:i/>
          <w:iCs/>
          <w:lang w:val="en-GB"/>
        </w:rPr>
        <w:t>Selected economic indicators of monetary and insurance institutions</w:t>
      </w:r>
      <w:r>
        <w:rPr>
          <w:rFonts w:ascii="Arial" w:hAnsi="Arial" w:cs="Arial"/>
          <w:i/>
          <w:iCs/>
          <w:lang w:val="en-GB"/>
        </w:rPr>
        <w:t xml:space="preserve"> are in the aggregated table for the financial intermediation sector. Each variable is sum of banking monetary institutions, non-banking monetary institutions</w:t>
      </w:r>
      <w:r w:rsidR="00EA5842">
        <w:rPr>
          <w:rFonts w:ascii="Arial" w:hAnsi="Arial" w:cs="Arial"/>
          <w:i/>
          <w:iCs/>
          <w:lang w:val="en-GB"/>
        </w:rPr>
        <w:t xml:space="preserve"> (without investment funds)</w:t>
      </w:r>
      <w:r>
        <w:rPr>
          <w:rFonts w:ascii="Arial" w:hAnsi="Arial" w:cs="Arial"/>
          <w:i/>
          <w:iCs/>
          <w:lang w:val="en-GB"/>
        </w:rPr>
        <w:t>, insurance companies and pension</w:t>
      </w:r>
      <w:r w:rsidR="00CD68E5">
        <w:rPr>
          <w:rFonts w:ascii="Arial" w:hAnsi="Arial" w:cs="Arial"/>
          <w:i/>
          <w:iCs/>
          <w:lang w:val="en-GB"/>
        </w:rPr>
        <w:t xml:space="preserve"> companies/</w:t>
      </w:r>
      <w:r>
        <w:rPr>
          <w:rFonts w:ascii="Arial" w:hAnsi="Arial" w:cs="Arial"/>
          <w:i/>
          <w:iCs/>
          <w:lang w:val="en-GB"/>
        </w:rPr>
        <w:t xml:space="preserve"> funds. </w:t>
      </w:r>
    </w:p>
    <w:p w:rsidR="008650FB" w:rsidRDefault="008650FB">
      <w:pPr>
        <w:tabs>
          <w:tab w:val="left" w:pos="142"/>
          <w:tab w:val="left" w:pos="709"/>
          <w:tab w:val="left" w:pos="1418"/>
          <w:tab w:val="left" w:pos="2126"/>
        </w:tabs>
        <w:spacing w:after="60"/>
        <w:ind w:firstLine="567"/>
        <w:jc w:val="both"/>
        <w:rPr>
          <w:rFonts w:ascii="Arial" w:hAnsi="Arial" w:cs="Arial"/>
          <w:i/>
          <w:iCs/>
          <w:lang w:val="en-GB"/>
        </w:rPr>
      </w:pPr>
    </w:p>
    <w:p w:rsidR="00171E30" w:rsidRDefault="00171E30">
      <w:pPr>
        <w:pStyle w:val="Nadpis2"/>
        <w:tabs>
          <w:tab w:val="left" w:pos="142"/>
          <w:tab w:val="left" w:pos="709"/>
          <w:tab w:val="left" w:pos="1418"/>
          <w:tab w:val="left" w:pos="2126"/>
        </w:tabs>
        <w:spacing w:before="240" w:after="140"/>
        <w:ind w:left="0" w:firstLine="0"/>
        <w:jc w:val="both"/>
        <w:rPr>
          <w:rFonts w:ascii="Arial" w:hAnsi="Arial" w:cs="Arial"/>
          <w:i/>
          <w:iCs/>
          <w:sz w:val="22"/>
          <w:lang w:val="en-GB"/>
        </w:rPr>
      </w:pPr>
      <w:r>
        <w:rPr>
          <w:rFonts w:ascii="Arial" w:hAnsi="Arial" w:cs="Arial"/>
          <w:i/>
          <w:iCs/>
          <w:sz w:val="22"/>
          <w:lang w:val="en-GB"/>
        </w:rPr>
        <w:lastRenderedPageBreak/>
        <w:t>Employees, wages</w:t>
      </w:r>
    </w:p>
    <w:p w:rsidR="00171E30" w:rsidRDefault="00171E30">
      <w:pPr>
        <w:tabs>
          <w:tab w:val="left" w:pos="142"/>
          <w:tab w:val="left" w:pos="709"/>
          <w:tab w:val="left" w:pos="1418"/>
          <w:tab w:val="left" w:pos="2126"/>
        </w:tabs>
        <w:spacing w:after="60"/>
        <w:ind w:firstLine="567"/>
        <w:jc w:val="both"/>
        <w:rPr>
          <w:rFonts w:ascii="Arial" w:hAnsi="Arial" w:cs="Arial"/>
          <w:i/>
          <w:iCs/>
          <w:lang w:val="en-GB"/>
        </w:rPr>
      </w:pPr>
      <w:r>
        <w:rPr>
          <w:rFonts w:ascii="Arial" w:hAnsi="Arial" w:cs="Arial"/>
          <w:b/>
          <w:bCs/>
          <w:i/>
          <w:iCs/>
          <w:lang w:val="en-GB"/>
        </w:rPr>
        <w:t>Average registered number of employees</w:t>
      </w:r>
      <w:r>
        <w:rPr>
          <w:rFonts w:ascii="Arial" w:hAnsi="Arial" w:cs="Arial"/>
          <w:i/>
          <w:iCs/>
          <w:lang w:val="en-GB"/>
        </w:rPr>
        <w:t xml:space="preserve"> – all permanent and temporary employees (regar</w:t>
      </w:r>
      <w:r>
        <w:rPr>
          <w:rFonts w:ascii="Arial" w:hAnsi="Arial" w:cs="Arial"/>
          <w:i/>
          <w:iCs/>
          <w:lang w:val="en-GB"/>
        </w:rPr>
        <w:t>d</w:t>
      </w:r>
      <w:r>
        <w:rPr>
          <w:rFonts w:ascii="Arial" w:hAnsi="Arial" w:cs="Arial"/>
          <w:i/>
          <w:iCs/>
          <w:lang w:val="en-GB"/>
        </w:rPr>
        <w:t xml:space="preserve">less of their nationality), who have contracts of employment with their employers (in cooperatives persons – members of the cooperative with contracts of employments, too) and receive wages from the employer for the work they do. It doesn’t matter, whether they are really present at work or not (e.g., for illness, holiday, military training, etc.). </w:t>
      </w:r>
    </w:p>
    <w:p w:rsidR="00171E30" w:rsidRDefault="00171E30">
      <w:pPr>
        <w:tabs>
          <w:tab w:val="left" w:pos="142"/>
          <w:tab w:val="left" w:pos="709"/>
          <w:tab w:val="left" w:pos="1418"/>
          <w:tab w:val="left" w:pos="2126"/>
        </w:tabs>
        <w:spacing w:after="60"/>
        <w:ind w:firstLine="567"/>
        <w:jc w:val="both"/>
        <w:rPr>
          <w:rFonts w:ascii="Arial" w:hAnsi="Arial" w:cs="Arial"/>
          <w:i/>
          <w:iCs/>
          <w:lang w:val="en-GB"/>
        </w:rPr>
      </w:pPr>
      <w:r>
        <w:rPr>
          <w:rFonts w:ascii="Arial" w:hAnsi="Arial" w:cs="Arial"/>
          <w:i/>
          <w:iCs/>
          <w:lang w:val="en-GB"/>
        </w:rPr>
        <w:t xml:space="preserve">Persons such as women on maternity and child-care leaves, apprentices and students on practice, persons working on the basis of contracts for work or fixed job contracts, etc. are </w:t>
      </w:r>
      <w:r>
        <w:rPr>
          <w:rFonts w:ascii="Arial" w:hAnsi="Arial" w:cs="Arial"/>
          <w:b/>
          <w:bCs/>
          <w:i/>
          <w:iCs/>
          <w:lang w:val="en-GB"/>
        </w:rPr>
        <w:t>not included</w:t>
      </w:r>
      <w:r>
        <w:rPr>
          <w:rFonts w:ascii="Arial" w:hAnsi="Arial" w:cs="Arial"/>
          <w:i/>
          <w:iCs/>
          <w:lang w:val="en-GB"/>
        </w:rPr>
        <w:t xml:space="preserve"> here.</w:t>
      </w:r>
    </w:p>
    <w:p w:rsidR="00171E30" w:rsidRDefault="00171E30">
      <w:pPr>
        <w:pStyle w:val="Zkladntextodsazen2"/>
        <w:tabs>
          <w:tab w:val="left" w:pos="142"/>
          <w:tab w:val="left" w:pos="709"/>
          <w:tab w:val="left" w:pos="1418"/>
          <w:tab w:val="left" w:pos="2126"/>
        </w:tabs>
        <w:spacing w:before="60"/>
        <w:jc w:val="both"/>
        <w:rPr>
          <w:rFonts w:cs="Arial"/>
          <w:i/>
          <w:iCs/>
          <w:sz w:val="20"/>
        </w:rPr>
      </w:pPr>
      <w:r>
        <w:rPr>
          <w:rFonts w:cs="Arial"/>
          <w:i/>
          <w:iCs/>
          <w:sz w:val="20"/>
        </w:rPr>
        <w:t>The average number of employees in actual persons is calculated as the arit</w:t>
      </w:r>
      <w:r>
        <w:rPr>
          <w:rFonts w:cs="Arial"/>
          <w:i/>
          <w:iCs/>
          <w:sz w:val="20"/>
        </w:rPr>
        <w:t>h</w:t>
      </w:r>
      <w:r>
        <w:rPr>
          <w:rFonts w:cs="Arial"/>
          <w:i/>
          <w:iCs/>
          <w:sz w:val="20"/>
        </w:rPr>
        <w:t>metic mean of average numbers of employees in individual months. Conversion to full-time equivalent persons is carried out for part-time emplo</w:t>
      </w:r>
      <w:r>
        <w:rPr>
          <w:rFonts w:cs="Arial"/>
          <w:i/>
          <w:iCs/>
          <w:sz w:val="20"/>
        </w:rPr>
        <w:t>y</w:t>
      </w:r>
      <w:r>
        <w:rPr>
          <w:rFonts w:cs="Arial"/>
          <w:i/>
          <w:iCs/>
          <w:sz w:val="20"/>
        </w:rPr>
        <w:t>ees working only occasionally at call and in case of employer’s need or carrying out collateral activity during labour relation at the same time.</w:t>
      </w:r>
    </w:p>
    <w:p w:rsidR="00171E30" w:rsidRDefault="00171E30">
      <w:pPr>
        <w:tabs>
          <w:tab w:val="left" w:pos="142"/>
          <w:tab w:val="left" w:pos="709"/>
          <w:tab w:val="left" w:pos="1418"/>
          <w:tab w:val="left" w:pos="2126"/>
        </w:tabs>
        <w:spacing w:before="60"/>
        <w:ind w:firstLine="567"/>
        <w:jc w:val="both"/>
        <w:rPr>
          <w:rFonts w:ascii="Arial" w:hAnsi="Arial" w:cs="Arial"/>
          <w:i/>
          <w:iCs/>
          <w:lang w:val="en-GB"/>
        </w:rPr>
      </w:pPr>
      <w:r>
        <w:rPr>
          <w:rFonts w:ascii="Arial" w:hAnsi="Arial" w:cs="Arial"/>
          <w:b/>
          <w:bCs/>
          <w:i/>
          <w:iCs/>
          <w:lang w:val="en-GB"/>
        </w:rPr>
        <w:t>Wages (excl. OPC – other personal costs)</w:t>
      </w:r>
      <w:r>
        <w:rPr>
          <w:rFonts w:ascii="Arial" w:hAnsi="Arial" w:cs="Arial"/>
          <w:i/>
          <w:iCs/>
          <w:lang w:val="en-GB"/>
        </w:rPr>
        <w:t xml:space="preserve"> - both financial and non-financial remuneration (wages in kind) provided by employers to employees for work. They include scale wages and salaries, personal assessments, extra pays and suppleme</w:t>
      </w:r>
      <w:r>
        <w:rPr>
          <w:rFonts w:ascii="Arial" w:hAnsi="Arial" w:cs="Arial"/>
          <w:i/>
          <w:iCs/>
          <w:lang w:val="en-GB"/>
        </w:rPr>
        <w:t>n</w:t>
      </w:r>
      <w:r>
        <w:rPr>
          <w:rFonts w:ascii="Arial" w:hAnsi="Arial" w:cs="Arial"/>
          <w:i/>
          <w:iCs/>
          <w:lang w:val="en-GB"/>
        </w:rPr>
        <w:t>tary charges and other similar pays, premiums and various remunerations, compensations for wages and salaries, remuneration for being on-call. Wages in kind also include the relevant share of the acquisition costs of motor vehicles provided to employees by employers for personal and business purposes. Wages also include remuneration for work paid, as decided by the employer, from disposable profits, remuneration fund or any other fund created from disposable profits. Other personal costs (OPC) are not included in wages. The wages are gross wages charged to be paid.</w:t>
      </w:r>
    </w:p>
    <w:p w:rsidR="00171E30" w:rsidRDefault="00171E30">
      <w:pPr>
        <w:tabs>
          <w:tab w:val="left" w:pos="142"/>
          <w:tab w:val="left" w:pos="709"/>
          <w:tab w:val="left" w:pos="1418"/>
          <w:tab w:val="left" w:pos="2126"/>
        </w:tabs>
        <w:spacing w:before="60" w:after="60"/>
        <w:ind w:firstLine="567"/>
        <w:jc w:val="both"/>
        <w:rPr>
          <w:rFonts w:ascii="Arial" w:hAnsi="Arial" w:cs="Arial"/>
          <w:i/>
          <w:iCs/>
          <w:lang w:val="en-GB"/>
        </w:rPr>
      </w:pPr>
      <w:proofErr w:type="gramStart"/>
      <w:r>
        <w:rPr>
          <w:rFonts w:ascii="Arial" w:hAnsi="Arial" w:cs="Arial"/>
          <w:b/>
          <w:bCs/>
          <w:i/>
          <w:iCs/>
          <w:lang w:val="en-GB"/>
        </w:rPr>
        <w:t>Other personal costs (OPC)</w:t>
      </w:r>
      <w:r>
        <w:rPr>
          <w:rFonts w:ascii="Arial" w:hAnsi="Arial" w:cs="Arial"/>
          <w:i/>
          <w:iCs/>
          <w:lang w:val="en-GB"/>
        </w:rPr>
        <w:t xml:space="preserve"> – remunerations for work done on the basis of other than labour, service or member relationships to the employer.</w:t>
      </w:r>
      <w:proofErr w:type="gramEnd"/>
      <w:r>
        <w:rPr>
          <w:rFonts w:ascii="Arial" w:hAnsi="Arial" w:cs="Arial"/>
          <w:i/>
          <w:iCs/>
          <w:lang w:val="en-GB"/>
        </w:rPr>
        <w:t xml:space="preserve"> They mostly include remuneration for work done on the basis of other than contract of emplo</w:t>
      </w:r>
      <w:r>
        <w:rPr>
          <w:rFonts w:ascii="Arial" w:hAnsi="Arial" w:cs="Arial"/>
          <w:i/>
          <w:iCs/>
          <w:lang w:val="en-GB"/>
        </w:rPr>
        <w:t>y</w:t>
      </w:r>
      <w:r>
        <w:rPr>
          <w:rFonts w:ascii="Arial" w:hAnsi="Arial" w:cs="Arial"/>
          <w:i/>
          <w:iCs/>
          <w:lang w:val="en-GB"/>
        </w:rPr>
        <w:t>ment, remuneration based on copyright, severance payments, remuneration to board members (except for royalties paid from profits), remuneration to apprentices, etc.</w:t>
      </w:r>
    </w:p>
    <w:p w:rsidR="00171E30" w:rsidRDefault="00171E30">
      <w:pPr>
        <w:pStyle w:val="Nadpis1"/>
        <w:widowControl w:val="0"/>
        <w:tabs>
          <w:tab w:val="left" w:pos="142"/>
          <w:tab w:val="left" w:pos="709"/>
          <w:tab w:val="left" w:pos="1418"/>
          <w:tab w:val="left" w:pos="2126"/>
        </w:tabs>
        <w:autoSpaceDE w:val="0"/>
        <w:autoSpaceDN w:val="0"/>
        <w:adjustRightInd w:val="0"/>
        <w:spacing w:before="240" w:after="140"/>
        <w:jc w:val="both"/>
        <w:rPr>
          <w:rFonts w:ascii="Arial" w:hAnsi="Arial" w:cs="Arial"/>
          <w:i/>
          <w:iCs/>
          <w:sz w:val="22"/>
          <w:szCs w:val="20"/>
          <w:lang w:val="en-GB"/>
        </w:rPr>
      </w:pPr>
      <w:r>
        <w:rPr>
          <w:rFonts w:ascii="Arial" w:hAnsi="Arial" w:cs="Arial"/>
          <w:i/>
          <w:iCs/>
          <w:sz w:val="22"/>
          <w:szCs w:val="20"/>
          <w:lang w:val="en-GB"/>
        </w:rPr>
        <w:t>Basic data on tangible and intangible fixed assets</w:t>
      </w:r>
    </w:p>
    <w:p w:rsidR="00171E30" w:rsidRDefault="00171E30">
      <w:pPr>
        <w:tabs>
          <w:tab w:val="left" w:pos="142"/>
          <w:tab w:val="left" w:pos="709"/>
          <w:tab w:val="left" w:pos="1418"/>
          <w:tab w:val="left" w:pos="2126"/>
        </w:tabs>
        <w:spacing w:after="60"/>
        <w:ind w:firstLine="567"/>
        <w:jc w:val="both"/>
        <w:rPr>
          <w:rFonts w:ascii="Arial" w:hAnsi="Arial" w:cs="Arial"/>
          <w:i/>
          <w:iCs/>
          <w:lang w:val="en-GB"/>
        </w:rPr>
      </w:pPr>
      <w:r>
        <w:rPr>
          <w:rFonts w:ascii="Arial" w:hAnsi="Arial" w:cs="Arial"/>
          <w:b/>
          <w:bCs/>
          <w:i/>
          <w:iCs/>
          <w:lang w:val="en-GB"/>
        </w:rPr>
        <w:t xml:space="preserve">Acquisition of tangible and intangible fixed assets </w:t>
      </w:r>
      <w:r>
        <w:rPr>
          <w:rFonts w:ascii="Arial" w:hAnsi="Arial" w:cs="Arial"/>
          <w:i/>
          <w:iCs/>
          <w:lang w:val="en-GB"/>
        </w:rPr>
        <w:t>includes expenses spent during the reference quarter on the acquisition of these assets by</w:t>
      </w:r>
    </w:p>
    <w:p w:rsidR="00171E30" w:rsidRDefault="00171E30">
      <w:pPr>
        <w:numPr>
          <w:ilvl w:val="0"/>
          <w:numId w:val="12"/>
        </w:numPr>
        <w:tabs>
          <w:tab w:val="left" w:pos="142"/>
          <w:tab w:val="left" w:pos="709"/>
          <w:tab w:val="left" w:pos="1418"/>
          <w:tab w:val="left" w:pos="2126"/>
        </w:tabs>
        <w:spacing w:after="60"/>
        <w:jc w:val="both"/>
        <w:rPr>
          <w:rFonts w:ascii="Arial" w:hAnsi="Arial" w:cs="Arial"/>
          <w:i/>
          <w:iCs/>
          <w:lang w:val="en-GB"/>
        </w:rPr>
      </w:pPr>
      <w:r>
        <w:rPr>
          <w:rFonts w:ascii="Arial" w:hAnsi="Arial" w:cs="Arial"/>
          <w:i/>
          <w:iCs/>
          <w:lang w:val="en-GB"/>
        </w:rPr>
        <w:t>purchasing or by own activity</w:t>
      </w:r>
    </w:p>
    <w:p w:rsidR="00171E30" w:rsidRDefault="00171E30">
      <w:pPr>
        <w:numPr>
          <w:ilvl w:val="0"/>
          <w:numId w:val="12"/>
        </w:numPr>
        <w:tabs>
          <w:tab w:val="left" w:pos="142"/>
          <w:tab w:val="left" w:pos="709"/>
          <w:tab w:val="left" w:pos="1418"/>
          <w:tab w:val="left" w:pos="2126"/>
        </w:tabs>
        <w:spacing w:after="60"/>
        <w:jc w:val="both"/>
        <w:rPr>
          <w:rFonts w:ascii="Arial" w:hAnsi="Arial" w:cs="Arial"/>
          <w:i/>
          <w:iCs/>
          <w:lang w:val="en-GB"/>
        </w:rPr>
      </w:pPr>
      <w:r>
        <w:rPr>
          <w:rFonts w:ascii="Arial" w:hAnsi="Arial" w:cs="Arial"/>
          <w:i/>
          <w:iCs/>
          <w:lang w:val="en-GB"/>
        </w:rPr>
        <w:t>acquiring rights to intellectual creative activity results</w:t>
      </w:r>
    </w:p>
    <w:p w:rsidR="00822A55" w:rsidRDefault="00171E30">
      <w:pPr>
        <w:numPr>
          <w:ilvl w:val="0"/>
          <w:numId w:val="12"/>
        </w:numPr>
        <w:tabs>
          <w:tab w:val="left" w:pos="142"/>
          <w:tab w:val="left" w:pos="709"/>
          <w:tab w:val="left" w:pos="1418"/>
          <w:tab w:val="left" w:pos="2126"/>
        </w:tabs>
        <w:spacing w:after="60"/>
        <w:jc w:val="both"/>
        <w:rPr>
          <w:rFonts w:ascii="Arial" w:hAnsi="Arial" w:cs="Arial"/>
          <w:i/>
          <w:iCs/>
          <w:lang w:val="en-GB"/>
        </w:rPr>
      </w:pPr>
      <w:proofErr w:type="gramStart"/>
      <w:r>
        <w:rPr>
          <w:rFonts w:ascii="Arial" w:hAnsi="Arial" w:cs="Arial"/>
          <w:i/>
          <w:iCs/>
          <w:lang w:val="en-GB"/>
        </w:rPr>
        <w:t>free</w:t>
      </w:r>
      <w:proofErr w:type="gramEnd"/>
      <w:r>
        <w:rPr>
          <w:rFonts w:ascii="Arial" w:hAnsi="Arial" w:cs="Arial"/>
          <w:i/>
          <w:iCs/>
          <w:lang w:val="en-GB"/>
        </w:rPr>
        <w:t xml:space="preserve"> acquisition or transfer in accordance with legal regulations or by transfer from personal use to business use. The acquisition of tangible fixed assets includes expenses spent gradually or all at once regardless of whether the fixed asset was put in use in the quarter or not. The acquisition also includes the value of fixed assets financially leased (at the level of their initial value not repayments).</w:t>
      </w:r>
    </w:p>
    <w:p w:rsidR="00171E30" w:rsidRDefault="00171E30" w:rsidP="00822A55">
      <w:pPr>
        <w:tabs>
          <w:tab w:val="left" w:pos="142"/>
          <w:tab w:val="left" w:pos="709"/>
          <w:tab w:val="left" w:pos="1418"/>
          <w:tab w:val="left" w:pos="2126"/>
        </w:tabs>
        <w:spacing w:after="60"/>
        <w:ind w:left="567" w:hanging="567"/>
        <w:jc w:val="both"/>
        <w:rPr>
          <w:rFonts w:ascii="Arial" w:hAnsi="Arial" w:cs="Arial"/>
          <w:i/>
          <w:iCs/>
          <w:lang w:val="en-GB"/>
        </w:rPr>
      </w:pPr>
      <w:r>
        <w:rPr>
          <w:rFonts w:ascii="Arial" w:hAnsi="Arial" w:cs="Arial"/>
          <w:i/>
          <w:iCs/>
          <w:lang w:val="en-GB"/>
        </w:rPr>
        <w:t xml:space="preserve"> </w:t>
      </w:r>
      <w:r w:rsidR="00822A55">
        <w:rPr>
          <w:rFonts w:ascii="Arial" w:hAnsi="Arial" w:cs="Arial"/>
          <w:i/>
          <w:iCs/>
          <w:lang w:val="en-GB"/>
        </w:rPr>
        <w:tab/>
      </w:r>
      <w:r w:rsidR="00822A55">
        <w:rPr>
          <w:rFonts w:ascii="Arial" w:hAnsi="Arial" w:cs="Arial"/>
          <w:i/>
          <w:iCs/>
          <w:lang w:val="en-GB"/>
        </w:rPr>
        <w:tab/>
      </w:r>
      <w:r>
        <w:rPr>
          <w:rFonts w:ascii="Arial" w:hAnsi="Arial" w:cs="Arial"/>
          <w:i/>
          <w:iCs/>
          <w:lang w:val="en-GB"/>
        </w:rPr>
        <w:t xml:space="preserve">(It refers to financial leasing contracts whose date of the beginning of maturity comes under reference quarter.) </w:t>
      </w:r>
      <w:r>
        <w:rPr>
          <w:rFonts w:ascii="Arial" w:hAnsi="Arial" w:cs="Arial"/>
          <w:i/>
          <w:iCs/>
          <w:u w:val="single"/>
          <w:lang w:val="en-GB"/>
        </w:rPr>
        <w:t>As the acquisition of tangible and intangible fixed assets is reported on the users’ side, companies engaged in financial leasing only report assets they use for their own activity. They do not report intangible and tangible fixed assets they purchased for the purpose of financial leasing (though they are owners of these assets as stipulated by the law).</w:t>
      </w:r>
    </w:p>
    <w:p w:rsidR="00171E30" w:rsidRDefault="00171E30">
      <w:pPr>
        <w:pStyle w:val="Nadpis3"/>
        <w:tabs>
          <w:tab w:val="left" w:pos="142"/>
          <w:tab w:val="left" w:pos="709"/>
          <w:tab w:val="left" w:pos="1418"/>
          <w:tab w:val="left" w:pos="2126"/>
        </w:tabs>
        <w:spacing w:before="60" w:after="60"/>
        <w:ind w:left="0" w:firstLine="567"/>
        <w:jc w:val="both"/>
        <w:rPr>
          <w:rFonts w:ascii="Arial" w:hAnsi="Arial" w:cs="Arial"/>
          <w:i/>
          <w:iCs/>
          <w:sz w:val="20"/>
          <w:lang w:val="en-GB"/>
        </w:rPr>
      </w:pPr>
      <w:r>
        <w:rPr>
          <w:rFonts w:ascii="Arial" w:hAnsi="Arial" w:cs="Arial"/>
          <w:i/>
          <w:iCs/>
          <w:sz w:val="20"/>
          <w:szCs w:val="20"/>
          <w:lang w:val="en-GB"/>
        </w:rPr>
        <w:t xml:space="preserve">Acquisition of intangible fixed assets, total – </w:t>
      </w:r>
      <w:r>
        <w:rPr>
          <w:rFonts w:ascii="Arial" w:hAnsi="Arial" w:cs="Arial"/>
          <w:b w:val="0"/>
          <w:bCs w:val="0"/>
          <w:i/>
          <w:iCs/>
          <w:sz w:val="20"/>
          <w:szCs w:val="20"/>
          <w:lang w:val="en-GB"/>
        </w:rPr>
        <w:t>the data are drawn on from the turnover on the debit side in accounts that register the acquisition of intangible fixed assets (depending on the chart of accounts and book-keeping methods the reporting units use) or from the property account (if acquired assets were charged on the account directly). Given always is the sum total for turnover items charged in reference period (not total turnover from the beginning of year). The intangible fixed assets include:</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expenses on starting a new business,</w:t>
      </w:r>
    </w:p>
    <w:p w:rsidR="00171E30" w:rsidRDefault="00171E30">
      <w:pPr>
        <w:pStyle w:val="Zkladntext"/>
        <w:numPr>
          <w:ilvl w:val="0"/>
          <w:numId w:val="13"/>
        </w:numPr>
        <w:tabs>
          <w:tab w:val="left" w:pos="426"/>
        </w:tabs>
        <w:ind w:left="357" w:hanging="357"/>
        <w:rPr>
          <w:rFonts w:cs="Arial"/>
          <w:i/>
          <w:iCs/>
          <w:sz w:val="20"/>
        </w:rPr>
      </w:pPr>
      <w:r>
        <w:rPr>
          <w:rFonts w:cs="Arial"/>
          <w:i/>
          <w:iCs/>
          <w:sz w:val="20"/>
        </w:rPr>
        <w:t>intangible results of research and similar activities not subjected to i</w:t>
      </w:r>
      <w:r>
        <w:rPr>
          <w:rFonts w:cs="Arial"/>
          <w:i/>
          <w:iCs/>
          <w:sz w:val="20"/>
        </w:rPr>
        <w:t>n</w:t>
      </w:r>
      <w:r>
        <w:rPr>
          <w:rFonts w:cs="Arial"/>
          <w:i/>
          <w:iCs/>
          <w:sz w:val="20"/>
        </w:rPr>
        <w:t xml:space="preserve">dustrial and </w:t>
      </w:r>
      <w:r>
        <w:rPr>
          <w:rFonts w:cs="Arial"/>
          <w:i/>
          <w:iCs/>
          <w:sz w:val="20"/>
        </w:rPr>
        <w:br/>
        <w:t>other valuable rights</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software,</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know-how,</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licences,</w:t>
      </w:r>
    </w:p>
    <w:p w:rsidR="00171E30" w:rsidRDefault="00171E30">
      <w:pPr>
        <w:pStyle w:val="Zkladntext"/>
        <w:numPr>
          <w:ilvl w:val="0"/>
          <w:numId w:val="13"/>
        </w:numPr>
        <w:tabs>
          <w:tab w:val="left" w:pos="426"/>
        </w:tabs>
        <w:ind w:left="357" w:hanging="357"/>
        <w:rPr>
          <w:rFonts w:cs="Arial"/>
          <w:i/>
          <w:iCs/>
          <w:sz w:val="20"/>
        </w:rPr>
      </w:pPr>
      <w:proofErr w:type="gramStart"/>
      <w:r>
        <w:rPr>
          <w:rFonts w:cs="Arial"/>
          <w:i/>
          <w:iCs/>
          <w:sz w:val="20"/>
        </w:rPr>
        <w:t>subjects</w:t>
      </w:r>
      <w:proofErr w:type="gramEnd"/>
      <w:r>
        <w:rPr>
          <w:rFonts w:cs="Arial"/>
          <w:i/>
          <w:iCs/>
          <w:sz w:val="20"/>
        </w:rPr>
        <w:t xml:space="preserve"> of industrial rights and other results of intellectual creative a</w:t>
      </w:r>
      <w:r>
        <w:rPr>
          <w:rFonts w:cs="Arial"/>
          <w:i/>
          <w:iCs/>
          <w:sz w:val="20"/>
        </w:rPr>
        <w:t>c</w:t>
      </w:r>
      <w:r>
        <w:rPr>
          <w:rFonts w:cs="Arial"/>
          <w:i/>
          <w:iCs/>
          <w:sz w:val="20"/>
        </w:rPr>
        <w:t xml:space="preserve">tivity, which </w:t>
      </w:r>
      <w:r>
        <w:rPr>
          <w:rFonts w:cs="Arial"/>
          <w:i/>
          <w:iCs/>
          <w:sz w:val="20"/>
        </w:rPr>
        <w:br/>
        <w:t>are subjects of valuable rights acquired and provided.</w:t>
      </w:r>
    </w:p>
    <w:p w:rsidR="00171E30" w:rsidRDefault="00171E30">
      <w:pPr>
        <w:pStyle w:val="Zkladntext"/>
        <w:tabs>
          <w:tab w:val="left" w:pos="426"/>
        </w:tabs>
        <w:spacing w:before="60" w:after="60"/>
        <w:ind w:firstLine="567"/>
        <w:rPr>
          <w:rFonts w:cs="Arial"/>
          <w:i/>
          <w:iCs/>
          <w:sz w:val="20"/>
        </w:rPr>
      </w:pPr>
      <w:r>
        <w:rPr>
          <w:rFonts w:cs="Arial"/>
          <w:b/>
          <w:bCs/>
          <w:i/>
          <w:iCs/>
          <w:sz w:val="20"/>
        </w:rPr>
        <w:lastRenderedPageBreak/>
        <w:t xml:space="preserve">Acquisition of tangible fixed assets, total </w:t>
      </w:r>
      <w:r>
        <w:rPr>
          <w:rFonts w:cs="Arial"/>
          <w:i/>
          <w:iCs/>
          <w:sz w:val="20"/>
        </w:rPr>
        <w:t>- data are derived from totals on the debit side of accounts, which register purchases of tangible fixed assets (depen</w:t>
      </w:r>
      <w:r>
        <w:rPr>
          <w:rFonts w:cs="Arial"/>
          <w:i/>
          <w:iCs/>
          <w:sz w:val="20"/>
        </w:rPr>
        <w:t>d</w:t>
      </w:r>
      <w:r>
        <w:rPr>
          <w:rFonts w:cs="Arial"/>
          <w:i/>
          <w:iCs/>
          <w:sz w:val="20"/>
        </w:rPr>
        <w:t>ing on the chart of accounts and the book-keeping methods the reporting units use), or from respective property accounts (if the purchased fixed assets was accounted directly on this account). Only the aggregate of items charged in the reference period is given (not totals from the beginning of year). The tangible fixed assets include:</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buildings, halls and constructions,</w:t>
      </w:r>
    </w:p>
    <w:p w:rsidR="00171E30" w:rsidRDefault="00171E30">
      <w:pPr>
        <w:pStyle w:val="Zkladntext"/>
        <w:numPr>
          <w:ilvl w:val="0"/>
          <w:numId w:val="13"/>
        </w:numPr>
        <w:tabs>
          <w:tab w:val="left" w:pos="426"/>
        </w:tabs>
        <w:ind w:left="357" w:hanging="357"/>
        <w:rPr>
          <w:rFonts w:cs="Arial"/>
          <w:i/>
          <w:iCs/>
          <w:sz w:val="20"/>
        </w:rPr>
      </w:pPr>
      <w:r>
        <w:rPr>
          <w:rFonts w:cs="Arial"/>
          <w:i/>
          <w:iCs/>
          <w:sz w:val="20"/>
        </w:rPr>
        <w:t>means of transport,</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machinery and equipment,</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permanent ground cover, herd and draught cattle,</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r>
        <w:rPr>
          <w:rFonts w:ascii="Arial" w:hAnsi="Arial" w:cs="Arial"/>
          <w:i/>
          <w:iCs/>
          <w:lang w:val="en-GB"/>
        </w:rPr>
        <w:t>land (incl. forest land) and mineral deposits,</w:t>
      </w:r>
    </w:p>
    <w:p w:rsidR="00171E30" w:rsidRDefault="00171E30">
      <w:pPr>
        <w:numPr>
          <w:ilvl w:val="0"/>
          <w:numId w:val="13"/>
        </w:numPr>
        <w:tabs>
          <w:tab w:val="left" w:pos="426"/>
          <w:tab w:val="left" w:pos="709"/>
          <w:tab w:val="left" w:pos="1418"/>
          <w:tab w:val="left" w:pos="2126"/>
        </w:tabs>
        <w:ind w:left="357" w:hanging="357"/>
        <w:jc w:val="both"/>
        <w:rPr>
          <w:rFonts w:ascii="Arial" w:hAnsi="Arial" w:cs="Arial"/>
          <w:i/>
          <w:iCs/>
          <w:lang w:val="en-GB"/>
        </w:rPr>
      </w:pPr>
      <w:proofErr w:type="gramStart"/>
      <w:r>
        <w:rPr>
          <w:rFonts w:ascii="Arial" w:hAnsi="Arial" w:cs="Arial"/>
          <w:i/>
          <w:iCs/>
          <w:lang w:val="en-GB"/>
        </w:rPr>
        <w:t>other</w:t>
      </w:r>
      <w:proofErr w:type="gramEnd"/>
      <w:r>
        <w:rPr>
          <w:rFonts w:ascii="Arial" w:hAnsi="Arial" w:cs="Arial"/>
          <w:i/>
          <w:iCs/>
          <w:lang w:val="en-GB"/>
        </w:rPr>
        <w:t xml:space="preserve"> movables – including artworks and collections and other tangible fixed assets not included in list above. </w:t>
      </w:r>
    </w:p>
    <w:p w:rsidR="00171E30" w:rsidRDefault="00171E30">
      <w:pPr>
        <w:tabs>
          <w:tab w:val="left" w:pos="142"/>
          <w:tab w:val="left" w:pos="709"/>
          <w:tab w:val="left" w:pos="1418"/>
          <w:tab w:val="left" w:pos="2126"/>
        </w:tabs>
        <w:spacing w:before="60"/>
        <w:ind w:firstLine="567"/>
        <w:jc w:val="both"/>
        <w:rPr>
          <w:rFonts w:ascii="Arial" w:hAnsi="Arial" w:cs="Arial"/>
          <w:i/>
          <w:iCs/>
          <w:lang w:val="en-GB"/>
        </w:rPr>
      </w:pPr>
      <w:r>
        <w:rPr>
          <w:rFonts w:ascii="Arial" w:hAnsi="Arial" w:cs="Arial"/>
          <w:b/>
          <w:bCs/>
          <w:i/>
          <w:iCs/>
          <w:lang w:val="en-GB"/>
        </w:rPr>
        <w:t xml:space="preserve">Sales and free transfers of tangible and intangible fixed assets </w:t>
      </w:r>
      <w:r>
        <w:rPr>
          <w:rFonts w:ascii="Arial" w:hAnsi="Arial" w:cs="Arial"/>
          <w:i/>
          <w:iCs/>
          <w:lang w:val="en-GB"/>
        </w:rPr>
        <w:t>– where tangible or intang</w:t>
      </w:r>
      <w:r>
        <w:rPr>
          <w:rFonts w:ascii="Arial" w:hAnsi="Arial" w:cs="Arial"/>
          <w:i/>
          <w:iCs/>
          <w:lang w:val="en-GB"/>
        </w:rPr>
        <w:t>i</w:t>
      </w:r>
      <w:r>
        <w:rPr>
          <w:rFonts w:ascii="Arial" w:hAnsi="Arial" w:cs="Arial"/>
          <w:i/>
          <w:iCs/>
          <w:lang w:val="en-GB"/>
        </w:rPr>
        <w:t xml:space="preserve">ble fixed assets were transferred to another user free, net book value (difference between acquisition costs and depreciation) was included here. </w:t>
      </w:r>
    </w:p>
    <w:p w:rsidR="00171E30" w:rsidRDefault="00171E30">
      <w:pPr>
        <w:rPr>
          <w:lang w:val="en-GB"/>
        </w:rPr>
      </w:pPr>
    </w:p>
    <w:sectPr w:rsidR="00171E30">
      <w:footnotePr>
        <w:numRestart w:val="eachSect"/>
      </w:footnotePr>
      <w:type w:val="continuous"/>
      <w:pgSz w:w="11905" w:h="16837"/>
      <w:pgMar w:top="1416" w:right="1416" w:bottom="1416" w:left="135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21C4"/>
    <w:multiLevelType w:val="hybridMultilevel"/>
    <w:tmpl w:val="2BB4FC68"/>
    <w:lvl w:ilvl="0" w:tplc="416E8874">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nsid w:val="092B6ADB"/>
    <w:multiLevelType w:val="hybridMultilevel"/>
    <w:tmpl w:val="46907BA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DFE0301"/>
    <w:multiLevelType w:val="hybridMultilevel"/>
    <w:tmpl w:val="308239E2"/>
    <w:lvl w:ilvl="0" w:tplc="3470FF64">
      <w:start w:val="1"/>
      <w:numFmt w:val="lowerLetter"/>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
    <w:nsid w:val="0F3E7C11"/>
    <w:multiLevelType w:val="hybridMultilevel"/>
    <w:tmpl w:val="C20CB898"/>
    <w:lvl w:ilvl="0" w:tplc="04050005">
      <w:start w:val="1"/>
      <w:numFmt w:val="bullet"/>
      <w:lvlText w:val=""/>
      <w:lvlJc w:val="left"/>
      <w:pPr>
        <w:tabs>
          <w:tab w:val="num" w:pos="797"/>
        </w:tabs>
        <w:ind w:left="797" w:hanging="360"/>
      </w:pPr>
      <w:rPr>
        <w:rFonts w:ascii="Wingdings" w:hAnsi="Wingdings" w:hint="default"/>
      </w:rPr>
    </w:lvl>
    <w:lvl w:ilvl="1" w:tplc="04050003" w:tentative="1">
      <w:start w:val="1"/>
      <w:numFmt w:val="bullet"/>
      <w:lvlText w:val="o"/>
      <w:lvlJc w:val="left"/>
      <w:pPr>
        <w:tabs>
          <w:tab w:val="num" w:pos="1517"/>
        </w:tabs>
        <w:ind w:left="1517" w:hanging="360"/>
      </w:pPr>
      <w:rPr>
        <w:rFonts w:ascii="Courier New" w:hAnsi="Courier New" w:hint="default"/>
      </w:rPr>
    </w:lvl>
    <w:lvl w:ilvl="2" w:tplc="04050005" w:tentative="1">
      <w:start w:val="1"/>
      <w:numFmt w:val="bullet"/>
      <w:lvlText w:val=""/>
      <w:lvlJc w:val="left"/>
      <w:pPr>
        <w:tabs>
          <w:tab w:val="num" w:pos="2237"/>
        </w:tabs>
        <w:ind w:left="2237" w:hanging="360"/>
      </w:pPr>
      <w:rPr>
        <w:rFonts w:ascii="Wingdings" w:hAnsi="Wingdings" w:hint="default"/>
      </w:rPr>
    </w:lvl>
    <w:lvl w:ilvl="3" w:tplc="04050001" w:tentative="1">
      <w:start w:val="1"/>
      <w:numFmt w:val="bullet"/>
      <w:lvlText w:val=""/>
      <w:lvlJc w:val="left"/>
      <w:pPr>
        <w:tabs>
          <w:tab w:val="num" w:pos="2957"/>
        </w:tabs>
        <w:ind w:left="2957" w:hanging="360"/>
      </w:pPr>
      <w:rPr>
        <w:rFonts w:ascii="Symbol" w:hAnsi="Symbol" w:hint="default"/>
      </w:rPr>
    </w:lvl>
    <w:lvl w:ilvl="4" w:tplc="04050003" w:tentative="1">
      <w:start w:val="1"/>
      <w:numFmt w:val="bullet"/>
      <w:lvlText w:val="o"/>
      <w:lvlJc w:val="left"/>
      <w:pPr>
        <w:tabs>
          <w:tab w:val="num" w:pos="3677"/>
        </w:tabs>
        <w:ind w:left="3677" w:hanging="360"/>
      </w:pPr>
      <w:rPr>
        <w:rFonts w:ascii="Courier New" w:hAnsi="Courier New" w:hint="default"/>
      </w:rPr>
    </w:lvl>
    <w:lvl w:ilvl="5" w:tplc="04050005" w:tentative="1">
      <w:start w:val="1"/>
      <w:numFmt w:val="bullet"/>
      <w:lvlText w:val=""/>
      <w:lvlJc w:val="left"/>
      <w:pPr>
        <w:tabs>
          <w:tab w:val="num" w:pos="4397"/>
        </w:tabs>
        <w:ind w:left="4397" w:hanging="360"/>
      </w:pPr>
      <w:rPr>
        <w:rFonts w:ascii="Wingdings" w:hAnsi="Wingdings" w:hint="default"/>
      </w:rPr>
    </w:lvl>
    <w:lvl w:ilvl="6" w:tplc="04050001" w:tentative="1">
      <w:start w:val="1"/>
      <w:numFmt w:val="bullet"/>
      <w:lvlText w:val=""/>
      <w:lvlJc w:val="left"/>
      <w:pPr>
        <w:tabs>
          <w:tab w:val="num" w:pos="5117"/>
        </w:tabs>
        <w:ind w:left="5117" w:hanging="360"/>
      </w:pPr>
      <w:rPr>
        <w:rFonts w:ascii="Symbol" w:hAnsi="Symbol" w:hint="default"/>
      </w:rPr>
    </w:lvl>
    <w:lvl w:ilvl="7" w:tplc="04050003" w:tentative="1">
      <w:start w:val="1"/>
      <w:numFmt w:val="bullet"/>
      <w:lvlText w:val="o"/>
      <w:lvlJc w:val="left"/>
      <w:pPr>
        <w:tabs>
          <w:tab w:val="num" w:pos="5837"/>
        </w:tabs>
        <w:ind w:left="5837" w:hanging="360"/>
      </w:pPr>
      <w:rPr>
        <w:rFonts w:ascii="Courier New" w:hAnsi="Courier New" w:hint="default"/>
      </w:rPr>
    </w:lvl>
    <w:lvl w:ilvl="8" w:tplc="04050005" w:tentative="1">
      <w:start w:val="1"/>
      <w:numFmt w:val="bullet"/>
      <w:lvlText w:val=""/>
      <w:lvlJc w:val="left"/>
      <w:pPr>
        <w:tabs>
          <w:tab w:val="num" w:pos="6557"/>
        </w:tabs>
        <w:ind w:left="6557" w:hanging="360"/>
      </w:pPr>
      <w:rPr>
        <w:rFonts w:ascii="Wingdings" w:hAnsi="Wingdings" w:hint="default"/>
      </w:rPr>
    </w:lvl>
  </w:abstractNum>
  <w:abstractNum w:abstractNumId="4">
    <w:nsid w:val="137360C0"/>
    <w:multiLevelType w:val="hybridMultilevel"/>
    <w:tmpl w:val="D142743A"/>
    <w:lvl w:ilvl="0" w:tplc="04050003">
      <w:start w:val="1"/>
      <w:numFmt w:val="bullet"/>
      <w:lvlText w:val="o"/>
      <w:lvlJc w:val="left"/>
      <w:pPr>
        <w:tabs>
          <w:tab w:val="num" w:pos="502"/>
        </w:tabs>
        <w:ind w:left="502" w:hanging="360"/>
      </w:pPr>
      <w:rPr>
        <w:rFonts w:ascii="Courier New" w:hAnsi="Courier New" w:hint="default"/>
      </w:rPr>
    </w:lvl>
    <w:lvl w:ilvl="1" w:tplc="04050003" w:tentative="1">
      <w:start w:val="1"/>
      <w:numFmt w:val="bullet"/>
      <w:lvlText w:val="o"/>
      <w:lvlJc w:val="left"/>
      <w:pPr>
        <w:tabs>
          <w:tab w:val="num" w:pos="1222"/>
        </w:tabs>
        <w:ind w:left="1222" w:hanging="360"/>
      </w:pPr>
      <w:rPr>
        <w:rFonts w:ascii="Courier New" w:hAnsi="Courier New" w:hint="default"/>
      </w:rPr>
    </w:lvl>
    <w:lvl w:ilvl="2" w:tplc="04050005" w:tentative="1">
      <w:start w:val="1"/>
      <w:numFmt w:val="bullet"/>
      <w:lvlText w:val=""/>
      <w:lvlJc w:val="left"/>
      <w:pPr>
        <w:tabs>
          <w:tab w:val="num" w:pos="1942"/>
        </w:tabs>
        <w:ind w:left="1942" w:hanging="360"/>
      </w:pPr>
      <w:rPr>
        <w:rFonts w:ascii="Wingdings" w:hAnsi="Wingdings" w:hint="default"/>
      </w:rPr>
    </w:lvl>
    <w:lvl w:ilvl="3" w:tplc="04050001" w:tentative="1">
      <w:start w:val="1"/>
      <w:numFmt w:val="bullet"/>
      <w:lvlText w:val=""/>
      <w:lvlJc w:val="left"/>
      <w:pPr>
        <w:tabs>
          <w:tab w:val="num" w:pos="2662"/>
        </w:tabs>
        <w:ind w:left="2662" w:hanging="360"/>
      </w:pPr>
      <w:rPr>
        <w:rFonts w:ascii="Symbol" w:hAnsi="Symbol" w:hint="default"/>
      </w:rPr>
    </w:lvl>
    <w:lvl w:ilvl="4" w:tplc="04050003" w:tentative="1">
      <w:start w:val="1"/>
      <w:numFmt w:val="bullet"/>
      <w:lvlText w:val="o"/>
      <w:lvlJc w:val="left"/>
      <w:pPr>
        <w:tabs>
          <w:tab w:val="num" w:pos="3382"/>
        </w:tabs>
        <w:ind w:left="3382" w:hanging="360"/>
      </w:pPr>
      <w:rPr>
        <w:rFonts w:ascii="Courier New" w:hAnsi="Courier New" w:hint="default"/>
      </w:rPr>
    </w:lvl>
    <w:lvl w:ilvl="5" w:tplc="04050005" w:tentative="1">
      <w:start w:val="1"/>
      <w:numFmt w:val="bullet"/>
      <w:lvlText w:val=""/>
      <w:lvlJc w:val="left"/>
      <w:pPr>
        <w:tabs>
          <w:tab w:val="num" w:pos="4102"/>
        </w:tabs>
        <w:ind w:left="4102" w:hanging="360"/>
      </w:pPr>
      <w:rPr>
        <w:rFonts w:ascii="Wingdings" w:hAnsi="Wingdings" w:hint="default"/>
      </w:rPr>
    </w:lvl>
    <w:lvl w:ilvl="6" w:tplc="04050001" w:tentative="1">
      <w:start w:val="1"/>
      <w:numFmt w:val="bullet"/>
      <w:lvlText w:val=""/>
      <w:lvlJc w:val="left"/>
      <w:pPr>
        <w:tabs>
          <w:tab w:val="num" w:pos="4822"/>
        </w:tabs>
        <w:ind w:left="4822" w:hanging="360"/>
      </w:pPr>
      <w:rPr>
        <w:rFonts w:ascii="Symbol" w:hAnsi="Symbol" w:hint="default"/>
      </w:rPr>
    </w:lvl>
    <w:lvl w:ilvl="7" w:tplc="04050003" w:tentative="1">
      <w:start w:val="1"/>
      <w:numFmt w:val="bullet"/>
      <w:lvlText w:val="o"/>
      <w:lvlJc w:val="left"/>
      <w:pPr>
        <w:tabs>
          <w:tab w:val="num" w:pos="5542"/>
        </w:tabs>
        <w:ind w:left="5542" w:hanging="360"/>
      </w:pPr>
      <w:rPr>
        <w:rFonts w:ascii="Courier New" w:hAnsi="Courier New" w:hint="default"/>
      </w:rPr>
    </w:lvl>
    <w:lvl w:ilvl="8" w:tplc="04050005" w:tentative="1">
      <w:start w:val="1"/>
      <w:numFmt w:val="bullet"/>
      <w:lvlText w:val=""/>
      <w:lvlJc w:val="left"/>
      <w:pPr>
        <w:tabs>
          <w:tab w:val="num" w:pos="6262"/>
        </w:tabs>
        <w:ind w:left="6262" w:hanging="360"/>
      </w:pPr>
      <w:rPr>
        <w:rFonts w:ascii="Wingdings" w:hAnsi="Wingdings" w:hint="default"/>
      </w:rPr>
    </w:lvl>
  </w:abstractNum>
  <w:abstractNum w:abstractNumId="5">
    <w:nsid w:val="183A2F28"/>
    <w:multiLevelType w:val="hybridMultilevel"/>
    <w:tmpl w:val="62EC84A4"/>
    <w:lvl w:ilvl="0" w:tplc="F998DE1C">
      <w:numFmt w:val="bullet"/>
      <w:lvlText w:val="-"/>
      <w:lvlJc w:val="left"/>
      <w:pPr>
        <w:tabs>
          <w:tab w:val="num" w:pos="927"/>
        </w:tabs>
        <w:ind w:left="927" w:hanging="360"/>
      </w:pPr>
      <w:rPr>
        <w:rFonts w:ascii="Times New Roman" w:eastAsia="Times New Roman" w:hAnsi="Times New Roman" w:cs="Times New Roman" w:hint="default"/>
      </w:rPr>
    </w:lvl>
    <w:lvl w:ilvl="1" w:tplc="04050003" w:tentative="1">
      <w:start w:val="1"/>
      <w:numFmt w:val="bullet"/>
      <w:lvlText w:val="o"/>
      <w:lvlJc w:val="left"/>
      <w:pPr>
        <w:tabs>
          <w:tab w:val="num" w:pos="2072"/>
        </w:tabs>
        <w:ind w:left="2072" w:hanging="360"/>
      </w:pPr>
      <w:rPr>
        <w:rFonts w:ascii="Courier New" w:hAnsi="Courier New" w:hint="default"/>
      </w:rPr>
    </w:lvl>
    <w:lvl w:ilvl="2" w:tplc="04050005" w:tentative="1">
      <w:start w:val="1"/>
      <w:numFmt w:val="bullet"/>
      <w:lvlText w:val=""/>
      <w:lvlJc w:val="left"/>
      <w:pPr>
        <w:tabs>
          <w:tab w:val="num" w:pos="2792"/>
        </w:tabs>
        <w:ind w:left="2792" w:hanging="360"/>
      </w:pPr>
      <w:rPr>
        <w:rFonts w:ascii="Wingdings" w:hAnsi="Wingdings" w:hint="default"/>
      </w:rPr>
    </w:lvl>
    <w:lvl w:ilvl="3" w:tplc="04050001" w:tentative="1">
      <w:start w:val="1"/>
      <w:numFmt w:val="bullet"/>
      <w:lvlText w:val=""/>
      <w:lvlJc w:val="left"/>
      <w:pPr>
        <w:tabs>
          <w:tab w:val="num" w:pos="3512"/>
        </w:tabs>
        <w:ind w:left="3512" w:hanging="360"/>
      </w:pPr>
      <w:rPr>
        <w:rFonts w:ascii="Symbol" w:hAnsi="Symbol" w:hint="default"/>
      </w:rPr>
    </w:lvl>
    <w:lvl w:ilvl="4" w:tplc="04050003" w:tentative="1">
      <w:start w:val="1"/>
      <w:numFmt w:val="bullet"/>
      <w:lvlText w:val="o"/>
      <w:lvlJc w:val="left"/>
      <w:pPr>
        <w:tabs>
          <w:tab w:val="num" w:pos="4232"/>
        </w:tabs>
        <w:ind w:left="4232" w:hanging="360"/>
      </w:pPr>
      <w:rPr>
        <w:rFonts w:ascii="Courier New" w:hAnsi="Courier New" w:hint="default"/>
      </w:rPr>
    </w:lvl>
    <w:lvl w:ilvl="5" w:tplc="04050005" w:tentative="1">
      <w:start w:val="1"/>
      <w:numFmt w:val="bullet"/>
      <w:lvlText w:val=""/>
      <w:lvlJc w:val="left"/>
      <w:pPr>
        <w:tabs>
          <w:tab w:val="num" w:pos="4952"/>
        </w:tabs>
        <w:ind w:left="4952" w:hanging="360"/>
      </w:pPr>
      <w:rPr>
        <w:rFonts w:ascii="Wingdings" w:hAnsi="Wingdings" w:hint="default"/>
      </w:rPr>
    </w:lvl>
    <w:lvl w:ilvl="6" w:tplc="04050001" w:tentative="1">
      <w:start w:val="1"/>
      <w:numFmt w:val="bullet"/>
      <w:lvlText w:val=""/>
      <w:lvlJc w:val="left"/>
      <w:pPr>
        <w:tabs>
          <w:tab w:val="num" w:pos="5672"/>
        </w:tabs>
        <w:ind w:left="5672" w:hanging="360"/>
      </w:pPr>
      <w:rPr>
        <w:rFonts w:ascii="Symbol" w:hAnsi="Symbol" w:hint="default"/>
      </w:rPr>
    </w:lvl>
    <w:lvl w:ilvl="7" w:tplc="04050003" w:tentative="1">
      <w:start w:val="1"/>
      <w:numFmt w:val="bullet"/>
      <w:lvlText w:val="o"/>
      <w:lvlJc w:val="left"/>
      <w:pPr>
        <w:tabs>
          <w:tab w:val="num" w:pos="6392"/>
        </w:tabs>
        <w:ind w:left="6392" w:hanging="360"/>
      </w:pPr>
      <w:rPr>
        <w:rFonts w:ascii="Courier New" w:hAnsi="Courier New" w:hint="default"/>
      </w:rPr>
    </w:lvl>
    <w:lvl w:ilvl="8" w:tplc="04050005" w:tentative="1">
      <w:start w:val="1"/>
      <w:numFmt w:val="bullet"/>
      <w:lvlText w:val=""/>
      <w:lvlJc w:val="left"/>
      <w:pPr>
        <w:tabs>
          <w:tab w:val="num" w:pos="7112"/>
        </w:tabs>
        <w:ind w:left="7112" w:hanging="360"/>
      </w:pPr>
      <w:rPr>
        <w:rFonts w:ascii="Wingdings" w:hAnsi="Wingdings" w:hint="default"/>
      </w:rPr>
    </w:lvl>
  </w:abstractNum>
  <w:abstractNum w:abstractNumId="6">
    <w:nsid w:val="1A1421CF"/>
    <w:multiLevelType w:val="hybridMultilevel"/>
    <w:tmpl w:val="D142743A"/>
    <w:lvl w:ilvl="0" w:tplc="F998DE1C">
      <w:numFmt w:val="bullet"/>
      <w:lvlText w:val="-"/>
      <w:lvlJc w:val="left"/>
      <w:pPr>
        <w:tabs>
          <w:tab w:val="num" w:pos="502"/>
        </w:tabs>
        <w:ind w:left="502" w:hanging="360"/>
      </w:pPr>
      <w:rPr>
        <w:rFonts w:ascii="Times New Roman" w:eastAsia="Times New Roman" w:hAnsi="Times New Roman" w:cs="Times New Roman" w:hint="default"/>
      </w:rPr>
    </w:lvl>
    <w:lvl w:ilvl="1" w:tplc="0405000F">
      <w:start w:val="1"/>
      <w:numFmt w:val="decimal"/>
      <w:lvlText w:val="%2."/>
      <w:lvlJc w:val="left"/>
      <w:pPr>
        <w:tabs>
          <w:tab w:val="num" w:pos="797"/>
        </w:tabs>
        <w:ind w:left="797" w:hanging="360"/>
      </w:pPr>
    </w:lvl>
    <w:lvl w:ilvl="2" w:tplc="04050005" w:tentative="1">
      <w:start w:val="1"/>
      <w:numFmt w:val="bullet"/>
      <w:lvlText w:val=""/>
      <w:lvlJc w:val="left"/>
      <w:pPr>
        <w:tabs>
          <w:tab w:val="num" w:pos="1517"/>
        </w:tabs>
        <w:ind w:left="1517" w:hanging="360"/>
      </w:pPr>
      <w:rPr>
        <w:rFonts w:ascii="Wingdings" w:hAnsi="Wingdings" w:hint="default"/>
      </w:rPr>
    </w:lvl>
    <w:lvl w:ilvl="3" w:tplc="04050001" w:tentative="1">
      <w:start w:val="1"/>
      <w:numFmt w:val="bullet"/>
      <w:lvlText w:val=""/>
      <w:lvlJc w:val="left"/>
      <w:pPr>
        <w:tabs>
          <w:tab w:val="num" w:pos="2237"/>
        </w:tabs>
        <w:ind w:left="2237" w:hanging="360"/>
      </w:pPr>
      <w:rPr>
        <w:rFonts w:ascii="Symbol" w:hAnsi="Symbol" w:hint="default"/>
      </w:rPr>
    </w:lvl>
    <w:lvl w:ilvl="4" w:tplc="04050003" w:tentative="1">
      <w:start w:val="1"/>
      <w:numFmt w:val="bullet"/>
      <w:lvlText w:val="o"/>
      <w:lvlJc w:val="left"/>
      <w:pPr>
        <w:tabs>
          <w:tab w:val="num" w:pos="2957"/>
        </w:tabs>
        <w:ind w:left="2957" w:hanging="360"/>
      </w:pPr>
      <w:rPr>
        <w:rFonts w:ascii="Courier New" w:hAnsi="Courier New" w:hint="default"/>
      </w:rPr>
    </w:lvl>
    <w:lvl w:ilvl="5" w:tplc="04050005" w:tentative="1">
      <w:start w:val="1"/>
      <w:numFmt w:val="bullet"/>
      <w:lvlText w:val=""/>
      <w:lvlJc w:val="left"/>
      <w:pPr>
        <w:tabs>
          <w:tab w:val="num" w:pos="3677"/>
        </w:tabs>
        <w:ind w:left="3677" w:hanging="360"/>
      </w:pPr>
      <w:rPr>
        <w:rFonts w:ascii="Wingdings" w:hAnsi="Wingdings" w:hint="default"/>
      </w:rPr>
    </w:lvl>
    <w:lvl w:ilvl="6" w:tplc="04050001" w:tentative="1">
      <w:start w:val="1"/>
      <w:numFmt w:val="bullet"/>
      <w:lvlText w:val=""/>
      <w:lvlJc w:val="left"/>
      <w:pPr>
        <w:tabs>
          <w:tab w:val="num" w:pos="4397"/>
        </w:tabs>
        <w:ind w:left="4397" w:hanging="360"/>
      </w:pPr>
      <w:rPr>
        <w:rFonts w:ascii="Symbol" w:hAnsi="Symbol" w:hint="default"/>
      </w:rPr>
    </w:lvl>
    <w:lvl w:ilvl="7" w:tplc="04050003" w:tentative="1">
      <w:start w:val="1"/>
      <w:numFmt w:val="bullet"/>
      <w:lvlText w:val="o"/>
      <w:lvlJc w:val="left"/>
      <w:pPr>
        <w:tabs>
          <w:tab w:val="num" w:pos="5117"/>
        </w:tabs>
        <w:ind w:left="5117" w:hanging="360"/>
      </w:pPr>
      <w:rPr>
        <w:rFonts w:ascii="Courier New" w:hAnsi="Courier New" w:hint="default"/>
      </w:rPr>
    </w:lvl>
    <w:lvl w:ilvl="8" w:tplc="04050005" w:tentative="1">
      <w:start w:val="1"/>
      <w:numFmt w:val="bullet"/>
      <w:lvlText w:val=""/>
      <w:lvlJc w:val="left"/>
      <w:pPr>
        <w:tabs>
          <w:tab w:val="num" w:pos="5837"/>
        </w:tabs>
        <w:ind w:left="5837" w:hanging="360"/>
      </w:pPr>
      <w:rPr>
        <w:rFonts w:ascii="Wingdings" w:hAnsi="Wingdings" w:hint="default"/>
      </w:rPr>
    </w:lvl>
  </w:abstractNum>
  <w:abstractNum w:abstractNumId="7">
    <w:nsid w:val="21BB40CC"/>
    <w:multiLevelType w:val="hybridMultilevel"/>
    <w:tmpl w:val="48B84232"/>
    <w:lvl w:ilvl="0" w:tplc="F998DE1C">
      <w:numFmt w:val="bullet"/>
      <w:lvlText w:val="-"/>
      <w:lvlJc w:val="left"/>
      <w:pPr>
        <w:tabs>
          <w:tab w:val="num" w:pos="927"/>
        </w:tabs>
        <w:ind w:left="927" w:hanging="360"/>
      </w:pPr>
      <w:rPr>
        <w:rFonts w:ascii="Times New Roman" w:eastAsia="Times New Roman" w:hAnsi="Times New Roman" w:cs="Times New Roman" w:hint="default"/>
      </w:rPr>
    </w:lvl>
    <w:lvl w:ilvl="1" w:tplc="04050003">
      <w:start w:val="1"/>
      <w:numFmt w:val="bullet"/>
      <w:lvlText w:val="o"/>
      <w:lvlJc w:val="left"/>
      <w:pPr>
        <w:tabs>
          <w:tab w:val="num" w:pos="-36"/>
        </w:tabs>
        <w:ind w:left="-36" w:hanging="360"/>
      </w:pPr>
      <w:rPr>
        <w:rFonts w:ascii="Courier New" w:hAnsi="Courier New" w:hint="default"/>
      </w:rPr>
    </w:lvl>
    <w:lvl w:ilvl="2" w:tplc="04050005">
      <w:start w:val="1"/>
      <w:numFmt w:val="bullet"/>
      <w:lvlText w:val=""/>
      <w:lvlJc w:val="left"/>
      <w:pPr>
        <w:tabs>
          <w:tab w:val="num" w:pos="684"/>
        </w:tabs>
        <w:ind w:left="684" w:hanging="360"/>
      </w:pPr>
      <w:rPr>
        <w:rFonts w:ascii="Wingdings" w:hAnsi="Wingdings" w:hint="default"/>
      </w:rPr>
    </w:lvl>
    <w:lvl w:ilvl="3" w:tplc="04050001">
      <w:start w:val="1"/>
      <w:numFmt w:val="bullet"/>
      <w:lvlText w:val=""/>
      <w:lvlJc w:val="left"/>
      <w:pPr>
        <w:tabs>
          <w:tab w:val="num" w:pos="1404"/>
        </w:tabs>
        <w:ind w:left="1404" w:hanging="360"/>
      </w:pPr>
      <w:rPr>
        <w:rFonts w:ascii="Symbol" w:hAnsi="Symbol" w:hint="default"/>
      </w:rPr>
    </w:lvl>
    <w:lvl w:ilvl="4" w:tplc="04050003" w:tentative="1">
      <w:start w:val="1"/>
      <w:numFmt w:val="bullet"/>
      <w:lvlText w:val="o"/>
      <w:lvlJc w:val="left"/>
      <w:pPr>
        <w:tabs>
          <w:tab w:val="num" w:pos="2124"/>
        </w:tabs>
        <w:ind w:left="2124" w:hanging="360"/>
      </w:pPr>
      <w:rPr>
        <w:rFonts w:ascii="Courier New" w:hAnsi="Courier New" w:hint="default"/>
      </w:rPr>
    </w:lvl>
    <w:lvl w:ilvl="5" w:tplc="04050005" w:tentative="1">
      <w:start w:val="1"/>
      <w:numFmt w:val="bullet"/>
      <w:lvlText w:val=""/>
      <w:lvlJc w:val="left"/>
      <w:pPr>
        <w:tabs>
          <w:tab w:val="num" w:pos="2844"/>
        </w:tabs>
        <w:ind w:left="2844" w:hanging="360"/>
      </w:pPr>
      <w:rPr>
        <w:rFonts w:ascii="Wingdings" w:hAnsi="Wingdings" w:hint="default"/>
      </w:rPr>
    </w:lvl>
    <w:lvl w:ilvl="6" w:tplc="04050001" w:tentative="1">
      <w:start w:val="1"/>
      <w:numFmt w:val="bullet"/>
      <w:lvlText w:val=""/>
      <w:lvlJc w:val="left"/>
      <w:pPr>
        <w:tabs>
          <w:tab w:val="num" w:pos="3564"/>
        </w:tabs>
        <w:ind w:left="3564" w:hanging="360"/>
      </w:pPr>
      <w:rPr>
        <w:rFonts w:ascii="Symbol" w:hAnsi="Symbol" w:hint="default"/>
      </w:rPr>
    </w:lvl>
    <w:lvl w:ilvl="7" w:tplc="04050003" w:tentative="1">
      <w:start w:val="1"/>
      <w:numFmt w:val="bullet"/>
      <w:lvlText w:val="o"/>
      <w:lvlJc w:val="left"/>
      <w:pPr>
        <w:tabs>
          <w:tab w:val="num" w:pos="4284"/>
        </w:tabs>
        <w:ind w:left="4284" w:hanging="360"/>
      </w:pPr>
      <w:rPr>
        <w:rFonts w:ascii="Courier New" w:hAnsi="Courier New" w:hint="default"/>
      </w:rPr>
    </w:lvl>
    <w:lvl w:ilvl="8" w:tplc="04050005" w:tentative="1">
      <w:start w:val="1"/>
      <w:numFmt w:val="bullet"/>
      <w:lvlText w:val=""/>
      <w:lvlJc w:val="left"/>
      <w:pPr>
        <w:tabs>
          <w:tab w:val="num" w:pos="5004"/>
        </w:tabs>
        <w:ind w:left="5004" w:hanging="360"/>
      </w:pPr>
      <w:rPr>
        <w:rFonts w:ascii="Wingdings" w:hAnsi="Wingdings" w:hint="default"/>
      </w:rPr>
    </w:lvl>
  </w:abstractNum>
  <w:abstractNum w:abstractNumId="8">
    <w:nsid w:val="21E6280C"/>
    <w:multiLevelType w:val="hybridMultilevel"/>
    <w:tmpl w:val="40266AB2"/>
    <w:lvl w:ilvl="0" w:tplc="04050011">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9">
    <w:nsid w:val="21F26AE7"/>
    <w:multiLevelType w:val="hybridMultilevel"/>
    <w:tmpl w:val="00562FDA"/>
    <w:lvl w:ilvl="0" w:tplc="04050005">
      <w:start w:val="1"/>
      <w:numFmt w:val="bullet"/>
      <w:lvlText w:val=""/>
      <w:lvlJc w:val="left"/>
      <w:pPr>
        <w:tabs>
          <w:tab w:val="num" w:pos="797"/>
        </w:tabs>
        <w:ind w:left="797" w:hanging="360"/>
      </w:pPr>
      <w:rPr>
        <w:rFonts w:ascii="Wingdings" w:hAnsi="Wingdings" w:hint="default"/>
      </w:rPr>
    </w:lvl>
    <w:lvl w:ilvl="1" w:tplc="04050003" w:tentative="1">
      <w:start w:val="1"/>
      <w:numFmt w:val="bullet"/>
      <w:lvlText w:val="o"/>
      <w:lvlJc w:val="left"/>
      <w:pPr>
        <w:tabs>
          <w:tab w:val="num" w:pos="1517"/>
        </w:tabs>
        <w:ind w:left="1517" w:hanging="360"/>
      </w:pPr>
      <w:rPr>
        <w:rFonts w:ascii="Courier New" w:hAnsi="Courier New" w:hint="default"/>
      </w:rPr>
    </w:lvl>
    <w:lvl w:ilvl="2" w:tplc="04050005" w:tentative="1">
      <w:start w:val="1"/>
      <w:numFmt w:val="bullet"/>
      <w:lvlText w:val=""/>
      <w:lvlJc w:val="left"/>
      <w:pPr>
        <w:tabs>
          <w:tab w:val="num" w:pos="2237"/>
        </w:tabs>
        <w:ind w:left="2237" w:hanging="360"/>
      </w:pPr>
      <w:rPr>
        <w:rFonts w:ascii="Wingdings" w:hAnsi="Wingdings" w:hint="default"/>
      </w:rPr>
    </w:lvl>
    <w:lvl w:ilvl="3" w:tplc="04050001" w:tentative="1">
      <w:start w:val="1"/>
      <w:numFmt w:val="bullet"/>
      <w:lvlText w:val=""/>
      <w:lvlJc w:val="left"/>
      <w:pPr>
        <w:tabs>
          <w:tab w:val="num" w:pos="2957"/>
        </w:tabs>
        <w:ind w:left="2957" w:hanging="360"/>
      </w:pPr>
      <w:rPr>
        <w:rFonts w:ascii="Symbol" w:hAnsi="Symbol" w:hint="default"/>
      </w:rPr>
    </w:lvl>
    <w:lvl w:ilvl="4" w:tplc="04050003" w:tentative="1">
      <w:start w:val="1"/>
      <w:numFmt w:val="bullet"/>
      <w:lvlText w:val="o"/>
      <w:lvlJc w:val="left"/>
      <w:pPr>
        <w:tabs>
          <w:tab w:val="num" w:pos="3677"/>
        </w:tabs>
        <w:ind w:left="3677" w:hanging="360"/>
      </w:pPr>
      <w:rPr>
        <w:rFonts w:ascii="Courier New" w:hAnsi="Courier New" w:hint="default"/>
      </w:rPr>
    </w:lvl>
    <w:lvl w:ilvl="5" w:tplc="04050005" w:tentative="1">
      <w:start w:val="1"/>
      <w:numFmt w:val="bullet"/>
      <w:lvlText w:val=""/>
      <w:lvlJc w:val="left"/>
      <w:pPr>
        <w:tabs>
          <w:tab w:val="num" w:pos="4397"/>
        </w:tabs>
        <w:ind w:left="4397" w:hanging="360"/>
      </w:pPr>
      <w:rPr>
        <w:rFonts w:ascii="Wingdings" w:hAnsi="Wingdings" w:hint="default"/>
      </w:rPr>
    </w:lvl>
    <w:lvl w:ilvl="6" w:tplc="04050001" w:tentative="1">
      <w:start w:val="1"/>
      <w:numFmt w:val="bullet"/>
      <w:lvlText w:val=""/>
      <w:lvlJc w:val="left"/>
      <w:pPr>
        <w:tabs>
          <w:tab w:val="num" w:pos="5117"/>
        </w:tabs>
        <w:ind w:left="5117" w:hanging="360"/>
      </w:pPr>
      <w:rPr>
        <w:rFonts w:ascii="Symbol" w:hAnsi="Symbol" w:hint="default"/>
      </w:rPr>
    </w:lvl>
    <w:lvl w:ilvl="7" w:tplc="04050003" w:tentative="1">
      <w:start w:val="1"/>
      <w:numFmt w:val="bullet"/>
      <w:lvlText w:val="o"/>
      <w:lvlJc w:val="left"/>
      <w:pPr>
        <w:tabs>
          <w:tab w:val="num" w:pos="5837"/>
        </w:tabs>
        <w:ind w:left="5837" w:hanging="360"/>
      </w:pPr>
      <w:rPr>
        <w:rFonts w:ascii="Courier New" w:hAnsi="Courier New" w:hint="default"/>
      </w:rPr>
    </w:lvl>
    <w:lvl w:ilvl="8" w:tplc="04050005" w:tentative="1">
      <w:start w:val="1"/>
      <w:numFmt w:val="bullet"/>
      <w:lvlText w:val=""/>
      <w:lvlJc w:val="left"/>
      <w:pPr>
        <w:tabs>
          <w:tab w:val="num" w:pos="6557"/>
        </w:tabs>
        <w:ind w:left="6557" w:hanging="360"/>
      </w:pPr>
      <w:rPr>
        <w:rFonts w:ascii="Wingdings" w:hAnsi="Wingdings" w:hint="default"/>
      </w:rPr>
    </w:lvl>
  </w:abstractNum>
  <w:abstractNum w:abstractNumId="10">
    <w:nsid w:val="222A5A30"/>
    <w:multiLevelType w:val="hybridMultilevel"/>
    <w:tmpl w:val="352432E6"/>
    <w:lvl w:ilvl="0" w:tplc="0405000F">
      <w:start w:val="1"/>
      <w:numFmt w:val="decimal"/>
      <w:lvlText w:val="%1."/>
      <w:lvlJc w:val="left"/>
      <w:pPr>
        <w:tabs>
          <w:tab w:val="num" w:pos="1287"/>
        </w:tabs>
        <w:ind w:left="1287" w:hanging="360"/>
      </w:p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1">
    <w:nsid w:val="2E6801AC"/>
    <w:multiLevelType w:val="hybridMultilevel"/>
    <w:tmpl w:val="B5782E8E"/>
    <w:lvl w:ilvl="0" w:tplc="F998DE1C">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603"/>
        </w:tabs>
        <w:ind w:left="-603" w:hanging="360"/>
      </w:pPr>
      <w:rPr>
        <w:rFonts w:ascii="Courier New" w:hAnsi="Courier New" w:cs="Courier New" w:hint="default"/>
      </w:rPr>
    </w:lvl>
    <w:lvl w:ilvl="2" w:tplc="04050005">
      <w:start w:val="1"/>
      <w:numFmt w:val="bullet"/>
      <w:lvlText w:val=""/>
      <w:lvlJc w:val="left"/>
      <w:pPr>
        <w:tabs>
          <w:tab w:val="num" w:pos="117"/>
        </w:tabs>
        <w:ind w:left="117" w:hanging="360"/>
      </w:pPr>
      <w:rPr>
        <w:rFonts w:ascii="Wingdings" w:hAnsi="Wingdings" w:cs="Times New Roman" w:hint="default"/>
      </w:rPr>
    </w:lvl>
    <w:lvl w:ilvl="3" w:tplc="04050001">
      <w:start w:val="1"/>
      <w:numFmt w:val="bullet"/>
      <w:lvlText w:val=""/>
      <w:lvlJc w:val="left"/>
      <w:pPr>
        <w:tabs>
          <w:tab w:val="num" w:pos="837"/>
        </w:tabs>
        <w:ind w:left="837" w:hanging="360"/>
      </w:pPr>
      <w:rPr>
        <w:rFonts w:ascii="Symbol" w:hAnsi="Symbol" w:cs="Times New Roman" w:hint="default"/>
      </w:rPr>
    </w:lvl>
    <w:lvl w:ilvl="4" w:tplc="04050003">
      <w:start w:val="1"/>
      <w:numFmt w:val="bullet"/>
      <w:lvlText w:val="o"/>
      <w:lvlJc w:val="left"/>
      <w:pPr>
        <w:tabs>
          <w:tab w:val="num" w:pos="1557"/>
        </w:tabs>
        <w:ind w:left="1557" w:hanging="360"/>
      </w:pPr>
      <w:rPr>
        <w:rFonts w:ascii="Courier New" w:hAnsi="Courier New" w:cs="Courier New" w:hint="default"/>
      </w:rPr>
    </w:lvl>
    <w:lvl w:ilvl="5" w:tplc="04050005">
      <w:start w:val="1"/>
      <w:numFmt w:val="bullet"/>
      <w:lvlText w:val=""/>
      <w:lvlJc w:val="left"/>
      <w:pPr>
        <w:tabs>
          <w:tab w:val="num" w:pos="2277"/>
        </w:tabs>
        <w:ind w:left="2277" w:hanging="360"/>
      </w:pPr>
      <w:rPr>
        <w:rFonts w:ascii="Wingdings" w:hAnsi="Wingdings" w:cs="Times New Roman" w:hint="default"/>
      </w:rPr>
    </w:lvl>
    <w:lvl w:ilvl="6" w:tplc="04050001">
      <w:start w:val="1"/>
      <w:numFmt w:val="bullet"/>
      <w:lvlText w:val=""/>
      <w:lvlJc w:val="left"/>
      <w:pPr>
        <w:tabs>
          <w:tab w:val="num" w:pos="2997"/>
        </w:tabs>
        <w:ind w:left="2997" w:hanging="360"/>
      </w:pPr>
      <w:rPr>
        <w:rFonts w:ascii="Symbol" w:hAnsi="Symbol" w:cs="Times New Roman" w:hint="default"/>
      </w:rPr>
    </w:lvl>
    <w:lvl w:ilvl="7" w:tplc="04050003">
      <w:start w:val="1"/>
      <w:numFmt w:val="bullet"/>
      <w:lvlText w:val="o"/>
      <w:lvlJc w:val="left"/>
      <w:pPr>
        <w:tabs>
          <w:tab w:val="num" w:pos="3717"/>
        </w:tabs>
        <w:ind w:left="3717" w:hanging="360"/>
      </w:pPr>
      <w:rPr>
        <w:rFonts w:ascii="Courier New" w:hAnsi="Courier New" w:cs="Courier New" w:hint="default"/>
      </w:rPr>
    </w:lvl>
    <w:lvl w:ilvl="8" w:tplc="04050005">
      <w:start w:val="1"/>
      <w:numFmt w:val="bullet"/>
      <w:lvlText w:val=""/>
      <w:lvlJc w:val="left"/>
      <w:pPr>
        <w:tabs>
          <w:tab w:val="num" w:pos="4437"/>
        </w:tabs>
        <w:ind w:left="4437" w:hanging="360"/>
      </w:pPr>
      <w:rPr>
        <w:rFonts w:ascii="Wingdings" w:hAnsi="Wingdings" w:cs="Times New Roman" w:hint="default"/>
      </w:rPr>
    </w:lvl>
  </w:abstractNum>
  <w:abstractNum w:abstractNumId="12">
    <w:nsid w:val="2E7D2F67"/>
    <w:multiLevelType w:val="hybridMultilevel"/>
    <w:tmpl w:val="A260E6A4"/>
    <w:lvl w:ilvl="0" w:tplc="F998DE1C">
      <w:numFmt w:val="bullet"/>
      <w:lvlText w:val="-"/>
      <w:lvlJc w:val="left"/>
      <w:pPr>
        <w:tabs>
          <w:tab w:val="num" w:pos="927"/>
        </w:tabs>
        <w:ind w:left="927" w:hanging="360"/>
      </w:pPr>
      <w:rPr>
        <w:rFonts w:ascii="Times New Roman" w:eastAsia="Times New Roman" w:hAnsi="Times New Roman" w:cs="Times New Roman" w:hint="default"/>
      </w:rPr>
    </w:lvl>
    <w:lvl w:ilvl="1" w:tplc="04050003">
      <w:start w:val="1"/>
      <w:numFmt w:val="bullet"/>
      <w:lvlText w:val="o"/>
      <w:lvlJc w:val="left"/>
      <w:pPr>
        <w:tabs>
          <w:tab w:val="num" w:pos="-36"/>
        </w:tabs>
        <w:ind w:left="-36" w:hanging="360"/>
      </w:pPr>
      <w:rPr>
        <w:rFonts w:ascii="Courier New" w:hAnsi="Courier New" w:hint="default"/>
      </w:rPr>
    </w:lvl>
    <w:lvl w:ilvl="2" w:tplc="04050005">
      <w:start w:val="1"/>
      <w:numFmt w:val="bullet"/>
      <w:lvlText w:val=""/>
      <w:lvlJc w:val="left"/>
      <w:pPr>
        <w:tabs>
          <w:tab w:val="num" w:pos="684"/>
        </w:tabs>
        <w:ind w:left="684" w:hanging="360"/>
      </w:pPr>
      <w:rPr>
        <w:rFonts w:ascii="Wingdings" w:hAnsi="Wingdings" w:hint="default"/>
      </w:rPr>
    </w:lvl>
    <w:lvl w:ilvl="3" w:tplc="04050001">
      <w:start w:val="1"/>
      <w:numFmt w:val="bullet"/>
      <w:lvlText w:val=""/>
      <w:lvlJc w:val="left"/>
      <w:pPr>
        <w:tabs>
          <w:tab w:val="num" w:pos="1404"/>
        </w:tabs>
        <w:ind w:left="1404" w:hanging="360"/>
      </w:pPr>
      <w:rPr>
        <w:rFonts w:ascii="Symbol" w:hAnsi="Symbol" w:hint="default"/>
      </w:rPr>
    </w:lvl>
    <w:lvl w:ilvl="4" w:tplc="F998DE1C">
      <w:numFmt w:val="bullet"/>
      <w:lvlText w:val="-"/>
      <w:lvlJc w:val="left"/>
      <w:pPr>
        <w:tabs>
          <w:tab w:val="num" w:pos="2124"/>
        </w:tabs>
        <w:ind w:left="2124" w:hanging="360"/>
      </w:pPr>
      <w:rPr>
        <w:rFonts w:ascii="Times New Roman" w:eastAsia="Times New Roman" w:hAnsi="Times New Roman" w:cs="Times New Roman" w:hint="default"/>
      </w:rPr>
    </w:lvl>
    <w:lvl w:ilvl="5" w:tplc="04050005" w:tentative="1">
      <w:start w:val="1"/>
      <w:numFmt w:val="bullet"/>
      <w:lvlText w:val=""/>
      <w:lvlJc w:val="left"/>
      <w:pPr>
        <w:tabs>
          <w:tab w:val="num" w:pos="2844"/>
        </w:tabs>
        <w:ind w:left="2844" w:hanging="360"/>
      </w:pPr>
      <w:rPr>
        <w:rFonts w:ascii="Wingdings" w:hAnsi="Wingdings" w:hint="default"/>
      </w:rPr>
    </w:lvl>
    <w:lvl w:ilvl="6" w:tplc="04050001" w:tentative="1">
      <w:start w:val="1"/>
      <w:numFmt w:val="bullet"/>
      <w:lvlText w:val=""/>
      <w:lvlJc w:val="left"/>
      <w:pPr>
        <w:tabs>
          <w:tab w:val="num" w:pos="3564"/>
        </w:tabs>
        <w:ind w:left="3564" w:hanging="360"/>
      </w:pPr>
      <w:rPr>
        <w:rFonts w:ascii="Symbol" w:hAnsi="Symbol" w:hint="default"/>
      </w:rPr>
    </w:lvl>
    <w:lvl w:ilvl="7" w:tplc="04050003" w:tentative="1">
      <w:start w:val="1"/>
      <w:numFmt w:val="bullet"/>
      <w:lvlText w:val="o"/>
      <w:lvlJc w:val="left"/>
      <w:pPr>
        <w:tabs>
          <w:tab w:val="num" w:pos="4284"/>
        </w:tabs>
        <w:ind w:left="4284" w:hanging="360"/>
      </w:pPr>
      <w:rPr>
        <w:rFonts w:ascii="Courier New" w:hAnsi="Courier New" w:hint="default"/>
      </w:rPr>
    </w:lvl>
    <w:lvl w:ilvl="8" w:tplc="04050005" w:tentative="1">
      <w:start w:val="1"/>
      <w:numFmt w:val="bullet"/>
      <w:lvlText w:val=""/>
      <w:lvlJc w:val="left"/>
      <w:pPr>
        <w:tabs>
          <w:tab w:val="num" w:pos="5004"/>
        </w:tabs>
        <w:ind w:left="5004" w:hanging="360"/>
      </w:pPr>
      <w:rPr>
        <w:rFonts w:ascii="Wingdings" w:hAnsi="Wingdings" w:hint="default"/>
      </w:rPr>
    </w:lvl>
  </w:abstractNum>
  <w:abstractNum w:abstractNumId="13">
    <w:nsid w:val="37DB1263"/>
    <w:multiLevelType w:val="hybridMultilevel"/>
    <w:tmpl w:val="43B60274"/>
    <w:lvl w:ilvl="0" w:tplc="F998DE1C">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603"/>
        </w:tabs>
        <w:ind w:left="-603" w:hanging="360"/>
      </w:pPr>
      <w:rPr>
        <w:rFonts w:ascii="Courier New" w:hAnsi="Courier New" w:cs="Courier New" w:hint="default"/>
      </w:rPr>
    </w:lvl>
    <w:lvl w:ilvl="2" w:tplc="04050005">
      <w:start w:val="1"/>
      <w:numFmt w:val="bullet"/>
      <w:lvlText w:val=""/>
      <w:lvlJc w:val="left"/>
      <w:pPr>
        <w:tabs>
          <w:tab w:val="num" w:pos="117"/>
        </w:tabs>
        <w:ind w:left="117" w:hanging="360"/>
      </w:pPr>
      <w:rPr>
        <w:rFonts w:ascii="Wingdings" w:hAnsi="Wingdings" w:cs="Times New Roman" w:hint="default"/>
      </w:rPr>
    </w:lvl>
    <w:lvl w:ilvl="3" w:tplc="04050001">
      <w:start w:val="1"/>
      <w:numFmt w:val="bullet"/>
      <w:lvlText w:val=""/>
      <w:lvlJc w:val="left"/>
      <w:pPr>
        <w:tabs>
          <w:tab w:val="num" w:pos="837"/>
        </w:tabs>
        <w:ind w:left="837" w:hanging="360"/>
      </w:pPr>
      <w:rPr>
        <w:rFonts w:ascii="Symbol" w:hAnsi="Symbol" w:cs="Times New Roman" w:hint="default"/>
      </w:rPr>
    </w:lvl>
    <w:lvl w:ilvl="4" w:tplc="04050003">
      <w:start w:val="1"/>
      <w:numFmt w:val="bullet"/>
      <w:lvlText w:val="o"/>
      <w:lvlJc w:val="left"/>
      <w:pPr>
        <w:tabs>
          <w:tab w:val="num" w:pos="1557"/>
        </w:tabs>
        <w:ind w:left="1557" w:hanging="360"/>
      </w:pPr>
      <w:rPr>
        <w:rFonts w:ascii="Courier New" w:hAnsi="Courier New" w:cs="Courier New" w:hint="default"/>
      </w:rPr>
    </w:lvl>
    <w:lvl w:ilvl="5" w:tplc="04050005">
      <w:start w:val="1"/>
      <w:numFmt w:val="bullet"/>
      <w:lvlText w:val=""/>
      <w:lvlJc w:val="left"/>
      <w:pPr>
        <w:tabs>
          <w:tab w:val="num" w:pos="2277"/>
        </w:tabs>
        <w:ind w:left="2277" w:hanging="360"/>
      </w:pPr>
      <w:rPr>
        <w:rFonts w:ascii="Wingdings" w:hAnsi="Wingdings" w:cs="Times New Roman" w:hint="default"/>
      </w:rPr>
    </w:lvl>
    <w:lvl w:ilvl="6" w:tplc="04050001">
      <w:start w:val="1"/>
      <w:numFmt w:val="bullet"/>
      <w:lvlText w:val=""/>
      <w:lvlJc w:val="left"/>
      <w:pPr>
        <w:tabs>
          <w:tab w:val="num" w:pos="2997"/>
        </w:tabs>
        <w:ind w:left="2997" w:hanging="360"/>
      </w:pPr>
      <w:rPr>
        <w:rFonts w:ascii="Symbol" w:hAnsi="Symbol" w:cs="Times New Roman" w:hint="default"/>
      </w:rPr>
    </w:lvl>
    <w:lvl w:ilvl="7" w:tplc="04050003">
      <w:start w:val="1"/>
      <w:numFmt w:val="bullet"/>
      <w:lvlText w:val="o"/>
      <w:lvlJc w:val="left"/>
      <w:pPr>
        <w:tabs>
          <w:tab w:val="num" w:pos="3717"/>
        </w:tabs>
        <w:ind w:left="3717" w:hanging="360"/>
      </w:pPr>
      <w:rPr>
        <w:rFonts w:ascii="Courier New" w:hAnsi="Courier New" w:cs="Courier New" w:hint="default"/>
      </w:rPr>
    </w:lvl>
    <w:lvl w:ilvl="8" w:tplc="04050005">
      <w:start w:val="1"/>
      <w:numFmt w:val="bullet"/>
      <w:lvlText w:val=""/>
      <w:lvlJc w:val="left"/>
      <w:pPr>
        <w:tabs>
          <w:tab w:val="num" w:pos="4437"/>
        </w:tabs>
        <w:ind w:left="4437" w:hanging="360"/>
      </w:pPr>
      <w:rPr>
        <w:rFonts w:ascii="Wingdings" w:hAnsi="Wingdings" w:cs="Times New Roman" w:hint="default"/>
      </w:rPr>
    </w:lvl>
  </w:abstractNum>
  <w:abstractNum w:abstractNumId="14">
    <w:nsid w:val="4C650A4F"/>
    <w:multiLevelType w:val="hybridMultilevel"/>
    <w:tmpl w:val="47DE7C36"/>
    <w:lvl w:ilvl="0" w:tplc="416E8874">
      <w:start w:val="1"/>
      <w:numFmt w:val="lowerLetter"/>
      <w:lvlText w:val="%1)"/>
      <w:lvlJc w:val="left"/>
      <w:pPr>
        <w:tabs>
          <w:tab w:val="num" w:pos="502"/>
        </w:tabs>
        <w:ind w:left="502" w:hanging="360"/>
      </w:pPr>
      <w:rPr>
        <w:rFonts w:hint="default"/>
      </w:rPr>
    </w:lvl>
    <w:lvl w:ilvl="1" w:tplc="F998DE1C">
      <w:numFmt w:val="bullet"/>
      <w:lvlText w:val="-"/>
      <w:lvlJc w:val="left"/>
      <w:pPr>
        <w:tabs>
          <w:tab w:val="num" w:pos="1015"/>
        </w:tabs>
        <w:ind w:left="1015" w:hanging="360"/>
      </w:pPr>
      <w:rPr>
        <w:rFonts w:ascii="Times New Roman" w:eastAsia="Times New Roman" w:hAnsi="Times New Roman" w:cs="Times New Roman" w:hint="default"/>
      </w:rPr>
    </w:lvl>
    <w:lvl w:ilvl="2" w:tplc="0405001B" w:tentative="1">
      <w:start w:val="1"/>
      <w:numFmt w:val="lowerRoman"/>
      <w:lvlText w:val="%3."/>
      <w:lvlJc w:val="right"/>
      <w:pPr>
        <w:tabs>
          <w:tab w:val="num" w:pos="1735"/>
        </w:tabs>
        <w:ind w:left="1735" w:hanging="180"/>
      </w:pPr>
    </w:lvl>
    <w:lvl w:ilvl="3" w:tplc="0405000F" w:tentative="1">
      <w:start w:val="1"/>
      <w:numFmt w:val="decimal"/>
      <w:lvlText w:val="%4."/>
      <w:lvlJc w:val="left"/>
      <w:pPr>
        <w:tabs>
          <w:tab w:val="num" w:pos="2455"/>
        </w:tabs>
        <w:ind w:left="2455" w:hanging="360"/>
      </w:pPr>
    </w:lvl>
    <w:lvl w:ilvl="4" w:tplc="04050019" w:tentative="1">
      <w:start w:val="1"/>
      <w:numFmt w:val="lowerLetter"/>
      <w:lvlText w:val="%5."/>
      <w:lvlJc w:val="left"/>
      <w:pPr>
        <w:tabs>
          <w:tab w:val="num" w:pos="3175"/>
        </w:tabs>
        <w:ind w:left="3175" w:hanging="360"/>
      </w:pPr>
    </w:lvl>
    <w:lvl w:ilvl="5" w:tplc="0405001B" w:tentative="1">
      <w:start w:val="1"/>
      <w:numFmt w:val="lowerRoman"/>
      <w:lvlText w:val="%6."/>
      <w:lvlJc w:val="right"/>
      <w:pPr>
        <w:tabs>
          <w:tab w:val="num" w:pos="3895"/>
        </w:tabs>
        <w:ind w:left="3895" w:hanging="180"/>
      </w:pPr>
    </w:lvl>
    <w:lvl w:ilvl="6" w:tplc="0405000F" w:tentative="1">
      <w:start w:val="1"/>
      <w:numFmt w:val="decimal"/>
      <w:lvlText w:val="%7."/>
      <w:lvlJc w:val="left"/>
      <w:pPr>
        <w:tabs>
          <w:tab w:val="num" w:pos="4615"/>
        </w:tabs>
        <w:ind w:left="4615" w:hanging="360"/>
      </w:pPr>
    </w:lvl>
    <w:lvl w:ilvl="7" w:tplc="04050019" w:tentative="1">
      <w:start w:val="1"/>
      <w:numFmt w:val="lowerLetter"/>
      <w:lvlText w:val="%8."/>
      <w:lvlJc w:val="left"/>
      <w:pPr>
        <w:tabs>
          <w:tab w:val="num" w:pos="5335"/>
        </w:tabs>
        <w:ind w:left="5335" w:hanging="360"/>
      </w:pPr>
    </w:lvl>
    <w:lvl w:ilvl="8" w:tplc="0405001B" w:tentative="1">
      <w:start w:val="1"/>
      <w:numFmt w:val="lowerRoman"/>
      <w:lvlText w:val="%9."/>
      <w:lvlJc w:val="right"/>
      <w:pPr>
        <w:tabs>
          <w:tab w:val="num" w:pos="6055"/>
        </w:tabs>
        <w:ind w:left="6055" w:hanging="180"/>
      </w:pPr>
    </w:lvl>
  </w:abstractNum>
  <w:abstractNum w:abstractNumId="15">
    <w:nsid w:val="4D0B6541"/>
    <w:multiLevelType w:val="hybridMultilevel"/>
    <w:tmpl w:val="6EE252A0"/>
    <w:lvl w:ilvl="0" w:tplc="F998DE1C">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603"/>
        </w:tabs>
        <w:ind w:left="-603" w:hanging="360"/>
      </w:pPr>
      <w:rPr>
        <w:rFonts w:ascii="Courier New" w:hAnsi="Courier New" w:hint="default"/>
      </w:rPr>
    </w:lvl>
    <w:lvl w:ilvl="2" w:tplc="04050005" w:tentative="1">
      <w:start w:val="1"/>
      <w:numFmt w:val="bullet"/>
      <w:lvlText w:val=""/>
      <w:lvlJc w:val="left"/>
      <w:pPr>
        <w:tabs>
          <w:tab w:val="num" w:pos="117"/>
        </w:tabs>
        <w:ind w:left="117" w:hanging="360"/>
      </w:pPr>
      <w:rPr>
        <w:rFonts w:ascii="Wingdings" w:hAnsi="Wingdings" w:hint="default"/>
      </w:rPr>
    </w:lvl>
    <w:lvl w:ilvl="3" w:tplc="04050001" w:tentative="1">
      <w:start w:val="1"/>
      <w:numFmt w:val="bullet"/>
      <w:lvlText w:val=""/>
      <w:lvlJc w:val="left"/>
      <w:pPr>
        <w:tabs>
          <w:tab w:val="num" w:pos="837"/>
        </w:tabs>
        <w:ind w:left="837" w:hanging="360"/>
      </w:pPr>
      <w:rPr>
        <w:rFonts w:ascii="Symbol" w:hAnsi="Symbol" w:hint="default"/>
      </w:rPr>
    </w:lvl>
    <w:lvl w:ilvl="4" w:tplc="04050003" w:tentative="1">
      <w:start w:val="1"/>
      <w:numFmt w:val="bullet"/>
      <w:lvlText w:val="o"/>
      <w:lvlJc w:val="left"/>
      <w:pPr>
        <w:tabs>
          <w:tab w:val="num" w:pos="1557"/>
        </w:tabs>
        <w:ind w:left="1557" w:hanging="360"/>
      </w:pPr>
      <w:rPr>
        <w:rFonts w:ascii="Courier New" w:hAnsi="Courier New" w:hint="default"/>
      </w:rPr>
    </w:lvl>
    <w:lvl w:ilvl="5" w:tplc="04050005" w:tentative="1">
      <w:start w:val="1"/>
      <w:numFmt w:val="bullet"/>
      <w:lvlText w:val=""/>
      <w:lvlJc w:val="left"/>
      <w:pPr>
        <w:tabs>
          <w:tab w:val="num" w:pos="2277"/>
        </w:tabs>
        <w:ind w:left="2277" w:hanging="360"/>
      </w:pPr>
      <w:rPr>
        <w:rFonts w:ascii="Wingdings" w:hAnsi="Wingdings" w:hint="default"/>
      </w:rPr>
    </w:lvl>
    <w:lvl w:ilvl="6" w:tplc="04050001" w:tentative="1">
      <w:start w:val="1"/>
      <w:numFmt w:val="bullet"/>
      <w:lvlText w:val=""/>
      <w:lvlJc w:val="left"/>
      <w:pPr>
        <w:tabs>
          <w:tab w:val="num" w:pos="2997"/>
        </w:tabs>
        <w:ind w:left="2997" w:hanging="360"/>
      </w:pPr>
      <w:rPr>
        <w:rFonts w:ascii="Symbol" w:hAnsi="Symbol" w:hint="default"/>
      </w:rPr>
    </w:lvl>
    <w:lvl w:ilvl="7" w:tplc="04050003" w:tentative="1">
      <w:start w:val="1"/>
      <w:numFmt w:val="bullet"/>
      <w:lvlText w:val="o"/>
      <w:lvlJc w:val="left"/>
      <w:pPr>
        <w:tabs>
          <w:tab w:val="num" w:pos="3717"/>
        </w:tabs>
        <w:ind w:left="3717" w:hanging="360"/>
      </w:pPr>
      <w:rPr>
        <w:rFonts w:ascii="Courier New" w:hAnsi="Courier New" w:hint="default"/>
      </w:rPr>
    </w:lvl>
    <w:lvl w:ilvl="8" w:tplc="04050005" w:tentative="1">
      <w:start w:val="1"/>
      <w:numFmt w:val="bullet"/>
      <w:lvlText w:val=""/>
      <w:lvlJc w:val="left"/>
      <w:pPr>
        <w:tabs>
          <w:tab w:val="num" w:pos="4437"/>
        </w:tabs>
        <w:ind w:left="4437" w:hanging="360"/>
      </w:pPr>
      <w:rPr>
        <w:rFonts w:ascii="Wingdings" w:hAnsi="Wingdings" w:hint="default"/>
      </w:rPr>
    </w:lvl>
  </w:abstractNum>
  <w:abstractNum w:abstractNumId="16">
    <w:nsid w:val="511E44D6"/>
    <w:multiLevelType w:val="hybridMultilevel"/>
    <w:tmpl w:val="EC3449CA"/>
    <w:lvl w:ilvl="0" w:tplc="0405000F">
      <w:start w:val="1"/>
      <w:numFmt w:val="decimal"/>
      <w:lvlText w:val="%1."/>
      <w:lvlJc w:val="left"/>
      <w:pPr>
        <w:tabs>
          <w:tab w:val="num" w:pos="797"/>
        </w:tabs>
        <w:ind w:left="797" w:hanging="360"/>
      </w:pPr>
    </w:lvl>
    <w:lvl w:ilvl="1" w:tplc="04050019" w:tentative="1">
      <w:start w:val="1"/>
      <w:numFmt w:val="lowerLetter"/>
      <w:lvlText w:val="%2."/>
      <w:lvlJc w:val="left"/>
      <w:pPr>
        <w:tabs>
          <w:tab w:val="num" w:pos="1517"/>
        </w:tabs>
        <w:ind w:left="1517" w:hanging="360"/>
      </w:pPr>
    </w:lvl>
    <w:lvl w:ilvl="2" w:tplc="0405001B" w:tentative="1">
      <w:start w:val="1"/>
      <w:numFmt w:val="lowerRoman"/>
      <w:lvlText w:val="%3."/>
      <w:lvlJc w:val="right"/>
      <w:pPr>
        <w:tabs>
          <w:tab w:val="num" w:pos="2237"/>
        </w:tabs>
        <w:ind w:left="2237" w:hanging="180"/>
      </w:pPr>
    </w:lvl>
    <w:lvl w:ilvl="3" w:tplc="0405000F" w:tentative="1">
      <w:start w:val="1"/>
      <w:numFmt w:val="decimal"/>
      <w:lvlText w:val="%4."/>
      <w:lvlJc w:val="left"/>
      <w:pPr>
        <w:tabs>
          <w:tab w:val="num" w:pos="2957"/>
        </w:tabs>
        <w:ind w:left="2957" w:hanging="360"/>
      </w:pPr>
    </w:lvl>
    <w:lvl w:ilvl="4" w:tplc="04050019" w:tentative="1">
      <w:start w:val="1"/>
      <w:numFmt w:val="lowerLetter"/>
      <w:lvlText w:val="%5."/>
      <w:lvlJc w:val="left"/>
      <w:pPr>
        <w:tabs>
          <w:tab w:val="num" w:pos="3677"/>
        </w:tabs>
        <w:ind w:left="3677" w:hanging="360"/>
      </w:pPr>
    </w:lvl>
    <w:lvl w:ilvl="5" w:tplc="0405001B" w:tentative="1">
      <w:start w:val="1"/>
      <w:numFmt w:val="lowerRoman"/>
      <w:lvlText w:val="%6."/>
      <w:lvlJc w:val="right"/>
      <w:pPr>
        <w:tabs>
          <w:tab w:val="num" w:pos="4397"/>
        </w:tabs>
        <w:ind w:left="4397" w:hanging="180"/>
      </w:pPr>
    </w:lvl>
    <w:lvl w:ilvl="6" w:tplc="0405000F" w:tentative="1">
      <w:start w:val="1"/>
      <w:numFmt w:val="decimal"/>
      <w:lvlText w:val="%7."/>
      <w:lvlJc w:val="left"/>
      <w:pPr>
        <w:tabs>
          <w:tab w:val="num" w:pos="5117"/>
        </w:tabs>
        <w:ind w:left="5117" w:hanging="360"/>
      </w:pPr>
    </w:lvl>
    <w:lvl w:ilvl="7" w:tplc="04050019" w:tentative="1">
      <w:start w:val="1"/>
      <w:numFmt w:val="lowerLetter"/>
      <w:lvlText w:val="%8."/>
      <w:lvlJc w:val="left"/>
      <w:pPr>
        <w:tabs>
          <w:tab w:val="num" w:pos="5837"/>
        </w:tabs>
        <w:ind w:left="5837" w:hanging="360"/>
      </w:pPr>
    </w:lvl>
    <w:lvl w:ilvl="8" w:tplc="0405001B" w:tentative="1">
      <w:start w:val="1"/>
      <w:numFmt w:val="lowerRoman"/>
      <w:lvlText w:val="%9."/>
      <w:lvlJc w:val="right"/>
      <w:pPr>
        <w:tabs>
          <w:tab w:val="num" w:pos="6557"/>
        </w:tabs>
        <w:ind w:left="6557" w:hanging="180"/>
      </w:pPr>
    </w:lvl>
  </w:abstractNum>
  <w:abstractNum w:abstractNumId="17">
    <w:nsid w:val="56D3199C"/>
    <w:multiLevelType w:val="hybridMultilevel"/>
    <w:tmpl w:val="76AE51F8"/>
    <w:lvl w:ilvl="0" w:tplc="416E8874">
      <w:start w:val="1"/>
      <w:numFmt w:val="lowerLetter"/>
      <w:lvlText w:val="%1)"/>
      <w:lvlJc w:val="left"/>
      <w:pPr>
        <w:tabs>
          <w:tab w:val="num" w:pos="502"/>
        </w:tabs>
        <w:ind w:left="502" w:hanging="360"/>
      </w:pPr>
      <w:rPr>
        <w:rFonts w:hint="default"/>
      </w:rPr>
    </w:lvl>
    <w:lvl w:ilvl="1" w:tplc="04050001">
      <w:start w:val="1"/>
      <w:numFmt w:val="bullet"/>
      <w:lvlText w:val=""/>
      <w:lvlJc w:val="left"/>
      <w:pPr>
        <w:tabs>
          <w:tab w:val="num" w:pos="1015"/>
        </w:tabs>
        <w:ind w:left="1015" w:hanging="360"/>
      </w:pPr>
      <w:rPr>
        <w:rFonts w:ascii="Symbol" w:hAnsi="Symbol" w:hint="default"/>
      </w:rPr>
    </w:lvl>
    <w:lvl w:ilvl="2" w:tplc="0405001B" w:tentative="1">
      <w:start w:val="1"/>
      <w:numFmt w:val="lowerRoman"/>
      <w:lvlText w:val="%3."/>
      <w:lvlJc w:val="right"/>
      <w:pPr>
        <w:tabs>
          <w:tab w:val="num" w:pos="1735"/>
        </w:tabs>
        <w:ind w:left="1735" w:hanging="180"/>
      </w:pPr>
    </w:lvl>
    <w:lvl w:ilvl="3" w:tplc="0405000F" w:tentative="1">
      <w:start w:val="1"/>
      <w:numFmt w:val="decimal"/>
      <w:lvlText w:val="%4."/>
      <w:lvlJc w:val="left"/>
      <w:pPr>
        <w:tabs>
          <w:tab w:val="num" w:pos="2455"/>
        </w:tabs>
        <w:ind w:left="2455" w:hanging="360"/>
      </w:pPr>
    </w:lvl>
    <w:lvl w:ilvl="4" w:tplc="04050019" w:tentative="1">
      <w:start w:val="1"/>
      <w:numFmt w:val="lowerLetter"/>
      <w:lvlText w:val="%5."/>
      <w:lvlJc w:val="left"/>
      <w:pPr>
        <w:tabs>
          <w:tab w:val="num" w:pos="3175"/>
        </w:tabs>
        <w:ind w:left="3175" w:hanging="360"/>
      </w:pPr>
    </w:lvl>
    <w:lvl w:ilvl="5" w:tplc="0405001B" w:tentative="1">
      <w:start w:val="1"/>
      <w:numFmt w:val="lowerRoman"/>
      <w:lvlText w:val="%6."/>
      <w:lvlJc w:val="right"/>
      <w:pPr>
        <w:tabs>
          <w:tab w:val="num" w:pos="3895"/>
        </w:tabs>
        <w:ind w:left="3895" w:hanging="180"/>
      </w:pPr>
    </w:lvl>
    <w:lvl w:ilvl="6" w:tplc="0405000F" w:tentative="1">
      <w:start w:val="1"/>
      <w:numFmt w:val="decimal"/>
      <w:lvlText w:val="%7."/>
      <w:lvlJc w:val="left"/>
      <w:pPr>
        <w:tabs>
          <w:tab w:val="num" w:pos="4615"/>
        </w:tabs>
        <w:ind w:left="4615" w:hanging="360"/>
      </w:pPr>
    </w:lvl>
    <w:lvl w:ilvl="7" w:tplc="04050019" w:tentative="1">
      <w:start w:val="1"/>
      <w:numFmt w:val="lowerLetter"/>
      <w:lvlText w:val="%8."/>
      <w:lvlJc w:val="left"/>
      <w:pPr>
        <w:tabs>
          <w:tab w:val="num" w:pos="5335"/>
        </w:tabs>
        <w:ind w:left="5335" w:hanging="360"/>
      </w:pPr>
    </w:lvl>
    <w:lvl w:ilvl="8" w:tplc="0405001B" w:tentative="1">
      <w:start w:val="1"/>
      <w:numFmt w:val="lowerRoman"/>
      <w:lvlText w:val="%9."/>
      <w:lvlJc w:val="right"/>
      <w:pPr>
        <w:tabs>
          <w:tab w:val="num" w:pos="6055"/>
        </w:tabs>
        <w:ind w:left="6055" w:hanging="180"/>
      </w:pPr>
    </w:lvl>
  </w:abstractNum>
  <w:abstractNum w:abstractNumId="18">
    <w:nsid w:val="58532DCC"/>
    <w:multiLevelType w:val="hybridMultilevel"/>
    <w:tmpl w:val="27CAE8FC"/>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49C1376"/>
    <w:multiLevelType w:val="hybridMultilevel"/>
    <w:tmpl w:val="7E2013C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nsid w:val="65553D95"/>
    <w:multiLevelType w:val="hybridMultilevel"/>
    <w:tmpl w:val="AEC8B67C"/>
    <w:lvl w:ilvl="0" w:tplc="6D02846C">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6D593C6F"/>
    <w:multiLevelType w:val="hybridMultilevel"/>
    <w:tmpl w:val="62EC84A4"/>
    <w:lvl w:ilvl="0" w:tplc="04050001">
      <w:start w:val="1"/>
      <w:numFmt w:val="bullet"/>
      <w:lvlText w:val=""/>
      <w:lvlJc w:val="left"/>
      <w:pPr>
        <w:tabs>
          <w:tab w:val="num" w:pos="927"/>
        </w:tabs>
        <w:ind w:left="927" w:hanging="360"/>
      </w:pPr>
      <w:rPr>
        <w:rFonts w:ascii="Symbol" w:hAnsi="Symbol" w:hint="default"/>
      </w:rPr>
    </w:lvl>
    <w:lvl w:ilvl="1" w:tplc="04050003" w:tentative="1">
      <w:start w:val="1"/>
      <w:numFmt w:val="bullet"/>
      <w:lvlText w:val="o"/>
      <w:lvlJc w:val="left"/>
      <w:pPr>
        <w:tabs>
          <w:tab w:val="num" w:pos="1647"/>
        </w:tabs>
        <w:ind w:left="1647" w:hanging="360"/>
      </w:pPr>
      <w:rPr>
        <w:rFonts w:ascii="Courier New" w:hAnsi="Courier New" w:hint="default"/>
      </w:rPr>
    </w:lvl>
    <w:lvl w:ilvl="2" w:tplc="04050005" w:tentative="1">
      <w:start w:val="1"/>
      <w:numFmt w:val="bullet"/>
      <w:lvlText w:val=""/>
      <w:lvlJc w:val="left"/>
      <w:pPr>
        <w:tabs>
          <w:tab w:val="num" w:pos="2367"/>
        </w:tabs>
        <w:ind w:left="2367" w:hanging="360"/>
      </w:pPr>
      <w:rPr>
        <w:rFonts w:ascii="Wingdings" w:hAnsi="Wingdings" w:hint="default"/>
      </w:rPr>
    </w:lvl>
    <w:lvl w:ilvl="3" w:tplc="04050001" w:tentative="1">
      <w:start w:val="1"/>
      <w:numFmt w:val="bullet"/>
      <w:lvlText w:val=""/>
      <w:lvlJc w:val="left"/>
      <w:pPr>
        <w:tabs>
          <w:tab w:val="num" w:pos="3087"/>
        </w:tabs>
        <w:ind w:left="3087" w:hanging="360"/>
      </w:pPr>
      <w:rPr>
        <w:rFonts w:ascii="Symbol" w:hAnsi="Symbol" w:hint="default"/>
      </w:rPr>
    </w:lvl>
    <w:lvl w:ilvl="4" w:tplc="04050003" w:tentative="1">
      <w:start w:val="1"/>
      <w:numFmt w:val="bullet"/>
      <w:lvlText w:val="o"/>
      <w:lvlJc w:val="left"/>
      <w:pPr>
        <w:tabs>
          <w:tab w:val="num" w:pos="3807"/>
        </w:tabs>
        <w:ind w:left="3807" w:hanging="360"/>
      </w:pPr>
      <w:rPr>
        <w:rFonts w:ascii="Courier New" w:hAnsi="Courier New" w:hint="default"/>
      </w:rPr>
    </w:lvl>
    <w:lvl w:ilvl="5" w:tplc="04050005" w:tentative="1">
      <w:start w:val="1"/>
      <w:numFmt w:val="bullet"/>
      <w:lvlText w:val=""/>
      <w:lvlJc w:val="left"/>
      <w:pPr>
        <w:tabs>
          <w:tab w:val="num" w:pos="4527"/>
        </w:tabs>
        <w:ind w:left="4527" w:hanging="360"/>
      </w:pPr>
      <w:rPr>
        <w:rFonts w:ascii="Wingdings" w:hAnsi="Wingdings" w:hint="default"/>
      </w:rPr>
    </w:lvl>
    <w:lvl w:ilvl="6" w:tplc="04050001" w:tentative="1">
      <w:start w:val="1"/>
      <w:numFmt w:val="bullet"/>
      <w:lvlText w:val=""/>
      <w:lvlJc w:val="left"/>
      <w:pPr>
        <w:tabs>
          <w:tab w:val="num" w:pos="5247"/>
        </w:tabs>
        <w:ind w:left="5247" w:hanging="360"/>
      </w:pPr>
      <w:rPr>
        <w:rFonts w:ascii="Symbol" w:hAnsi="Symbol" w:hint="default"/>
      </w:rPr>
    </w:lvl>
    <w:lvl w:ilvl="7" w:tplc="04050003" w:tentative="1">
      <w:start w:val="1"/>
      <w:numFmt w:val="bullet"/>
      <w:lvlText w:val="o"/>
      <w:lvlJc w:val="left"/>
      <w:pPr>
        <w:tabs>
          <w:tab w:val="num" w:pos="5967"/>
        </w:tabs>
        <w:ind w:left="5967" w:hanging="360"/>
      </w:pPr>
      <w:rPr>
        <w:rFonts w:ascii="Courier New" w:hAnsi="Courier New" w:hint="default"/>
      </w:rPr>
    </w:lvl>
    <w:lvl w:ilvl="8" w:tplc="04050005" w:tentative="1">
      <w:start w:val="1"/>
      <w:numFmt w:val="bullet"/>
      <w:lvlText w:val=""/>
      <w:lvlJc w:val="left"/>
      <w:pPr>
        <w:tabs>
          <w:tab w:val="num" w:pos="6687"/>
        </w:tabs>
        <w:ind w:left="6687" w:hanging="360"/>
      </w:pPr>
      <w:rPr>
        <w:rFonts w:ascii="Wingdings" w:hAnsi="Wingdings" w:hint="default"/>
      </w:rPr>
    </w:lvl>
  </w:abstractNum>
  <w:abstractNum w:abstractNumId="22">
    <w:nsid w:val="7C504F37"/>
    <w:multiLevelType w:val="hybridMultilevel"/>
    <w:tmpl w:val="43B60274"/>
    <w:lvl w:ilvl="0" w:tplc="F998DE1C">
      <w:numFmt w:val="bullet"/>
      <w:lvlText w:val="-"/>
      <w:lvlJc w:val="left"/>
      <w:pPr>
        <w:tabs>
          <w:tab w:val="num" w:pos="360"/>
        </w:tabs>
        <w:ind w:left="360" w:hanging="360"/>
      </w:pPr>
      <w:rPr>
        <w:rFonts w:ascii="Times New Roman" w:eastAsia="Times New Roman" w:hAnsi="Times New Roman" w:hint="default"/>
      </w:rPr>
    </w:lvl>
    <w:lvl w:ilvl="1" w:tplc="04050003">
      <w:start w:val="1"/>
      <w:numFmt w:val="bullet"/>
      <w:lvlText w:val="o"/>
      <w:lvlJc w:val="left"/>
      <w:pPr>
        <w:tabs>
          <w:tab w:val="num" w:pos="-603"/>
        </w:tabs>
        <w:ind w:left="-603" w:hanging="360"/>
      </w:pPr>
      <w:rPr>
        <w:rFonts w:ascii="Courier New" w:hAnsi="Courier New" w:cs="Courier New" w:hint="default"/>
      </w:rPr>
    </w:lvl>
    <w:lvl w:ilvl="2" w:tplc="04050005">
      <w:start w:val="1"/>
      <w:numFmt w:val="bullet"/>
      <w:lvlText w:val=""/>
      <w:lvlJc w:val="left"/>
      <w:pPr>
        <w:tabs>
          <w:tab w:val="num" w:pos="117"/>
        </w:tabs>
        <w:ind w:left="117" w:hanging="360"/>
      </w:pPr>
      <w:rPr>
        <w:rFonts w:ascii="Wingdings" w:hAnsi="Wingdings" w:cs="Times New Roman" w:hint="default"/>
      </w:rPr>
    </w:lvl>
    <w:lvl w:ilvl="3" w:tplc="04050001">
      <w:start w:val="1"/>
      <w:numFmt w:val="bullet"/>
      <w:lvlText w:val=""/>
      <w:lvlJc w:val="left"/>
      <w:pPr>
        <w:tabs>
          <w:tab w:val="num" w:pos="837"/>
        </w:tabs>
        <w:ind w:left="837" w:hanging="360"/>
      </w:pPr>
      <w:rPr>
        <w:rFonts w:ascii="Symbol" w:hAnsi="Symbol" w:cs="Times New Roman" w:hint="default"/>
      </w:rPr>
    </w:lvl>
    <w:lvl w:ilvl="4" w:tplc="04050003">
      <w:start w:val="1"/>
      <w:numFmt w:val="bullet"/>
      <w:lvlText w:val="o"/>
      <w:lvlJc w:val="left"/>
      <w:pPr>
        <w:tabs>
          <w:tab w:val="num" w:pos="1557"/>
        </w:tabs>
        <w:ind w:left="1557" w:hanging="360"/>
      </w:pPr>
      <w:rPr>
        <w:rFonts w:ascii="Courier New" w:hAnsi="Courier New" w:cs="Courier New" w:hint="default"/>
      </w:rPr>
    </w:lvl>
    <w:lvl w:ilvl="5" w:tplc="04050005">
      <w:start w:val="1"/>
      <w:numFmt w:val="bullet"/>
      <w:lvlText w:val=""/>
      <w:lvlJc w:val="left"/>
      <w:pPr>
        <w:tabs>
          <w:tab w:val="num" w:pos="2277"/>
        </w:tabs>
        <w:ind w:left="2277" w:hanging="360"/>
      </w:pPr>
      <w:rPr>
        <w:rFonts w:ascii="Wingdings" w:hAnsi="Wingdings" w:cs="Times New Roman" w:hint="default"/>
      </w:rPr>
    </w:lvl>
    <w:lvl w:ilvl="6" w:tplc="04050001">
      <w:start w:val="1"/>
      <w:numFmt w:val="bullet"/>
      <w:lvlText w:val=""/>
      <w:lvlJc w:val="left"/>
      <w:pPr>
        <w:tabs>
          <w:tab w:val="num" w:pos="2997"/>
        </w:tabs>
        <w:ind w:left="2997" w:hanging="360"/>
      </w:pPr>
      <w:rPr>
        <w:rFonts w:ascii="Symbol" w:hAnsi="Symbol" w:cs="Times New Roman" w:hint="default"/>
      </w:rPr>
    </w:lvl>
    <w:lvl w:ilvl="7" w:tplc="04050003">
      <w:start w:val="1"/>
      <w:numFmt w:val="bullet"/>
      <w:lvlText w:val="o"/>
      <w:lvlJc w:val="left"/>
      <w:pPr>
        <w:tabs>
          <w:tab w:val="num" w:pos="3717"/>
        </w:tabs>
        <w:ind w:left="3717" w:hanging="360"/>
      </w:pPr>
      <w:rPr>
        <w:rFonts w:ascii="Courier New" w:hAnsi="Courier New" w:cs="Courier New" w:hint="default"/>
      </w:rPr>
    </w:lvl>
    <w:lvl w:ilvl="8" w:tplc="04050005">
      <w:start w:val="1"/>
      <w:numFmt w:val="bullet"/>
      <w:lvlText w:val=""/>
      <w:lvlJc w:val="left"/>
      <w:pPr>
        <w:tabs>
          <w:tab w:val="num" w:pos="4437"/>
        </w:tabs>
        <w:ind w:left="4437" w:hanging="360"/>
      </w:pPr>
      <w:rPr>
        <w:rFonts w:ascii="Wingdings" w:hAnsi="Wingdings" w:cs="Times New Roman" w:hint="default"/>
      </w:rPr>
    </w:lvl>
  </w:abstractNum>
  <w:num w:numId="1">
    <w:abstractNumId w:val="2"/>
  </w:num>
  <w:num w:numId="2">
    <w:abstractNumId w:val="7"/>
  </w:num>
  <w:num w:numId="3">
    <w:abstractNumId w:val="20"/>
  </w:num>
  <w:num w:numId="4">
    <w:abstractNumId w:val="10"/>
  </w:num>
  <w:num w:numId="5">
    <w:abstractNumId w:val="0"/>
  </w:num>
  <w:num w:numId="6">
    <w:abstractNumId w:val="17"/>
  </w:num>
  <w:num w:numId="7">
    <w:abstractNumId w:val="4"/>
  </w:num>
  <w:num w:numId="8">
    <w:abstractNumId w:val="6"/>
  </w:num>
  <w:num w:numId="9">
    <w:abstractNumId w:val="12"/>
  </w:num>
  <w:num w:numId="10">
    <w:abstractNumId w:val="21"/>
  </w:num>
  <w:num w:numId="11">
    <w:abstractNumId w:val="5"/>
  </w:num>
  <w:num w:numId="12">
    <w:abstractNumId w:val="14"/>
  </w:num>
  <w:num w:numId="13">
    <w:abstractNumId w:val="15"/>
  </w:num>
  <w:num w:numId="14">
    <w:abstractNumId w:val="8"/>
  </w:num>
  <w:num w:numId="15">
    <w:abstractNumId w:val="18"/>
  </w:num>
  <w:num w:numId="16">
    <w:abstractNumId w:val="19"/>
  </w:num>
  <w:num w:numId="17">
    <w:abstractNumId w:val="1"/>
  </w:num>
  <w:num w:numId="18">
    <w:abstractNumId w:val="13"/>
  </w:num>
  <w:num w:numId="19">
    <w:abstractNumId w:val="22"/>
  </w:num>
  <w:num w:numId="20">
    <w:abstractNumId w:val="11"/>
  </w:num>
  <w:num w:numId="21">
    <w:abstractNumId w:val="16"/>
  </w:num>
  <w:num w:numId="22">
    <w:abstractNumId w:val="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autoHyphenation/>
  <w:consecutiveHyphenLimit w:val="2"/>
  <w:hyphenationZone w:val="128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D60"/>
    <w:rsid w:val="00000994"/>
    <w:rsid w:val="00027236"/>
    <w:rsid w:val="000711F7"/>
    <w:rsid w:val="000841E7"/>
    <w:rsid w:val="00121442"/>
    <w:rsid w:val="001250DE"/>
    <w:rsid w:val="001351BB"/>
    <w:rsid w:val="00171E30"/>
    <w:rsid w:val="001D6122"/>
    <w:rsid w:val="0027165C"/>
    <w:rsid w:val="00325712"/>
    <w:rsid w:val="003A09AB"/>
    <w:rsid w:val="00434E8F"/>
    <w:rsid w:val="004564CC"/>
    <w:rsid w:val="00690DA2"/>
    <w:rsid w:val="007B4CDB"/>
    <w:rsid w:val="00822A55"/>
    <w:rsid w:val="008650FB"/>
    <w:rsid w:val="009E32CF"/>
    <w:rsid w:val="00A923ED"/>
    <w:rsid w:val="00C752FF"/>
    <w:rsid w:val="00CD68E5"/>
    <w:rsid w:val="00D509E8"/>
    <w:rsid w:val="00D62CCC"/>
    <w:rsid w:val="00EA5842"/>
    <w:rsid w:val="00EF3C25"/>
    <w:rsid w:val="00F53D60"/>
    <w:rsid w:val="00F97E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widowControl w:val="0"/>
      <w:autoSpaceDE w:val="0"/>
      <w:autoSpaceDN w:val="0"/>
      <w:adjustRightInd w:val="0"/>
    </w:pPr>
    <w:rPr>
      <w:rFonts w:ascii="Courier" w:hAnsi="Courier"/>
    </w:rPr>
  </w:style>
  <w:style w:type="paragraph" w:styleId="Nadpis1">
    <w:name w:val="heading 1"/>
    <w:basedOn w:val="Normln"/>
    <w:next w:val="Normln"/>
    <w:qFormat/>
    <w:pPr>
      <w:keepNext/>
      <w:widowControl/>
      <w:autoSpaceDE/>
      <w:autoSpaceDN/>
      <w:adjustRightInd/>
      <w:outlineLvl w:val="0"/>
    </w:pPr>
    <w:rPr>
      <w:rFonts w:ascii="Times New Roman" w:hAnsi="Times New Roman"/>
      <w:b/>
      <w:bCs/>
      <w:sz w:val="24"/>
      <w:szCs w:val="24"/>
    </w:rPr>
  </w:style>
  <w:style w:type="paragraph" w:styleId="Nadpis2">
    <w:name w:val="heading 2"/>
    <w:basedOn w:val="Normln"/>
    <w:next w:val="Normln"/>
    <w:qFormat/>
    <w:pPr>
      <w:keepNext/>
      <w:widowControl/>
      <w:autoSpaceDE/>
      <w:autoSpaceDN/>
      <w:adjustRightInd/>
      <w:ind w:left="60" w:firstLine="360"/>
      <w:outlineLvl w:val="1"/>
    </w:pPr>
    <w:rPr>
      <w:rFonts w:ascii="Times New Roman" w:hAnsi="Times New Roman"/>
      <w:b/>
      <w:bCs/>
      <w:sz w:val="24"/>
      <w:szCs w:val="24"/>
    </w:rPr>
  </w:style>
  <w:style w:type="paragraph" w:styleId="Nadpis3">
    <w:name w:val="heading 3"/>
    <w:basedOn w:val="Normln"/>
    <w:next w:val="Normln"/>
    <w:qFormat/>
    <w:pPr>
      <w:keepNext/>
      <w:widowControl/>
      <w:autoSpaceDE/>
      <w:autoSpaceDN/>
      <w:adjustRightInd/>
      <w:ind w:left="420" w:firstLine="288"/>
      <w:outlineLvl w:val="2"/>
    </w:pPr>
    <w:rPr>
      <w:rFonts w:ascii="Times New Roman" w:hAnsi="Times New Roman"/>
      <w:b/>
      <w:bCs/>
      <w:sz w:val="24"/>
      <w:szCs w:val="24"/>
    </w:rPr>
  </w:style>
  <w:style w:type="paragraph" w:styleId="Nadpis4">
    <w:name w:val="heading 4"/>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outlineLvl w:val="3"/>
    </w:pPr>
    <w:rPr>
      <w:rFonts w:ascii="Arial" w:hAnsi="Arial"/>
      <w:b/>
      <w:bCs/>
      <w:sz w:val="32"/>
      <w:szCs w:val="26"/>
    </w:rPr>
  </w:style>
  <w:style w:type="paragraph" w:styleId="Nadpis5">
    <w:name w:val="heading 5"/>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80" w:after="320"/>
      <w:jc w:val="both"/>
      <w:outlineLvl w:val="4"/>
    </w:pPr>
    <w:rPr>
      <w:rFonts w:ascii="Arial" w:hAnsi="Arial" w:cs="Arial"/>
      <w:b/>
      <w:bCs/>
      <w:i/>
      <w:iCs/>
      <w:sz w:val="28"/>
      <w:szCs w:val="24"/>
    </w:rPr>
  </w:style>
  <w:style w:type="paragraph" w:styleId="Nadpis6">
    <w:name w:val="heading 6"/>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240" w:after="140"/>
      <w:jc w:val="both"/>
      <w:outlineLvl w:val="5"/>
    </w:pPr>
    <w:rPr>
      <w:rFonts w:ascii="Arial" w:hAnsi="Arial" w:cs="Arial"/>
      <w:b/>
      <w:bCs/>
      <w:sz w:val="22"/>
      <w:szCs w:val="24"/>
    </w:rPr>
  </w:style>
  <w:style w:type="paragraph" w:styleId="Nadpis7">
    <w:name w:val="heading 7"/>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60" w:after="60"/>
      <w:ind w:firstLine="567"/>
      <w:jc w:val="both"/>
      <w:outlineLvl w:val="6"/>
    </w:pPr>
    <w:rPr>
      <w:rFonts w:ascii="Arial" w:hAnsi="Arial" w:cs="Arial"/>
      <w:b/>
      <w:bCs/>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widowControl/>
      <w:autoSpaceDE/>
      <w:autoSpaceDN/>
      <w:adjustRightInd/>
      <w:ind w:left="60" w:firstLine="360"/>
    </w:pPr>
    <w:rPr>
      <w:rFonts w:ascii="Times New Roman" w:hAnsi="Times New Roman"/>
      <w:sz w:val="24"/>
      <w:szCs w:val="24"/>
    </w:rPr>
  </w:style>
  <w:style w:type="paragraph" w:styleId="Zkladntextodsazen2">
    <w:name w:val="Body Text Indent 2"/>
    <w:basedOn w:val="Normln"/>
    <w:pPr>
      <w:ind w:firstLine="567"/>
    </w:pPr>
    <w:rPr>
      <w:rFonts w:ascii="Arial" w:hAnsi="Arial"/>
      <w:sz w:val="24"/>
      <w:lang w:val="en-GB"/>
    </w:rPr>
  </w:style>
  <w:style w:type="paragraph" w:styleId="Zkladntextodsazen3">
    <w:name w:val="Body Text Indent 3"/>
    <w:basedOn w:val="Normln"/>
    <w:pPr>
      <w:tabs>
        <w:tab w:val="left" w:pos="709"/>
        <w:tab w:val="left" w:pos="1418"/>
        <w:tab w:val="left" w:pos="2126"/>
      </w:tabs>
      <w:ind w:firstLine="708"/>
      <w:jc w:val="both"/>
    </w:pPr>
    <w:rPr>
      <w:rFonts w:ascii="Arial" w:hAnsi="Arial"/>
      <w:sz w:val="24"/>
      <w:lang w:val="en-GB"/>
    </w:rPr>
  </w:style>
  <w:style w:type="paragraph" w:styleId="Zkladntext">
    <w:name w:val="Body Text"/>
    <w:basedOn w:val="Normln"/>
    <w:pPr>
      <w:tabs>
        <w:tab w:val="left" w:pos="709"/>
        <w:tab w:val="left" w:pos="1418"/>
        <w:tab w:val="left" w:pos="2126"/>
      </w:tabs>
      <w:jc w:val="both"/>
    </w:pPr>
    <w:rPr>
      <w:rFonts w:ascii="Arial" w:hAnsi="Arial"/>
      <w:sz w:val="24"/>
      <w:lang w:val="en-GB"/>
    </w:rPr>
  </w:style>
  <w:style w:type="paragraph" w:styleId="Zkladntext2">
    <w:name w:val="Body Text 2"/>
    <w:basedOn w:val="Normln"/>
    <w:pPr>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60"/>
      <w:jc w:val="both"/>
    </w:pPr>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widowControl w:val="0"/>
      <w:autoSpaceDE w:val="0"/>
      <w:autoSpaceDN w:val="0"/>
      <w:adjustRightInd w:val="0"/>
    </w:pPr>
    <w:rPr>
      <w:rFonts w:ascii="Courier" w:hAnsi="Courier"/>
    </w:rPr>
  </w:style>
  <w:style w:type="paragraph" w:styleId="Nadpis1">
    <w:name w:val="heading 1"/>
    <w:basedOn w:val="Normln"/>
    <w:next w:val="Normln"/>
    <w:qFormat/>
    <w:pPr>
      <w:keepNext/>
      <w:widowControl/>
      <w:autoSpaceDE/>
      <w:autoSpaceDN/>
      <w:adjustRightInd/>
      <w:outlineLvl w:val="0"/>
    </w:pPr>
    <w:rPr>
      <w:rFonts w:ascii="Times New Roman" w:hAnsi="Times New Roman"/>
      <w:b/>
      <w:bCs/>
      <w:sz w:val="24"/>
      <w:szCs w:val="24"/>
    </w:rPr>
  </w:style>
  <w:style w:type="paragraph" w:styleId="Nadpis2">
    <w:name w:val="heading 2"/>
    <w:basedOn w:val="Normln"/>
    <w:next w:val="Normln"/>
    <w:qFormat/>
    <w:pPr>
      <w:keepNext/>
      <w:widowControl/>
      <w:autoSpaceDE/>
      <w:autoSpaceDN/>
      <w:adjustRightInd/>
      <w:ind w:left="60" w:firstLine="360"/>
      <w:outlineLvl w:val="1"/>
    </w:pPr>
    <w:rPr>
      <w:rFonts w:ascii="Times New Roman" w:hAnsi="Times New Roman"/>
      <w:b/>
      <w:bCs/>
      <w:sz w:val="24"/>
      <w:szCs w:val="24"/>
    </w:rPr>
  </w:style>
  <w:style w:type="paragraph" w:styleId="Nadpis3">
    <w:name w:val="heading 3"/>
    <w:basedOn w:val="Normln"/>
    <w:next w:val="Normln"/>
    <w:qFormat/>
    <w:pPr>
      <w:keepNext/>
      <w:widowControl/>
      <w:autoSpaceDE/>
      <w:autoSpaceDN/>
      <w:adjustRightInd/>
      <w:ind w:left="420" w:firstLine="288"/>
      <w:outlineLvl w:val="2"/>
    </w:pPr>
    <w:rPr>
      <w:rFonts w:ascii="Times New Roman" w:hAnsi="Times New Roman"/>
      <w:b/>
      <w:bCs/>
      <w:sz w:val="24"/>
      <w:szCs w:val="24"/>
    </w:rPr>
  </w:style>
  <w:style w:type="paragraph" w:styleId="Nadpis4">
    <w:name w:val="heading 4"/>
    <w:basedOn w:val="Normln"/>
    <w:next w:val="Normln"/>
    <w:qFormat/>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outlineLvl w:val="3"/>
    </w:pPr>
    <w:rPr>
      <w:rFonts w:ascii="Arial" w:hAnsi="Arial"/>
      <w:b/>
      <w:bCs/>
      <w:sz w:val="32"/>
      <w:szCs w:val="26"/>
    </w:rPr>
  </w:style>
  <w:style w:type="paragraph" w:styleId="Nadpis5">
    <w:name w:val="heading 5"/>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80" w:after="320"/>
      <w:jc w:val="both"/>
      <w:outlineLvl w:val="4"/>
    </w:pPr>
    <w:rPr>
      <w:rFonts w:ascii="Arial" w:hAnsi="Arial" w:cs="Arial"/>
      <w:b/>
      <w:bCs/>
      <w:i/>
      <w:iCs/>
      <w:sz w:val="28"/>
      <w:szCs w:val="24"/>
    </w:rPr>
  </w:style>
  <w:style w:type="paragraph" w:styleId="Nadpis6">
    <w:name w:val="heading 6"/>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240" w:after="140"/>
      <w:jc w:val="both"/>
      <w:outlineLvl w:val="5"/>
    </w:pPr>
    <w:rPr>
      <w:rFonts w:ascii="Arial" w:hAnsi="Arial" w:cs="Arial"/>
      <w:b/>
      <w:bCs/>
      <w:sz w:val="22"/>
      <w:szCs w:val="24"/>
    </w:rPr>
  </w:style>
  <w:style w:type="paragraph" w:styleId="Nadpis7">
    <w:name w:val="heading 7"/>
    <w:basedOn w:val="Normln"/>
    <w:next w:val="Normln"/>
    <w:qFormat/>
    <w:pPr>
      <w:keepNext/>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60" w:after="60"/>
      <w:ind w:firstLine="567"/>
      <w:jc w:val="both"/>
      <w:outlineLvl w:val="6"/>
    </w:pPr>
    <w:rPr>
      <w:rFonts w:ascii="Arial" w:hAnsi="Arial" w:cs="Arial"/>
      <w:b/>
      <w:bCs/>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widowControl/>
      <w:autoSpaceDE/>
      <w:autoSpaceDN/>
      <w:adjustRightInd/>
      <w:ind w:left="60" w:firstLine="360"/>
    </w:pPr>
    <w:rPr>
      <w:rFonts w:ascii="Times New Roman" w:hAnsi="Times New Roman"/>
      <w:sz w:val="24"/>
      <w:szCs w:val="24"/>
    </w:rPr>
  </w:style>
  <w:style w:type="paragraph" w:styleId="Zkladntextodsazen2">
    <w:name w:val="Body Text Indent 2"/>
    <w:basedOn w:val="Normln"/>
    <w:pPr>
      <w:ind w:firstLine="567"/>
    </w:pPr>
    <w:rPr>
      <w:rFonts w:ascii="Arial" w:hAnsi="Arial"/>
      <w:sz w:val="24"/>
      <w:lang w:val="en-GB"/>
    </w:rPr>
  </w:style>
  <w:style w:type="paragraph" w:styleId="Zkladntextodsazen3">
    <w:name w:val="Body Text Indent 3"/>
    <w:basedOn w:val="Normln"/>
    <w:pPr>
      <w:tabs>
        <w:tab w:val="left" w:pos="709"/>
        <w:tab w:val="left" w:pos="1418"/>
        <w:tab w:val="left" w:pos="2126"/>
      </w:tabs>
      <w:ind w:firstLine="708"/>
      <w:jc w:val="both"/>
    </w:pPr>
    <w:rPr>
      <w:rFonts w:ascii="Arial" w:hAnsi="Arial"/>
      <w:sz w:val="24"/>
      <w:lang w:val="en-GB"/>
    </w:rPr>
  </w:style>
  <w:style w:type="paragraph" w:styleId="Zkladntext">
    <w:name w:val="Body Text"/>
    <w:basedOn w:val="Normln"/>
    <w:pPr>
      <w:tabs>
        <w:tab w:val="left" w:pos="709"/>
        <w:tab w:val="left" w:pos="1418"/>
        <w:tab w:val="left" w:pos="2126"/>
      </w:tabs>
      <w:jc w:val="both"/>
    </w:pPr>
    <w:rPr>
      <w:rFonts w:ascii="Arial" w:hAnsi="Arial"/>
      <w:sz w:val="24"/>
      <w:lang w:val="en-GB"/>
    </w:rPr>
  </w:style>
  <w:style w:type="paragraph" w:styleId="Zkladntext2">
    <w:name w:val="Body Text 2"/>
    <w:basedOn w:val="Normln"/>
    <w:pPr>
      <w:tabs>
        <w:tab w:val="left" w:pos="0"/>
        <w:tab w:val="left" w:pos="142"/>
        <w:tab w:val="left" w:pos="709"/>
        <w:tab w:val="left" w:pos="1418"/>
        <w:tab w:val="left" w:pos="212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60"/>
      <w:jc w:val="both"/>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1295</Words>
  <Characters>7338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- 1 -</vt:lpstr>
    </vt:vector>
  </TitlesOfParts>
  <Company>ČSÚ</Company>
  <LinksUpToDate>false</LinksUpToDate>
  <CharactersWithSpaces>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- 1 -</dc:title>
  <dc:subject/>
  <dc:creator>System Service</dc:creator>
  <cp:keywords/>
  <dc:description/>
  <cp:lastModifiedBy>Ing. Světlana Škapová</cp:lastModifiedBy>
  <cp:revision>2</cp:revision>
  <cp:lastPrinted>2008-06-26T07:33:00Z</cp:lastPrinted>
  <dcterms:created xsi:type="dcterms:W3CDTF">2016-05-26T11:29:00Z</dcterms:created>
  <dcterms:modified xsi:type="dcterms:W3CDTF">2016-05-26T11:29:00Z</dcterms:modified>
</cp:coreProperties>
</file>