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EA" w:rsidRPr="00D26D9C" w:rsidRDefault="002164EA">
      <w:pPr>
        <w:jc w:val="center"/>
        <w:rPr>
          <w:rFonts w:ascii="Arial" w:hAnsi="Arial" w:cs="Arial"/>
          <w:bCs/>
          <w:i/>
          <w:iCs/>
        </w:rPr>
      </w:pPr>
      <w:r w:rsidRPr="003D3AC8">
        <w:rPr>
          <w:rFonts w:ascii="Arial" w:hAnsi="Arial" w:cs="Arial"/>
          <w:b/>
          <w:bCs/>
          <w:i/>
          <w:iCs/>
        </w:rPr>
        <w:t>4. POPULATION</w:t>
      </w:r>
    </w:p>
    <w:p w:rsidR="002164EA" w:rsidRPr="003D3AC8" w:rsidRDefault="002164EA">
      <w:pPr>
        <w:jc w:val="both"/>
        <w:rPr>
          <w:rFonts w:ascii="Arial" w:hAnsi="Arial" w:cs="Arial"/>
          <w:bCs/>
          <w:i/>
          <w:iCs/>
          <w:sz w:val="20"/>
        </w:rPr>
      </w:pPr>
    </w:p>
    <w:p w:rsidR="002164EA" w:rsidRPr="003D3AC8" w:rsidRDefault="002164EA">
      <w:pPr>
        <w:pStyle w:val="Normlnweb"/>
        <w:spacing w:before="0" w:beforeAutospacing="0" w:after="0" w:afterAutospacing="0"/>
        <w:ind w:firstLine="708"/>
        <w:jc w:val="both"/>
        <w:rPr>
          <w:rFonts w:ascii="Arial" w:hAnsi="Arial" w:cs="Arial"/>
          <w:i/>
          <w:iCs/>
          <w:color w:val="auto"/>
          <w:sz w:val="20"/>
          <w:szCs w:val="17"/>
          <w:lang w:val="en-GB"/>
        </w:rPr>
      </w:pPr>
      <w:r w:rsidRPr="003D3AC8">
        <w:rPr>
          <w:rFonts w:ascii="Arial" w:hAnsi="Arial" w:cs="Arial"/>
          <w:i/>
          <w:iCs/>
          <w:color w:val="auto"/>
          <w:sz w:val="20"/>
          <w:szCs w:val="17"/>
          <w:lang w:val="en-GB"/>
        </w:rPr>
        <w:t>The data on the size and structure of the population are derived from population censuses (roughly at decennial intervals) and information on population changes and balances. They result from the</w:t>
      </w:r>
      <w:r w:rsidR="00661702" w:rsidRPr="003D3AC8">
        <w:rPr>
          <w:rFonts w:ascii="Arial" w:hAnsi="Arial" w:cs="Arial"/>
          <w:i/>
          <w:iCs/>
          <w:color w:val="auto"/>
          <w:sz w:val="20"/>
          <w:szCs w:val="17"/>
          <w:lang w:val="en-GB"/>
        </w:rPr>
        <w:t> </w:t>
      </w:r>
      <w:r w:rsidRPr="003D3AC8">
        <w:rPr>
          <w:rFonts w:ascii="Arial" w:hAnsi="Arial" w:cs="Arial"/>
          <w:i/>
          <w:iCs/>
          <w:color w:val="auto"/>
          <w:sz w:val="20"/>
          <w:szCs w:val="17"/>
          <w:lang w:val="en-GB"/>
        </w:rPr>
        <w:t>processing of statistical reports on marriages, births</w:t>
      </w:r>
      <w:r w:rsidR="00C62113" w:rsidRPr="003D3AC8">
        <w:rPr>
          <w:rFonts w:ascii="Arial" w:hAnsi="Arial" w:cs="Arial"/>
          <w:i/>
          <w:iCs/>
          <w:color w:val="auto"/>
          <w:sz w:val="20"/>
          <w:szCs w:val="17"/>
          <w:lang w:val="en-GB"/>
        </w:rPr>
        <w:t>,</w:t>
      </w:r>
      <w:r w:rsidRPr="003D3AC8">
        <w:rPr>
          <w:rFonts w:ascii="Arial" w:hAnsi="Arial" w:cs="Arial"/>
          <w:i/>
          <w:iCs/>
          <w:color w:val="auto"/>
          <w:sz w:val="20"/>
          <w:szCs w:val="17"/>
          <w:lang w:val="en-GB"/>
        </w:rPr>
        <w:t xml:space="preserve"> and deaths provided by registries and</w:t>
      </w:r>
      <w:r w:rsidR="002823E4" w:rsidRPr="003D3AC8">
        <w:rPr>
          <w:rFonts w:ascii="Arial" w:hAnsi="Arial" w:cs="Arial"/>
          <w:i/>
          <w:iCs/>
          <w:color w:val="auto"/>
          <w:sz w:val="20"/>
          <w:szCs w:val="17"/>
          <w:lang w:val="en-GB"/>
        </w:rPr>
        <w:t xml:space="preserve"> from processing of data taken over from other information systems</w:t>
      </w:r>
      <w:r w:rsidRPr="003D3AC8">
        <w:rPr>
          <w:rFonts w:ascii="Arial" w:hAnsi="Arial" w:cs="Arial"/>
          <w:i/>
          <w:iCs/>
          <w:color w:val="auto"/>
          <w:sz w:val="20"/>
          <w:szCs w:val="17"/>
          <w:lang w:val="en-GB"/>
        </w:rPr>
        <w:t>.</w:t>
      </w:r>
      <w:r w:rsidR="00AD46B6" w:rsidRPr="003D3AC8">
        <w:rPr>
          <w:rFonts w:ascii="Arial" w:hAnsi="Arial" w:cs="Arial"/>
          <w:i/>
          <w:iCs/>
          <w:color w:val="auto"/>
          <w:sz w:val="20"/>
          <w:szCs w:val="17"/>
          <w:lang w:val="en-GB"/>
        </w:rPr>
        <w:t xml:space="preserve"> </w:t>
      </w:r>
      <w:r w:rsidR="00B2567B" w:rsidRPr="003D3AC8">
        <w:rPr>
          <w:rFonts w:ascii="Arial" w:hAnsi="Arial" w:cs="Arial"/>
          <w:i/>
          <w:iCs/>
          <w:color w:val="auto"/>
          <w:sz w:val="20"/>
          <w:szCs w:val="17"/>
          <w:lang w:val="en-GB"/>
        </w:rPr>
        <w:t>T</w:t>
      </w:r>
      <w:r w:rsidR="00AD46B6" w:rsidRPr="003D3AC8">
        <w:rPr>
          <w:rFonts w:ascii="Arial" w:hAnsi="Arial" w:cs="Arial"/>
          <w:i/>
          <w:iCs/>
          <w:color w:val="auto"/>
          <w:sz w:val="20"/>
          <w:szCs w:val="17"/>
          <w:lang w:val="en-GB"/>
        </w:rPr>
        <w:t>he</w:t>
      </w:r>
      <w:r w:rsidR="00250A55" w:rsidRPr="003D3AC8">
        <w:rPr>
          <w:rFonts w:ascii="Arial" w:hAnsi="Arial" w:cs="Arial"/>
          <w:i/>
          <w:iCs/>
          <w:color w:val="auto"/>
          <w:sz w:val="20"/>
          <w:szCs w:val="17"/>
          <w:lang w:val="en-GB"/>
        </w:rPr>
        <w:t> </w:t>
      </w:r>
      <w:r w:rsidR="004B4412">
        <w:rPr>
          <w:rFonts w:ascii="Arial" w:hAnsi="Arial" w:cs="Arial"/>
          <w:i/>
          <w:iCs/>
          <w:color w:val="auto"/>
          <w:sz w:val="20"/>
          <w:szCs w:val="17"/>
          <w:lang w:val="en-GB"/>
        </w:rPr>
        <w:t>information s</w:t>
      </w:r>
      <w:r w:rsidR="00AD46B6" w:rsidRPr="003D3AC8">
        <w:rPr>
          <w:rFonts w:ascii="Arial" w:hAnsi="Arial" w:cs="Arial"/>
          <w:i/>
          <w:iCs/>
          <w:color w:val="auto"/>
          <w:sz w:val="20"/>
          <w:szCs w:val="17"/>
          <w:lang w:val="en-GB"/>
        </w:rPr>
        <w:t>ystem of the</w:t>
      </w:r>
      <w:r w:rsidR="003F5477" w:rsidRPr="003D3AC8">
        <w:rPr>
          <w:rFonts w:ascii="Arial" w:hAnsi="Arial" w:cs="Arial"/>
          <w:i/>
          <w:iCs/>
          <w:color w:val="auto"/>
          <w:sz w:val="20"/>
          <w:szCs w:val="17"/>
          <w:lang w:val="en-GB"/>
        </w:rPr>
        <w:t> </w:t>
      </w:r>
      <w:r w:rsidR="00AD46B6" w:rsidRPr="003D3AC8">
        <w:rPr>
          <w:rFonts w:ascii="Arial" w:hAnsi="Arial" w:cs="Arial"/>
          <w:i/>
          <w:iCs/>
          <w:color w:val="auto"/>
          <w:sz w:val="20"/>
          <w:szCs w:val="17"/>
          <w:lang w:val="en-GB"/>
        </w:rPr>
        <w:t xml:space="preserve">Ministry of Justice </w:t>
      </w:r>
      <w:r w:rsidR="001B1502">
        <w:rPr>
          <w:rFonts w:ascii="Arial" w:hAnsi="Arial" w:cs="Arial"/>
          <w:i/>
          <w:iCs/>
          <w:color w:val="auto"/>
          <w:sz w:val="20"/>
          <w:szCs w:val="17"/>
          <w:lang w:val="en-GB"/>
        </w:rPr>
        <w:t xml:space="preserve">is the source of data on divorces. The data on abortions and causes of death </w:t>
      </w:r>
      <w:r w:rsidR="003F2B1A">
        <w:rPr>
          <w:rFonts w:ascii="Arial" w:hAnsi="Arial" w:cs="Arial"/>
          <w:i/>
          <w:iCs/>
          <w:color w:val="auto"/>
          <w:sz w:val="20"/>
          <w:szCs w:val="17"/>
          <w:lang w:val="en-GB"/>
        </w:rPr>
        <w:t>(stated on </w:t>
      </w:r>
      <w:r w:rsidR="001B1502">
        <w:rPr>
          <w:rFonts w:ascii="Arial" w:hAnsi="Arial" w:cs="Arial"/>
          <w:i/>
          <w:iCs/>
          <w:color w:val="auto"/>
          <w:sz w:val="20"/>
          <w:szCs w:val="17"/>
          <w:lang w:val="en-GB"/>
        </w:rPr>
        <w:t>the </w:t>
      </w:r>
      <w:r w:rsidR="001B1502">
        <w:rPr>
          <w:rFonts w:ascii="Arial" w:hAnsi="Arial" w:cs="Arial"/>
          <w:i/>
          <w:iCs/>
          <w:color w:val="auto"/>
          <w:sz w:val="20"/>
          <w:lang w:val="en-GB"/>
        </w:rPr>
        <w:t>“Death certificate (Report on examination of the deceased person)”</w:t>
      </w:r>
      <w:r w:rsidR="001B1502">
        <w:rPr>
          <w:rFonts w:ascii="Arial" w:hAnsi="Arial" w:cs="Arial"/>
          <w:i/>
          <w:iCs/>
          <w:color w:val="auto"/>
          <w:sz w:val="20"/>
          <w:szCs w:val="17"/>
          <w:lang w:val="en-GB"/>
        </w:rPr>
        <w:t>) are provided to the CZSO by the Institute of Health Information and Statistics of the CR (IHIS</w:t>
      </w:r>
      <w:r w:rsidR="00D26D9C">
        <w:rPr>
          <w:rFonts w:ascii="Arial" w:hAnsi="Arial" w:cs="Arial"/>
          <w:i/>
          <w:iCs/>
          <w:color w:val="auto"/>
          <w:sz w:val="20"/>
          <w:szCs w:val="17"/>
          <w:lang w:val="en-GB"/>
        </w:rPr>
        <w:t> </w:t>
      </w:r>
      <w:r w:rsidR="001B1502">
        <w:rPr>
          <w:rFonts w:ascii="Arial" w:hAnsi="Arial" w:cs="Arial"/>
          <w:i/>
          <w:iCs/>
          <w:color w:val="auto"/>
          <w:sz w:val="20"/>
          <w:szCs w:val="17"/>
          <w:lang w:val="en-GB"/>
        </w:rPr>
        <w:t xml:space="preserve">CR). The data on migration are taken by the CZSO from information systems of the Ministry of the Interior and the Directorate of </w:t>
      </w:r>
      <w:r w:rsidR="00C33E96">
        <w:rPr>
          <w:rFonts w:ascii="Arial" w:hAnsi="Arial" w:cs="Arial"/>
          <w:i/>
          <w:iCs/>
          <w:color w:val="auto"/>
          <w:sz w:val="20"/>
          <w:szCs w:val="17"/>
          <w:lang w:val="en-GB"/>
        </w:rPr>
        <w:t>the</w:t>
      </w:r>
      <w:r w:rsidR="00023998">
        <w:rPr>
          <w:rFonts w:ascii="Arial" w:hAnsi="Arial" w:cs="Arial"/>
          <w:i/>
          <w:iCs/>
          <w:color w:val="auto"/>
          <w:sz w:val="20"/>
          <w:szCs w:val="17"/>
          <w:lang w:val="en-GB"/>
        </w:rPr>
        <w:t> </w:t>
      </w:r>
      <w:r w:rsidR="001B1502">
        <w:rPr>
          <w:rFonts w:ascii="Arial" w:hAnsi="Arial" w:cs="Arial"/>
          <w:i/>
          <w:iCs/>
          <w:color w:val="auto"/>
          <w:sz w:val="20"/>
          <w:szCs w:val="17"/>
          <w:lang w:val="en-GB"/>
        </w:rPr>
        <w:t xml:space="preserve">Alien Police Service. Differences in the mid-year population figures for the years 1980–1981, 1990–1991, 2000–2001, and 2010–2011 are due to differences between </w:t>
      </w:r>
      <w:r w:rsidR="00257E64">
        <w:rPr>
          <w:rFonts w:ascii="Arial" w:hAnsi="Arial" w:cs="Arial"/>
          <w:i/>
          <w:iCs/>
          <w:color w:val="auto"/>
          <w:sz w:val="20"/>
          <w:szCs w:val="17"/>
          <w:lang w:val="en-GB"/>
        </w:rPr>
        <w:t xml:space="preserve">results of </w:t>
      </w:r>
      <w:r w:rsidR="007C4314">
        <w:rPr>
          <w:rFonts w:ascii="Arial" w:hAnsi="Arial" w:cs="Arial"/>
          <w:i/>
          <w:iCs/>
          <w:color w:val="auto"/>
          <w:sz w:val="20"/>
          <w:szCs w:val="17"/>
          <w:lang w:val="en-GB"/>
        </w:rPr>
        <w:t xml:space="preserve">a </w:t>
      </w:r>
      <w:r w:rsidR="00CF19DF">
        <w:rPr>
          <w:rFonts w:ascii="Arial" w:hAnsi="Arial" w:cs="Arial"/>
          <w:i/>
          <w:iCs/>
          <w:color w:val="auto"/>
          <w:sz w:val="20"/>
          <w:szCs w:val="17"/>
          <w:lang w:val="en-GB"/>
        </w:rPr>
        <w:t>population and </w:t>
      </w:r>
      <w:r w:rsidR="001B1502">
        <w:rPr>
          <w:rFonts w:ascii="Arial" w:hAnsi="Arial" w:cs="Arial"/>
          <w:i/>
          <w:iCs/>
          <w:color w:val="auto"/>
          <w:sz w:val="20"/>
          <w:szCs w:val="17"/>
          <w:lang w:val="en-GB"/>
        </w:rPr>
        <w:t xml:space="preserve">housing census and </w:t>
      </w:r>
      <w:r w:rsidR="007C4314">
        <w:rPr>
          <w:rFonts w:ascii="Arial" w:hAnsi="Arial" w:cs="Arial"/>
          <w:i/>
          <w:iCs/>
          <w:color w:val="auto"/>
          <w:sz w:val="20"/>
          <w:szCs w:val="17"/>
          <w:lang w:val="en-GB"/>
        </w:rPr>
        <w:t xml:space="preserve">the respective </w:t>
      </w:r>
      <w:r w:rsidR="002F03E4">
        <w:rPr>
          <w:rFonts w:ascii="Arial" w:hAnsi="Arial" w:cs="Arial"/>
          <w:i/>
          <w:iCs/>
          <w:color w:val="auto"/>
          <w:sz w:val="20"/>
          <w:szCs w:val="17"/>
          <w:lang w:val="en-GB"/>
        </w:rPr>
        <w:t xml:space="preserve">annual population </w:t>
      </w:r>
      <w:r w:rsidR="001B1502">
        <w:rPr>
          <w:rFonts w:ascii="Arial" w:hAnsi="Arial" w:cs="Arial"/>
          <w:i/>
          <w:iCs/>
          <w:color w:val="auto"/>
          <w:sz w:val="20"/>
          <w:szCs w:val="17"/>
          <w:lang w:val="en-GB"/>
        </w:rPr>
        <w:t>balance.</w:t>
      </w: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1B1502">
      <w:pPr>
        <w:pStyle w:val="Normlnweb"/>
        <w:spacing w:before="0" w:beforeAutospacing="0" w:after="0" w:afterAutospacing="0"/>
        <w:jc w:val="both"/>
        <w:rPr>
          <w:rFonts w:ascii="Arial" w:hAnsi="Arial" w:cs="Arial"/>
          <w:i/>
          <w:iCs/>
          <w:color w:val="auto"/>
          <w:sz w:val="20"/>
          <w:szCs w:val="17"/>
          <w:lang w:val="en-GB"/>
        </w:rPr>
      </w:pPr>
      <w:r>
        <w:rPr>
          <w:rFonts w:ascii="Arial" w:hAnsi="Arial" w:cs="Arial"/>
          <w:b/>
          <w:bCs/>
          <w:i/>
          <w:iCs/>
          <w:color w:val="auto"/>
          <w:sz w:val="20"/>
          <w:szCs w:val="17"/>
          <w:lang w:val="en-GB"/>
        </w:rPr>
        <w:t>Notes on Tables</w:t>
      </w:r>
      <w:bookmarkStart w:id="0" w:name="_GoBack"/>
      <w:bookmarkEnd w:id="0"/>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1B1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720"/>
        <w:jc w:val="both"/>
        <w:rPr>
          <w:rFonts w:ascii="Arial" w:hAnsi="Arial" w:cs="Arial"/>
          <w:i/>
          <w:iCs/>
          <w:sz w:val="20"/>
        </w:rPr>
      </w:pPr>
      <w:r>
        <w:rPr>
          <w:rFonts w:ascii="Arial" w:hAnsi="Arial"/>
          <w:i/>
          <w:iCs/>
          <w:sz w:val="20"/>
        </w:rPr>
        <w:t xml:space="preserve">All data refer to the resident population of the Czech Republic, irrespective of </w:t>
      </w:r>
      <w:r w:rsidR="003278FB">
        <w:rPr>
          <w:rFonts w:ascii="Arial" w:hAnsi="Arial"/>
          <w:i/>
          <w:iCs/>
          <w:sz w:val="20"/>
        </w:rPr>
        <w:t xml:space="preserve">their </w:t>
      </w:r>
      <w:r>
        <w:rPr>
          <w:rFonts w:ascii="Arial" w:hAnsi="Arial"/>
          <w:i/>
          <w:iCs/>
          <w:sz w:val="20"/>
        </w:rPr>
        <w:t>citizenship</w:t>
      </w:r>
      <w:r>
        <w:rPr>
          <w:rFonts w:ascii="Arial" w:eastAsia="Arial Unicode MS" w:hAnsi="Arial" w:cs="Arial"/>
          <w:i/>
          <w:iCs/>
          <w:sz w:val="20"/>
          <w:szCs w:val="17"/>
        </w:rPr>
        <w:t>. Since 2001 (in relation to the 2001 Population and Housing Census) the</w:t>
      </w:r>
      <w:r w:rsidR="00832F13">
        <w:rPr>
          <w:rFonts w:ascii="Arial" w:eastAsia="Arial Unicode MS" w:hAnsi="Arial" w:cs="Arial"/>
          <w:i/>
          <w:iCs/>
          <w:sz w:val="20"/>
          <w:szCs w:val="17"/>
        </w:rPr>
        <w:t> </w:t>
      </w:r>
      <w:r>
        <w:rPr>
          <w:rFonts w:ascii="Arial" w:eastAsia="Arial Unicode MS" w:hAnsi="Arial" w:cs="Arial"/>
          <w:i/>
          <w:iCs/>
          <w:sz w:val="20"/>
          <w:szCs w:val="17"/>
        </w:rPr>
        <w:t xml:space="preserve">data include also foreigners with visa for stay over 90 days and foreigners with asylum granted. Since 1 May 2004 data apply </w:t>
      </w:r>
      <w:r w:rsidR="00776B5A">
        <w:rPr>
          <w:rFonts w:ascii="Arial" w:eastAsia="Arial Unicode MS" w:hAnsi="Arial" w:cs="Arial"/>
          <w:i/>
          <w:iCs/>
          <w:sz w:val="20"/>
          <w:szCs w:val="17"/>
        </w:rPr>
        <w:t xml:space="preserve">also </w:t>
      </w:r>
      <w:r>
        <w:rPr>
          <w:rFonts w:ascii="Arial" w:eastAsia="Arial Unicode MS" w:hAnsi="Arial" w:cs="Arial"/>
          <w:i/>
          <w:iCs/>
          <w:sz w:val="20"/>
          <w:szCs w:val="17"/>
        </w:rPr>
        <w:t>to EU</w:t>
      </w:r>
      <w:r w:rsidR="00776B5A">
        <w:rPr>
          <w:rFonts w:ascii="Arial" w:eastAsia="Arial Unicode MS" w:hAnsi="Arial" w:cs="Arial"/>
          <w:i/>
          <w:iCs/>
          <w:sz w:val="20"/>
          <w:szCs w:val="17"/>
        </w:rPr>
        <w:t> </w:t>
      </w:r>
      <w:r>
        <w:rPr>
          <w:rFonts w:ascii="Arial" w:eastAsia="Arial Unicode MS" w:hAnsi="Arial" w:cs="Arial"/>
          <w:i/>
          <w:iCs/>
          <w:sz w:val="20"/>
          <w:szCs w:val="17"/>
        </w:rPr>
        <w:t>nationals with temporary residence on the territory of the Czech Republic and third-country nationals with long-term residence</w:t>
      </w:r>
      <w:r w:rsidR="002A7519">
        <w:rPr>
          <w:rFonts w:ascii="Arial" w:eastAsia="Arial Unicode MS" w:hAnsi="Arial" w:cs="Arial"/>
          <w:i/>
          <w:iCs/>
          <w:sz w:val="20"/>
          <w:szCs w:val="17"/>
        </w:rPr>
        <w:t xml:space="preserve"> permit</w:t>
      </w:r>
      <w:r>
        <w:rPr>
          <w:rFonts w:ascii="Arial" w:eastAsia="Arial Unicode MS" w:hAnsi="Arial" w:cs="Arial"/>
          <w:i/>
          <w:iCs/>
          <w:sz w:val="20"/>
          <w:szCs w:val="17"/>
        </w:rPr>
        <w:t xml:space="preserve">. </w:t>
      </w:r>
      <w:r>
        <w:rPr>
          <w:rFonts w:ascii="Arial" w:hAnsi="Arial"/>
          <w:i/>
          <w:iCs/>
          <w:sz w:val="20"/>
        </w:rPr>
        <w:t>The data contain also information on events (marriages, births, and </w:t>
      </w:r>
      <w:r>
        <w:rPr>
          <w:rFonts w:ascii="Arial" w:hAnsi="Arial" w:cs="Arial"/>
          <w:i/>
          <w:iCs/>
          <w:sz w:val="20"/>
        </w:rPr>
        <w:t>deaths) of</w:t>
      </w:r>
      <w:r w:rsidR="004701C2">
        <w:rPr>
          <w:rFonts w:ascii="Arial" w:hAnsi="Arial" w:cs="Arial"/>
          <w:i/>
          <w:iCs/>
          <w:sz w:val="20"/>
        </w:rPr>
        <w:t xml:space="preserve"> </w:t>
      </w:r>
      <w:r w:rsidR="002F03E4">
        <w:rPr>
          <w:rFonts w:ascii="Arial" w:hAnsi="Arial" w:cs="Arial"/>
          <w:i/>
          <w:iCs/>
          <w:sz w:val="20"/>
        </w:rPr>
        <w:t>Czech citizens with the permanent residence in</w:t>
      </w:r>
      <w:r>
        <w:rPr>
          <w:rFonts w:ascii="Arial" w:hAnsi="Arial" w:cs="Arial"/>
          <w:i/>
          <w:iCs/>
          <w:sz w:val="20"/>
        </w:rPr>
        <w:t xml:space="preserve"> the C</w:t>
      </w:r>
      <w:r w:rsidR="007F3C91">
        <w:rPr>
          <w:rFonts w:ascii="Arial" w:hAnsi="Arial" w:cs="Arial"/>
          <w:i/>
          <w:iCs/>
          <w:sz w:val="20"/>
        </w:rPr>
        <w:t xml:space="preserve">zech Republic </w:t>
      </w:r>
      <w:r>
        <w:rPr>
          <w:rFonts w:ascii="Arial" w:hAnsi="Arial" w:cs="Arial"/>
          <w:i/>
          <w:iCs/>
          <w:sz w:val="20"/>
        </w:rPr>
        <w:t>that occurred abroad.</w:t>
      </w:r>
    </w:p>
    <w:p w:rsidR="002164EA" w:rsidRPr="003D3AC8" w:rsidRDefault="0021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i/>
          <w:iCs/>
          <w:sz w:val="20"/>
        </w:rPr>
      </w:pP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1B1502" w:rsidP="00DC0CC2">
      <w:pPr>
        <w:pStyle w:val="Normlnweb"/>
        <w:spacing w:before="0" w:beforeAutospacing="0" w:after="0" w:afterAutospacing="0"/>
        <w:jc w:val="both"/>
        <w:rPr>
          <w:rFonts w:ascii="Arial" w:hAnsi="Arial" w:cs="Arial"/>
          <w:i/>
          <w:iCs/>
          <w:color w:val="auto"/>
          <w:sz w:val="20"/>
          <w:szCs w:val="17"/>
          <w:lang w:val="en-GB"/>
        </w:rPr>
      </w:pPr>
      <w:r>
        <w:rPr>
          <w:rFonts w:ascii="Arial" w:hAnsi="Arial" w:cs="Arial"/>
          <w:i/>
          <w:iCs/>
          <w:color w:val="auto"/>
          <w:sz w:val="20"/>
          <w:szCs w:val="17"/>
          <w:lang w:val="en-GB"/>
        </w:rPr>
        <w:t xml:space="preserve">Table </w:t>
      </w:r>
      <w:r>
        <w:rPr>
          <w:rFonts w:ascii="Arial" w:hAnsi="Arial" w:cs="Arial"/>
          <w:b/>
          <w:bCs/>
          <w:i/>
          <w:iCs/>
          <w:color w:val="auto"/>
          <w:sz w:val="20"/>
          <w:szCs w:val="17"/>
          <w:lang w:val="en-GB"/>
        </w:rPr>
        <w:t>4</w:t>
      </w:r>
      <w:r>
        <w:rPr>
          <w:rFonts w:ascii="Arial" w:hAnsi="Arial" w:cs="Arial"/>
          <w:i/>
          <w:iCs/>
          <w:color w:val="auto"/>
          <w:sz w:val="20"/>
          <w:szCs w:val="17"/>
          <w:lang w:val="en-GB"/>
        </w:rPr>
        <w:t xml:space="preserve">-1 </w:t>
      </w:r>
      <w:r>
        <w:rPr>
          <w:rFonts w:ascii="Arial" w:hAnsi="Arial" w:cs="Arial"/>
          <w:b/>
          <w:bCs/>
          <w:i/>
          <w:iCs/>
          <w:color w:val="auto"/>
          <w:sz w:val="20"/>
          <w:szCs w:val="17"/>
          <w:lang w:val="en-GB"/>
        </w:rPr>
        <w:t>Population and vital statistics</w:t>
      </w:r>
    </w:p>
    <w:p w:rsidR="002164EA" w:rsidRPr="003D3AC8" w:rsidRDefault="00ED6567">
      <w:pPr>
        <w:pStyle w:val="Normlnweb"/>
        <w:spacing w:before="120" w:beforeAutospacing="0" w:after="0" w:afterAutospacing="0"/>
        <w:ind w:firstLine="709"/>
        <w:jc w:val="both"/>
        <w:rPr>
          <w:rFonts w:ascii="Arial" w:hAnsi="Arial" w:cs="Arial"/>
          <w:i/>
          <w:iCs/>
          <w:color w:val="auto"/>
          <w:sz w:val="20"/>
          <w:szCs w:val="17"/>
          <w:lang w:val="en-GB"/>
        </w:rPr>
      </w:pPr>
      <w:r w:rsidRPr="00ED6567">
        <w:rPr>
          <w:rFonts w:ascii="Arial" w:hAnsi="Arial" w:cs="Arial"/>
          <w:bCs/>
          <w:i/>
          <w:iCs/>
          <w:color w:val="auto"/>
          <w:sz w:val="20"/>
          <w:szCs w:val="17"/>
          <w:lang w:val="en-GB"/>
        </w:rPr>
        <w:t>The</w:t>
      </w:r>
      <w:r w:rsidR="00023998">
        <w:rPr>
          <w:rFonts w:ascii="Arial" w:hAnsi="Arial" w:cs="Arial"/>
          <w:bCs/>
          <w:i/>
          <w:iCs/>
          <w:color w:val="auto"/>
          <w:sz w:val="20"/>
          <w:szCs w:val="17"/>
          <w:lang w:val="en-GB"/>
        </w:rPr>
        <w:t> </w:t>
      </w:r>
      <w:r w:rsidR="00A0409A">
        <w:rPr>
          <w:rFonts w:ascii="Arial" w:hAnsi="Arial" w:cs="Arial"/>
          <w:b/>
          <w:bCs/>
          <w:i/>
          <w:iCs/>
          <w:color w:val="auto"/>
          <w:sz w:val="20"/>
          <w:szCs w:val="17"/>
          <w:lang w:val="en-GB"/>
        </w:rPr>
        <w:t>m</w:t>
      </w:r>
      <w:r w:rsidR="001B1502">
        <w:rPr>
          <w:rFonts w:ascii="Arial" w:hAnsi="Arial" w:cs="Arial"/>
          <w:b/>
          <w:bCs/>
          <w:i/>
          <w:iCs/>
          <w:color w:val="auto"/>
          <w:sz w:val="20"/>
          <w:szCs w:val="17"/>
          <w:lang w:val="en-GB"/>
        </w:rPr>
        <w:t>id-year population</w:t>
      </w:r>
      <w:r w:rsidR="00F13B92">
        <w:rPr>
          <w:rFonts w:ascii="Arial" w:hAnsi="Arial" w:cs="Arial"/>
          <w:i/>
          <w:iCs/>
          <w:color w:val="auto"/>
          <w:sz w:val="20"/>
          <w:szCs w:val="17"/>
          <w:lang w:val="en-GB"/>
        </w:rPr>
        <w:t xml:space="preserve"> is</w:t>
      </w:r>
      <w:r w:rsidR="001B1502">
        <w:rPr>
          <w:rFonts w:ascii="Arial" w:hAnsi="Arial" w:cs="Arial"/>
          <w:i/>
          <w:iCs/>
          <w:color w:val="auto"/>
          <w:sz w:val="20"/>
          <w:szCs w:val="17"/>
          <w:lang w:val="en-GB"/>
        </w:rPr>
        <w:t xml:space="preserve"> the number of inhabitants balanced as at 1 July of the reference year.</w:t>
      </w:r>
    </w:p>
    <w:p w:rsidR="002164EA" w:rsidRPr="003D3AC8" w:rsidRDefault="00ED6567">
      <w:pPr>
        <w:pStyle w:val="Normlnweb"/>
        <w:spacing w:before="120" w:beforeAutospacing="0" w:after="0" w:afterAutospacing="0"/>
        <w:ind w:firstLine="708"/>
        <w:jc w:val="both"/>
        <w:rPr>
          <w:rFonts w:ascii="Arial" w:hAnsi="Arial" w:cs="Arial"/>
          <w:i/>
          <w:iCs/>
          <w:color w:val="auto"/>
          <w:sz w:val="20"/>
          <w:szCs w:val="17"/>
          <w:lang w:val="en-GB"/>
        </w:rPr>
      </w:pPr>
      <w:r w:rsidRPr="00ED6567">
        <w:rPr>
          <w:rFonts w:ascii="Arial" w:hAnsi="Arial" w:cs="Arial"/>
          <w:i/>
          <w:iCs/>
          <w:color w:val="auto"/>
          <w:sz w:val="20"/>
          <w:szCs w:val="17"/>
          <w:lang w:val="en-GB"/>
        </w:rPr>
        <w:t>The</w:t>
      </w:r>
      <w:r w:rsidR="00023998">
        <w:rPr>
          <w:rFonts w:ascii="Arial" w:hAnsi="Arial" w:cs="Arial"/>
          <w:i/>
          <w:iCs/>
          <w:color w:val="auto"/>
          <w:sz w:val="20"/>
          <w:szCs w:val="17"/>
          <w:lang w:val="en-GB"/>
        </w:rPr>
        <w:t> </w:t>
      </w:r>
      <w:r w:rsidR="00A0409A">
        <w:rPr>
          <w:rFonts w:ascii="Arial" w:hAnsi="Arial" w:cs="Arial"/>
          <w:b/>
          <w:i/>
          <w:iCs/>
          <w:color w:val="auto"/>
          <w:sz w:val="20"/>
          <w:szCs w:val="17"/>
          <w:lang w:val="en-GB"/>
        </w:rPr>
        <w:t>n</w:t>
      </w:r>
      <w:r w:rsidR="001B1502">
        <w:rPr>
          <w:rFonts w:ascii="Arial" w:hAnsi="Arial" w:cs="Arial"/>
          <w:b/>
          <w:i/>
          <w:iCs/>
          <w:color w:val="auto"/>
          <w:sz w:val="20"/>
          <w:szCs w:val="17"/>
          <w:lang w:val="en-GB"/>
        </w:rPr>
        <w:t xml:space="preserve">atural </w:t>
      </w:r>
      <w:r w:rsidR="00DE282D">
        <w:rPr>
          <w:rFonts w:ascii="Arial" w:hAnsi="Arial" w:cs="Arial"/>
          <w:b/>
          <w:i/>
          <w:iCs/>
          <w:color w:val="auto"/>
          <w:sz w:val="20"/>
          <w:szCs w:val="17"/>
          <w:lang w:val="en-GB"/>
        </w:rPr>
        <w:t>change</w:t>
      </w:r>
      <w:r w:rsidR="00F13B92">
        <w:rPr>
          <w:rFonts w:ascii="Arial" w:hAnsi="Arial" w:cs="Arial"/>
          <w:i/>
          <w:iCs/>
          <w:color w:val="auto"/>
          <w:sz w:val="20"/>
          <w:szCs w:val="17"/>
          <w:lang w:val="en-GB"/>
        </w:rPr>
        <w:t xml:space="preserve"> or</w:t>
      </w:r>
      <w:r w:rsidR="00DE282D">
        <w:rPr>
          <w:rFonts w:ascii="Arial" w:hAnsi="Arial" w:cs="Arial"/>
          <w:i/>
          <w:iCs/>
          <w:color w:val="auto"/>
          <w:sz w:val="20"/>
          <w:szCs w:val="17"/>
          <w:lang w:val="en-GB"/>
        </w:rPr>
        <w:t xml:space="preserve"> natural population change is</w:t>
      </w:r>
      <w:r w:rsidR="001B1502">
        <w:rPr>
          <w:rFonts w:ascii="Arial" w:hAnsi="Arial" w:cs="Arial"/>
          <w:i/>
          <w:iCs/>
          <w:color w:val="auto"/>
          <w:sz w:val="20"/>
          <w:szCs w:val="17"/>
          <w:lang w:val="en-GB"/>
        </w:rPr>
        <w:t xml:space="preserve"> the </w:t>
      </w:r>
      <w:r w:rsidR="00DE282D">
        <w:rPr>
          <w:rFonts w:ascii="Arial" w:hAnsi="Arial" w:cs="Arial"/>
          <w:i/>
          <w:iCs/>
          <w:color w:val="auto"/>
          <w:sz w:val="20"/>
          <w:szCs w:val="17"/>
          <w:lang w:val="en-GB"/>
        </w:rPr>
        <w:t>number of</w:t>
      </w:r>
      <w:r w:rsidR="001B1502">
        <w:rPr>
          <w:rFonts w:ascii="Arial" w:hAnsi="Arial" w:cs="Arial"/>
          <w:i/>
          <w:iCs/>
          <w:color w:val="auto"/>
          <w:sz w:val="20"/>
          <w:szCs w:val="17"/>
          <w:lang w:val="en-GB"/>
        </w:rPr>
        <w:t xml:space="preserve"> live births </w:t>
      </w:r>
      <w:r w:rsidR="00DE282D">
        <w:rPr>
          <w:rFonts w:ascii="Arial" w:hAnsi="Arial" w:cs="Arial"/>
          <w:i/>
          <w:iCs/>
          <w:color w:val="auto"/>
          <w:sz w:val="20"/>
          <w:szCs w:val="17"/>
          <w:lang w:val="en-GB"/>
        </w:rPr>
        <w:t>minus the</w:t>
      </w:r>
      <w:r w:rsidR="009D1DC9">
        <w:rPr>
          <w:rFonts w:ascii="Arial" w:hAnsi="Arial" w:cs="Arial"/>
          <w:i/>
          <w:iCs/>
          <w:color w:val="auto"/>
          <w:sz w:val="20"/>
          <w:szCs w:val="17"/>
          <w:lang w:val="en-GB"/>
        </w:rPr>
        <w:t> </w:t>
      </w:r>
      <w:r w:rsidR="001B1502">
        <w:rPr>
          <w:rFonts w:ascii="Arial" w:hAnsi="Arial" w:cs="Arial"/>
          <w:i/>
          <w:iCs/>
          <w:color w:val="auto"/>
          <w:sz w:val="20"/>
          <w:szCs w:val="17"/>
          <w:lang w:val="en-GB"/>
        </w:rPr>
        <w:t>number of deaths.</w:t>
      </w:r>
    </w:p>
    <w:p w:rsidR="001221E6" w:rsidRPr="00CF19DF" w:rsidRDefault="00ED6567">
      <w:pPr>
        <w:pStyle w:val="Normlnweb"/>
        <w:spacing w:before="120" w:beforeAutospacing="0" w:after="0" w:afterAutospacing="0"/>
        <w:ind w:firstLine="708"/>
        <w:jc w:val="both"/>
        <w:rPr>
          <w:rFonts w:ascii="Arial" w:hAnsi="Arial" w:cs="Arial"/>
          <w:i/>
          <w:iCs/>
          <w:color w:val="auto"/>
          <w:sz w:val="20"/>
          <w:szCs w:val="17"/>
          <w:lang w:val="en-GB"/>
        </w:rPr>
      </w:pPr>
      <w:r w:rsidRPr="00ED6567">
        <w:rPr>
          <w:rFonts w:ascii="Arial" w:hAnsi="Arial" w:cs="Arial"/>
          <w:i/>
          <w:iCs/>
          <w:color w:val="auto"/>
          <w:sz w:val="20"/>
          <w:szCs w:val="17"/>
          <w:lang w:val="en-GB"/>
        </w:rPr>
        <w:t>The</w:t>
      </w:r>
      <w:r w:rsidR="00023998">
        <w:rPr>
          <w:rFonts w:ascii="Arial" w:hAnsi="Arial" w:cs="Arial"/>
          <w:i/>
          <w:iCs/>
          <w:color w:val="auto"/>
          <w:sz w:val="20"/>
          <w:szCs w:val="17"/>
          <w:lang w:val="en-GB"/>
        </w:rPr>
        <w:t> </w:t>
      </w:r>
      <w:r w:rsidR="00A0409A">
        <w:rPr>
          <w:rFonts w:ascii="Arial" w:hAnsi="Arial" w:cs="Arial"/>
          <w:b/>
          <w:i/>
          <w:iCs/>
          <w:color w:val="auto"/>
          <w:sz w:val="20"/>
          <w:szCs w:val="17"/>
          <w:lang w:val="en-GB"/>
        </w:rPr>
        <w:t>n</w:t>
      </w:r>
      <w:r w:rsidR="001B1502">
        <w:rPr>
          <w:rFonts w:ascii="Arial" w:hAnsi="Arial" w:cs="Arial"/>
          <w:b/>
          <w:i/>
          <w:iCs/>
          <w:color w:val="auto"/>
          <w:sz w:val="20"/>
          <w:szCs w:val="17"/>
          <w:lang w:val="en-GB"/>
        </w:rPr>
        <w:t>et migration</w:t>
      </w:r>
      <w:r w:rsidR="00F13B92">
        <w:rPr>
          <w:rFonts w:ascii="Arial" w:hAnsi="Arial" w:cs="Arial"/>
          <w:i/>
          <w:iCs/>
          <w:color w:val="auto"/>
          <w:sz w:val="20"/>
          <w:szCs w:val="17"/>
          <w:lang w:val="en-GB"/>
        </w:rPr>
        <w:t xml:space="preserve"> is</w:t>
      </w:r>
      <w:r w:rsidR="003B3394" w:rsidRPr="003B3394">
        <w:rPr>
          <w:rFonts w:ascii="Arial" w:hAnsi="Arial" w:cs="Arial"/>
          <w:i/>
          <w:iCs/>
          <w:color w:val="auto"/>
          <w:sz w:val="20"/>
          <w:szCs w:val="17"/>
          <w:lang w:val="en-GB"/>
        </w:rPr>
        <w:t xml:space="preserve"> the difference between the number of immigrants and emigrants.</w:t>
      </w:r>
    </w:p>
    <w:p w:rsidR="002164EA" w:rsidRPr="003D3AC8" w:rsidRDefault="00ED6567">
      <w:pPr>
        <w:pStyle w:val="Normlnweb"/>
        <w:spacing w:before="120" w:beforeAutospacing="0" w:after="0" w:afterAutospacing="0"/>
        <w:ind w:firstLine="709"/>
        <w:jc w:val="both"/>
        <w:rPr>
          <w:rFonts w:ascii="Arial" w:hAnsi="Arial" w:cs="Arial"/>
          <w:i/>
          <w:iCs/>
          <w:color w:val="auto"/>
          <w:sz w:val="20"/>
          <w:lang w:val="en-GB"/>
        </w:rPr>
      </w:pPr>
      <w:r w:rsidRPr="00ED6567">
        <w:rPr>
          <w:rFonts w:ascii="Arial" w:hAnsi="Arial" w:cs="Arial"/>
          <w:bCs/>
          <w:i/>
          <w:iCs/>
          <w:color w:val="auto"/>
          <w:sz w:val="20"/>
          <w:lang w:val="en-GB"/>
        </w:rPr>
        <w:t>The</w:t>
      </w:r>
      <w:r w:rsidR="00023998">
        <w:rPr>
          <w:rFonts w:ascii="Arial" w:hAnsi="Arial" w:cs="Arial"/>
          <w:b/>
          <w:bCs/>
          <w:i/>
          <w:iCs/>
          <w:color w:val="auto"/>
          <w:sz w:val="20"/>
          <w:lang w:val="en-GB"/>
        </w:rPr>
        <w:t> </w:t>
      </w:r>
      <w:r w:rsidR="00A0409A">
        <w:rPr>
          <w:rFonts w:ascii="Arial" w:hAnsi="Arial" w:cs="Arial"/>
          <w:b/>
          <w:bCs/>
          <w:i/>
          <w:iCs/>
          <w:color w:val="auto"/>
          <w:sz w:val="20"/>
          <w:lang w:val="en-GB"/>
        </w:rPr>
        <w:t>i</w:t>
      </w:r>
      <w:r w:rsidR="001B1502">
        <w:rPr>
          <w:rFonts w:ascii="Arial" w:hAnsi="Arial" w:cs="Arial"/>
          <w:b/>
          <w:bCs/>
          <w:i/>
          <w:iCs/>
          <w:color w:val="auto"/>
          <w:sz w:val="20"/>
          <w:lang w:val="en-GB"/>
        </w:rPr>
        <w:t>nfant mortality rate</w:t>
      </w:r>
      <w:r w:rsidR="00F13B92">
        <w:rPr>
          <w:rFonts w:ascii="Arial" w:hAnsi="Arial" w:cs="Arial"/>
          <w:i/>
          <w:iCs/>
          <w:color w:val="auto"/>
          <w:sz w:val="20"/>
          <w:lang w:val="en-GB"/>
        </w:rPr>
        <w:t xml:space="preserve"> is</w:t>
      </w:r>
      <w:r w:rsidR="001B1502">
        <w:rPr>
          <w:rFonts w:ascii="Arial" w:hAnsi="Arial" w:cs="Arial"/>
          <w:i/>
          <w:iCs/>
          <w:color w:val="auto"/>
          <w:sz w:val="20"/>
          <w:lang w:val="en-GB"/>
        </w:rPr>
        <w:t xml:space="preserve"> the number of deaths under one year of age per 1 000 live births.</w:t>
      </w: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1B1502" w:rsidP="00DC0CC2">
      <w:pPr>
        <w:pStyle w:val="Normlnweb"/>
        <w:spacing w:before="0" w:beforeAutospacing="0" w:after="0" w:afterAutospacing="0"/>
        <w:jc w:val="both"/>
        <w:rPr>
          <w:rFonts w:ascii="Arial" w:hAnsi="Arial" w:cs="Arial"/>
          <w:i/>
          <w:iCs/>
          <w:color w:val="auto"/>
          <w:sz w:val="20"/>
          <w:szCs w:val="17"/>
          <w:lang w:val="en-GB"/>
        </w:rPr>
      </w:pPr>
      <w:r>
        <w:rPr>
          <w:rFonts w:ascii="Arial" w:hAnsi="Arial" w:cs="Arial"/>
          <w:i/>
          <w:iCs/>
          <w:color w:val="auto"/>
          <w:sz w:val="20"/>
          <w:szCs w:val="17"/>
          <w:lang w:val="en-GB"/>
        </w:rPr>
        <w:t xml:space="preserve">Tables </w:t>
      </w:r>
      <w:r>
        <w:rPr>
          <w:rFonts w:ascii="Arial" w:hAnsi="Arial" w:cs="Arial"/>
          <w:b/>
          <w:bCs/>
          <w:i/>
          <w:iCs/>
          <w:color w:val="auto"/>
          <w:sz w:val="20"/>
          <w:szCs w:val="17"/>
          <w:lang w:val="en-GB"/>
        </w:rPr>
        <w:t>4</w:t>
      </w:r>
      <w:r>
        <w:rPr>
          <w:rFonts w:ascii="Arial" w:hAnsi="Arial" w:cs="Arial"/>
          <w:i/>
          <w:iCs/>
          <w:color w:val="auto"/>
          <w:sz w:val="20"/>
          <w:szCs w:val="17"/>
          <w:lang w:val="en-GB"/>
        </w:rPr>
        <w:t xml:space="preserve">-10 to </w:t>
      </w:r>
      <w:r>
        <w:rPr>
          <w:rFonts w:ascii="Arial" w:hAnsi="Arial" w:cs="Arial"/>
          <w:b/>
          <w:bCs/>
          <w:i/>
          <w:iCs/>
          <w:color w:val="auto"/>
          <w:sz w:val="20"/>
          <w:szCs w:val="17"/>
          <w:lang w:val="en-GB"/>
        </w:rPr>
        <w:t>4</w:t>
      </w:r>
      <w:r>
        <w:rPr>
          <w:rFonts w:ascii="Arial" w:hAnsi="Arial" w:cs="Arial"/>
          <w:i/>
          <w:iCs/>
          <w:color w:val="auto"/>
          <w:sz w:val="20"/>
          <w:szCs w:val="17"/>
          <w:lang w:val="en-GB"/>
        </w:rPr>
        <w:t>-</w:t>
      </w:r>
      <w:r w:rsidR="002B04FF">
        <w:rPr>
          <w:rFonts w:ascii="Arial" w:hAnsi="Arial" w:cs="Arial"/>
          <w:i/>
          <w:iCs/>
          <w:color w:val="auto"/>
          <w:sz w:val="20"/>
          <w:szCs w:val="17"/>
          <w:lang w:val="en-GB"/>
        </w:rPr>
        <w:t>14</w:t>
      </w:r>
      <w:r>
        <w:rPr>
          <w:rFonts w:ascii="Arial" w:hAnsi="Arial" w:cs="Arial"/>
          <w:i/>
          <w:iCs/>
          <w:color w:val="auto"/>
          <w:sz w:val="20"/>
          <w:szCs w:val="17"/>
          <w:lang w:val="en-GB"/>
        </w:rPr>
        <w:t xml:space="preserve"> </w:t>
      </w:r>
      <w:r>
        <w:rPr>
          <w:rFonts w:ascii="Arial" w:hAnsi="Arial" w:cs="Arial"/>
          <w:b/>
          <w:bCs/>
          <w:i/>
          <w:iCs/>
          <w:color w:val="auto"/>
          <w:sz w:val="20"/>
          <w:szCs w:val="17"/>
          <w:lang w:val="en-GB"/>
        </w:rPr>
        <w:t>Births</w:t>
      </w:r>
      <w:r>
        <w:rPr>
          <w:rFonts w:ascii="Arial" w:hAnsi="Arial" w:cs="Arial"/>
          <w:i/>
          <w:iCs/>
          <w:color w:val="auto"/>
          <w:sz w:val="20"/>
          <w:szCs w:val="17"/>
          <w:lang w:val="en-GB"/>
        </w:rPr>
        <w:t xml:space="preserve"> and </w:t>
      </w:r>
      <w:r w:rsidR="006A423A">
        <w:rPr>
          <w:rFonts w:ascii="Arial" w:hAnsi="Arial" w:cs="Arial"/>
          <w:b/>
          <w:i/>
          <w:iCs/>
          <w:color w:val="auto"/>
          <w:sz w:val="20"/>
          <w:szCs w:val="17"/>
          <w:lang w:val="en-GB"/>
        </w:rPr>
        <w:t>a</w:t>
      </w:r>
      <w:r>
        <w:rPr>
          <w:rFonts w:ascii="Arial" w:hAnsi="Arial" w:cs="Arial"/>
          <w:b/>
          <w:i/>
          <w:iCs/>
          <w:color w:val="auto"/>
          <w:sz w:val="20"/>
          <w:szCs w:val="17"/>
          <w:lang w:val="en-GB"/>
        </w:rPr>
        <w:t>bortions</w:t>
      </w:r>
    </w:p>
    <w:p w:rsidR="002164EA" w:rsidRPr="003D3AC8" w:rsidRDefault="001B1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ind w:firstLine="720"/>
        <w:jc w:val="both"/>
        <w:rPr>
          <w:rFonts w:ascii="Arial" w:hAnsi="Arial" w:cs="Arial"/>
          <w:i/>
          <w:iCs/>
          <w:sz w:val="20"/>
        </w:rPr>
      </w:pPr>
      <w:r>
        <w:rPr>
          <w:rFonts w:ascii="Arial" w:hAnsi="Arial" w:cs="Arial"/>
          <w:i/>
          <w:sz w:val="20"/>
        </w:rPr>
        <w:t xml:space="preserve">As at 1 April 2012, the Decree of the Ministry of Health </w:t>
      </w:r>
      <w:r w:rsidR="0013685B">
        <w:rPr>
          <w:rFonts w:ascii="Arial" w:hAnsi="Arial" w:cs="Arial"/>
          <w:i/>
          <w:sz w:val="20"/>
        </w:rPr>
        <w:t>No</w:t>
      </w:r>
      <w:r>
        <w:rPr>
          <w:rFonts w:ascii="Arial" w:hAnsi="Arial" w:cs="Arial"/>
          <w:i/>
          <w:sz w:val="20"/>
        </w:rPr>
        <w:t> 11/1988 </w:t>
      </w:r>
      <w:r w:rsidR="0013685B">
        <w:rPr>
          <w:rFonts w:ascii="Arial" w:hAnsi="Arial" w:cs="Arial"/>
          <w:i/>
          <w:sz w:val="20"/>
        </w:rPr>
        <w:t>Sb</w:t>
      </w:r>
      <w:r>
        <w:rPr>
          <w:rFonts w:ascii="Arial" w:hAnsi="Arial" w:cs="Arial"/>
          <w:i/>
          <w:sz w:val="20"/>
        </w:rPr>
        <w:t xml:space="preserve">, on mandatory notifications of terminated pregnancies, death of a child, and death </w:t>
      </w:r>
      <w:r w:rsidR="00CF19DF">
        <w:rPr>
          <w:rFonts w:ascii="Arial" w:hAnsi="Arial" w:cs="Arial"/>
          <w:i/>
          <w:sz w:val="20"/>
        </w:rPr>
        <w:t>of the mother was cancelled; in </w:t>
      </w:r>
      <w:r>
        <w:rPr>
          <w:rFonts w:ascii="Arial" w:hAnsi="Arial" w:cs="Arial"/>
          <w:i/>
          <w:sz w:val="20"/>
        </w:rPr>
        <w:t xml:space="preserve">the period from 1 March 1988 to 31 March 2012 it defined </w:t>
      </w:r>
      <w:r>
        <w:rPr>
          <w:rFonts w:ascii="Arial" w:hAnsi="Arial" w:cs="Arial"/>
          <w:i/>
          <w:iCs/>
          <w:sz w:val="20"/>
        </w:rPr>
        <w:t>a </w:t>
      </w:r>
      <w:r>
        <w:rPr>
          <w:rFonts w:ascii="Arial" w:hAnsi="Arial" w:cs="Arial"/>
          <w:b/>
          <w:bCs/>
          <w:i/>
          <w:iCs/>
          <w:sz w:val="20"/>
        </w:rPr>
        <w:t>live birth</w:t>
      </w:r>
      <w:r>
        <w:rPr>
          <w:rFonts w:ascii="Arial" w:hAnsi="Arial" w:cs="Arial"/>
          <w:i/>
          <w:iCs/>
          <w:sz w:val="20"/>
        </w:rPr>
        <w:t xml:space="preserve"> as the complete expulsion or extraction </w:t>
      </w:r>
      <w:r w:rsidR="000576A1">
        <w:rPr>
          <w:rFonts w:ascii="Arial" w:hAnsi="Arial" w:cs="Arial"/>
          <w:i/>
          <w:iCs/>
          <w:sz w:val="20"/>
        </w:rPr>
        <w:t xml:space="preserve">of a child </w:t>
      </w:r>
      <w:r>
        <w:rPr>
          <w:rFonts w:ascii="Arial" w:hAnsi="Arial" w:cs="Arial"/>
          <w:i/>
          <w:iCs/>
          <w:sz w:val="20"/>
        </w:rPr>
        <w:t>from its mother provided that the child shows at least one</w:t>
      </w:r>
      <w:r w:rsidR="001A5430">
        <w:rPr>
          <w:rFonts w:ascii="Arial" w:hAnsi="Arial" w:cs="Arial"/>
          <w:i/>
          <w:iCs/>
          <w:sz w:val="20"/>
        </w:rPr>
        <w:t xml:space="preserve"> of the</w:t>
      </w:r>
      <w:r>
        <w:rPr>
          <w:rFonts w:ascii="Arial" w:hAnsi="Arial" w:cs="Arial"/>
          <w:i/>
          <w:iCs/>
          <w:sz w:val="20"/>
        </w:rPr>
        <w:t xml:space="preserve"> sign</w:t>
      </w:r>
      <w:r w:rsidR="001A5430">
        <w:rPr>
          <w:rFonts w:ascii="Arial" w:hAnsi="Arial" w:cs="Arial"/>
          <w:i/>
          <w:iCs/>
          <w:sz w:val="20"/>
        </w:rPr>
        <w:t>s</w:t>
      </w:r>
      <w:r w:rsidR="00CF19DF">
        <w:rPr>
          <w:rFonts w:ascii="Arial" w:hAnsi="Arial" w:cs="Arial"/>
          <w:i/>
          <w:iCs/>
          <w:sz w:val="20"/>
        </w:rPr>
        <w:t xml:space="preserve"> of life and </w:t>
      </w:r>
      <w:r>
        <w:rPr>
          <w:rFonts w:ascii="Arial" w:hAnsi="Arial" w:cs="Arial"/>
          <w:i/>
          <w:iCs/>
          <w:sz w:val="20"/>
        </w:rPr>
        <w:t>its birth weight is:</w:t>
      </w:r>
    </w:p>
    <w:p w:rsidR="002164EA" w:rsidRPr="003D3AC8" w:rsidRDefault="009D1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w:hAnsi="Arial" w:cs="Arial"/>
          <w:i/>
          <w:iCs/>
          <w:sz w:val="20"/>
        </w:rPr>
      </w:pPr>
      <w:r>
        <w:rPr>
          <w:rFonts w:ascii="Arial" w:hAnsi="Arial" w:cs="Arial"/>
          <w:i/>
          <w:iCs/>
          <w:sz w:val="20"/>
        </w:rPr>
        <w:t>a) 500 g or more, or</w:t>
      </w:r>
    </w:p>
    <w:p w:rsidR="002164EA" w:rsidRPr="003D3AC8" w:rsidRDefault="001B1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w:hAnsi="Arial" w:cs="Arial"/>
          <w:i/>
          <w:iCs/>
          <w:sz w:val="20"/>
        </w:rPr>
      </w:pPr>
      <w:r>
        <w:rPr>
          <w:rFonts w:ascii="Arial" w:hAnsi="Arial" w:cs="Arial"/>
          <w:i/>
          <w:iCs/>
          <w:sz w:val="20"/>
        </w:rPr>
        <w:t>b) lower than 500 g, if it su</w:t>
      </w:r>
      <w:r w:rsidR="009D1DC9">
        <w:rPr>
          <w:rFonts w:ascii="Arial" w:hAnsi="Arial" w:cs="Arial"/>
          <w:i/>
          <w:iCs/>
          <w:sz w:val="20"/>
        </w:rPr>
        <w:t xml:space="preserve">rvives </w:t>
      </w:r>
      <w:r w:rsidR="005A4EC8">
        <w:rPr>
          <w:rFonts w:ascii="Arial" w:hAnsi="Arial" w:cs="Arial"/>
          <w:i/>
          <w:iCs/>
          <w:sz w:val="20"/>
        </w:rPr>
        <w:t xml:space="preserve">the first </w:t>
      </w:r>
      <w:r w:rsidR="009D1DC9">
        <w:rPr>
          <w:rFonts w:ascii="Arial" w:hAnsi="Arial" w:cs="Arial"/>
          <w:i/>
          <w:iCs/>
          <w:sz w:val="20"/>
        </w:rPr>
        <w:t xml:space="preserve">24 hours after </w:t>
      </w:r>
      <w:r w:rsidR="00E34091">
        <w:rPr>
          <w:rFonts w:ascii="Arial" w:hAnsi="Arial" w:cs="Arial"/>
          <w:i/>
          <w:iCs/>
          <w:sz w:val="20"/>
        </w:rPr>
        <w:t>birth</w:t>
      </w:r>
      <w:r w:rsidR="009D1DC9">
        <w:rPr>
          <w:rFonts w:ascii="Arial" w:hAnsi="Arial" w:cs="Arial"/>
          <w:i/>
          <w:iCs/>
          <w:sz w:val="20"/>
        </w:rPr>
        <w:t>.</w:t>
      </w:r>
    </w:p>
    <w:p w:rsidR="002164EA" w:rsidRPr="003D3AC8" w:rsidRDefault="001B1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ind w:firstLine="720"/>
        <w:jc w:val="both"/>
        <w:rPr>
          <w:rFonts w:ascii="Arial" w:hAnsi="Arial" w:cs="Arial"/>
          <w:i/>
          <w:iCs/>
          <w:sz w:val="20"/>
        </w:rPr>
      </w:pPr>
      <w:r>
        <w:rPr>
          <w:rFonts w:ascii="Arial" w:hAnsi="Arial" w:cs="Arial"/>
          <w:i/>
          <w:iCs/>
          <w:sz w:val="20"/>
        </w:rPr>
        <w:t xml:space="preserve">The signs of life </w:t>
      </w:r>
      <w:r w:rsidR="00011C59">
        <w:rPr>
          <w:rFonts w:ascii="Arial" w:hAnsi="Arial" w:cs="Arial"/>
          <w:i/>
          <w:iCs/>
          <w:sz w:val="20"/>
        </w:rPr>
        <w:t>were</w:t>
      </w:r>
      <w:r>
        <w:rPr>
          <w:rFonts w:ascii="Arial" w:hAnsi="Arial" w:cs="Arial"/>
          <w:i/>
          <w:iCs/>
          <w:sz w:val="20"/>
        </w:rPr>
        <w:t xml:space="preserve">: breathing or beating of the heart or </w:t>
      </w:r>
      <w:r>
        <w:rPr>
          <w:rFonts w:ascii="Arial" w:hAnsi="Arial" w:cs="Arial"/>
          <w:i/>
          <w:iCs/>
          <w:color w:val="000000"/>
          <w:sz w:val="20"/>
          <w:szCs w:val="20"/>
        </w:rPr>
        <w:t>pulsation of the umbilical cord, or movement of voluntary muscles, although the umbilical cord has not been cut or the placenta has not been delivered.</w:t>
      </w:r>
    </w:p>
    <w:p w:rsidR="002164EA" w:rsidRPr="003D3AC8" w:rsidRDefault="001B1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ind w:firstLine="720"/>
        <w:jc w:val="both"/>
        <w:rPr>
          <w:rFonts w:ascii="Arial" w:hAnsi="Arial" w:cs="Arial"/>
          <w:i/>
          <w:iCs/>
          <w:sz w:val="20"/>
        </w:rPr>
      </w:pPr>
      <w:r>
        <w:rPr>
          <w:rFonts w:ascii="Arial" w:hAnsi="Arial" w:cs="Arial"/>
          <w:i/>
          <w:iCs/>
          <w:sz w:val="20"/>
        </w:rPr>
        <w:t>A </w:t>
      </w:r>
      <w:r>
        <w:rPr>
          <w:rFonts w:ascii="Arial" w:hAnsi="Arial" w:cs="Arial"/>
          <w:b/>
          <w:bCs/>
          <w:i/>
          <w:iCs/>
          <w:sz w:val="20"/>
        </w:rPr>
        <w:t>stillbirth</w:t>
      </w:r>
      <w:r>
        <w:rPr>
          <w:rFonts w:ascii="Arial" w:hAnsi="Arial" w:cs="Arial"/>
          <w:i/>
          <w:iCs/>
          <w:sz w:val="20"/>
        </w:rPr>
        <w:t xml:space="preserve"> was understood as the complete expulsion or extraction from its mother of a foetus that shows no</w:t>
      </w:r>
      <w:r w:rsidR="00CA60A8">
        <w:rPr>
          <w:rFonts w:ascii="Arial" w:hAnsi="Arial" w:cs="Arial"/>
          <w:i/>
          <w:iCs/>
          <w:sz w:val="20"/>
        </w:rPr>
        <w:t>ne of the</w:t>
      </w:r>
      <w:r>
        <w:rPr>
          <w:rFonts w:ascii="Arial" w:hAnsi="Arial" w:cs="Arial"/>
          <w:i/>
          <w:iCs/>
          <w:sz w:val="20"/>
        </w:rPr>
        <w:t> sign</w:t>
      </w:r>
      <w:r w:rsidR="00CA60A8">
        <w:rPr>
          <w:rFonts w:ascii="Arial" w:hAnsi="Arial" w:cs="Arial"/>
          <w:i/>
          <w:iCs/>
          <w:sz w:val="20"/>
        </w:rPr>
        <w:t>s</w:t>
      </w:r>
      <w:r>
        <w:rPr>
          <w:rFonts w:ascii="Arial" w:hAnsi="Arial" w:cs="Arial"/>
          <w:i/>
          <w:iCs/>
          <w:sz w:val="20"/>
        </w:rPr>
        <w:t xml:space="preserve"> of life and its birth weight is 1 000 g or more.</w:t>
      </w:r>
    </w:p>
    <w:p w:rsidR="00716283" w:rsidRPr="003D3AC8" w:rsidRDefault="001B1502" w:rsidP="000F2D04">
      <w:pPr>
        <w:spacing w:before="120"/>
        <w:ind w:firstLine="709"/>
        <w:jc w:val="both"/>
        <w:rPr>
          <w:rFonts w:ascii="Arial" w:hAnsi="Arial" w:cs="Arial"/>
          <w:bCs/>
          <w:i/>
          <w:sz w:val="20"/>
        </w:rPr>
      </w:pPr>
      <w:r>
        <w:rPr>
          <w:rFonts w:ascii="Arial" w:hAnsi="Arial" w:cs="Arial"/>
          <w:bCs/>
          <w:i/>
          <w:sz w:val="20"/>
        </w:rPr>
        <w:t>An </w:t>
      </w:r>
      <w:r>
        <w:rPr>
          <w:rFonts w:ascii="Arial" w:hAnsi="Arial" w:cs="Arial"/>
          <w:b/>
          <w:bCs/>
          <w:i/>
          <w:sz w:val="20"/>
        </w:rPr>
        <w:t xml:space="preserve">abortion </w:t>
      </w:r>
      <w:r>
        <w:rPr>
          <w:rFonts w:ascii="Arial" w:hAnsi="Arial" w:cs="Arial"/>
          <w:bCs/>
          <w:i/>
          <w:sz w:val="20"/>
        </w:rPr>
        <w:t>was understood as the termination of a pregnancy of a woman, at which:</w:t>
      </w:r>
    </w:p>
    <w:p w:rsidR="002A61AF" w:rsidRPr="003D3AC8" w:rsidRDefault="001B1502" w:rsidP="002A61AF">
      <w:pPr>
        <w:pStyle w:val="Normlnweb"/>
        <w:spacing w:before="120" w:beforeAutospacing="0" w:after="0" w:afterAutospacing="0"/>
        <w:ind w:left="227" w:hanging="227"/>
        <w:jc w:val="both"/>
        <w:rPr>
          <w:rFonts w:ascii="Arial" w:hAnsi="Arial" w:cs="Arial"/>
          <w:i/>
          <w:iCs/>
          <w:color w:val="auto"/>
          <w:sz w:val="20"/>
          <w:lang w:val="en-GB"/>
        </w:rPr>
      </w:pPr>
      <w:r>
        <w:rPr>
          <w:rFonts w:ascii="Arial" w:hAnsi="Arial" w:cs="Arial"/>
          <w:i/>
          <w:iCs/>
          <w:color w:val="auto"/>
          <w:sz w:val="20"/>
          <w:lang w:val="en-GB"/>
        </w:rPr>
        <w:t xml:space="preserve">a) the foetus </w:t>
      </w:r>
      <w:r w:rsidR="005C4708">
        <w:rPr>
          <w:rFonts w:ascii="Arial" w:hAnsi="Arial" w:cs="Arial"/>
          <w:i/>
          <w:iCs/>
          <w:color w:val="auto"/>
          <w:sz w:val="20"/>
          <w:lang w:val="en-GB"/>
        </w:rPr>
        <w:t>shows none of the</w:t>
      </w:r>
      <w:r w:rsidR="00023998">
        <w:rPr>
          <w:rFonts w:ascii="Arial" w:hAnsi="Arial" w:cs="Arial"/>
          <w:i/>
          <w:iCs/>
          <w:color w:val="auto"/>
          <w:sz w:val="20"/>
          <w:lang w:val="en-GB"/>
        </w:rPr>
        <w:t> </w:t>
      </w:r>
      <w:r w:rsidR="005C4708">
        <w:rPr>
          <w:rFonts w:ascii="Arial" w:hAnsi="Arial" w:cs="Arial"/>
          <w:i/>
          <w:iCs/>
          <w:color w:val="auto"/>
          <w:sz w:val="20"/>
          <w:lang w:val="en-GB"/>
        </w:rPr>
        <w:t>signs</w:t>
      </w:r>
      <w:r>
        <w:rPr>
          <w:rFonts w:ascii="Arial" w:hAnsi="Arial" w:cs="Arial"/>
          <w:i/>
          <w:iCs/>
          <w:color w:val="auto"/>
          <w:sz w:val="20"/>
          <w:lang w:val="en-GB"/>
        </w:rPr>
        <w:t xml:space="preserve"> of life and its birth weight is below 1 000 g and in case the weight cannot be measured, if the preg</w:t>
      </w:r>
      <w:r w:rsidR="009D1DC9">
        <w:rPr>
          <w:rFonts w:ascii="Arial" w:hAnsi="Arial" w:cs="Arial"/>
          <w:i/>
          <w:iCs/>
          <w:color w:val="auto"/>
          <w:sz w:val="20"/>
          <w:lang w:val="en-GB"/>
        </w:rPr>
        <w:t xml:space="preserve">nancy </w:t>
      </w:r>
      <w:r w:rsidR="005C4708">
        <w:rPr>
          <w:rFonts w:ascii="Arial" w:hAnsi="Arial" w:cs="Arial"/>
          <w:i/>
          <w:iCs/>
          <w:color w:val="auto"/>
          <w:sz w:val="20"/>
          <w:lang w:val="en-GB"/>
        </w:rPr>
        <w:t xml:space="preserve">lasted </w:t>
      </w:r>
      <w:r w:rsidR="009D1DC9">
        <w:rPr>
          <w:rFonts w:ascii="Arial" w:hAnsi="Arial" w:cs="Arial"/>
          <w:i/>
          <w:iCs/>
          <w:color w:val="auto"/>
          <w:sz w:val="20"/>
          <w:lang w:val="en-GB"/>
        </w:rPr>
        <w:t>less than 28 weeks;</w:t>
      </w:r>
    </w:p>
    <w:p w:rsidR="002A61AF" w:rsidRPr="003D3AC8" w:rsidRDefault="00CF19DF" w:rsidP="002A61AF">
      <w:pPr>
        <w:pStyle w:val="Normlnweb"/>
        <w:spacing w:before="120" w:beforeAutospacing="0" w:after="0" w:afterAutospacing="0"/>
        <w:ind w:left="227" w:hanging="227"/>
        <w:jc w:val="both"/>
        <w:rPr>
          <w:rFonts w:ascii="Arial" w:hAnsi="Arial" w:cs="Arial"/>
          <w:i/>
          <w:iCs/>
          <w:color w:val="auto"/>
          <w:sz w:val="20"/>
          <w:lang w:val="en-GB"/>
        </w:rPr>
      </w:pPr>
      <w:r>
        <w:rPr>
          <w:rFonts w:ascii="Arial" w:hAnsi="Arial" w:cs="Arial"/>
          <w:i/>
          <w:iCs/>
          <w:color w:val="auto"/>
          <w:sz w:val="20"/>
          <w:lang w:val="en-GB"/>
        </w:rPr>
        <w:lastRenderedPageBreak/>
        <w:t xml:space="preserve">b) the </w:t>
      </w:r>
      <w:r w:rsidR="001B1502">
        <w:rPr>
          <w:rFonts w:ascii="Arial" w:hAnsi="Arial" w:cs="Arial"/>
          <w:i/>
          <w:iCs/>
          <w:color w:val="auto"/>
          <w:sz w:val="20"/>
          <w:lang w:val="en-GB"/>
        </w:rPr>
        <w:t>foetus shows at least one of the signs of life and its birth weight is below 500 g, but it does not s</w:t>
      </w:r>
      <w:r w:rsidR="009D1DC9">
        <w:rPr>
          <w:rFonts w:ascii="Arial" w:hAnsi="Arial" w:cs="Arial"/>
          <w:i/>
          <w:iCs/>
          <w:color w:val="auto"/>
          <w:sz w:val="20"/>
          <w:lang w:val="en-GB"/>
        </w:rPr>
        <w:t xml:space="preserve">urvive </w:t>
      </w:r>
      <w:r w:rsidR="005C4708">
        <w:rPr>
          <w:rFonts w:ascii="Arial" w:hAnsi="Arial" w:cs="Arial"/>
          <w:i/>
          <w:iCs/>
          <w:color w:val="auto"/>
          <w:sz w:val="20"/>
          <w:lang w:val="en-GB"/>
        </w:rPr>
        <w:t>the</w:t>
      </w:r>
      <w:r w:rsidR="00023998">
        <w:rPr>
          <w:rFonts w:ascii="Arial" w:hAnsi="Arial" w:cs="Arial"/>
          <w:i/>
          <w:iCs/>
          <w:color w:val="auto"/>
          <w:sz w:val="20"/>
          <w:lang w:val="en-GB"/>
        </w:rPr>
        <w:t> </w:t>
      </w:r>
      <w:r w:rsidR="005C4708">
        <w:rPr>
          <w:rFonts w:ascii="Arial" w:hAnsi="Arial" w:cs="Arial"/>
          <w:i/>
          <w:iCs/>
          <w:color w:val="auto"/>
          <w:sz w:val="20"/>
          <w:lang w:val="en-GB"/>
        </w:rPr>
        <w:t xml:space="preserve">first </w:t>
      </w:r>
      <w:r w:rsidR="009D1DC9">
        <w:rPr>
          <w:rFonts w:ascii="Arial" w:hAnsi="Arial" w:cs="Arial"/>
          <w:i/>
          <w:iCs/>
          <w:color w:val="auto"/>
          <w:sz w:val="20"/>
          <w:lang w:val="en-GB"/>
        </w:rPr>
        <w:t xml:space="preserve">24 hours after </w:t>
      </w:r>
      <w:r w:rsidR="005C4708">
        <w:rPr>
          <w:rFonts w:ascii="Arial" w:hAnsi="Arial" w:cs="Arial"/>
          <w:i/>
          <w:iCs/>
          <w:color w:val="auto"/>
          <w:sz w:val="20"/>
          <w:lang w:val="en-GB"/>
        </w:rPr>
        <w:t>birth</w:t>
      </w:r>
      <w:r w:rsidR="009D1DC9">
        <w:rPr>
          <w:rFonts w:ascii="Arial" w:hAnsi="Arial" w:cs="Arial"/>
          <w:i/>
          <w:iCs/>
          <w:color w:val="auto"/>
          <w:sz w:val="20"/>
          <w:lang w:val="en-GB"/>
        </w:rPr>
        <w:t>;</w:t>
      </w:r>
    </w:p>
    <w:p w:rsidR="002A61AF" w:rsidRPr="003D3AC8" w:rsidRDefault="00CF19DF" w:rsidP="002A61AF">
      <w:pPr>
        <w:pStyle w:val="Normlnweb"/>
        <w:spacing w:before="120" w:beforeAutospacing="0" w:after="0" w:afterAutospacing="0"/>
        <w:jc w:val="both"/>
        <w:rPr>
          <w:rFonts w:ascii="Arial" w:hAnsi="Arial" w:cs="Arial"/>
          <w:i/>
          <w:iCs/>
          <w:color w:val="auto"/>
          <w:sz w:val="20"/>
          <w:lang w:val="en-GB"/>
        </w:rPr>
      </w:pPr>
      <w:r>
        <w:rPr>
          <w:rFonts w:ascii="Arial" w:hAnsi="Arial" w:cs="Arial"/>
          <w:i/>
          <w:iCs/>
          <w:color w:val="auto"/>
          <w:sz w:val="20"/>
          <w:lang w:val="en-GB"/>
        </w:rPr>
        <w:t xml:space="preserve">c) the </w:t>
      </w:r>
      <w:r w:rsidR="001B1502">
        <w:rPr>
          <w:rFonts w:ascii="Arial" w:hAnsi="Arial" w:cs="Arial"/>
          <w:i/>
          <w:iCs/>
          <w:color w:val="auto"/>
          <w:sz w:val="20"/>
          <w:lang w:val="en-GB"/>
        </w:rPr>
        <w:t>foetal egg without a foetus or decidua was remo</w:t>
      </w:r>
      <w:r w:rsidR="009D1DC9">
        <w:rPr>
          <w:rFonts w:ascii="Arial" w:hAnsi="Arial" w:cs="Arial"/>
          <w:i/>
          <w:iCs/>
          <w:color w:val="auto"/>
          <w:sz w:val="20"/>
          <w:lang w:val="en-GB"/>
        </w:rPr>
        <w:t>ved out of the female’s uterus.</w:t>
      </w:r>
    </w:p>
    <w:p w:rsidR="00716283" w:rsidRPr="003D3AC8" w:rsidRDefault="001B1502" w:rsidP="002A61AF">
      <w:pPr>
        <w:pStyle w:val="Zkladntextodsazen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after="0" w:line="240" w:lineRule="auto"/>
        <w:ind w:left="0" w:firstLine="709"/>
        <w:jc w:val="both"/>
        <w:rPr>
          <w:rFonts w:ascii="Arial" w:hAnsi="Arial" w:cs="Arial"/>
          <w:i/>
          <w:sz w:val="20"/>
        </w:rPr>
      </w:pPr>
      <w:r>
        <w:rPr>
          <w:rFonts w:ascii="Arial" w:hAnsi="Arial" w:cs="Arial"/>
          <w:i/>
          <w:iCs/>
          <w:sz w:val="20"/>
        </w:rPr>
        <w:t>Cases of termination</w:t>
      </w:r>
      <w:r w:rsidR="00D654F4">
        <w:rPr>
          <w:rFonts w:ascii="Arial" w:hAnsi="Arial" w:cs="Arial"/>
          <w:i/>
          <w:iCs/>
          <w:sz w:val="20"/>
        </w:rPr>
        <w:t>s</w:t>
      </w:r>
      <w:r>
        <w:rPr>
          <w:rFonts w:ascii="Arial" w:hAnsi="Arial" w:cs="Arial"/>
          <w:i/>
          <w:iCs/>
          <w:sz w:val="20"/>
        </w:rPr>
        <w:t xml:space="preserve"> of ectopic pregnanc</w:t>
      </w:r>
      <w:r w:rsidR="00D654F4">
        <w:rPr>
          <w:rFonts w:ascii="Arial" w:hAnsi="Arial" w:cs="Arial"/>
          <w:i/>
          <w:iCs/>
          <w:sz w:val="20"/>
        </w:rPr>
        <w:t>ies</w:t>
      </w:r>
      <w:r>
        <w:rPr>
          <w:rFonts w:ascii="Arial" w:hAnsi="Arial" w:cs="Arial"/>
          <w:i/>
          <w:iCs/>
          <w:sz w:val="20"/>
        </w:rPr>
        <w:t xml:space="preserve"> or induced abortions carried out as stipulated in special regulations wer</w:t>
      </w:r>
      <w:r w:rsidR="009D1DC9">
        <w:rPr>
          <w:rFonts w:ascii="Arial" w:hAnsi="Arial" w:cs="Arial"/>
          <w:i/>
          <w:iCs/>
          <w:sz w:val="20"/>
        </w:rPr>
        <w:t>e also considered as abortions.</w:t>
      </w:r>
    </w:p>
    <w:p w:rsidR="00F154D2" w:rsidRPr="003D3AC8" w:rsidRDefault="001B1502" w:rsidP="006A4C18">
      <w:pPr>
        <w:spacing w:before="120"/>
        <w:ind w:firstLine="709"/>
        <w:jc w:val="both"/>
        <w:rPr>
          <w:rFonts w:ascii="Arial" w:hAnsi="Arial" w:cs="Arial"/>
          <w:i/>
          <w:sz w:val="20"/>
          <w:szCs w:val="20"/>
        </w:rPr>
      </w:pPr>
      <w:r>
        <w:rPr>
          <w:rFonts w:ascii="Arial" w:hAnsi="Arial" w:cs="Arial"/>
          <w:i/>
          <w:sz w:val="20"/>
          <w:szCs w:val="20"/>
        </w:rPr>
        <w:t xml:space="preserve">Existing legal regulation, the Act </w:t>
      </w:r>
      <w:r w:rsidR="0013685B">
        <w:rPr>
          <w:rFonts w:ascii="Arial" w:hAnsi="Arial" w:cs="Arial"/>
          <w:i/>
          <w:sz w:val="20"/>
          <w:szCs w:val="20"/>
        </w:rPr>
        <w:t>No</w:t>
      </w:r>
      <w:r>
        <w:rPr>
          <w:rFonts w:ascii="Arial" w:hAnsi="Arial" w:cs="Arial"/>
          <w:i/>
          <w:sz w:val="20"/>
          <w:szCs w:val="20"/>
        </w:rPr>
        <w:t> 372/2011 </w:t>
      </w:r>
      <w:r w:rsidR="0013685B">
        <w:rPr>
          <w:rFonts w:ascii="Arial" w:hAnsi="Arial" w:cs="Arial"/>
          <w:i/>
          <w:sz w:val="20"/>
          <w:szCs w:val="20"/>
        </w:rPr>
        <w:t>Sb</w:t>
      </w:r>
      <w:r>
        <w:rPr>
          <w:rFonts w:ascii="Arial" w:hAnsi="Arial" w:cs="Arial"/>
          <w:i/>
          <w:sz w:val="20"/>
          <w:szCs w:val="20"/>
        </w:rPr>
        <w:t xml:space="preserve">, on </w:t>
      </w:r>
      <w:r w:rsidR="001216EA">
        <w:rPr>
          <w:rFonts w:ascii="Arial" w:hAnsi="Arial" w:cs="Arial"/>
          <w:i/>
          <w:sz w:val="20"/>
          <w:szCs w:val="20"/>
        </w:rPr>
        <w:t>H</w:t>
      </w:r>
      <w:r>
        <w:rPr>
          <w:rFonts w:ascii="Arial" w:hAnsi="Arial" w:cs="Arial"/>
          <w:i/>
          <w:sz w:val="20"/>
          <w:szCs w:val="20"/>
        </w:rPr>
        <w:t xml:space="preserve">ealth </w:t>
      </w:r>
      <w:r w:rsidR="001216EA">
        <w:rPr>
          <w:rFonts w:ascii="Arial" w:hAnsi="Arial" w:cs="Arial"/>
          <w:i/>
          <w:sz w:val="20"/>
          <w:szCs w:val="20"/>
        </w:rPr>
        <w:t>S</w:t>
      </w:r>
      <w:r>
        <w:rPr>
          <w:rFonts w:ascii="Arial" w:hAnsi="Arial" w:cs="Arial"/>
          <w:i/>
          <w:sz w:val="20"/>
          <w:szCs w:val="20"/>
        </w:rPr>
        <w:t>ervices, as amended, define</w:t>
      </w:r>
      <w:r w:rsidR="00EF2F07">
        <w:rPr>
          <w:rFonts w:ascii="Arial" w:hAnsi="Arial" w:cs="Arial"/>
          <w:i/>
          <w:sz w:val="20"/>
          <w:szCs w:val="20"/>
        </w:rPr>
        <w:t>s</w:t>
      </w:r>
      <w:r>
        <w:rPr>
          <w:rFonts w:ascii="Arial" w:hAnsi="Arial" w:cs="Arial"/>
          <w:i/>
          <w:sz w:val="20"/>
          <w:szCs w:val="20"/>
        </w:rPr>
        <w:t xml:space="preserve"> only</w:t>
      </w:r>
      <w:r w:rsidR="001F1236">
        <w:rPr>
          <w:rFonts w:ascii="Arial" w:hAnsi="Arial" w:cs="Arial"/>
          <w:i/>
          <w:sz w:val="20"/>
          <w:szCs w:val="20"/>
        </w:rPr>
        <w:t xml:space="preserve"> a</w:t>
      </w:r>
      <w:r w:rsidR="00023998">
        <w:rPr>
          <w:rFonts w:ascii="Arial" w:hAnsi="Arial" w:cs="Arial"/>
          <w:i/>
          <w:sz w:val="20"/>
          <w:szCs w:val="20"/>
        </w:rPr>
        <w:t> </w:t>
      </w:r>
      <w:r>
        <w:rPr>
          <w:rFonts w:ascii="Arial" w:hAnsi="Arial" w:cs="Arial"/>
          <w:b/>
          <w:i/>
          <w:sz w:val="20"/>
          <w:szCs w:val="20"/>
        </w:rPr>
        <w:t>foetus after abortion</w:t>
      </w:r>
      <w:r>
        <w:rPr>
          <w:rFonts w:ascii="Arial" w:hAnsi="Arial" w:cs="Arial"/>
          <w:i/>
          <w:sz w:val="20"/>
          <w:szCs w:val="20"/>
        </w:rPr>
        <w:t xml:space="preserve">, which is a foetus, which after </w:t>
      </w:r>
      <w:r>
        <w:rPr>
          <w:rFonts w:ascii="Arial" w:hAnsi="Arial" w:cs="Arial"/>
          <w:i/>
          <w:iCs/>
          <w:sz w:val="20"/>
        </w:rPr>
        <w:t>the complete expulsion or extraction from its mother shows none of the signs of life and at the same time its birth</w:t>
      </w:r>
      <w:r w:rsidR="00CF19DF">
        <w:rPr>
          <w:rFonts w:ascii="Arial" w:hAnsi="Arial" w:cs="Arial"/>
          <w:i/>
          <w:iCs/>
          <w:sz w:val="20"/>
        </w:rPr>
        <w:t xml:space="preserve"> weight is lower than 500 g and </w:t>
      </w:r>
      <w:r>
        <w:rPr>
          <w:rFonts w:ascii="Arial" w:hAnsi="Arial" w:cs="Arial"/>
          <w:i/>
          <w:iCs/>
          <w:sz w:val="20"/>
        </w:rPr>
        <w:t>provided that the weight cannot be measured, if the pregn</w:t>
      </w:r>
      <w:r w:rsidR="009D1DC9">
        <w:rPr>
          <w:rFonts w:ascii="Arial" w:hAnsi="Arial" w:cs="Arial"/>
          <w:i/>
          <w:iCs/>
          <w:sz w:val="20"/>
        </w:rPr>
        <w:t>ancy lasted less than 22 weeks.</w:t>
      </w:r>
    </w:p>
    <w:p w:rsidR="00127E0D" w:rsidRPr="003D3AC8" w:rsidRDefault="001B52BA" w:rsidP="00E626E4">
      <w:pPr>
        <w:pStyle w:val="Zkladntextodsazen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after="0" w:line="240" w:lineRule="auto"/>
        <w:ind w:left="0" w:firstLine="709"/>
        <w:jc w:val="both"/>
        <w:rPr>
          <w:rFonts w:ascii="Arial" w:hAnsi="Arial" w:cs="Arial"/>
          <w:i/>
          <w:iCs/>
          <w:sz w:val="20"/>
        </w:rPr>
      </w:pPr>
      <w:r>
        <w:rPr>
          <w:rFonts w:ascii="Arial" w:hAnsi="Arial" w:cs="Arial"/>
          <w:i/>
          <w:iCs/>
          <w:sz w:val="20"/>
        </w:rPr>
        <w:t>T</w:t>
      </w:r>
      <w:r w:rsidR="004B192B">
        <w:rPr>
          <w:rFonts w:ascii="Arial" w:hAnsi="Arial" w:cs="Arial"/>
          <w:i/>
          <w:iCs/>
          <w:sz w:val="20"/>
        </w:rPr>
        <w:t>he</w:t>
      </w:r>
      <w:r w:rsidR="00CF19DF">
        <w:rPr>
          <w:rFonts w:ascii="Arial" w:hAnsi="Arial" w:cs="Arial"/>
          <w:i/>
          <w:iCs/>
          <w:sz w:val="20"/>
        </w:rPr>
        <w:t xml:space="preserve"> </w:t>
      </w:r>
      <w:r w:rsidR="004B192B">
        <w:rPr>
          <w:rFonts w:ascii="Arial" w:hAnsi="Arial" w:cs="Arial"/>
          <w:i/>
          <w:iCs/>
          <w:sz w:val="20"/>
        </w:rPr>
        <w:t>national legislation</w:t>
      </w:r>
      <w:r>
        <w:rPr>
          <w:rFonts w:ascii="Arial" w:hAnsi="Arial" w:cs="Arial"/>
          <w:i/>
          <w:iCs/>
          <w:sz w:val="20"/>
        </w:rPr>
        <w:t xml:space="preserve"> currently</w:t>
      </w:r>
      <w:r w:rsidR="004B192B">
        <w:rPr>
          <w:rFonts w:ascii="Arial" w:hAnsi="Arial" w:cs="Arial"/>
          <w:i/>
          <w:iCs/>
          <w:sz w:val="20"/>
        </w:rPr>
        <w:t xml:space="preserve"> does not contain g</w:t>
      </w:r>
      <w:r w:rsidR="001B1502">
        <w:rPr>
          <w:rFonts w:ascii="Arial" w:hAnsi="Arial" w:cs="Arial"/>
          <w:i/>
          <w:iCs/>
          <w:sz w:val="20"/>
        </w:rPr>
        <w:t xml:space="preserve">eneral definitions of </w:t>
      </w:r>
      <w:r w:rsidR="00832F13">
        <w:rPr>
          <w:rFonts w:ascii="Arial" w:hAnsi="Arial" w:cs="Arial"/>
          <w:i/>
          <w:iCs/>
          <w:sz w:val="20"/>
        </w:rPr>
        <w:t>a </w:t>
      </w:r>
      <w:r w:rsidR="001B1502">
        <w:rPr>
          <w:rFonts w:ascii="Arial" w:hAnsi="Arial" w:cs="Arial"/>
          <w:i/>
          <w:iCs/>
          <w:sz w:val="20"/>
        </w:rPr>
        <w:t xml:space="preserve">live birth and </w:t>
      </w:r>
      <w:r w:rsidR="00023998">
        <w:rPr>
          <w:rFonts w:ascii="Arial" w:hAnsi="Arial" w:cs="Arial"/>
          <w:i/>
          <w:iCs/>
          <w:sz w:val="20"/>
        </w:rPr>
        <w:t>a </w:t>
      </w:r>
      <w:r w:rsidR="001B1502">
        <w:rPr>
          <w:rFonts w:ascii="Arial" w:hAnsi="Arial" w:cs="Arial"/>
          <w:i/>
          <w:iCs/>
          <w:sz w:val="20"/>
        </w:rPr>
        <w:t xml:space="preserve">stillbirth. These definitions along with all cases of abortions are stated only in the guidelines for filling in the “Death certificate (Report on examination of the deceased person)” (in the Decree </w:t>
      </w:r>
      <w:r w:rsidR="0013685B">
        <w:rPr>
          <w:rFonts w:ascii="Arial" w:hAnsi="Arial" w:cs="Arial"/>
          <w:i/>
          <w:iCs/>
          <w:sz w:val="20"/>
        </w:rPr>
        <w:t>No</w:t>
      </w:r>
      <w:r w:rsidR="001B1502">
        <w:rPr>
          <w:rFonts w:ascii="Arial" w:hAnsi="Arial" w:cs="Arial"/>
          <w:i/>
          <w:iCs/>
          <w:sz w:val="20"/>
        </w:rPr>
        <w:t> 297/2012 </w:t>
      </w:r>
      <w:r w:rsidR="0013685B">
        <w:rPr>
          <w:rFonts w:ascii="Arial" w:hAnsi="Arial" w:cs="Arial"/>
          <w:i/>
          <w:iCs/>
          <w:sz w:val="20"/>
        </w:rPr>
        <w:t>Sb</w:t>
      </w:r>
      <w:r w:rsidR="001B1502">
        <w:rPr>
          <w:rFonts w:ascii="Arial" w:hAnsi="Arial" w:cs="Arial"/>
          <w:i/>
          <w:iCs/>
          <w:sz w:val="20"/>
        </w:rPr>
        <w:t>, on the Death certificate (Report on examination of the deceased person)</w:t>
      </w:r>
      <w:r w:rsidR="00723737">
        <w:rPr>
          <w:rFonts w:ascii="Arial" w:hAnsi="Arial" w:cs="Arial"/>
          <w:i/>
          <w:iCs/>
          <w:sz w:val="20"/>
        </w:rPr>
        <w:t xml:space="preserve"> as amended</w:t>
      </w:r>
      <w:r w:rsidR="001B1502">
        <w:rPr>
          <w:rFonts w:ascii="Arial" w:hAnsi="Arial" w:cs="Arial"/>
          <w:i/>
          <w:iCs/>
          <w:sz w:val="20"/>
        </w:rPr>
        <w:t xml:space="preserve">), namely for the needs of filling in of the Death certificate. </w:t>
      </w:r>
      <w:r w:rsidR="00832F13">
        <w:rPr>
          <w:rFonts w:ascii="Arial" w:hAnsi="Arial" w:cs="Arial"/>
          <w:i/>
          <w:iCs/>
          <w:sz w:val="20"/>
        </w:rPr>
        <w:t>Definitions of a </w:t>
      </w:r>
      <w:r w:rsidR="001B1502">
        <w:rPr>
          <w:rFonts w:ascii="Arial" w:hAnsi="Arial" w:cs="Arial"/>
          <w:i/>
          <w:iCs/>
          <w:sz w:val="20"/>
        </w:rPr>
        <w:t xml:space="preserve">live birth and </w:t>
      </w:r>
      <w:r w:rsidR="00023998">
        <w:rPr>
          <w:rFonts w:ascii="Arial" w:hAnsi="Arial" w:cs="Arial"/>
          <w:i/>
          <w:iCs/>
          <w:sz w:val="20"/>
        </w:rPr>
        <w:t>a </w:t>
      </w:r>
      <w:r w:rsidR="001B1502">
        <w:rPr>
          <w:rFonts w:ascii="Arial" w:hAnsi="Arial" w:cs="Arial"/>
          <w:i/>
          <w:iCs/>
          <w:sz w:val="20"/>
        </w:rPr>
        <w:t>stillbirth are also in the</w:t>
      </w:r>
      <w:r w:rsidR="00832F13">
        <w:rPr>
          <w:rFonts w:ascii="Arial" w:hAnsi="Arial" w:cs="Arial"/>
          <w:i/>
          <w:iCs/>
          <w:sz w:val="20"/>
        </w:rPr>
        <w:t> </w:t>
      </w:r>
      <w:r w:rsidR="001B1502">
        <w:rPr>
          <w:rFonts w:ascii="Arial" w:hAnsi="Arial" w:cs="Arial"/>
          <w:i/>
          <w:iCs/>
          <w:sz w:val="20"/>
        </w:rPr>
        <w:t>EU</w:t>
      </w:r>
      <w:r w:rsidR="00832F13">
        <w:rPr>
          <w:rFonts w:ascii="Arial" w:hAnsi="Arial" w:cs="Arial"/>
          <w:i/>
          <w:iCs/>
          <w:sz w:val="20"/>
        </w:rPr>
        <w:t> </w:t>
      </w:r>
      <w:r w:rsidR="001B1502">
        <w:rPr>
          <w:rFonts w:ascii="Arial" w:hAnsi="Arial" w:cs="Arial"/>
          <w:i/>
          <w:iCs/>
          <w:sz w:val="20"/>
        </w:rPr>
        <w:t>legislation: a</w:t>
      </w:r>
      <w:r w:rsidR="00832F13">
        <w:rPr>
          <w:rFonts w:ascii="Arial" w:hAnsi="Arial" w:cs="Arial"/>
          <w:i/>
          <w:iCs/>
          <w:sz w:val="20"/>
        </w:rPr>
        <w:t> </w:t>
      </w:r>
      <w:r w:rsidR="001B1502">
        <w:rPr>
          <w:rFonts w:ascii="Arial" w:hAnsi="Arial" w:cs="Arial"/>
          <w:i/>
          <w:iCs/>
          <w:sz w:val="20"/>
        </w:rPr>
        <w:t xml:space="preserve">stillbirth in the Commission Regulation (EU) </w:t>
      </w:r>
      <w:r w:rsidR="0013685B">
        <w:rPr>
          <w:rFonts w:ascii="Arial" w:hAnsi="Arial" w:cs="Arial"/>
          <w:i/>
          <w:iCs/>
          <w:sz w:val="20"/>
        </w:rPr>
        <w:t>No</w:t>
      </w:r>
      <w:r w:rsidR="001B1502">
        <w:rPr>
          <w:rFonts w:ascii="Arial" w:hAnsi="Arial" w:cs="Arial"/>
          <w:i/>
          <w:iCs/>
          <w:sz w:val="20"/>
        </w:rPr>
        <w:t xml:space="preserve"> 328/2011 implementing Regulation (EC) </w:t>
      </w:r>
      <w:r w:rsidR="0013685B">
        <w:rPr>
          <w:rFonts w:ascii="Arial" w:hAnsi="Arial" w:cs="Arial"/>
          <w:i/>
          <w:iCs/>
          <w:sz w:val="20"/>
        </w:rPr>
        <w:t>No</w:t>
      </w:r>
      <w:r w:rsidR="001B1502">
        <w:rPr>
          <w:rFonts w:ascii="Arial" w:hAnsi="Arial" w:cs="Arial"/>
          <w:i/>
          <w:iCs/>
          <w:sz w:val="20"/>
        </w:rPr>
        <w:t xml:space="preserve"> 1338/2008 of the European Parliament and of the Council on Community statistics on public health and health and safety at work, as regards statistics on causes of death, </w:t>
      </w:r>
      <w:r w:rsidR="00832F13">
        <w:rPr>
          <w:rFonts w:ascii="Arial" w:hAnsi="Arial" w:cs="Arial"/>
          <w:i/>
          <w:iCs/>
          <w:sz w:val="20"/>
        </w:rPr>
        <w:t>and a </w:t>
      </w:r>
      <w:r w:rsidR="001B1502">
        <w:rPr>
          <w:rFonts w:ascii="Arial" w:hAnsi="Arial" w:cs="Arial"/>
          <w:i/>
          <w:iCs/>
          <w:sz w:val="20"/>
        </w:rPr>
        <w:t>live birth in</w:t>
      </w:r>
      <w:r w:rsidR="00832F13">
        <w:rPr>
          <w:rFonts w:ascii="Arial" w:hAnsi="Arial" w:cs="Arial"/>
          <w:i/>
          <w:iCs/>
          <w:sz w:val="20"/>
        </w:rPr>
        <w:t xml:space="preserve"> the Regulation (EU) </w:t>
      </w:r>
      <w:r w:rsidR="0013685B">
        <w:rPr>
          <w:rFonts w:ascii="Arial" w:hAnsi="Arial" w:cs="Arial"/>
          <w:i/>
          <w:iCs/>
          <w:sz w:val="20"/>
        </w:rPr>
        <w:t>No</w:t>
      </w:r>
      <w:r w:rsidR="00832F13">
        <w:rPr>
          <w:rFonts w:ascii="Arial" w:hAnsi="Arial" w:cs="Arial"/>
          <w:i/>
          <w:iCs/>
          <w:sz w:val="20"/>
        </w:rPr>
        <w:t> 1260/2013 of the European Parliament and of the </w:t>
      </w:r>
      <w:r w:rsidR="001B1502">
        <w:rPr>
          <w:rFonts w:ascii="Arial" w:hAnsi="Arial" w:cs="Arial"/>
          <w:i/>
          <w:iCs/>
          <w:sz w:val="20"/>
        </w:rPr>
        <w:t>Council on European demographic statistics, which is</w:t>
      </w:r>
      <w:r w:rsidR="00832F13">
        <w:rPr>
          <w:rFonts w:ascii="Arial" w:hAnsi="Arial" w:cs="Arial"/>
          <w:i/>
          <w:iCs/>
          <w:sz w:val="20"/>
        </w:rPr>
        <w:t xml:space="preserve"> for the purposes of the </w:t>
      </w:r>
      <w:r w:rsidR="009D1DC9">
        <w:rPr>
          <w:rFonts w:ascii="Arial" w:hAnsi="Arial" w:cs="Arial"/>
          <w:i/>
          <w:iCs/>
          <w:sz w:val="20"/>
        </w:rPr>
        <w:t>respective regulations.</w:t>
      </w:r>
    </w:p>
    <w:p w:rsidR="002164EA" w:rsidRPr="003D3AC8" w:rsidRDefault="002164EA" w:rsidP="00716283">
      <w:pPr>
        <w:pStyle w:val="Normlnweb"/>
        <w:tabs>
          <w:tab w:val="left" w:pos="567"/>
        </w:tabs>
        <w:spacing w:before="0" w:beforeAutospacing="0" w:after="0" w:afterAutospacing="0"/>
        <w:jc w:val="both"/>
        <w:rPr>
          <w:rFonts w:ascii="Arial" w:hAnsi="Arial" w:cs="Arial"/>
          <w:i/>
          <w:iCs/>
          <w:color w:val="auto"/>
          <w:sz w:val="20"/>
          <w:szCs w:val="17"/>
          <w:lang w:val="en-GB"/>
        </w:rPr>
      </w:pP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1B1502" w:rsidP="00DC0CC2">
      <w:pPr>
        <w:pStyle w:val="Normlnweb"/>
        <w:spacing w:before="0" w:beforeAutospacing="0" w:after="0" w:afterAutospacing="0"/>
        <w:jc w:val="both"/>
        <w:rPr>
          <w:rFonts w:ascii="Arial" w:hAnsi="Arial" w:cs="Arial"/>
          <w:i/>
          <w:iCs/>
          <w:color w:val="auto"/>
          <w:sz w:val="20"/>
          <w:szCs w:val="17"/>
          <w:lang w:val="en-GB"/>
        </w:rPr>
      </w:pPr>
      <w:r>
        <w:rPr>
          <w:rFonts w:ascii="Arial" w:hAnsi="Arial" w:cs="Arial"/>
          <w:i/>
          <w:iCs/>
          <w:color w:val="auto"/>
          <w:sz w:val="20"/>
          <w:szCs w:val="17"/>
          <w:lang w:val="en-GB"/>
        </w:rPr>
        <w:t xml:space="preserve">Table </w:t>
      </w:r>
      <w:r>
        <w:rPr>
          <w:rFonts w:ascii="Arial" w:hAnsi="Arial" w:cs="Arial"/>
          <w:b/>
          <w:bCs/>
          <w:i/>
          <w:iCs/>
          <w:color w:val="auto"/>
          <w:sz w:val="20"/>
          <w:szCs w:val="17"/>
          <w:lang w:val="en-GB"/>
        </w:rPr>
        <w:t>4</w:t>
      </w:r>
      <w:r>
        <w:rPr>
          <w:rFonts w:ascii="Arial" w:hAnsi="Arial" w:cs="Arial"/>
          <w:i/>
          <w:iCs/>
          <w:color w:val="auto"/>
          <w:sz w:val="20"/>
          <w:szCs w:val="17"/>
          <w:lang w:val="en-GB"/>
        </w:rPr>
        <w:t xml:space="preserve">-11 </w:t>
      </w:r>
      <w:r>
        <w:rPr>
          <w:rFonts w:ascii="Arial" w:hAnsi="Arial" w:cs="Arial"/>
          <w:b/>
          <w:bCs/>
          <w:i/>
          <w:iCs/>
          <w:color w:val="auto"/>
          <w:sz w:val="20"/>
          <w:szCs w:val="17"/>
          <w:lang w:val="en-GB"/>
        </w:rPr>
        <w:t>Age-specific reproduction rates</w:t>
      </w:r>
    </w:p>
    <w:p w:rsidR="002164EA" w:rsidRPr="003D3AC8" w:rsidRDefault="00A0409A">
      <w:pPr>
        <w:pStyle w:val="Nadpis2"/>
        <w:keepNext w:val="0"/>
        <w:spacing w:before="120"/>
        <w:ind w:firstLine="709"/>
        <w:jc w:val="both"/>
        <w:rPr>
          <w:b w:val="0"/>
          <w:bCs w:val="0"/>
          <w:i/>
          <w:iCs/>
          <w:lang w:val="en-GB"/>
        </w:rPr>
      </w:pPr>
      <w:r>
        <w:rPr>
          <w:b w:val="0"/>
          <w:i/>
          <w:iCs/>
          <w:lang w:val="en-GB"/>
        </w:rPr>
        <w:t>The</w:t>
      </w:r>
      <w:r w:rsidR="00CF19DF">
        <w:rPr>
          <w:b w:val="0"/>
          <w:i/>
          <w:iCs/>
          <w:lang w:val="en-GB"/>
        </w:rPr>
        <w:t xml:space="preserve"> </w:t>
      </w:r>
      <w:r>
        <w:rPr>
          <w:b w:val="0"/>
          <w:i/>
          <w:iCs/>
          <w:lang w:val="en-GB"/>
        </w:rPr>
        <w:t>a</w:t>
      </w:r>
      <w:r w:rsidR="003B3394" w:rsidRPr="003B3394">
        <w:rPr>
          <w:b w:val="0"/>
          <w:i/>
          <w:iCs/>
          <w:lang w:val="en-GB"/>
        </w:rPr>
        <w:t>ge-specific</w:t>
      </w:r>
      <w:r w:rsidR="001B1502">
        <w:rPr>
          <w:i/>
          <w:iCs/>
          <w:lang w:val="en-GB"/>
        </w:rPr>
        <w:t xml:space="preserve"> fertility rate</w:t>
      </w:r>
      <w:r w:rsidR="00EE2E30">
        <w:rPr>
          <w:b w:val="0"/>
          <w:bCs w:val="0"/>
          <w:i/>
          <w:iCs/>
          <w:lang w:val="en-GB"/>
        </w:rPr>
        <w:t xml:space="preserve"> is</w:t>
      </w:r>
      <w:r w:rsidR="001B1502">
        <w:rPr>
          <w:b w:val="0"/>
          <w:bCs w:val="0"/>
          <w:i/>
          <w:iCs/>
          <w:lang w:val="en-GB"/>
        </w:rPr>
        <w:t xml:space="preserve"> the number of live births to </w:t>
      </w:r>
      <w:r w:rsidR="00F944E4">
        <w:rPr>
          <w:b w:val="0"/>
          <w:bCs w:val="0"/>
          <w:i/>
          <w:iCs/>
          <w:lang w:val="en-GB"/>
        </w:rPr>
        <w:t>women in</w:t>
      </w:r>
      <w:r w:rsidR="001B1502">
        <w:rPr>
          <w:b w:val="0"/>
          <w:bCs w:val="0"/>
          <w:i/>
          <w:iCs/>
          <w:lang w:val="en-GB"/>
        </w:rPr>
        <w:t xml:space="preserve"> a particular age</w:t>
      </w:r>
      <w:r w:rsidR="00F944E4">
        <w:rPr>
          <w:b w:val="0"/>
          <w:bCs w:val="0"/>
          <w:i/>
          <w:iCs/>
          <w:lang w:val="en-GB"/>
        </w:rPr>
        <w:t xml:space="preserve"> group</w:t>
      </w:r>
      <w:r w:rsidR="001B1502">
        <w:rPr>
          <w:b w:val="0"/>
          <w:bCs w:val="0"/>
          <w:i/>
          <w:iCs/>
          <w:lang w:val="en-GB"/>
        </w:rPr>
        <w:t xml:space="preserve"> per</w:t>
      </w:r>
      <w:r w:rsidR="009D1DC9">
        <w:rPr>
          <w:b w:val="0"/>
          <w:bCs w:val="0"/>
          <w:i/>
          <w:iCs/>
          <w:lang w:val="en-GB"/>
        </w:rPr>
        <w:t xml:space="preserve"> 1 000 women in that age group.</w:t>
      </w:r>
    </w:p>
    <w:p w:rsidR="002164EA" w:rsidRPr="003D3AC8" w:rsidRDefault="00ED6567">
      <w:pPr>
        <w:spacing w:before="120"/>
        <w:ind w:firstLine="709"/>
        <w:jc w:val="both"/>
        <w:rPr>
          <w:rFonts w:ascii="Arial" w:hAnsi="Arial" w:cs="Arial"/>
          <w:i/>
          <w:iCs/>
          <w:sz w:val="20"/>
        </w:rPr>
      </w:pPr>
      <w:r w:rsidRPr="00ED6567">
        <w:rPr>
          <w:rFonts w:ascii="Arial" w:hAnsi="Arial" w:cs="Arial"/>
          <w:bCs/>
          <w:i/>
          <w:iCs/>
          <w:sz w:val="20"/>
        </w:rPr>
        <w:t>The</w:t>
      </w:r>
      <w:r w:rsidR="00CF19DF">
        <w:rPr>
          <w:rFonts w:ascii="Arial" w:hAnsi="Arial" w:cs="Arial"/>
          <w:bCs/>
          <w:i/>
          <w:iCs/>
          <w:sz w:val="20"/>
        </w:rPr>
        <w:t xml:space="preserve"> </w:t>
      </w:r>
      <w:r w:rsidR="00A0409A">
        <w:rPr>
          <w:rFonts w:ascii="Arial" w:hAnsi="Arial" w:cs="Arial"/>
          <w:b/>
          <w:bCs/>
          <w:i/>
          <w:iCs/>
          <w:sz w:val="20"/>
        </w:rPr>
        <w:t>t</w:t>
      </w:r>
      <w:r w:rsidR="001B1502">
        <w:rPr>
          <w:rFonts w:ascii="Arial" w:hAnsi="Arial" w:cs="Arial"/>
          <w:b/>
          <w:bCs/>
          <w:i/>
          <w:iCs/>
          <w:sz w:val="20"/>
        </w:rPr>
        <w:t xml:space="preserve">otal fertility rate </w:t>
      </w:r>
      <w:r w:rsidR="001B1502">
        <w:rPr>
          <w:rFonts w:ascii="Arial" w:hAnsi="Arial" w:cs="Arial"/>
          <w:i/>
          <w:iCs/>
          <w:sz w:val="20"/>
        </w:rPr>
        <w:t>(the sum of age-specific fertility rates)</w:t>
      </w:r>
      <w:r w:rsidR="00F13B92">
        <w:rPr>
          <w:rFonts w:ascii="Arial" w:hAnsi="Arial" w:cs="Arial"/>
          <w:i/>
          <w:iCs/>
          <w:sz w:val="20"/>
        </w:rPr>
        <w:t xml:space="preserve"> is</w:t>
      </w:r>
      <w:r w:rsidR="001B1502">
        <w:rPr>
          <w:rFonts w:ascii="Arial" w:hAnsi="Arial" w:cs="Arial"/>
          <w:i/>
          <w:iCs/>
          <w:sz w:val="20"/>
        </w:rPr>
        <w:t xml:space="preserve"> the average number of </w:t>
      </w:r>
      <w:r w:rsidR="007708B6">
        <w:rPr>
          <w:rFonts w:ascii="Arial" w:hAnsi="Arial" w:cs="Arial"/>
          <w:i/>
          <w:iCs/>
          <w:sz w:val="20"/>
        </w:rPr>
        <w:t xml:space="preserve">live-born </w:t>
      </w:r>
      <w:r w:rsidR="001B1502">
        <w:rPr>
          <w:rFonts w:ascii="Arial" w:hAnsi="Arial" w:cs="Arial"/>
          <w:i/>
          <w:iCs/>
          <w:sz w:val="20"/>
        </w:rPr>
        <w:t>children that would be born to a woman provided</w:t>
      </w:r>
      <w:r w:rsidR="00F13B92">
        <w:rPr>
          <w:rFonts w:ascii="Arial" w:hAnsi="Arial" w:cs="Arial"/>
          <w:i/>
          <w:iCs/>
          <w:sz w:val="20"/>
        </w:rPr>
        <w:t xml:space="preserve"> that</w:t>
      </w:r>
      <w:r w:rsidR="001B1502">
        <w:rPr>
          <w:rFonts w:ascii="Arial" w:hAnsi="Arial" w:cs="Arial"/>
          <w:i/>
          <w:iCs/>
          <w:sz w:val="20"/>
        </w:rPr>
        <w:t xml:space="preserve"> age-specific fertility rates recorded in a reference</w:t>
      </w:r>
      <w:r w:rsidR="00CC0FA2">
        <w:rPr>
          <w:rFonts w:ascii="Arial" w:hAnsi="Arial" w:cs="Arial"/>
          <w:i/>
          <w:iCs/>
          <w:sz w:val="20"/>
        </w:rPr>
        <w:t xml:space="preserve"> calendar</w:t>
      </w:r>
      <w:r w:rsidR="001B1502">
        <w:rPr>
          <w:rFonts w:ascii="Arial" w:hAnsi="Arial" w:cs="Arial"/>
          <w:i/>
          <w:iCs/>
          <w:sz w:val="20"/>
        </w:rPr>
        <w:t xml:space="preserve"> year remain unchanged during her childbearing period (age 15–49 years).</w:t>
      </w:r>
    </w:p>
    <w:p w:rsidR="002164EA" w:rsidRPr="009D1DC9" w:rsidRDefault="00ED6567">
      <w:pPr>
        <w:pStyle w:val="Nadpis2"/>
        <w:keepNext w:val="0"/>
        <w:widowControl w:val="0"/>
        <w:spacing w:before="120"/>
        <w:ind w:firstLine="708"/>
        <w:jc w:val="both"/>
        <w:rPr>
          <w:b w:val="0"/>
          <w:i/>
          <w:szCs w:val="17"/>
          <w:lang w:val="en-GB"/>
        </w:rPr>
      </w:pPr>
      <w:r w:rsidRPr="00ED6567">
        <w:rPr>
          <w:b w:val="0"/>
          <w:i/>
          <w:iCs/>
          <w:lang w:val="en-GB"/>
        </w:rPr>
        <w:t>The</w:t>
      </w:r>
      <w:r w:rsidR="00CF19DF">
        <w:rPr>
          <w:b w:val="0"/>
          <w:i/>
          <w:iCs/>
          <w:lang w:val="en-GB"/>
        </w:rPr>
        <w:t xml:space="preserve"> </w:t>
      </w:r>
      <w:r w:rsidR="00A0409A">
        <w:rPr>
          <w:i/>
          <w:iCs/>
          <w:lang w:val="en-GB"/>
        </w:rPr>
        <w:t>g</w:t>
      </w:r>
      <w:r w:rsidR="001B1502">
        <w:rPr>
          <w:i/>
          <w:iCs/>
          <w:lang w:val="en-GB"/>
        </w:rPr>
        <w:t>ross reproduction rate</w:t>
      </w:r>
      <w:r w:rsidR="00EE2E30">
        <w:rPr>
          <w:b w:val="0"/>
          <w:bCs w:val="0"/>
          <w:i/>
          <w:iCs/>
          <w:lang w:val="en-GB"/>
        </w:rPr>
        <w:t xml:space="preserve"> is</w:t>
      </w:r>
      <w:r w:rsidR="001B1502">
        <w:rPr>
          <w:b w:val="0"/>
          <w:bCs w:val="0"/>
          <w:i/>
          <w:iCs/>
          <w:lang w:val="en-GB"/>
        </w:rPr>
        <w:t xml:space="preserve"> the average number of</w:t>
      </w:r>
      <w:r w:rsidR="00F93B22">
        <w:rPr>
          <w:b w:val="0"/>
          <w:bCs w:val="0"/>
          <w:i/>
          <w:iCs/>
          <w:lang w:val="en-GB"/>
        </w:rPr>
        <w:t xml:space="preserve"> live-born</w:t>
      </w:r>
      <w:r w:rsidR="001B1502">
        <w:rPr>
          <w:b w:val="0"/>
          <w:bCs w:val="0"/>
          <w:i/>
          <w:iCs/>
          <w:lang w:val="en-GB"/>
        </w:rPr>
        <w:t xml:space="preserve"> daughters that would be born to a woman provided</w:t>
      </w:r>
      <w:r w:rsidR="00EE2E30">
        <w:rPr>
          <w:b w:val="0"/>
          <w:bCs w:val="0"/>
          <w:i/>
          <w:iCs/>
          <w:lang w:val="en-GB"/>
        </w:rPr>
        <w:t xml:space="preserve"> that</w:t>
      </w:r>
      <w:r w:rsidR="001B1502">
        <w:rPr>
          <w:b w:val="0"/>
          <w:bCs w:val="0"/>
          <w:i/>
          <w:iCs/>
          <w:lang w:val="en-GB"/>
        </w:rPr>
        <w:t xml:space="preserve"> age-specific fertility rates recorded in a reference</w:t>
      </w:r>
      <w:r w:rsidR="00CC0FA2">
        <w:rPr>
          <w:b w:val="0"/>
          <w:bCs w:val="0"/>
          <w:i/>
          <w:iCs/>
          <w:lang w:val="en-GB"/>
        </w:rPr>
        <w:t xml:space="preserve"> calendar</w:t>
      </w:r>
      <w:r w:rsidR="001B1502">
        <w:rPr>
          <w:b w:val="0"/>
          <w:bCs w:val="0"/>
          <w:i/>
          <w:iCs/>
          <w:lang w:val="en-GB"/>
        </w:rPr>
        <w:t xml:space="preserve"> year remain unchanged during her childbearing period (age 15–49 years).</w:t>
      </w:r>
    </w:p>
    <w:p w:rsidR="002164EA" w:rsidRPr="003D3AC8" w:rsidRDefault="00ED6567">
      <w:pPr>
        <w:pStyle w:val="Nadpis2"/>
        <w:keepNext w:val="0"/>
        <w:widowControl w:val="0"/>
        <w:spacing w:before="120"/>
        <w:ind w:firstLine="708"/>
        <w:jc w:val="both"/>
        <w:rPr>
          <w:b w:val="0"/>
          <w:bCs w:val="0"/>
          <w:i/>
          <w:iCs/>
          <w:lang w:val="en-GB"/>
        </w:rPr>
      </w:pPr>
      <w:r w:rsidRPr="00ED6567">
        <w:rPr>
          <w:b w:val="0"/>
          <w:i/>
          <w:iCs/>
          <w:lang w:val="en-GB"/>
        </w:rPr>
        <w:t>The</w:t>
      </w:r>
      <w:r w:rsidR="00CF19DF">
        <w:rPr>
          <w:b w:val="0"/>
          <w:i/>
          <w:iCs/>
          <w:lang w:val="en-GB"/>
        </w:rPr>
        <w:t xml:space="preserve"> </w:t>
      </w:r>
      <w:r w:rsidR="00A0409A">
        <w:rPr>
          <w:i/>
          <w:iCs/>
          <w:lang w:val="en-GB"/>
        </w:rPr>
        <w:t>n</w:t>
      </w:r>
      <w:r w:rsidR="001B1502">
        <w:rPr>
          <w:i/>
          <w:iCs/>
          <w:lang w:val="en-GB"/>
        </w:rPr>
        <w:t>et reproduction rate</w:t>
      </w:r>
      <w:r w:rsidR="00EE2E30">
        <w:rPr>
          <w:b w:val="0"/>
          <w:bCs w:val="0"/>
          <w:i/>
          <w:iCs/>
          <w:lang w:val="en-GB"/>
        </w:rPr>
        <w:t xml:space="preserve"> is</w:t>
      </w:r>
      <w:r w:rsidR="001B1502">
        <w:rPr>
          <w:b w:val="0"/>
          <w:bCs w:val="0"/>
          <w:i/>
          <w:iCs/>
          <w:lang w:val="en-GB"/>
        </w:rPr>
        <w:t xml:space="preserve"> the average number of</w:t>
      </w:r>
      <w:r w:rsidR="00F93B22">
        <w:rPr>
          <w:b w:val="0"/>
          <w:bCs w:val="0"/>
          <w:i/>
          <w:iCs/>
          <w:lang w:val="en-GB"/>
        </w:rPr>
        <w:t xml:space="preserve"> live-born</w:t>
      </w:r>
      <w:r w:rsidR="001B1502">
        <w:rPr>
          <w:b w:val="0"/>
          <w:bCs w:val="0"/>
          <w:i/>
          <w:iCs/>
          <w:lang w:val="en-GB"/>
        </w:rPr>
        <w:t xml:space="preserve"> daughters that would be born to a woman and would survive until the age of their mother </w:t>
      </w:r>
      <w:r w:rsidR="001B1502" w:rsidRPr="009D1DC9">
        <w:rPr>
          <w:b w:val="0"/>
          <w:bCs w:val="0"/>
          <w:i/>
          <w:iCs/>
          <w:lang w:val="en-GB"/>
        </w:rPr>
        <w:t xml:space="preserve">at </w:t>
      </w:r>
      <w:r w:rsidR="00195095" w:rsidRPr="009D1DC9">
        <w:rPr>
          <w:b w:val="0"/>
          <w:bCs w:val="0"/>
          <w:i/>
          <w:iCs/>
          <w:lang w:val="en-GB"/>
        </w:rPr>
        <w:t>childbirth</w:t>
      </w:r>
      <w:r w:rsidR="001B1502">
        <w:rPr>
          <w:b w:val="0"/>
          <w:bCs w:val="0"/>
          <w:i/>
          <w:iCs/>
          <w:lang w:val="en-GB"/>
        </w:rPr>
        <w:t xml:space="preserve"> </w:t>
      </w:r>
      <w:r w:rsidR="00BC313A">
        <w:rPr>
          <w:b w:val="0"/>
          <w:bCs w:val="0"/>
          <w:i/>
          <w:iCs/>
          <w:lang w:val="en-GB"/>
        </w:rPr>
        <w:t xml:space="preserve">provided </w:t>
      </w:r>
      <w:r w:rsidR="00EE2E30">
        <w:rPr>
          <w:b w:val="0"/>
          <w:bCs w:val="0"/>
          <w:i/>
          <w:iCs/>
          <w:lang w:val="en-GB"/>
        </w:rPr>
        <w:t xml:space="preserve">that </w:t>
      </w:r>
      <w:r w:rsidR="001B1502">
        <w:rPr>
          <w:b w:val="0"/>
          <w:bCs w:val="0"/>
          <w:i/>
          <w:iCs/>
          <w:lang w:val="en-GB"/>
        </w:rPr>
        <w:t>age-specific fertility and mortality rates recorded in a reference</w:t>
      </w:r>
      <w:r w:rsidR="00266D45">
        <w:rPr>
          <w:b w:val="0"/>
          <w:bCs w:val="0"/>
          <w:i/>
          <w:iCs/>
          <w:lang w:val="en-GB"/>
        </w:rPr>
        <w:t xml:space="preserve"> calendar</w:t>
      </w:r>
      <w:r w:rsidR="001B1502">
        <w:rPr>
          <w:b w:val="0"/>
          <w:bCs w:val="0"/>
          <w:i/>
          <w:iCs/>
          <w:lang w:val="en-GB"/>
        </w:rPr>
        <w:t xml:space="preserve"> year remain unchanged during her childbearing period (age 15–49 years).</w:t>
      </w:r>
    </w:p>
    <w:p w:rsidR="002164EA" w:rsidRPr="009D1DC9" w:rsidRDefault="00023998">
      <w:pPr>
        <w:pStyle w:val="Nadpis2"/>
        <w:keepNext w:val="0"/>
        <w:widowControl w:val="0"/>
        <w:spacing w:before="120"/>
        <w:ind w:firstLine="708"/>
        <w:jc w:val="both"/>
        <w:rPr>
          <w:b w:val="0"/>
          <w:i/>
          <w:lang w:val="en-GB"/>
        </w:rPr>
      </w:pPr>
      <w:r>
        <w:rPr>
          <w:b w:val="0"/>
          <w:i/>
          <w:iCs/>
          <w:lang w:val="en-GB"/>
        </w:rPr>
        <w:t>The</w:t>
      </w:r>
      <w:r w:rsidR="00CF19DF">
        <w:rPr>
          <w:b w:val="0"/>
          <w:i/>
          <w:iCs/>
          <w:lang w:val="en-GB"/>
        </w:rPr>
        <w:t xml:space="preserve"> </w:t>
      </w:r>
      <w:r w:rsidR="00A0409A">
        <w:rPr>
          <w:b w:val="0"/>
          <w:i/>
          <w:iCs/>
          <w:lang w:val="en-GB"/>
        </w:rPr>
        <w:t>a</w:t>
      </w:r>
      <w:r w:rsidR="003B3394" w:rsidRPr="003B3394">
        <w:rPr>
          <w:b w:val="0"/>
          <w:i/>
          <w:iCs/>
          <w:lang w:val="en-GB"/>
        </w:rPr>
        <w:t>ge-specific</w:t>
      </w:r>
      <w:r w:rsidR="001B1502">
        <w:rPr>
          <w:i/>
          <w:iCs/>
          <w:lang w:val="en-GB"/>
        </w:rPr>
        <w:t xml:space="preserve"> abortion rate</w:t>
      </w:r>
      <w:r w:rsidR="00EE2E30">
        <w:rPr>
          <w:b w:val="0"/>
          <w:bCs w:val="0"/>
          <w:i/>
          <w:iCs/>
          <w:lang w:val="en-GB"/>
        </w:rPr>
        <w:t xml:space="preserve"> is</w:t>
      </w:r>
      <w:r w:rsidR="001B1502">
        <w:rPr>
          <w:b w:val="0"/>
          <w:bCs w:val="0"/>
          <w:i/>
          <w:iCs/>
          <w:lang w:val="en-GB"/>
        </w:rPr>
        <w:t xml:space="preserve"> the number of abortions of women in a particular age group per 1 000 women in that age group.</w:t>
      </w:r>
    </w:p>
    <w:p w:rsidR="002164EA" w:rsidRPr="009D1DC9" w:rsidRDefault="00ED6567">
      <w:pPr>
        <w:widowControl w:val="0"/>
        <w:spacing w:before="120"/>
        <w:ind w:firstLine="709"/>
        <w:jc w:val="both"/>
        <w:rPr>
          <w:rFonts w:ascii="Arial" w:hAnsi="Arial" w:cs="Arial"/>
          <w:i/>
          <w:iCs/>
          <w:sz w:val="20"/>
          <w:szCs w:val="20"/>
        </w:rPr>
      </w:pPr>
      <w:r w:rsidRPr="00ED6567">
        <w:rPr>
          <w:rFonts w:ascii="Arial" w:hAnsi="Arial" w:cs="Arial"/>
          <w:bCs/>
          <w:i/>
          <w:iCs/>
          <w:sz w:val="20"/>
        </w:rPr>
        <w:t>The</w:t>
      </w:r>
      <w:r w:rsidR="00CF19DF">
        <w:rPr>
          <w:rFonts w:ascii="Arial" w:hAnsi="Arial" w:cs="Arial"/>
          <w:bCs/>
          <w:i/>
          <w:iCs/>
          <w:sz w:val="20"/>
        </w:rPr>
        <w:t xml:space="preserve"> </w:t>
      </w:r>
      <w:r w:rsidR="00A0409A">
        <w:rPr>
          <w:rFonts w:ascii="Arial" w:hAnsi="Arial" w:cs="Arial"/>
          <w:b/>
          <w:bCs/>
          <w:i/>
          <w:iCs/>
          <w:sz w:val="20"/>
        </w:rPr>
        <w:t>t</w:t>
      </w:r>
      <w:r w:rsidR="001B1502">
        <w:rPr>
          <w:rFonts w:ascii="Arial" w:hAnsi="Arial" w:cs="Arial"/>
          <w:b/>
          <w:bCs/>
          <w:i/>
          <w:iCs/>
          <w:sz w:val="20"/>
        </w:rPr>
        <w:t xml:space="preserve">otal abortion rate </w:t>
      </w:r>
      <w:r w:rsidR="001B1502">
        <w:rPr>
          <w:rFonts w:ascii="Arial" w:hAnsi="Arial" w:cs="Arial"/>
          <w:i/>
          <w:iCs/>
          <w:sz w:val="20"/>
        </w:rPr>
        <w:t>(the sum of age-specific abortion rates)</w:t>
      </w:r>
      <w:r w:rsidR="00F13B92">
        <w:rPr>
          <w:rFonts w:ascii="Arial" w:hAnsi="Arial" w:cs="Arial"/>
          <w:i/>
          <w:iCs/>
          <w:sz w:val="20"/>
        </w:rPr>
        <w:t xml:space="preserve"> is</w:t>
      </w:r>
      <w:r w:rsidR="001B1502">
        <w:rPr>
          <w:rFonts w:ascii="Arial" w:hAnsi="Arial" w:cs="Arial"/>
          <w:i/>
          <w:iCs/>
          <w:sz w:val="20"/>
        </w:rPr>
        <w:t xml:space="preserve"> the average number of abortions that a woman would have provided</w:t>
      </w:r>
      <w:r w:rsidR="00F13B92">
        <w:rPr>
          <w:rFonts w:ascii="Arial" w:hAnsi="Arial" w:cs="Arial"/>
          <w:i/>
          <w:iCs/>
          <w:sz w:val="20"/>
        </w:rPr>
        <w:t xml:space="preserve"> that</w:t>
      </w:r>
      <w:r w:rsidR="001B1502">
        <w:rPr>
          <w:rFonts w:ascii="Arial" w:hAnsi="Arial" w:cs="Arial"/>
          <w:i/>
          <w:iCs/>
          <w:sz w:val="20"/>
        </w:rPr>
        <w:t xml:space="preserve"> age-specific abortion rates recorded in a reference</w:t>
      </w:r>
      <w:r w:rsidR="00266D45">
        <w:rPr>
          <w:rFonts w:ascii="Arial" w:hAnsi="Arial" w:cs="Arial"/>
          <w:i/>
          <w:iCs/>
          <w:sz w:val="20"/>
        </w:rPr>
        <w:t xml:space="preserve"> calendar</w:t>
      </w:r>
      <w:r w:rsidR="001B1502">
        <w:rPr>
          <w:rFonts w:ascii="Arial" w:hAnsi="Arial" w:cs="Arial"/>
          <w:i/>
          <w:iCs/>
          <w:sz w:val="20"/>
        </w:rPr>
        <w:t xml:space="preserve"> year remain unchanged during her childbearing period (age 15–49 years).</w:t>
      </w:r>
    </w:p>
    <w:p w:rsidR="002164EA" w:rsidRPr="003D3AC8" w:rsidRDefault="00023998">
      <w:pPr>
        <w:pStyle w:val="Nadpis2"/>
        <w:keepNext w:val="0"/>
        <w:widowControl w:val="0"/>
        <w:spacing w:before="120"/>
        <w:ind w:firstLine="708"/>
        <w:jc w:val="both"/>
        <w:rPr>
          <w:b w:val="0"/>
          <w:bCs w:val="0"/>
          <w:i/>
          <w:iCs/>
          <w:lang w:val="en-GB"/>
        </w:rPr>
      </w:pPr>
      <w:r>
        <w:rPr>
          <w:b w:val="0"/>
          <w:i/>
          <w:iCs/>
          <w:lang w:val="en-GB"/>
        </w:rPr>
        <w:t>The</w:t>
      </w:r>
      <w:r w:rsidR="00CF19DF">
        <w:rPr>
          <w:b w:val="0"/>
          <w:i/>
          <w:iCs/>
          <w:lang w:val="en-GB"/>
        </w:rPr>
        <w:t xml:space="preserve"> </w:t>
      </w:r>
      <w:r w:rsidR="00B24F6A">
        <w:rPr>
          <w:b w:val="0"/>
          <w:i/>
          <w:iCs/>
          <w:lang w:val="en-GB"/>
        </w:rPr>
        <w:t>a</w:t>
      </w:r>
      <w:r w:rsidR="003B3394" w:rsidRPr="003B3394">
        <w:rPr>
          <w:b w:val="0"/>
          <w:i/>
          <w:iCs/>
          <w:lang w:val="en-GB"/>
        </w:rPr>
        <w:t>ge-specific</w:t>
      </w:r>
      <w:r w:rsidR="001B1502">
        <w:rPr>
          <w:i/>
          <w:iCs/>
          <w:lang w:val="en-GB"/>
        </w:rPr>
        <w:t xml:space="preserve"> pregnancy rate</w:t>
      </w:r>
      <w:r w:rsidR="00ED6567" w:rsidRPr="00ED6567">
        <w:rPr>
          <w:b w:val="0"/>
          <w:bCs w:val="0"/>
          <w:i/>
          <w:lang w:val="en-GB"/>
        </w:rPr>
        <w:t xml:space="preserve"> is</w:t>
      </w:r>
      <w:r w:rsidR="001B1502">
        <w:rPr>
          <w:b w:val="0"/>
          <w:bCs w:val="0"/>
          <w:i/>
          <w:iCs/>
          <w:lang w:val="en-GB"/>
        </w:rPr>
        <w:t xml:space="preserve"> the number of pregnancies (the sum of live births, stillbirths, and all abortions) of women in a particular age group per</w:t>
      </w:r>
      <w:r w:rsidR="009D1DC9">
        <w:rPr>
          <w:b w:val="0"/>
          <w:bCs w:val="0"/>
          <w:i/>
          <w:iCs/>
          <w:lang w:val="en-GB"/>
        </w:rPr>
        <w:t xml:space="preserve"> 1 000 women in that age group.</w:t>
      </w:r>
    </w:p>
    <w:p w:rsidR="002164EA" w:rsidRPr="009D1DC9" w:rsidRDefault="00ED6567">
      <w:pPr>
        <w:pStyle w:val="Nadpis2"/>
        <w:keepNext w:val="0"/>
        <w:widowControl w:val="0"/>
        <w:spacing w:before="120"/>
        <w:ind w:firstLine="709"/>
        <w:jc w:val="both"/>
        <w:rPr>
          <w:b w:val="0"/>
          <w:bCs w:val="0"/>
          <w:i/>
          <w:iCs/>
          <w:szCs w:val="20"/>
          <w:lang w:val="en-GB"/>
        </w:rPr>
      </w:pPr>
      <w:r w:rsidRPr="00ED6567">
        <w:rPr>
          <w:b w:val="0"/>
          <w:i/>
          <w:iCs/>
          <w:szCs w:val="20"/>
          <w:lang w:val="en-GB"/>
        </w:rPr>
        <w:t>The</w:t>
      </w:r>
      <w:r w:rsidR="00023998">
        <w:rPr>
          <w:i/>
          <w:iCs/>
          <w:szCs w:val="20"/>
          <w:lang w:val="en-GB"/>
        </w:rPr>
        <w:t> </w:t>
      </w:r>
      <w:r w:rsidR="00B24F6A">
        <w:rPr>
          <w:i/>
          <w:iCs/>
          <w:szCs w:val="20"/>
          <w:lang w:val="en-GB"/>
        </w:rPr>
        <w:t>t</w:t>
      </w:r>
      <w:r w:rsidR="001B1502" w:rsidRPr="009D1DC9">
        <w:rPr>
          <w:i/>
          <w:iCs/>
          <w:szCs w:val="20"/>
          <w:lang w:val="en-GB"/>
        </w:rPr>
        <w:t xml:space="preserve">otal pregnancy rate </w:t>
      </w:r>
      <w:r w:rsidR="001B1502" w:rsidRPr="009D1DC9">
        <w:rPr>
          <w:b w:val="0"/>
          <w:bCs w:val="0"/>
          <w:i/>
          <w:iCs/>
          <w:szCs w:val="20"/>
          <w:lang w:val="en-GB"/>
        </w:rPr>
        <w:t>(the sum of age-specific pregnancy rates)</w:t>
      </w:r>
      <w:r w:rsidR="00661CB2">
        <w:rPr>
          <w:b w:val="0"/>
          <w:bCs w:val="0"/>
          <w:i/>
          <w:iCs/>
          <w:szCs w:val="20"/>
          <w:lang w:val="en-GB"/>
        </w:rPr>
        <w:t xml:space="preserve"> is</w:t>
      </w:r>
      <w:r w:rsidR="001B1502" w:rsidRPr="009D1DC9">
        <w:rPr>
          <w:b w:val="0"/>
          <w:bCs w:val="0"/>
          <w:i/>
          <w:iCs/>
          <w:szCs w:val="20"/>
          <w:lang w:val="en-GB"/>
        </w:rPr>
        <w:t xml:space="preserve"> the average number of pregnancies that a woman would have provided</w:t>
      </w:r>
      <w:r w:rsidR="00661CB2">
        <w:rPr>
          <w:b w:val="0"/>
          <w:bCs w:val="0"/>
          <w:i/>
          <w:iCs/>
          <w:szCs w:val="20"/>
          <w:lang w:val="en-GB"/>
        </w:rPr>
        <w:t xml:space="preserve"> that</w:t>
      </w:r>
      <w:r w:rsidR="001B1502" w:rsidRPr="009D1DC9">
        <w:rPr>
          <w:b w:val="0"/>
          <w:bCs w:val="0"/>
          <w:i/>
          <w:iCs/>
          <w:szCs w:val="20"/>
          <w:lang w:val="en-GB"/>
        </w:rPr>
        <w:t xml:space="preserve"> age-specific pregnancy rates recorded in a reference</w:t>
      </w:r>
      <w:r w:rsidR="00266D45" w:rsidRPr="009D1DC9">
        <w:rPr>
          <w:b w:val="0"/>
          <w:bCs w:val="0"/>
          <w:i/>
          <w:iCs/>
          <w:szCs w:val="20"/>
          <w:lang w:val="en-GB"/>
        </w:rPr>
        <w:t xml:space="preserve"> calendar</w:t>
      </w:r>
      <w:r w:rsidR="001B1502" w:rsidRPr="009D1DC9">
        <w:rPr>
          <w:b w:val="0"/>
          <w:bCs w:val="0"/>
          <w:i/>
          <w:iCs/>
          <w:szCs w:val="20"/>
          <w:lang w:val="en-GB"/>
        </w:rPr>
        <w:t xml:space="preserve"> year remain unchanged during her childbearing period (age 15–49 years).</w:t>
      </w:r>
    </w:p>
    <w:p w:rsidR="00583792" w:rsidRDefault="00583792">
      <w:pPr>
        <w:rPr>
          <w:rFonts w:ascii="Arial" w:hAnsi="Arial" w:cs="Arial"/>
          <w:sz w:val="20"/>
          <w:szCs w:val="20"/>
        </w:rPr>
      </w:pPr>
    </w:p>
    <w:p w:rsidR="009D1DC9" w:rsidRPr="009D1DC9" w:rsidRDefault="009D1DC9">
      <w:pPr>
        <w:rPr>
          <w:rFonts w:ascii="Arial" w:hAnsi="Arial" w:cs="Arial"/>
          <w:sz w:val="20"/>
          <w:szCs w:val="20"/>
        </w:rPr>
      </w:pPr>
    </w:p>
    <w:p w:rsidR="00583792" w:rsidRPr="009D1DC9" w:rsidRDefault="00195095">
      <w:pPr>
        <w:rPr>
          <w:rFonts w:ascii="Arial" w:hAnsi="Arial" w:cs="Arial"/>
          <w:i/>
          <w:sz w:val="20"/>
          <w:szCs w:val="20"/>
        </w:rPr>
      </w:pPr>
      <w:r w:rsidRPr="009D1DC9">
        <w:rPr>
          <w:rFonts w:ascii="Arial" w:hAnsi="Arial" w:cs="Arial"/>
          <w:i/>
          <w:sz w:val="20"/>
          <w:szCs w:val="20"/>
        </w:rPr>
        <w:t xml:space="preserve">Tables </w:t>
      </w:r>
      <w:r w:rsidRPr="009D1DC9">
        <w:rPr>
          <w:rFonts w:ascii="Arial" w:hAnsi="Arial" w:cs="Arial"/>
          <w:b/>
          <w:i/>
          <w:sz w:val="20"/>
          <w:szCs w:val="20"/>
        </w:rPr>
        <w:t>4</w:t>
      </w:r>
      <w:r w:rsidRPr="009D1DC9">
        <w:rPr>
          <w:rFonts w:ascii="Arial" w:hAnsi="Arial" w:cs="Arial"/>
          <w:i/>
          <w:sz w:val="20"/>
          <w:szCs w:val="20"/>
        </w:rPr>
        <w:t xml:space="preserve">-15 and </w:t>
      </w:r>
      <w:r w:rsidRPr="009D1DC9">
        <w:rPr>
          <w:rFonts w:ascii="Arial" w:hAnsi="Arial" w:cs="Arial"/>
          <w:b/>
          <w:i/>
          <w:sz w:val="20"/>
          <w:szCs w:val="20"/>
        </w:rPr>
        <w:t>4</w:t>
      </w:r>
      <w:r w:rsidRPr="009D1DC9">
        <w:rPr>
          <w:rFonts w:ascii="Arial" w:hAnsi="Arial" w:cs="Arial"/>
          <w:i/>
          <w:sz w:val="20"/>
          <w:szCs w:val="20"/>
        </w:rPr>
        <w:t xml:space="preserve">-16 </w:t>
      </w:r>
      <w:r w:rsidRPr="009D1DC9">
        <w:rPr>
          <w:rFonts w:ascii="Arial" w:hAnsi="Arial" w:cs="Arial"/>
          <w:b/>
          <w:i/>
          <w:sz w:val="20"/>
          <w:szCs w:val="20"/>
        </w:rPr>
        <w:t>Deaths by cause</w:t>
      </w:r>
      <w:r w:rsidR="00217A46">
        <w:rPr>
          <w:rFonts w:ascii="Arial" w:hAnsi="Arial" w:cs="Arial"/>
          <w:b/>
          <w:i/>
          <w:sz w:val="20"/>
          <w:szCs w:val="20"/>
        </w:rPr>
        <w:t xml:space="preserve"> of death</w:t>
      </w:r>
    </w:p>
    <w:p w:rsidR="00583792" w:rsidRPr="009D1DC9" w:rsidRDefault="00A52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ind w:firstLine="720"/>
        <w:jc w:val="both"/>
        <w:rPr>
          <w:rFonts w:ascii="Arial" w:hAnsi="Arial" w:cs="Arial"/>
          <w:bCs/>
          <w:i/>
          <w:sz w:val="20"/>
          <w:szCs w:val="20"/>
        </w:rPr>
      </w:pPr>
      <w:r w:rsidRPr="009D1DC9">
        <w:rPr>
          <w:rFonts w:ascii="Arial" w:hAnsi="Arial" w:cs="Arial"/>
          <w:i/>
          <w:sz w:val="20"/>
          <w:szCs w:val="20"/>
        </w:rPr>
        <w:t>Data on causes of death are taken over from the </w:t>
      </w:r>
      <w:r w:rsidR="00195095" w:rsidRPr="009D1DC9">
        <w:rPr>
          <w:rFonts w:ascii="Arial" w:hAnsi="Arial" w:cs="Arial"/>
          <w:i/>
          <w:sz w:val="20"/>
          <w:szCs w:val="20"/>
        </w:rPr>
        <w:t>“Death certificate (Report on examination of the deceased person)”, from 2013 through the Institute of Health Information and Statistics of the CR (IHIS CR). The underlying cause of death is selected by a</w:t>
      </w:r>
      <w:r w:rsidR="009D1DC9">
        <w:rPr>
          <w:rFonts w:ascii="Arial" w:hAnsi="Arial" w:cs="Arial"/>
          <w:i/>
          <w:sz w:val="20"/>
          <w:szCs w:val="20"/>
        </w:rPr>
        <w:t> programme for automated coding </w:t>
      </w:r>
      <w:r w:rsidR="00195095" w:rsidRPr="009D1DC9">
        <w:rPr>
          <w:rFonts w:ascii="Arial" w:hAnsi="Arial" w:cs="Arial"/>
          <w:i/>
          <w:sz w:val="20"/>
          <w:szCs w:val="20"/>
        </w:rPr>
        <w:t>(IRIS) in compliance with valid updates of the 10th revision of the International Statistical Classification of Diseases and Related Health Problems (ICD-10). The IHIS CR is responsible for the use of ICD-10.</w:t>
      </w:r>
    </w:p>
    <w:p w:rsidR="001873E9" w:rsidRPr="009D1DC9" w:rsidRDefault="001873E9" w:rsidP="001873E9">
      <w:pPr>
        <w:jc w:val="both"/>
        <w:rPr>
          <w:rFonts w:ascii="Arial" w:hAnsi="Arial" w:cs="Arial"/>
          <w:sz w:val="20"/>
          <w:szCs w:val="20"/>
        </w:rPr>
      </w:pPr>
    </w:p>
    <w:p w:rsidR="007562D5" w:rsidRPr="003D3AC8" w:rsidRDefault="007562D5" w:rsidP="001873E9">
      <w:pPr>
        <w:jc w:val="both"/>
        <w:rPr>
          <w:rFonts w:ascii="Arial" w:hAnsi="Arial" w:cs="Arial"/>
          <w:sz w:val="20"/>
        </w:rPr>
      </w:pPr>
    </w:p>
    <w:p w:rsidR="001873E9" w:rsidRPr="009D1DC9" w:rsidRDefault="003B3394" w:rsidP="00CF19DF">
      <w:pPr>
        <w:jc w:val="both"/>
        <w:rPr>
          <w:rFonts w:ascii="Arial" w:hAnsi="Arial" w:cs="Arial"/>
          <w:i/>
          <w:sz w:val="20"/>
        </w:rPr>
      </w:pPr>
      <w:r w:rsidRPr="003B3394">
        <w:rPr>
          <w:rFonts w:ascii="Arial" w:hAnsi="Arial" w:cs="Arial"/>
          <w:i/>
          <w:sz w:val="20"/>
        </w:rPr>
        <w:t>Tab</w:t>
      </w:r>
      <w:r w:rsidR="001B1502">
        <w:rPr>
          <w:rFonts w:ascii="Arial" w:hAnsi="Arial" w:cs="Arial"/>
          <w:i/>
          <w:sz w:val="20"/>
        </w:rPr>
        <w:t>le</w:t>
      </w:r>
      <w:r w:rsidRPr="003B3394">
        <w:rPr>
          <w:rFonts w:ascii="Arial" w:hAnsi="Arial" w:cs="Arial"/>
          <w:i/>
          <w:sz w:val="20"/>
        </w:rPr>
        <w:t xml:space="preserve"> </w:t>
      </w:r>
      <w:r w:rsidRPr="003B3394">
        <w:rPr>
          <w:rFonts w:ascii="Arial" w:hAnsi="Arial" w:cs="Arial"/>
          <w:b/>
          <w:i/>
          <w:sz w:val="20"/>
        </w:rPr>
        <w:t>4</w:t>
      </w:r>
      <w:r w:rsidRPr="003B3394">
        <w:rPr>
          <w:rFonts w:ascii="Arial" w:hAnsi="Arial" w:cs="Arial"/>
          <w:i/>
          <w:sz w:val="20"/>
        </w:rPr>
        <w:t>-</w:t>
      </w:r>
      <w:r w:rsidR="00A52B50" w:rsidRPr="003B3394">
        <w:rPr>
          <w:rFonts w:ascii="Arial" w:hAnsi="Arial" w:cs="Arial"/>
          <w:i/>
          <w:sz w:val="20"/>
        </w:rPr>
        <w:t>1</w:t>
      </w:r>
      <w:r w:rsidR="00A52B50">
        <w:rPr>
          <w:rFonts w:ascii="Arial" w:hAnsi="Arial" w:cs="Arial"/>
          <w:i/>
          <w:sz w:val="20"/>
        </w:rPr>
        <w:t>7</w:t>
      </w:r>
      <w:r w:rsidRPr="003B3394">
        <w:rPr>
          <w:rFonts w:ascii="Arial" w:hAnsi="Arial" w:cs="Arial"/>
          <w:i/>
          <w:sz w:val="20"/>
        </w:rPr>
        <w:t xml:space="preserve"> </w:t>
      </w:r>
      <w:r w:rsidR="001B1502">
        <w:rPr>
          <w:rFonts w:ascii="Arial" w:hAnsi="Arial" w:cs="Arial"/>
          <w:b/>
          <w:i/>
          <w:sz w:val="20"/>
        </w:rPr>
        <w:t>Stillbirth rate and infant mortality rates</w:t>
      </w:r>
    </w:p>
    <w:p w:rsidR="002F03E4" w:rsidRDefault="00ED6567">
      <w:pPr>
        <w:spacing w:before="120"/>
        <w:ind w:firstLine="709"/>
        <w:jc w:val="both"/>
        <w:rPr>
          <w:rFonts w:ascii="Arial" w:hAnsi="Arial" w:cs="Arial"/>
          <w:i/>
          <w:sz w:val="20"/>
        </w:rPr>
      </w:pPr>
      <w:r w:rsidRPr="00ED6567">
        <w:rPr>
          <w:rFonts w:ascii="Arial" w:hAnsi="Arial" w:cs="Arial"/>
          <w:i/>
          <w:sz w:val="20"/>
        </w:rPr>
        <w:t xml:space="preserve">The </w:t>
      </w:r>
      <w:r w:rsidR="00B24F6A">
        <w:rPr>
          <w:rFonts w:ascii="Arial" w:hAnsi="Arial" w:cs="Arial"/>
          <w:b/>
          <w:i/>
          <w:sz w:val="20"/>
        </w:rPr>
        <w:t>s</w:t>
      </w:r>
      <w:r w:rsidR="002F03E4">
        <w:rPr>
          <w:rFonts w:ascii="Arial" w:hAnsi="Arial" w:cs="Arial"/>
          <w:b/>
          <w:i/>
          <w:sz w:val="20"/>
        </w:rPr>
        <w:t xml:space="preserve">tillbirth rate </w:t>
      </w:r>
      <w:r w:rsidR="002F03E4">
        <w:rPr>
          <w:rFonts w:ascii="Arial" w:hAnsi="Arial" w:cs="Arial"/>
          <w:i/>
          <w:sz w:val="20"/>
        </w:rPr>
        <w:t>is the number of stillbirths per 1 000 births.</w:t>
      </w:r>
    </w:p>
    <w:p w:rsidR="001B1502" w:rsidRPr="007562D5" w:rsidRDefault="003B3394">
      <w:pPr>
        <w:spacing w:before="120"/>
        <w:ind w:firstLine="709"/>
        <w:jc w:val="both"/>
        <w:rPr>
          <w:rFonts w:ascii="Arial" w:hAnsi="Arial" w:cs="Arial"/>
          <w:i/>
          <w:sz w:val="20"/>
        </w:rPr>
      </w:pPr>
      <w:r w:rsidRPr="007562D5">
        <w:rPr>
          <w:rFonts w:ascii="Arial" w:hAnsi="Arial" w:cs="Arial"/>
          <w:b/>
          <w:i/>
          <w:sz w:val="20"/>
        </w:rPr>
        <w:t>Perinat</w:t>
      </w:r>
      <w:r w:rsidR="001B1502" w:rsidRPr="007562D5">
        <w:rPr>
          <w:rFonts w:ascii="Arial" w:hAnsi="Arial" w:cs="Arial"/>
          <w:b/>
          <w:i/>
          <w:sz w:val="20"/>
        </w:rPr>
        <w:t>al death</w:t>
      </w:r>
      <w:r w:rsidR="00D13D4F" w:rsidRPr="007562D5">
        <w:rPr>
          <w:rFonts w:ascii="Arial" w:hAnsi="Arial" w:cs="Arial"/>
          <w:b/>
          <w:i/>
          <w:sz w:val="20"/>
        </w:rPr>
        <w:t>s</w:t>
      </w:r>
      <w:r w:rsidRPr="007562D5">
        <w:rPr>
          <w:rFonts w:ascii="Arial" w:hAnsi="Arial" w:cs="Arial"/>
          <w:b/>
          <w:i/>
          <w:sz w:val="20"/>
        </w:rPr>
        <w:t xml:space="preserve"> </w:t>
      </w:r>
      <w:r w:rsidR="00D13D4F" w:rsidRPr="007562D5">
        <w:rPr>
          <w:rFonts w:ascii="Arial" w:hAnsi="Arial" w:cs="Arial"/>
          <w:i/>
          <w:sz w:val="20"/>
        </w:rPr>
        <w:t xml:space="preserve">include stillbirths and infants deceased within </w:t>
      </w:r>
      <w:r w:rsidR="001B1502" w:rsidRPr="007562D5">
        <w:rPr>
          <w:rFonts w:ascii="Arial" w:hAnsi="Arial" w:cs="Arial"/>
          <w:i/>
          <w:sz w:val="20"/>
        </w:rPr>
        <w:t>0</w:t>
      </w:r>
      <w:r w:rsidR="007562D5" w:rsidRPr="007562D5">
        <w:rPr>
          <w:rFonts w:ascii="Arial" w:hAnsi="Arial" w:cs="Arial"/>
          <w:i/>
          <w:sz w:val="20"/>
        </w:rPr>
        <w:t>–</w:t>
      </w:r>
      <w:r w:rsidR="001B1502" w:rsidRPr="007562D5">
        <w:rPr>
          <w:rFonts w:ascii="Arial" w:hAnsi="Arial" w:cs="Arial"/>
          <w:i/>
          <w:sz w:val="20"/>
        </w:rPr>
        <w:t>6 d</w:t>
      </w:r>
      <w:r w:rsidR="009D1DC9">
        <w:rPr>
          <w:rFonts w:ascii="Arial" w:hAnsi="Arial" w:cs="Arial"/>
          <w:i/>
          <w:sz w:val="20"/>
        </w:rPr>
        <w:t>ays.</w:t>
      </w:r>
    </w:p>
    <w:p w:rsidR="001B1502" w:rsidRPr="007562D5" w:rsidRDefault="00ED6567" w:rsidP="007562D5">
      <w:pPr>
        <w:pStyle w:val="Normlnweb"/>
        <w:spacing w:before="120" w:beforeAutospacing="0" w:after="0" w:afterAutospacing="0"/>
        <w:ind w:firstLine="709"/>
        <w:jc w:val="both"/>
        <w:rPr>
          <w:rFonts w:ascii="Arial" w:hAnsi="Arial" w:cs="Arial"/>
          <w:i/>
          <w:iCs/>
          <w:color w:val="auto"/>
          <w:sz w:val="20"/>
          <w:szCs w:val="17"/>
          <w:lang w:val="en-GB"/>
        </w:rPr>
      </w:pPr>
      <w:r w:rsidRPr="00ED6567">
        <w:rPr>
          <w:rFonts w:ascii="Arial" w:hAnsi="Arial" w:cs="Arial"/>
          <w:i/>
          <w:color w:val="auto"/>
          <w:sz w:val="20"/>
          <w:lang w:val="en-GB"/>
        </w:rPr>
        <w:t>The</w:t>
      </w:r>
      <w:r w:rsidR="00CF19DF">
        <w:rPr>
          <w:rFonts w:ascii="Arial" w:hAnsi="Arial" w:cs="Arial"/>
          <w:i/>
          <w:color w:val="auto"/>
          <w:sz w:val="20"/>
          <w:lang w:val="en-GB"/>
        </w:rPr>
        <w:t xml:space="preserve"> </w:t>
      </w:r>
      <w:r w:rsidR="00B24F6A">
        <w:rPr>
          <w:rFonts w:ascii="Arial" w:hAnsi="Arial" w:cs="Arial"/>
          <w:b/>
          <w:i/>
          <w:color w:val="auto"/>
          <w:sz w:val="20"/>
          <w:lang w:val="en-GB"/>
        </w:rPr>
        <w:t>p</w:t>
      </w:r>
      <w:r w:rsidR="003B3394" w:rsidRPr="007562D5">
        <w:rPr>
          <w:rFonts w:ascii="Arial" w:hAnsi="Arial" w:cs="Arial"/>
          <w:b/>
          <w:i/>
          <w:color w:val="auto"/>
          <w:sz w:val="20"/>
          <w:lang w:val="en-GB"/>
        </w:rPr>
        <w:t>erinat</w:t>
      </w:r>
      <w:r w:rsidR="00287478" w:rsidRPr="007562D5">
        <w:rPr>
          <w:rFonts w:ascii="Arial" w:hAnsi="Arial" w:cs="Arial"/>
          <w:b/>
          <w:i/>
          <w:color w:val="auto"/>
          <w:sz w:val="20"/>
          <w:lang w:val="en-GB"/>
        </w:rPr>
        <w:t>al mortality rate</w:t>
      </w:r>
      <w:r w:rsidR="003B3394" w:rsidRPr="007562D5">
        <w:rPr>
          <w:rFonts w:ascii="Arial" w:hAnsi="Arial" w:cs="Arial"/>
          <w:b/>
          <w:i/>
          <w:color w:val="auto"/>
          <w:sz w:val="20"/>
          <w:lang w:val="en-GB"/>
        </w:rPr>
        <w:t xml:space="preserve"> </w:t>
      </w:r>
      <w:r w:rsidR="003E6EB9" w:rsidRPr="007562D5">
        <w:rPr>
          <w:rFonts w:ascii="Arial" w:hAnsi="Arial" w:cs="Arial"/>
          <w:i/>
          <w:color w:val="auto"/>
          <w:sz w:val="20"/>
          <w:lang w:val="en-GB"/>
        </w:rPr>
        <w:t>is the number of stillbirths and infants</w:t>
      </w:r>
      <w:r w:rsidR="002C6237" w:rsidRPr="007562D5">
        <w:rPr>
          <w:rFonts w:ascii="Arial" w:hAnsi="Arial" w:cs="Arial"/>
          <w:i/>
          <w:color w:val="auto"/>
          <w:sz w:val="20"/>
          <w:lang w:val="en-GB"/>
        </w:rPr>
        <w:t xml:space="preserve"> deceased in the age of</w:t>
      </w:r>
      <w:r w:rsidR="003E6EB9" w:rsidRPr="007562D5">
        <w:rPr>
          <w:rFonts w:ascii="Arial" w:hAnsi="Arial" w:cs="Arial"/>
          <w:i/>
          <w:color w:val="auto"/>
          <w:sz w:val="20"/>
          <w:lang w:val="en-GB"/>
        </w:rPr>
        <w:t xml:space="preserve"> </w:t>
      </w:r>
      <w:r w:rsidR="003B3394" w:rsidRPr="007562D5">
        <w:rPr>
          <w:rFonts w:ascii="Arial" w:hAnsi="Arial" w:cs="Arial"/>
          <w:i/>
          <w:color w:val="auto"/>
          <w:sz w:val="20"/>
          <w:lang w:val="en-GB"/>
        </w:rPr>
        <w:t>0</w:t>
      </w:r>
      <w:r w:rsidR="007562D5" w:rsidRPr="007562D5">
        <w:rPr>
          <w:rFonts w:ascii="Arial" w:hAnsi="Arial" w:cs="Arial"/>
          <w:i/>
          <w:color w:val="auto"/>
          <w:sz w:val="20"/>
          <w:lang w:val="en-GB"/>
        </w:rPr>
        <w:t>–</w:t>
      </w:r>
      <w:r w:rsidR="009D1DC9">
        <w:rPr>
          <w:rFonts w:ascii="Arial" w:hAnsi="Arial" w:cs="Arial"/>
          <w:i/>
          <w:color w:val="auto"/>
          <w:sz w:val="20"/>
          <w:lang w:val="en-GB"/>
        </w:rPr>
        <w:t xml:space="preserve">6 </w:t>
      </w:r>
      <w:r w:rsidR="003B3394" w:rsidRPr="007562D5">
        <w:rPr>
          <w:rFonts w:ascii="Arial" w:hAnsi="Arial" w:cs="Arial"/>
          <w:i/>
          <w:color w:val="auto"/>
          <w:sz w:val="20"/>
          <w:lang w:val="en-GB"/>
        </w:rPr>
        <w:t>d</w:t>
      </w:r>
      <w:r w:rsidR="003E6EB9" w:rsidRPr="007562D5">
        <w:rPr>
          <w:rFonts w:ascii="Arial" w:hAnsi="Arial" w:cs="Arial"/>
          <w:i/>
          <w:color w:val="auto"/>
          <w:sz w:val="20"/>
          <w:lang w:val="en-GB"/>
        </w:rPr>
        <w:t>ays per</w:t>
      </w:r>
      <w:r w:rsidR="007562D5">
        <w:rPr>
          <w:rFonts w:ascii="Arial" w:hAnsi="Arial" w:cs="Arial"/>
          <w:i/>
          <w:color w:val="auto"/>
          <w:sz w:val="20"/>
          <w:lang w:val="en-GB"/>
        </w:rPr>
        <w:t xml:space="preserve"> 1 000 </w:t>
      </w:r>
      <w:r w:rsidR="003E6EB9" w:rsidRPr="007562D5">
        <w:rPr>
          <w:rFonts w:ascii="Arial" w:hAnsi="Arial" w:cs="Arial"/>
          <w:i/>
          <w:color w:val="auto"/>
          <w:sz w:val="20"/>
          <w:lang w:val="en-GB"/>
        </w:rPr>
        <w:t>births</w:t>
      </w:r>
      <w:r w:rsidR="003B3394" w:rsidRPr="007562D5">
        <w:rPr>
          <w:rFonts w:ascii="Arial" w:hAnsi="Arial" w:cs="Arial"/>
          <w:i/>
          <w:color w:val="auto"/>
          <w:sz w:val="20"/>
          <w:lang w:val="en-GB"/>
        </w:rPr>
        <w:t>.</w:t>
      </w:r>
    </w:p>
    <w:p w:rsidR="007562D5" w:rsidRPr="003D3AC8" w:rsidRDefault="007562D5">
      <w:pPr>
        <w:pStyle w:val="Normlnweb"/>
        <w:spacing w:before="0" w:beforeAutospacing="0" w:after="0" w:afterAutospacing="0"/>
        <w:jc w:val="both"/>
        <w:rPr>
          <w:rFonts w:ascii="Arial" w:hAnsi="Arial" w:cs="Arial"/>
          <w:i/>
          <w:iCs/>
          <w:color w:val="auto"/>
          <w:sz w:val="20"/>
          <w:szCs w:val="17"/>
          <w:lang w:val="en-GB"/>
        </w:rPr>
      </w:pPr>
    </w:p>
    <w:p w:rsidR="003539EB" w:rsidRPr="003D3AC8" w:rsidRDefault="003539EB">
      <w:pPr>
        <w:pStyle w:val="Normlnweb"/>
        <w:spacing w:before="0" w:beforeAutospacing="0" w:after="0" w:afterAutospacing="0"/>
        <w:jc w:val="both"/>
        <w:rPr>
          <w:rFonts w:ascii="Arial" w:hAnsi="Arial" w:cs="Arial"/>
          <w:i/>
          <w:iCs/>
          <w:color w:val="auto"/>
          <w:sz w:val="20"/>
          <w:szCs w:val="17"/>
          <w:lang w:val="en-GB"/>
        </w:rPr>
      </w:pPr>
    </w:p>
    <w:p w:rsidR="002164EA" w:rsidRPr="003D3AC8" w:rsidRDefault="001B1502" w:rsidP="00DC0CC2">
      <w:pPr>
        <w:pStyle w:val="Normlnweb"/>
        <w:spacing w:before="0" w:beforeAutospacing="0" w:after="0" w:afterAutospacing="0"/>
        <w:jc w:val="both"/>
        <w:rPr>
          <w:rFonts w:ascii="Arial" w:hAnsi="Arial" w:cs="Arial"/>
          <w:i/>
          <w:iCs/>
          <w:color w:val="auto"/>
          <w:sz w:val="20"/>
          <w:szCs w:val="17"/>
          <w:lang w:val="en-GB"/>
        </w:rPr>
      </w:pPr>
      <w:r>
        <w:rPr>
          <w:rFonts w:ascii="Arial" w:hAnsi="Arial" w:cs="Arial"/>
          <w:i/>
          <w:iCs/>
          <w:color w:val="auto"/>
          <w:sz w:val="20"/>
          <w:szCs w:val="17"/>
          <w:lang w:val="en-GB"/>
        </w:rPr>
        <w:t xml:space="preserve">Table </w:t>
      </w:r>
      <w:r>
        <w:rPr>
          <w:rFonts w:ascii="Arial" w:hAnsi="Arial" w:cs="Arial"/>
          <w:b/>
          <w:bCs/>
          <w:i/>
          <w:iCs/>
          <w:color w:val="auto"/>
          <w:sz w:val="20"/>
          <w:szCs w:val="17"/>
          <w:lang w:val="en-GB"/>
        </w:rPr>
        <w:t>4</w:t>
      </w:r>
      <w:r>
        <w:rPr>
          <w:rFonts w:ascii="Arial" w:hAnsi="Arial" w:cs="Arial"/>
          <w:i/>
          <w:iCs/>
          <w:color w:val="auto"/>
          <w:sz w:val="20"/>
          <w:szCs w:val="17"/>
          <w:lang w:val="en-GB"/>
        </w:rPr>
        <w:t>-</w:t>
      </w:r>
      <w:r w:rsidR="00A52B50">
        <w:rPr>
          <w:rFonts w:ascii="Arial" w:hAnsi="Arial" w:cs="Arial"/>
          <w:i/>
          <w:iCs/>
          <w:color w:val="auto"/>
          <w:sz w:val="20"/>
          <w:szCs w:val="17"/>
          <w:lang w:val="en-GB"/>
        </w:rPr>
        <w:t>19</w:t>
      </w:r>
      <w:r>
        <w:rPr>
          <w:rFonts w:ascii="Arial" w:hAnsi="Arial" w:cs="Arial"/>
          <w:i/>
          <w:iCs/>
          <w:color w:val="auto"/>
          <w:sz w:val="20"/>
          <w:szCs w:val="17"/>
          <w:lang w:val="en-GB"/>
        </w:rPr>
        <w:t xml:space="preserve"> </w:t>
      </w:r>
      <w:r>
        <w:rPr>
          <w:rFonts w:ascii="Arial" w:hAnsi="Arial" w:cs="Arial"/>
          <w:b/>
          <w:bCs/>
          <w:i/>
          <w:iCs/>
          <w:color w:val="auto"/>
          <w:sz w:val="20"/>
          <w:szCs w:val="17"/>
          <w:lang w:val="en-GB"/>
        </w:rPr>
        <w:t>Life expectancy</w:t>
      </w:r>
    </w:p>
    <w:p w:rsidR="002164EA" w:rsidRPr="003D3AC8" w:rsidRDefault="00ED6567">
      <w:pPr>
        <w:spacing w:before="120"/>
        <w:ind w:firstLine="709"/>
        <w:jc w:val="both"/>
        <w:rPr>
          <w:rFonts w:ascii="Arial" w:hAnsi="Arial" w:cs="Arial"/>
          <w:i/>
          <w:iCs/>
          <w:sz w:val="20"/>
        </w:rPr>
      </w:pPr>
      <w:r w:rsidRPr="00ED6567">
        <w:rPr>
          <w:rFonts w:ascii="Arial" w:hAnsi="Arial" w:cs="Arial"/>
          <w:bCs/>
          <w:i/>
          <w:iCs/>
          <w:sz w:val="20"/>
        </w:rPr>
        <w:t>The</w:t>
      </w:r>
      <w:r w:rsidR="00CF19DF">
        <w:rPr>
          <w:rFonts w:ascii="Arial" w:hAnsi="Arial" w:cs="Arial"/>
          <w:bCs/>
          <w:i/>
          <w:iCs/>
          <w:sz w:val="20"/>
        </w:rPr>
        <w:t xml:space="preserve"> </w:t>
      </w:r>
      <w:r w:rsidR="00A33E55">
        <w:rPr>
          <w:rFonts w:ascii="Arial" w:hAnsi="Arial" w:cs="Arial"/>
          <w:b/>
          <w:bCs/>
          <w:i/>
          <w:iCs/>
          <w:sz w:val="20"/>
        </w:rPr>
        <w:t>l</w:t>
      </w:r>
      <w:r w:rsidR="001B1502">
        <w:rPr>
          <w:rFonts w:ascii="Arial" w:hAnsi="Arial" w:cs="Arial"/>
          <w:b/>
          <w:bCs/>
          <w:i/>
          <w:iCs/>
          <w:sz w:val="20"/>
        </w:rPr>
        <w:t xml:space="preserve">ife expectancy </w:t>
      </w:r>
      <w:r w:rsidR="001B1502">
        <w:rPr>
          <w:rFonts w:ascii="Arial" w:hAnsi="Arial" w:cs="Arial"/>
          <w:i/>
          <w:iCs/>
          <w:sz w:val="20"/>
        </w:rPr>
        <w:t>shows the number of years an x-year-old individual can expect to live, given the mortality conditions of the reference period. It is a synthetic indicator reflecting mortality conditions in all age groups in a given year.</w:t>
      </w:r>
    </w:p>
    <w:p w:rsidR="002164EA" w:rsidRPr="003D3AC8" w:rsidRDefault="002164EA">
      <w:pPr>
        <w:jc w:val="both"/>
        <w:rPr>
          <w:rFonts w:ascii="Arial" w:hAnsi="Arial" w:cs="Arial"/>
          <w:i/>
          <w:iCs/>
          <w:sz w:val="20"/>
        </w:rPr>
      </w:pP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1B1502" w:rsidP="00DC0CC2">
      <w:pPr>
        <w:pStyle w:val="Normlnweb"/>
        <w:spacing w:before="0" w:beforeAutospacing="0" w:after="0" w:afterAutospacing="0"/>
        <w:jc w:val="both"/>
        <w:rPr>
          <w:rFonts w:ascii="Arial" w:hAnsi="Arial" w:cs="Arial"/>
          <w:i/>
          <w:iCs/>
          <w:color w:val="auto"/>
          <w:sz w:val="20"/>
          <w:szCs w:val="17"/>
          <w:lang w:val="en-GB"/>
        </w:rPr>
      </w:pPr>
      <w:r>
        <w:rPr>
          <w:rFonts w:ascii="Arial" w:hAnsi="Arial" w:cs="Arial"/>
          <w:i/>
          <w:iCs/>
          <w:color w:val="auto"/>
          <w:sz w:val="20"/>
          <w:szCs w:val="17"/>
          <w:lang w:val="en-GB"/>
        </w:rPr>
        <w:t xml:space="preserve">Table </w:t>
      </w:r>
      <w:r>
        <w:rPr>
          <w:rFonts w:ascii="Arial" w:hAnsi="Arial" w:cs="Arial"/>
          <w:b/>
          <w:bCs/>
          <w:i/>
          <w:iCs/>
          <w:color w:val="auto"/>
          <w:sz w:val="20"/>
          <w:szCs w:val="17"/>
          <w:lang w:val="en-GB"/>
        </w:rPr>
        <w:t>4</w:t>
      </w:r>
      <w:r>
        <w:rPr>
          <w:rFonts w:ascii="Arial" w:hAnsi="Arial" w:cs="Arial"/>
          <w:i/>
          <w:iCs/>
          <w:color w:val="auto"/>
          <w:sz w:val="20"/>
          <w:szCs w:val="17"/>
          <w:lang w:val="en-GB"/>
        </w:rPr>
        <w:t>-</w:t>
      </w:r>
      <w:r w:rsidR="00A52B50">
        <w:rPr>
          <w:rFonts w:ascii="Arial" w:hAnsi="Arial" w:cs="Arial"/>
          <w:i/>
          <w:iCs/>
          <w:color w:val="auto"/>
          <w:sz w:val="20"/>
          <w:szCs w:val="17"/>
          <w:lang w:val="en-GB"/>
        </w:rPr>
        <w:t>20</w:t>
      </w:r>
      <w:r>
        <w:rPr>
          <w:rFonts w:ascii="Arial" w:hAnsi="Arial" w:cs="Arial"/>
          <w:i/>
          <w:iCs/>
          <w:color w:val="auto"/>
          <w:sz w:val="20"/>
          <w:szCs w:val="17"/>
          <w:lang w:val="en-GB"/>
        </w:rPr>
        <w:t xml:space="preserve"> </w:t>
      </w:r>
      <w:r>
        <w:rPr>
          <w:rFonts w:ascii="Arial" w:hAnsi="Arial" w:cs="Arial"/>
          <w:b/>
          <w:bCs/>
          <w:i/>
          <w:iCs/>
          <w:color w:val="auto"/>
          <w:sz w:val="20"/>
          <w:szCs w:val="17"/>
          <w:lang w:val="en-GB"/>
        </w:rPr>
        <w:t>Internal migration by type</w:t>
      </w:r>
    </w:p>
    <w:p w:rsidR="002164EA" w:rsidRPr="003D3AC8" w:rsidRDefault="00ED6567">
      <w:pPr>
        <w:pStyle w:val="Normlnweb"/>
        <w:spacing w:before="120" w:beforeAutospacing="0" w:after="0" w:afterAutospacing="0"/>
        <w:ind w:firstLine="709"/>
        <w:jc w:val="both"/>
        <w:rPr>
          <w:rFonts w:ascii="Arial" w:hAnsi="Arial" w:cs="Arial"/>
          <w:i/>
          <w:iCs/>
          <w:color w:val="auto"/>
          <w:sz w:val="20"/>
          <w:szCs w:val="17"/>
          <w:lang w:val="en-GB"/>
        </w:rPr>
      </w:pPr>
      <w:r w:rsidRPr="00ED6567">
        <w:rPr>
          <w:rFonts w:ascii="Arial" w:hAnsi="Arial" w:cs="Arial"/>
          <w:bCs/>
          <w:i/>
          <w:iCs/>
          <w:color w:val="auto"/>
          <w:sz w:val="20"/>
          <w:szCs w:val="17"/>
          <w:lang w:val="en-GB"/>
        </w:rPr>
        <w:t>The</w:t>
      </w:r>
      <w:r w:rsidR="00B24F6A">
        <w:rPr>
          <w:rFonts w:ascii="Arial" w:hAnsi="Arial" w:cs="Arial"/>
          <w:b/>
          <w:bCs/>
          <w:i/>
          <w:iCs/>
          <w:color w:val="auto"/>
          <w:sz w:val="20"/>
          <w:szCs w:val="17"/>
          <w:lang w:val="en-GB"/>
        </w:rPr>
        <w:t xml:space="preserve"> i</w:t>
      </w:r>
      <w:r w:rsidR="001B1502">
        <w:rPr>
          <w:rFonts w:ascii="Arial" w:hAnsi="Arial" w:cs="Arial"/>
          <w:b/>
          <w:bCs/>
          <w:i/>
          <w:iCs/>
          <w:color w:val="auto"/>
          <w:sz w:val="20"/>
          <w:szCs w:val="17"/>
          <w:lang w:val="en-GB"/>
        </w:rPr>
        <w:t>nternal migration</w:t>
      </w:r>
      <w:r w:rsidR="001B1502">
        <w:rPr>
          <w:rFonts w:ascii="Arial" w:hAnsi="Arial" w:cs="Arial"/>
          <w:i/>
          <w:iCs/>
          <w:color w:val="auto"/>
          <w:sz w:val="20"/>
          <w:szCs w:val="17"/>
          <w:lang w:val="en-GB"/>
        </w:rPr>
        <w:t xml:space="preserve"> refers to a change of the municipality of permanent residence (</w:t>
      </w:r>
      <w:r w:rsidR="004C3766">
        <w:rPr>
          <w:rFonts w:ascii="Arial" w:hAnsi="Arial" w:cs="Arial"/>
          <w:i/>
          <w:iCs/>
          <w:color w:val="auto"/>
          <w:sz w:val="20"/>
          <w:szCs w:val="17"/>
          <w:lang w:val="en-GB"/>
        </w:rPr>
        <w:t>as for foreigners also</w:t>
      </w:r>
      <w:r w:rsidR="001B1502">
        <w:rPr>
          <w:rFonts w:ascii="Arial" w:hAnsi="Arial" w:cs="Arial"/>
          <w:i/>
          <w:iCs/>
          <w:color w:val="auto"/>
          <w:sz w:val="20"/>
          <w:szCs w:val="17"/>
          <w:lang w:val="en-GB"/>
        </w:rPr>
        <w:t xml:space="preserve"> other types of </w:t>
      </w:r>
      <w:r w:rsidR="004C3766">
        <w:rPr>
          <w:rFonts w:ascii="Arial" w:hAnsi="Arial" w:cs="Arial"/>
          <w:i/>
          <w:iCs/>
          <w:color w:val="auto"/>
          <w:sz w:val="20"/>
          <w:szCs w:val="17"/>
          <w:lang w:val="en-GB"/>
        </w:rPr>
        <w:t>residence exceeding</w:t>
      </w:r>
      <w:r w:rsidR="00023998">
        <w:rPr>
          <w:rFonts w:ascii="Arial" w:hAnsi="Arial" w:cs="Arial"/>
          <w:i/>
          <w:iCs/>
          <w:color w:val="auto"/>
          <w:sz w:val="20"/>
          <w:szCs w:val="17"/>
          <w:lang w:val="en-GB"/>
        </w:rPr>
        <w:t xml:space="preserve"> 90 </w:t>
      </w:r>
      <w:r w:rsidR="001B1502">
        <w:rPr>
          <w:rFonts w:ascii="Arial" w:hAnsi="Arial" w:cs="Arial"/>
          <w:i/>
          <w:iCs/>
          <w:color w:val="auto"/>
          <w:sz w:val="20"/>
          <w:szCs w:val="17"/>
          <w:lang w:val="en-GB"/>
        </w:rPr>
        <w:t>days) within the</w:t>
      </w:r>
      <w:r w:rsidR="00492E17">
        <w:rPr>
          <w:rFonts w:ascii="Arial" w:hAnsi="Arial" w:cs="Arial"/>
          <w:i/>
          <w:iCs/>
          <w:color w:val="auto"/>
          <w:sz w:val="20"/>
          <w:szCs w:val="17"/>
          <w:lang w:val="en-GB"/>
        </w:rPr>
        <w:t xml:space="preserve"> territory of the</w:t>
      </w:r>
      <w:r w:rsidR="001B1502">
        <w:rPr>
          <w:rFonts w:ascii="Arial" w:hAnsi="Arial" w:cs="Arial"/>
          <w:i/>
          <w:iCs/>
          <w:color w:val="auto"/>
          <w:sz w:val="20"/>
          <w:szCs w:val="17"/>
          <w:lang w:val="en-GB"/>
        </w:rPr>
        <w:t> Czech Republic.</w:t>
      </w:r>
    </w:p>
    <w:p w:rsidR="002164EA" w:rsidRPr="003D3AC8" w:rsidRDefault="001B1502">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17"/>
          <w:lang w:val="en-GB"/>
        </w:rPr>
        <w:t xml:space="preserve">Before 2005 data on migration from one municipality to another included also migration within Prague (migration between 10 city districts before 1992 and migration between city-planning districts from 1992), even </w:t>
      </w:r>
      <w:r w:rsidR="00F90021">
        <w:rPr>
          <w:rFonts w:ascii="Arial" w:hAnsi="Arial" w:cs="Arial"/>
          <w:i/>
          <w:iCs/>
          <w:color w:val="auto"/>
          <w:sz w:val="20"/>
          <w:szCs w:val="17"/>
          <w:lang w:val="en-GB"/>
        </w:rPr>
        <w:t xml:space="preserve">though </w:t>
      </w:r>
      <w:r>
        <w:rPr>
          <w:rFonts w:ascii="Arial" w:hAnsi="Arial" w:cs="Arial"/>
          <w:i/>
          <w:iCs/>
          <w:color w:val="auto"/>
          <w:sz w:val="20"/>
          <w:szCs w:val="17"/>
          <w:lang w:val="en-GB"/>
        </w:rPr>
        <w:t xml:space="preserve">it was migration within a municipality. Since 2005 migration within Prague is not </w:t>
      </w:r>
      <w:r w:rsidR="009D1DC9">
        <w:rPr>
          <w:rFonts w:ascii="Arial" w:hAnsi="Arial" w:cs="Arial"/>
          <w:i/>
          <w:iCs/>
          <w:color w:val="auto"/>
          <w:sz w:val="20"/>
          <w:szCs w:val="17"/>
          <w:lang w:val="en-GB"/>
        </w:rPr>
        <w:t>included in internal migration.</w:t>
      </w: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1B1502" w:rsidP="00250A55">
      <w:pPr>
        <w:pStyle w:val="Normlnweb"/>
        <w:spacing w:before="0" w:beforeAutospacing="0" w:after="0" w:afterAutospacing="0"/>
        <w:jc w:val="both"/>
        <w:rPr>
          <w:rFonts w:ascii="Arial" w:hAnsi="Arial" w:cs="Arial"/>
          <w:i/>
          <w:iCs/>
          <w:color w:val="auto"/>
          <w:sz w:val="20"/>
          <w:szCs w:val="17"/>
          <w:lang w:val="en-GB"/>
        </w:rPr>
      </w:pPr>
      <w:r>
        <w:rPr>
          <w:rFonts w:ascii="Arial" w:hAnsi="Arial" w:cs="Arial"/>
          <w:i/>
          <w:iCs/>
          <w:color w:val="auto"/>
          <w:sz w:val="20"/>
          <w:szCs w:val="17"/>
          <w:lang w:val="en-GB"/>
        </w:rPr>
        <w:t xml:space="preserve">Table </w:t>
      </w:r>
      <w:r>
        <w:rPr>
          <w:rFonts w:ascii="Arial" w:hAnsi="Arial" w:cs="Arial"/>
          <w:b/>
          <w:bCs/>
          <w:i/>
          <w:iCs/>
          <w:color w:val="auto"/>
          <w:sz w:val="20"/>
          <w:szCs w:val="17"/>
          <w:lang w:val="en-GB"/>
        </w:rPr>
        <w:t>4</w:t>
      </w:r>
      <w:r>
        <w:rPr>
          <w:rFonts w:ascii="Arial" w:hAnsi="Arial" w:cs="Arial"/>
          <w:i/>
          <w:iCs/>
          <w:color w:val="auto"/>
          <w:sz w:val="20"/>
          <w:szCs w:val="17"/>
          <w:lang w:val="en-GB"/>
        </w:rPr>
        <w:t>-</w:t>
      </w:r>
      <w:r w:rsidR="00A52B50">
        <w:rPr>
          <w:rFonts w:ascii="Arial" w:hAnsi="Arial" w:cs="Arial"/>
          <w:i/>
          <w:iCs/>
          <w:color w:val="auto"/>
          <w:sz w:val="20"/>
          <w:szCs w:val="17"/>
          <w:lang w:val="en-GB"/>
        </w:rPr>
        <w:t>21</w:t>
      </w:r>
      <w:r>
        <w:rPr>
          <w:rFonts w:ascii="Arial" w:hAnsi="Arial" w:cs="Arial"/>
          <w:i/>
          <w:iCs/>
          <w:color w:val="auto"/>
          <w:sz w:val="20"/>
          <w:szCs w:val="17"/>
          <w:lang w:val="en-GB"/>
        </w:rPr>
        <w:t xml:space="preserve"> </w:t>
      </w:r>
      <w:r>
        <w:rPr>
          <w:rFonts w:ascii="Arial" w:hAnsi="Arial" w:cs="Arial"/>
          <w:b/>
          <w:bCs/>
          <w:i/>
          <w:iCs/>
          <w:color w:val="auto"/>
          <w:sz w:val="20"/>
          <w:szCs w:val="17"/>
          <w:lang w:val="en-GB"/>
        </w:rPr>
        <w:t>External migration by citizenship</w:t>
      </w:r>
    </w:p>
    <w:p w:rsidR="002164EA" w:rsidRPr="003D3AC8" w:rsidRDefault="00ED6567">
      <w:pPr>
        <w:pStyle w:val="Normlnweb"/>
        <w:spacing w:before="120" w:beforeAutospacing="0" w:after="0" w:afterAutospacing="0"/>
        <w:ind w:firstLine="709"/>
        <w:jc w:val="both"/>
        <w:rPr>
          <w:rFonts w:ascii="Arial" w:hAnsi="Arial" w:cs="Arial"/>
          <w:i/>
          <w:iCs/>
          <w:color w:val="auto"/>
          <w:sz w:val="20"/>
          <w:szCs w:val="17"/>
          <w:lang w:val="en-GB"/>
        </w:rPr>
      </w:pPr>
      <w:r w:rsidRPr="00ED6567">
        <w:rPr>
          <w:rFonts w:ascii="Arial" w:hAnsi="Arial" w:cs="Arial"/>
          <w:bCs/>
          <w:i/>
          <w:iCs/>
          <w:color w:val="auto"/>
          <w:sz w:val="20"/>
          <w:szCs w:val="17"/>
          <w:lang w:val="en-GB"/>
        </w:rPr>
        <w:t>The</w:t>
      </w:r>
      <w:r w:rsidR="00CF19DF">
        <w:rPr>
          <w:rFonts w:ascii="Arial" w:hAnsi="Arial" w:cs="Arial"/>
          <w:bCs/>
          <w:i/>
          <w:iCs/>
          <w:color w:val="auto"/>
          <w:sz w:val="20"/>
          <w:szCs w:val="17"/>
          <w:lang w:val="en-GB"/>
        </w:rPr>
        <w:t xml:space="preserve"> </w:t>
      </w:r>
      <w:r w:rsidR="00A33E55">
        <w:rPr>
          <w:rFonts w:ascii="Arial" w:hAnsi="Arial" w:cs="Arial"/>
          <w:b/>
          <w:bCs/>
          <w:i/>
          <w:iCs/>
          <w:color w:val="auto"/>
          <w:sz w:val="20"/>
          <w:szCs w:val="17"/>
          <w:lang w:val="en-GB"/>
        </w:rPr>
        <w:t>e</w:t>
      </w:r>
      <w:r w:rsidR="001B1502">
        <w:rPr>
          <w:rFonts w:ascii="Arial" w:hAnsi="Arial" w:cs="Arial"/>
          <w:b/>
          <w:bCs/>
          <w:i/>
          <w:iCs/>
          <w:color w:val="auto"/>
          <w:sz w:val="20"/>
          <w:szCs w:val="17"/>
          <w:lang w:val="en-GB"/>
        </w:rPr>
        <w:t>xternal migration</w:t>
      </w:r>
      <w:r w:rsidR="001B1502">
        <w:rPr>
          <w:rFonts w:ascii="Arial" w:hAnsi="Arial" w:cs="Arial"/>
          <w:i/>
          <w:iCs/>
          <w:color w:val="auto"/>
          <w:sz w:val="20"/>
          <w:szCs w:val="17"/>
          <w:lang w:val="en-GB"/>
        </w:rPr>
        <w:t xml:space="preserve"> refers to a change of the country of permanent residence (</w:t>
      </w:r>
      <w:r w:rsidR="000063E4">
        <w:rPr>
          <w:rFonts w:ascii="Arial" w:hAnsi="Arial" w:cs="Arial"/>
          <w:i/>
          <w:iCs/>
          <w:color w:val="auto"/>
          <w:sz w:val="20"/>
          <w:szCs w:val="17"/>
          <w:lang w:val="en-GB"/>
        </w:rPr>
        <w:t>as for foreigners also</w:t>
      </w:r>
      <w:r w:rsidR="001B1502">
        <w:rPr>
          <w:rFonts w:ascii="Arial" w:hAnsi="Arial" w:cs="Arial"/>
          <w:i/>
          <w:iCs/>
          <w:color w:val="auto"/>
          <w:sz w:val="20"/>
          <w:szCs w:val="17"/>
          <w:lang w:val="en-GB"/>
        </w:rPr>
        <w:t xml:space="preserve"> other types of </w:t>
      </w:r>
      <w:r w:rsidR="006F31F7">
        <w:rPr>
          <w:rFonts w:ascii="Arial" w:hAnsi="Arial" w:cs="Arial"/>
          <w:i/>
          <w:iCs/>
          <w:color w:val="auto"/>
          <w:sz w:val="20"/>
          <w:szCs w:val="17"/>
          <w:lang w:val="en-GB"/>
        </w:rPr>
        <w:t xml:space="preserve">residence </w:t>
      </w:r>
      <w:r w:rsidR="000063E4">
        <w:rPr>
          <w:rFonts w:ascii="Arial" w:hAnsi="Arial" w:cs="Arial"/>
          <w:i/>
          <w:iCs/>
          <w:color w:val="auto"/>
          <w:sz w:val="20"/>
          <w:szCs w:val="17"/>
          <w:lang w:val="en-GB"/>
        </w:rPr>
        <w:t>exceeding</w:t>
      </w:r>
      <w:r w:rsidR="009D1DC9">
        <w:rPr>
          <w:rFonts w:ascii="Arial" w:hAnsi="Arial" w:cs="Arial"/>
          <w:i/>
          <w:iCs/>
          <w:color w:val="auto"/>
          <w:sz w:val="20"/>
          <w:szCs w:val="17"/>
          <w:lang w:val="en-GB"/>
        </w:rPr>
        <w:t xml:space="preserve"> 90 days).</w:t>
      </w: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1B1502">
      <w:pPr>
        <w:pStyle w:val="Normlnweb"/>
        <w:spacing w:before="0" w:beforeAutospacing="0" w:after="0" w:afterAutospacing="0"/>
        <w:jc w:val="both"/>
        <w:rPr>
          <w:rFonts w:ascii="Arial" w:hAnsi="Arial" w:cs="Arial"/>
          <w:i/>
          <w:iCs/>
          <w:color w:val="auto"/>
          <w:sz w:val="20"/>
          <w:szCs w:val="17"/>
          <w:lang w:val="en-GB"/>
        </w:rPr>
      </w:pPr>
      <w:r>
        <w:rPr>
          <w:rFonts w:ascii="Arial" w:hAnsi="Arial" w:cs="Arial"/>
          <w:i/>
          <w:iCs/>
          <w:color w:val="auto"/>
          <w:sz w:val="20"/>
          <w:szCs w:val="17"/>
          <w:lang w:val="en-GB"/>
        </w:rPr>
        <w:t xml:space="preserve">Tables </w:t>
      </w:r>
      <w:r>
        <w:rPr>
          <w:rFonts w:ascii="Arial" w:hAnsi="Arial" w:cs="Arial"/>
          <w:b/>
          <w:i/>
          <w:iCs/>
          <w:color w:val="auto"/>
          <w:sz w:val="20"/>
          <w:szCs w:val="17"/>
          <w:lang w:val="en-GB"/>
        </w:rPr>
        <w:t>4</w:t>
      </w:r>
      <w:r>
        <w:rPr>
          <w:rFonts w:ascii="Arial" w:hAnsi="Arial" w:cs="Arial"/>
          <w:i/>
          <w:iCs/>
          <w:color w:val="auto"/>
          <w:sz w:val="20"/>
          <w:szCs w:val="17"/>
          <w:lang w:val="en-GB"/>
        </w:rPr>
        <w:t>-</w:t>
      </w:r>
      <w:r w:rsidR="00A52B50">
        <w:rPr>
          <w:rFonts w:ascii="Arial" w:hAnsi="Arial" w:cs="Arial"/>
          <w:i/>
          <w:iCs/>
          <w:color w:val="auto"/>
          <w:sz w:val="20"/>
          <w:szCs w:val="17"/>
          <w:lang w:val="en-GB"/>
        </w:rPr>
        <w:t xml:space="preserve">22 </w:t>
      </w:r>
      <w:r>
        <w:rPr>
          <w:rFonts w:ascii="Arial" w:hAnsi="Arial" w:cs="Arial"/>
          <w:i/>
          <w:iCs/>
          <w:color w:val="auto"/>
          <w:sz w:val="20"/>
          <w:szCs w:val="17"/>
          <w:lang w:val="en-GB"/>
        </w:rPr>
        <w:t xml:space="preserve">and </w:t>
      </w:r>
      <w:r>
        <w:rPr>
          <w:rFonts w:ascii="Arial" w:hAnsi="Arial" w:cs="Arial"/>
          <w:b/>
          <w:i/>
          <w:iCs/>
          <w:color w:val="auto"/>
          <w:sz w:val="20"/>
          <w:szCs w:val="17"/>
          <w:lang w:val="en-GB"/>
        </w:rPr>
        <w:t>4</w:t>
      </w:r>
      <w:r>
        <w:rPr>
          <w:rFonts w:ascii="Arial" w:hAnsi="Arial" w:cs="Arial"/>
          <w:i/>
          <w:iCs/>
          <w:color w:val="auto"/>
          <w:sz w:val="20"/>
          <w:szCs w:val="17"/>
          <w:lang w:val="en-GB"/>
        </w:rPr>
        <w:t>-</w:t>
      </w:r>
      <w:r w:rsidR="00A52B50">
        <w:rPr>
          <w:rFonts w:ascii="Arial" w:hAnsi="Arial" w:cs="Arial"/>
          <w:i/>
          <w:iCs/>
          <w:color w:val="auto"/>
          <w:sz w:val="20"/>
          <w:szCs w:val="17"/>
          <w:lang w:val="en-GB"/>
        </w:rPr>
        <w:t>23</w:t>
      </w:r>
      <w:r>
        <w:rPr>
          <w:rFonts w:ascii="Arial" w:hAnsi="Arial" w:cs="Arial"/>
          <w:i/>
          <w:iCs/>
          <w:color w:val="auto"/>
          <w:sz w:val="20"/>
          <w:szCs w:val="17"/>
          <w:lang w:val="en-GB"/>
        </w:rPr>
        <w:t xml:space="preserve"> </w:t>
      </w:r>
      <w:r>
        <w:rPr>
          <w:rFonts w:ascii="Arial" w:hAnsi="Arial" w:cs="Arial"/>
          <w:b/>
          <w:i/>
          <w:iCs/>
          <w:color w:val="auto"/>
          <w:sz w:val="20"/>
          <w:szCs w:val="17"/>
          <w:lang w:val="en-GB"/>
        </w:rPr>
        <w:t>Foreigners in the Czech Republic</w:t>
      </w:r>
    </w:p>
    <w:p w:rsidR="00451F2C" w:rsidRPr="00451F2C" w:rsidRDefault="00451F2C" w:rsidP="00451F2C">
      <w:pPr>
        <w:pStyle w:val="Normlnweb"/>
        <w:spacing w:before="120" w:beforeAutospacing="0" w:after="0" w:afterAutospacing="0"/>
        <w:ind w:firstLine="709"/>
        <w:jc w:val="both"/>
        <w:rPr>
          <w:rFonts w:ascii="Arial" w:hAnsi="Arial" w:cs="Arial"/>
          <w:i/>
          <w:color w:val="auto"/>
          <w:sz w:val="20"/>
          <w:szCs w:val="20"/>
          <w:lang w:val="en-GB"/>
        </w:rPr>
      </w:pPr>
      <w:r w:rsidRPr="00451F2C">
        <w:rPr>
          <w:rFonts w:ascii="Arial" w:hAnsi="Arial" w:cs="Arial"/>
          <w:i/>
          <w:color w:val="auto"/>
          <w:sz w:val="20"/>
          <w:szCs w:val="20"/>
          <w:lang w:val="en-GB"/>
        </w:rPr>
        <w:t>Pursuant to the Act No 326/1999 Sb, on the Residence of Aliens in the Territory of the Czech Republic and amending certain acts, such a person is deemed a foreigner, who lacks Czech citizenship, including a national of the EU. The acquisition and loss of citizenship of the Czech Republic is governed by the Act No 186/2013 Sb, on Citizenship of the Czech Republic. The act became effective on 1 January 2014. Besides other changes brought by the act, it allows e.g. dual or multiple citizenship.</w:t>
      </w:r>
    </w:p>
    <w:p w:rsidR="00451F2C" w:rsidRPr="00451F2C" w:rsidRDefault="00451F2C" w:rsidP="00451F2C">
      <w:pPr>
        <w:pStyle w:val="Normlnweb"/>
        <w:spacing w:before="120" w:beforeAutospacing="0" w:after="0" w:afterAutospacing="0"/>
        <w:ind w:firstLine="709"/>
        <w:jc w:val="both"/>
        <w:rPr>
          <w:rFonts w:ascii="Arial" w:hAnsi="Arial" w:cs="Arial"/>
          <w:i/>
          <w:iCs/>
          <w:color w:val="auto"/>
          <w:sz w:val="20"/>
          <w:szCs w:val="17"/>
          <w:lang w:val="en-GB"/>
        </w:rPr>
      </w:pPr>
      <w:r w:rsidRPr="00451F2C">
        <w:rPr>
          <w:rFonts w:ascii="Arial" w:hAnsi="Arial" w:cs="Arial"/>
          <w:i/>
          <w:iCs/>
          <w:color w:val="auto"/>
          <w:sz w:val="20"/>
          <w:szCs w:val="17"/>
          <w:lang w:val="en-GB"/>
        </w:rPr>
        <w:t>The entry to the territory of the Czech Republic, residence on it, and departure from it come under the competence of the Police of the CR, the Ministry of the Interior, and the Ministry of Foreign Affairs. Foreigners may reside on the territory of the Czech Republic temporarily or permanently. The tables contain the following categories of foreigners:</w:t>
      </w:r>
    </w:p>
    <w:p w:rsidR="00451F2C" w:rsidRPr="00451F2C" w:rsidRDefault="00451F2C" w:rsidP="00451F2C">
      <w:pPr>
        <w:pStyle w:val="Normlnweb"/>
        <w:spacing w:before="120" w:beforeAutospacing="0" w:after="0" w:afterAutospacing="0"/>
        <w:ind w:left="170" w:hanging="170"/>
        <w:jc w:val="both"/>
        <w:rPr>
          <w:rFonts w:ascii="Arial" w:hAnsi="Arial" w:cs="Arial"/>
          <w:i/>
          <w:iCs/>
          <w:color w:val="auto"/>
          <w:sz w:val="20"/>
          <w:szCs w:val="17"/>
          <w:lang w:val="en-GB"/>
        </w:rPr>
      </w:pPr>
      <w:r w:rsidRPr="00451F2C">
        <w:rPr>
          <w:rFonts w:ascii="Arial" w:hAnsi="Arial" w:cs="Arial"/>
          <w:i/>
          <w:iCs/>
          <w:color w:val="auto"/>
          <w:sz w:val="20"/>
          <w:szCs w:val="17"/>
          <w:lang w:val="en-GB"/>
        </w:rPr>
        <w:t>– nationals of the EU Member States, Norway, Switzerland, Iceland, and Liechtenstein including their dependants who were granted a temporary or permanent residence permit;</w:t>
      </w:r>
    </w:p>
    <w:p w:rsidR="00451F2C" w:rsidRPr="00451F2C" w:rsidRDefault="00451F2C" w:rsidP="00451F2C">
      <w:pPr>
        <w:pStyle w:val="Normlnweb"/>
        <w:spacing w:before="120" w:beforeAutospacing="0" w:after="0" w:afterAutospacing="0"/>
        <w:jc w:val="both"/>
        <w:rPr>
          <w:rFonts w:ascii="Arial" w:hAnsi="Arial" w:cs="Arial"/>
          <w:i/>
          <w:iCs/>
          <w:color w:val="auto"/>
          <w:sz w:val="20"/>
          <w:szCs w:val="17"/>
          <w:lang w:val="en-GB"/>
        </w:rPr>
      </w:pPr>
      <w:r w:rsidRPr="00451F2C">
        <w:rPr>
          <w:rFonts w:ascii="Arial" w:hAnsi="Arial" w:cs="Arial"/>
          <w:i/>
          <w:iCs/>
          <w:color w:val="auto"/>
          <w:sz w:val="20"/>
          <w:szCs w:val="17"/>
          <w:lang w:val="en-GB"/>
        </w:rPr>
        <w:t>– third-country nationals residing in the Czech Republic based on a long-term visa (over 90 days);</w:t>
      </w:r>
    </w:p>
    <w:p w:rsidR="002164EA" w:rsidRPr="003D3AC8" w:rsidRDefault="001B1502">
      <w:pPr>
        <w:pStyle w:val="Normlnweb"/>
        <w:spacing w:before="120" w:beforeAutospacing="0" w:after="0" w:afterAutospacing="0"/>
        <w:jc w:val="both"/>
        <w:rPr>
          <w:rFonts w:ascii="Arial" w:hAnsi="Arial" w:cs="Arial"/>
          <w:i/>
          <w:iCs/>
          <w:color w:val="auto"/>
          <w:sz w:val="20"/>
          <w:szCs w:val="17"/>
          <w:lang w:val="en-GB"/>
        </w:rPr>
      </w:pPr>
      <w:r w:rsidRPr="00451F2C">
        <w:rPr>
          <w:rFonts w:ascii="Arial" w:hAnsi="Arial" w:cs="Arial"/>
          <w:i/>
          <w:iCs/>
          <w:color w:val="auto"/>
          <w:sz w:val="20"/>
          <w:szCs w:val="17"/>
          <w:lang w:val="en-GB"/>
        </w:rPr>
        <w:t xml:space="preserve">– third-country nationals with a long-term or </w:t>
      </w:r>
      <w:r w:rsidR="009D5CBC" w:rsidRPr="00451F2C">
        <w:rPr>
          <w:rFonts w:ascii="Arial" w:hAnsi="Arial" w:cs="Arial"/>
          <w:i/>
          <w:iCs/>
          <w:color w:val="auto"/>
          <w:sz w:val="20"/>
          <w:szCs w:val="17"/>
          <w:lang w:val="en-GB"/>
        </w:rPr>
        <w:t xml:space="preserve">a </w:t>
      </w:r>
      <w:r w:rsidRPr="00451F2C">
        <w:rPr>
          <w:rFonts w:ascii="Arial" w:hAnsi="Arial" w:cs="Arial"/>
          <w:i/>
          <w:iCs/>
          <w:color w:val="auto"/>
          <w:sz w:val="20"/>
          <w:szCs w:val="17"/>
          <w:lang w:val="en-GB"/>
        </w:rPr>
        <w:t>permanent</w:t>
      </w:r>
      <w:r>
        <w:rPr>
          <w:rFonts w:ascii="Arial" w:hAnsi="Arial" w:cs="Arial"/>
          <w:i/>
          <w:iCs/>
          <w:color w:val="auto"/>
          <w:sz w:val="20"/>
          <w:szCs w:val="17"/>
          <w:lang w:val="en-GB"/>
        </w:rPr>
        <w:t xml:space="preserve"> residence permit;</w:t>
      </w:r>
    </w:p>
    <w:p w:rsidR="002164EA" w:rsidRPr="003D3AC8" w:rsidRDefault="001B1502">
      <w:pPr>
        <w:pStyle w:val="Normlnweb"/>
        <w:spacing w:before="120" w:beforeAutospacing="0" w:after="0" w:afterAutospacing="0"/>
        <w:jc w:val="both"/>
        <w:rPr>
          <w:rFonts w:ascii="Arial" w:hAnsi="Arial" w:cs="Arial"/>
          <w:i/>
          <w:iCs/>
          <w:color w:val="auto"/>
          <w:sz w:val="20"/>
          <w:szCs w:val="17"/>
          <w:lang w:val="en-GB"/>
        </w:rPr>
      </w:pPr>
      <w:r>
        <w:rPr>
          <w:rFonts w:ascii="Arial" w:hAnsi="Arial" w:cs="Arial"/>
          <w:i/>
          <w:iCs/>
          <w:color w:val="auto"/>
          <w:sz w:val="20"/>
          <w:szCs w:val="17"/>
          <w:lang w:val="en-GB"/>
        </w:rPr>
        <w:t>– foreigners with asylum status</w:t>
      </w:r>
      <w:r w:rsidR="00FC0FB4">
        <w:rPr>
          <w:rFonts w:ascii="Arial" w:hAnsi="Arial" w:cs="Arial"/>
          <w:i/>
          <w:iCs/>
          <w:color w:val="auto"/>
          <w:sz w:val="20"/>
          <w:szCs w:val="17"/>
          <w:lang w:val="en-GB"/>
        </w:rPr>
        <w:t>.</w:t>
      </w: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2164EA">
      <w:pPr>
        <w:pStyle w:val="Normlnweb"/>
        <w:spacing w:before="0" w:beforeAutospacing="0" w:after="0" w:afterAutospacing="0"/>
        <w:jc w:val="both"/>
        <w:rPr>
          <w:rFonts w:ascii="Arial" w:hAnsi="Arial" w:cs="Arial"/>
          <w:i/>
          <w:iCs/>
          <w:color w:val="auto"/>
          <w:sz w:val="20"/>
          <w:szCs w:val="17"/>
          <w:lang w:val="en-GB"/>
        </w:rPr>
      </w:pPr>
    </w:p>
    <w:p w:rsidR="002164EA" w:rsidRPr="003D3AC8" w:rsidRDefault="001B1502">
      <w:pPr>
        <w:jc w:val="center"/>
        <w:rPr>
          <w:rFonts w:ascii="Arial" w:hAnsi="Arial" w:cs="Arial"/>
          <w:i/>
          <w:iCs/>
          <w:sz w:val="20"/>
          <w:szCs w:val="17"/>
        </w:rPr>
      </w:pPr>
      <w:r>
        <w:rPr>
          <w:rFonts w:ascii="Arial" w:hAnsi="Arial" w:cs="Arial"/>
          <w:bCs/>
          <w:i/>
          <w:iCs/>
          <w:sz w:val="20"/>
          <w:szCs w:val="17"/>
        </w:rPr>
        <w:t>*          *          *</w:t>
      </w:r>
    </w:p>
    <w:p w:rsidR="002164EA" w:rsidRPr="003D3AC8" w:rsidRDefault="002164EA">
      <w:pPr>
        <w:jc w:val="both"/>
        <w:rPr>
          <w:rFonts w:ascii="Arial" w:hAnsi="Arial" w:cs="Arial"/>
          <w:i/>
          <w:iCs/>
          <w:sz w:val="20"/>
          <w:szCs w:val="17"/>
        </w:rPr>
      </w:pPr>
    </w:p>
    <w:p w:rsidR="002164EA" w:rsidRPr="003D3AC8" w:rsidRDefault="002164EA">
      <w:pPr>
        <w:jc w:val="both"/>
        <w:rPr>
          <w:rFonts w:ascii="Arial" w:hAnsi="Arial" w:cs="Arial"/>
          <w:i/>
          <w:iCs/>
          <w:sz w:val="20"/>
          <w:szCs w:val="17"/>
        </w:rPr>
      </w:pPr>
    </w:p>
    <w:p w:rsidR="002164EA" w:rsidRPr="00FC0FB4" w:rsidRDefault="001B1502">
      <w:pPr>
        <w:pStyle w:val="Normlnweb"/>
        <w:spacing w:before="0" w:beforeAutospacing="0" w:after="0" w:afterAutospacing="0"/>
        <w:ind w:firstLine="709"/>
        <w:jc w:val="both"/>
        <w:rPr>
          <w:rFonts w:ascii="Arial" w:hAnsi="Arial" w:cs="Arial"/>
          <w:i/>
          <w:iCs/>
          <w:color w:val="auto"/>
          <w:sz w:val="20"/>
          <w:szCs w:val="20"/>
          <w:lang w:val="en-GB"/>
        </w:rPr>
      </w:pPr>
      <w:r w:rsidRPr="00FC0FB4">
        <w:rPr>
          <w:rFonts w:ascii="Arial" w:hAnsi="Arial" w:cs="Arial"/>
          <w:i/>
          <w:iCs/>
          <w:color w:val="auto"/>
          <w:sz w:val="20"/>
          <w:szCs w:val="20"/>
          <w:lang w:val="en-GB"/>
        </w:rPr>
        <w:t>Further data can be found on the website of t</w:t>
      </w:r>
      <w:r w:rsidR="00D26D9C" w:rsidRPr="00FC0FB4">
        <w:rPr>
          <w:rFonts w:ascii="Arial" w:hAnsi="Arial" w:cs="Arial"/>
          <w:i/>
          <w:iCs/>
          <w:color w:val="auto"/>
          <w:sz w:val="20"/>
          <w:szCs w:val="20"/>
          <w:lang w:val="en-GB"/>
        </w:rPr>
        <w:t>he Czech Statistical Office at:</w:t>
      </w:r>
    </w:p>
    <w:p w:rsidR="00B25E67" w:rsidRPr="00FC0FB4" w:rsidRDefault="001B1502">
      <w:pPr>
        <w:spacing w:before="120"/>
        <w:rPr>
          <w:rFonts w:ascii="Arial" w:hAnsi="Arial" w:cs="Arial"/>
          <w:iCs/>
          <w:sz w:val="20"/>
          <w:szCs w:val="20"/>
        </w:rPr>
      </w:pPr>
      <w:r w:rsidRPr="00FC0FB4">
        <w:rPr>
          <w:rFonts w:ascii="Arial" w:hAnsi="Arial" w:cs="Arial"/>
          <w:iCs/>
          <w:sz w:val="20"/>
          <w:szCs w:val="20"/>
        </w:rPr>
        <w:t>– </w:t>
      </w:r>
      <w:hyperlink r:id="rId5" w:history="1">
        <w:r w:rsidR="00D26D9C" w:rsidRPr="00FC0FB4">
          <w:rPr>
            <w:rStyle w:val="Hypertextovodkaz"/>
            <w:rFonts w:ascii="Arial" w:hAnsi="Arial" w:cs="Arial"/>
            <w:iCs/>
            <w:sz w:val="20"/>
            <w:szCs w:val="20"/>
          </w:rPr>
          <w:t>www.czso.cz/csu/czso/population</w:t>
        </w:r>
      </w:hyperlink>
    </w:p>
    <w:p w:rsidR="00B25E67" w:rsidRPr="00FC0FB4" w:rsidRDefault="003B3394">
      <w:pPr>
        <w:spacing w:before="120"/>
        <w:rPr>
          <w:rFonts w:ascii="Arial" w:hAnsi="Arial" w:cs="Arial"/>
          <w:sz w:val="20"/>
          <w:szCs w:val="20"/>
        </w:rPr>
      </w:pPr>
      <w:r w:rsidRPr="00FC0FB4">
        <w:rPr>
          <w:rFonts w:ascii="Arial" w:hAnsi="Arial" w:cs="Arial"/>
          <w:iCs/>
          <w:sz w:val="20"/>
          <w:szCs w:val="20"/>
        </w:rPr>
        <w:t>– </w:t>
      </w:r>
      <w:hyperlink r:id="rId6" w:history="1">
        <w:r w:rsidR="00B25E67" w:rsidRPr="00FC0FB4">
          <w:rPr>
            <w:rStyle w:val="Hypertextovodkaz"/>
            <w:rFonts w:ascii="Arial" w:hAnsi="Arial" w:cs="Arial"/>
            <w:iCs/>
            <w:sz w:val="20"/>
            <w:szCs w:val="20"/>
          </w:rPr>
          <w:t>www.czso.cz/csu/czso/population-censuses</w:t>
        </w:r>
      </w:hyperlink>
    </w:p>
    <w:p w:rsidR="00FC0FB4" w:rsidRDefault="00FC0FB4">
      <w:pPr>
        <w:spacing w:before="120"/>
        <w:rPr>
          <w:rFonts w:ascii="Arial" w:hAnsi="Arial" w:cs="Arial"/>
          <w:sz w:val="20"/>
          <w:szCs w:val="20"/>
        </w:rPr>
      </w:pPr>
      <w:r w:rsidRPr="00FC0FB4">
        <w:rPr>
          <w:rFonts w:ascii="Arial" w:hAnsi="Arial" w:cs="Arial"/>
          <w:sz w:val="20"/>
          <w:szCs w:val="20"/>
        </w:rPr>
        <w:lastRenderedPageBreak/>
        <w:t>– </w:t>
      </w:r>
      <w:hyperlink r:id="rId7" w:history="1">
        <w:r>
          <w:rPr>
            <w:rStyle w:val="Hypertextovodkaz"/>
            <w:rFonts w:ascii="Arial" w:hAnsi="Arial" w:cs="Arial"/>
            <w:sz w:val="20"/>
            <w:szCs w:val="20"/>
          </w:rPr>
          <w:t>www.czso.cz/csu/cizinci/1-ciz_pocet_cizincu</w:t>
        </w:r>
      </w:hyperlink>
    </w:p>
    <w:p w:rsidR="002164EA" w:rsidRPr="003D3AC8" w:rsidRDefault="003B3394" w:rsidP="00E84AC4">
      <w:pPr>
        <w:spacing w:before="120"/>
        <w:ind w:firstLine="709"/>
        <w:rPr>
          <w:rFonts w:ascii="Arial" w:hAnsi="Arial" w:cs="Arial"/>
          <w:i/>
          <w:iCs/>
          <w:sz w:val="20"/>
        </w:rPr>
      </w:pPr>
      <w:r w:rsidRPr="00FC0FB4">
        <w:rPr>
          <w:rFonts w:ascii="Arial" w:hAnsi="Arial" w:cs="Arial"/>
          <w:i/>
          <w:iCs/>
          <w:sz w:val="20"/>
          <w:szCs w:val="20"/>
        </w:rPr>
        <w:t xml:space="preserve">or on the website </w:t>
      </w:r>
      <w:r w:rsidRPr="003B3394">
        <w:rPr>
          <w:rFonts w:ascii="Arial" w:hAnsi="Arial" w:cs="Arial"/>
          <w:i/>
          <w:iCs/>
          <w:sz w:val="20"/>
        </w:rPr>
        <w:t>of the Institute of Health Information and Statistics of the CR at:</w:t>
      </w:r>
    </w:p>
    <w:p w:rsidR="00E8369F" w:rsidRPr="003D3AC8" w:rsidRDefault="003B3394">
      <w:pPr>
        <w:spacing w:before="120"/>
        <w:rPr>
          <w:rFonts w:ascii="Arial" w:hAnsi="Arial" w:cs="Arial"/>
          <w:iCs/>
          <w:sz w:val="20"/>
        </w:rPr>
      </w:pPr>
      <w:r w:rsidRPr="003B3394">
        <w:rPr>
          <w:rFonts w:ascii="Arial" w:hAnsi="Arial" w:cs="Arial"/>
          <w:iCs/>
          <w:sz w:val="20"/>
        </w:rPr>
        <w:t>– </w:t>
      </w:r>
      <w:hyperlink r:id="rId8" w:history="1">
        <w:r w:rsidR="001B1502">
          <w:rPr>
            <w:rStyle w:val="Hypertextovodkaz"/>
            <w:rFonts w:ascii="Arial" w:hAnsi="Arial" w:cs="Arial"/>
            <w:iCs/>
            <w:sz w:val="20"/>
          </w:rPr>
          <w:t>www.uzis.cz/en</w:t>
        </w:r>
      </w:hyperlink>
    </w:p>
    <w:sectPr w:rsidR="00E8369F" w:rsidRPr="003D3AC8" w:rsidSect="00930750">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776EA"/>
    <w:multiLevelType w:val="hybridMultilevel"/>
    <w:tmpl w:val="5ACA81E2"/>
    <w:lvl w:ilvl="0" w:tplc="7110FB9C">
      <w:numFmt w:val="bullet"/>
      <w:lvlText w:val="–"/>
      <w:lvlJc w:val="left"/>
      <w:pPr>
        <w:tabs>
          <w:tab w:val="num" w:pos="720"/>
        </w:tabs>
        <w:ind w:left="720" w:hanging="360"/>
      </w:pPr>
      <w:rPr>
        <w:rFonts w:ascii="Times New Roman" w:eastAsia="Arial Unicode MS"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5F102FBB"/>
    <w:multiLevelType w:val="hybridMultilevel"/>
    <w:tmpl w:val="ABAC70D8"/>
    <w:lvl w:ilvl="0" w:tplc="89D88A86">
      <w:start w:val="4"/>
      <w:numFmt w:val="bullet"/>
      <w:lvlText w:val="–"/>
      <w:lvlJc w:val="left"/>
      <w:pPr>
        <w:tabs>
          <w:tab w:val="num" w:pos="1065"/>
        </w:tabs>
        <w:ind w:left="1065" w:hanging="360"/>
      </w:pPr>
      <w:rPr>
        <w:rFonts w:ascii="Arial" w:eastAsia="Arial Unicode MS" w:hAnsi="Arial" w:cs="Arial"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D37"/>
    <w:rsid w:val="000057FE"/>
    <w:rsid w:val="000063E4"/>
    <w:rsid w:val="00006C8D"/>
    <w:rsid w:val="00010BAC"/>
    <w:rsid w:val="00011C59"/>
    <w:rsid w:val="0001552F"/>
    <w:rsid w:val="00017EB6"/>
    <w:rsid w:val="000221EC"/>
    <w:rsid w:val="00022C8A"/>
    <w:rsid w:val="00023998"/>
    <w:rsid w:val="000257D9"/>
    <w:rsid w:val="00027513"/>
    <w:rsid w:val="00037A54"/>
    <w:rsid w:val="00043FFF"/>
    <w:rsid w:val="00052E10"/>
    <w:rsid w:val="000576A1"/>
    <w:rsid w:val="00074557"/>
    <w:rsid w:val="00077498"/>
    <w:rsid w:val="000A300F"/>
    <w:rsid w:val="000A3558"/>
    <w:rsid w:val="000A505E"/>
    <w:rsid w:val="000C02F0"/>
    <w:rsid w:val="000C1273"/>
    <w:rsid w:val="000C495D"/>
    <w:rsid w:val="000C6A73"/>
    <w:rsid w:val="000E5537"/>
    <w:rsid w:val="000F2D04"/>
    <w:rsid w:val="000F3E13"/>
    <w:rsid w:val="00104902"/>
    <w:rsid w:val="00110ED6"/>
    <w:rsid w:val="0011429A"/>
    <w:rsid w:val="00117009"/>
    <w:rsid w:val="001216EA"/>
    <w:rsid w:val="001221E6"/>
    <w:rsid w:val="0012576C"/>
    <w:rsid w:val="00127E0D"/>
    <w:rsid w:val="0013685B"/>
    <w:rsid w:val="0014286C"/>
    <w:rsid w:val="00142D6F"/>
    <w:rsid w:val="00142E3F"/>
    <w:rsid w:val="00152087"/>
    <w:rsid w:val="00154CBC"/>
    <w:rsid w:val="00167F83"/>
    <w:rsid w:val="0017186B"/>
    <w:rsid w:val="00173775"/>
    <w:rsid w:val="00175D37"/>
    <w:rsid w:val="00181DFD"/>
    <w:rsid w:val="001832F6"/>
    <w:rsid w:val="001873E9"/>
    <w:rsid w:val="00195095"/>
    <w:rsid w:val="001A0D4F"/>
    <w:rsid w:val="001A5430"/>
    <w:rsid w:val="001B1502"/>
    <w:rsid w:val="001B52BA"/>
    <w:rsid w:val="001B67C6"/>
    <w:rsid w:val="001C4E6D"/>
    <w:rsid w:val="001C549B"/>
    <w:rsid w:val="001D0EE0"/>
    <w:rsid w:val="001D4FEC"/>
    <w:rsid w:val="001D7813"/>
    <w:rsid w:val="001E1913"/>
    <w:rsid w:val="001E3663"/>
    <w:rsid w:val="001F1236"/>
    <w:rsid w:val="001F55A8"/>
    <w:rsid w:val="00204984"/>
    <w:rsid w:val="002164EA"/>
    <w:rsid w:val="00217A46"/>
    <w:rsid w:val="00223506"/>
    <w:rsid w:val="00250A55"/>
    <w:rsid w:val="00252BC2"/>
    <w:rsid w:val="00253881"/>
    <w:rsid w:val="00253977"/>
    <w:rsid w:val="00255FFE"/>
    <w:rsid w:val="00257E64"/>
    <w:rsid w:val="00261A52"/>
    <w:rsid w:val="00261DEC"/>
    <w:rsid w:val="00264076"/>
    <w:rsid w:val="00266D45"/>
    <w:rsid w:val="00271BC3"/>
    <w:rsid w:val="00274F33"/>
    <w:rsid w:val="002823E4"/>
    <w:rsid w:val="00285568"/>
    <w:rsid w:val="002862F5"/>
    <w:rsid w:val="00287478"/>
    <w:rsid w:val="002A61AF"/>
    <w:rsid w:val="002A7519"/>
    <w:rsid w:val="002B04FF"/>
    <w:rsid w:val="002B241F"/>
    <w:rsid w:val="002C27FD"/>
    <w:rsid w:val="002C28BE"/>
    <w:rsid w:val="002C30F5"/>
    <w:rsid w:val="002C6237"/>
    <w:rsid w:val="002C6DB5"/>
    <w:rsid w:val="002D53DA"/>
    <w:rsid w:val="002D5463"/>
    <w:rsid w:val="002D5B16"/>
    <w:rsid w:val="002E4B7D"/>
    <w:rsid w:val="002E63D9"/>
    <w:rsid w:val="002F03E4"/>
    <w:rsid w:val="00300AC2"/>
    <w:rsid w:val="00303102"/>
    <w:rsid w:val="00310A32"/>
    <w:rsid w:val="003213ED"/>
    <w:rsid w:val="00327592"/>
    <w:rsid w:val="0032762F"/>
    <w:rsid w:val="003278FB"/>
    <w:rsid w:val="003327D3"/>
    <w:rsid w:val="00340045"/>
    <w:rsid w:val="00343A17"/>
    <w:rsid w:val="0034406D"/>
    <w:rsid w:val="00346BD4"/>
    <w:rsid w:val="00352461"/>
    <w:rsid w:val="003539EB"/>
    <w:rsid w:val="003559D0"/>
    <w:rsid w:val="00361B42"/>
    <w:rsid w:val="00363E94"/>
    <w:rsid w:val="0037197B"/>
    <w:rsid w:val="003755E2"/>
    <w:rsid w:val="00384D5D"/>
    <w:rsid w:val="00392189"/>
    <w:rsid w:val="0039615D"/>
    <w:rsid w:val="003B1387"/>
    <w:rsid w:val="003B3394"/>
    <w:rsid w:val="003B6619"/>
    <w:rsid w:val="003D353A"/>
    <w:rsid w:val="003D3AC8"/>
    <w:rsid w:val="003D5CC8"/>
    <w:rsid w:val="003E0E29"/>
    <w:rsid w:val="003E3923"/>
    <w:rsid w:val="003E6EB9"/>
    <w:rsid w:val="003F2B1A"/>
    <w:rsid w:val="003F5477"/>
    <w:rsid w:val="004035EB"/>
    <w:rsid w:val="00405E95"/>
    <w:rsid w:val="00406D37"/>
    <w:rsid w:val="00415121"/>
    <w:rsid w:val="0042225F"/>
    <w:rsid w:val="00426E8D"/>
    <w:rsid w:val="00446474"/>
    <w:rsid w:val="0044728F"/>
    <w:rsid w:val="00450914"/>
    <w:rsid w:val="00451F2C"/>
    <w:rsid w:val="004578AE"/>
    <w:rsid w:val="004604CE"/>
    <w:rsid w:val="004701C2"/>
    <w:rsid w:val="00470245"/>
    <w:rsid w:val="00477F1D"/>
    <w:rsid w:val="00484102"/>
    <w:rsid w:val="00490CA4"/>
    <w:rsid w:val="00492E17"/>
    <w:rsid w:val="004A1568"/>
    <w:rsid w:val="004A1592"/>
    <w:rsid w:val="004A490B"/>
    <w:rsid w:val="004A5F46"/>
    <w:rsid w:val="004B192B"/>
    <w:rsid w:val="004B4412"/>
    <w:rsid w:val="004B61F1"/>
    <w:rsid w:val="004B6281"/>
    <w:rsid w:val="004C15C1"/>
    <w:rsid w:val="004C3766"/>
    <w:rsid w:val="004D0D36"/>
    <w:rsid w:val="004D7A70"/>
    <w:rsid w:val="004E5F3E"/>
    <w:rsid w:val="004F6BDB"/>
    <w:rsid w:val="00511F42"/>
    <w:rsid w:val="0051726A"/>
    <w:rsid w:val="00526696"/>
    <w:rsid w:val="0053120C"/>
    <w:rsid w:val="00531B88"/>
    <w:rsid w:val="00560040"/>
    <w:rsid w:val="00560558"/>
    <w:rsid w:val="00564C09"/>
    <w:rsid w:val="00565B6B"/>
    <w:rsid w:val="00571EB3"/>
    <w:rsid w:val="00580C93"/>
    <w:rsid w:val="00583792"/>
    <w:rsid w:val="00595871"/>
    <w:rsid w:val="00595A14"/>
    <w:rsid w:val="005A4EC8"/>
    <w:rsid w:val="005A76F1"/>
    <w:rsid w:val="005A7A9E"/>
    <w:rsid w:val="005B1E24"/>
    <w:rsid w:val="005B3B57"/>
    <w:rsid w:val="005C243B"/>
    <w:rsid w:val="005C4708"/>
    <w:rsid w:val="005D16FE"/>
    <w:rsid w:val="005D6DCB"/>
    <w:rsid w:val="005D76DA"/>
    <w:rsid w:val="005E06AA"/>
    <w:rsid w:val="005E50BA"/>
    <w:rsid w:val="005E526B"/>
    <w:rsid w:val="005F00E8"/>
    <w:rsid w:val="005F03A8"/>
    <w:rsid w:val="005F09D8"/>
    <w:rsid w:val="00610A20"/>
    <w:rsid w:val="00621BD4"/>
    <w:rsid w:val="006269A9"/>
    <w:rsid w:val="0063284C"/>
    <w:rsid w:val="00661702"/>
    <w:rsid w:val="00661CB2"/>
    <w:rsid w:val="006663C0"/>
    <w:rsid w:val="00667234"/>
    <w:rsid w:val="00672F8B"/>
    <w:rsid w:val="00697D4B"/>
    <w:rsid w:val="006A2722"/>
    <w:rsid w:val="006A341E"/>
    <w:rsid w:val="006A423A"/>
    <w:rsid w:val="006A4C18"/>
    <w:rsid w:val="006A770A"/>
    <w:rsid w:val="006B0972"/>
    <w:rsid w:val="006B2FCB"/>
    <w:rsid w:val="006B5D41"/>
    <w:rsid w:val="006B6D36"/>
    <w:rsid w:val="006C0C9A"/>
    <w:rsid w:val="006C5F1A"/>
    <w:rsid w:val="006D5070"/>
    <w:rsid w:val="006F0279"/>
    <w:rsid w:val="006F31F7"/>
    <w:rsid w:val="006F7DEF"/>
    <w:rsid w:val="00707AC0"/>
    <w:rsid w:val="00716283"/>
    <w:rsid w:val="00722154"/>
    <w:rsid w:val="00723737"/>
    <w:rsid w:val="00725426"/>
    <w:rsid w:val="007312D8"/>
    <w:rsid w:val="00731550"/>
    <w:rsid w:val="0073464A"/>
    <w:rsid w:val="007562D5"/>
    <w:rsid w:val="0076458C"/>
    <w:rsid w:val="007708B6"/>
    <w:rsid w:val="00770C72"/>
    <w:rsid w:val="00772F55"/>
    <w:rsid w:val="00776B5A"/>
    <w:rsid w:val="00786BFF"/>
    <w:rsid w:val="00795380"/>
    <w:rsid w:val="007979E4"/>
    <w:rsid w:val="007B6AA3"/>
    <w:rsid w:val="007C155B"/>
    <w:rsid w:val="007C4314"/>
    <w:rsid w:val="007D2A5D"/>
    <w:rsid w:val="007F1912"/>
    <w:rsid w:val="007F23A9"/>
    <w:rsid w:val="007F2843"/>
    <w:rsid w:val="007F3C91"/>
    <w:rsid w:val="007F5EF3"/>
    <w:rsid w:val="007F7F35"/>
    <w:rsid w:val="00810E75"/>
    <w:rsid w:val="00820305"/>
    <w:rsid w:val="00832F13"/>
    <w:rsid w:val="00834F4D"/>
    <w:rsid w:val="008368FF"/>
    <w:rsid w:val="00837A92"/>
    <w:rsid w:val="00840814"/>
    <w:rsid w:val="00845535"/>
    <w:rsid w:val="00847076"/>
    <w:rsid w:val="00851C0B"/>
    <w:rsid w:val="00855844"/>
    <w:rsid w:val="00857FAD"/>
    <w:rsid w:val="00866F81"/>
    <w:rsid w:val="00896EFC"/>
    <w:rsid w:val="008975EC"/>
    <w:rsid w:val="008A5007"/>
    <w:rsid w:val="008B6BD4"/>
    <w:rsid w:val="008C5EF7"/>
    <w:rsid w:val="008E4468"/>
    <w:rsid w:val="00901569"/>
    <w:rsid w:val="00901D97"/>
    <w:rsid w:val="00903AC4"/>
    <w:rsid w:val="009167EE"/>
    <w:rsid w:val="009217A2"/>
    <w:rsid w:val="0092641A"/>
    <w:rsid w:val="00930750"/>
    <w:rsid w:val="00930C1F"/>
    <w:rsid w:val="00933495"/>
    <w:rsid w:val="009369C8"/>
    <w:rsid w:val="00940B68"/>
    <w:rsid w:val="0094222F"/>
    <w:rsid w:val="00942BB7"/>
    <w:rsid w:val="00944843"/>
    <w:rsid w:val="00947866"/>
    <w:rsid w:val="00951A4A"/>
    <w:rsid w:val="00970048"/>
    <w:rsid w:val="00974DEB"/>
    <w:rsid w:val="009751A5"/>
    <w:rsid w:val="00980F2D"/>
    <w:rsid w:val="009854F6"/>
    <w:rsid w:val="00997E24"/>
    <w:rsid w:val="009A0DC4"/>
    <w:rsid w:val="009A4056"/>
    <w:rsid w:val="009B0754"/>
    <w:rsid w:val="009C5929"/>
    <w:rsid w:val="009C6D38"/>
    <w:rsid w:val="009D1DC9"/>
    <w:rsid w:val="009D5CBC"/>
    <w:rsid w:val="009F27F2"/>
    <w:rsid w:val="00A02B37"/>
    <w:rsid w:val="00A03238"/>
    <w:rsid w:val="00A0409A"/>
    <w:rsid w:val="00A11CA2"/>
    <w:rsid w:val="00A33E55"/>
    <w:rsid w:val="00A4245D"/>
    <w:rsid w:val="00A46EA9"/>
    <w:rsid w:val="00A52B50"/>
    <w:rsid w:val="00A654F8"/>
    <w:rsid w:val="00A73417"/>
    <w:rsid w:val="00A74E3C"/>
    <w:rsid w:val="00A763E9"/>
    <w:rsid w:val="00A91485"/>
    <w:rsid w:val="00AA4AE8"/>
    <w:rsid w:val="00AD41A5"/>
    <w:rsid w:val="00AD46B6"/>
    <w:rsid w:val="00AD58E8"/>
    <w:rsid w:val="00AD65F3"/>
    <w:rsid w:val="00AE6824"/>
    <w:rsid w:val="00AF61B1"/>
    <w:rsid w:val="00B068E0"/>
    <w:rsid w:val="00B11751"/>
    <w:rsid w:val="00B14FDC"/>
    <w:rsid w:val="00B22740"/>
    <w:rsid w:val="00B234D6"/>
    <w:rsid w:val="00B24F42"/>
    <w:rsid w:val="00B24F6A"/>
    <w:rsid w:val="00B2567B"/>
    <w:rsid w:val="00B25E67"/>
    <w:rsid w:val="00B3279B"/>
    <w:rsid w:val="00B4205E"/>
    <w:rsid w:val="00B42636"/>
    <w:rsid w:val="00B50F32"/>
    <w:rsid w:val="00B51316"/>
    <w:rsid w:val="00B53BFE"/>
    <w:rsid w:val="00B67B5A"/>
    <w:rsid w:val="00B84A42"/>
    <w:rsid w:val="00B87537"/>
    <w:rsid w:val="00B94010"/>
    <w:rsid w:val="00B94CF3"/>
    <w:rsid w:val="00B94DEE"/>
    <w:rsid w:val="00B978D4"/>
    <w:rsid w:val="00BB328E"/>
    <w:rsid w:val="00BB4029"/>
    <w:rsid w:val="00BB4A32"/>
    <w:rsid w:val="00BC18B3"/>
    <w:rsid w:val="00BC1CCA"/>
    <w:rsid w:val="00BC313A"/>
    <w:rsid w:val="00BC3F46"/>
    <w:rsid w:val="00BC777E"/>
    <w:rsid w:val="00BD1534"/>
    <w:rsid w:val="00BD3C6E"/>
    <w:rsid w:val="00BF39F2"/>
    <w:rsid w:val="00BF3AFC"/>
    <w:rsid w:val="00BF7D4C"/>
    <w:rsid w:val="00C0056E"/>
    <w:rsid w:val="00C10FDE"/>
    <w:rsid w:val="00C213F4"/>
    <w:rsid w:val="00C22979"/>
    <w:rsid w:val="00C24EF6"/>
    <w:rsid w:val="00C33E96"/>
    <w:rsid w:val="00C402AD"/>
    <w:rsid w:val="00C42875"/>
    <w:rsid w:val="00C46FA3"/>
    <w:rsid w:val="00C55DF4"/>
    <w:rsid w:val="00C62113"/>
    <w:rsid w:val="00C63328"/>
    <w:rsid w:val="00C72D51"/>
    <w:rsid w:val="00C83E0A"/>
    <w:rsid w:val="00C941F8"/>
    <w:rsid w:val="00C94C78"/>
    <w:rsid w:val="00C95476"/>
    <w:rsid w:val="00C96FA4"/>
    <w:rsid w:val="00CA1B0E"/>
    <w:rsid w:val="00CA377B"/>
    <w:rsid w:val="00CA60A8"/>
    <w:rsid w:val="00CB0AD3"/>
    <w:rsid w:val="00CB56D3"/>
    <w:rsid w:val="00CC0FA2"/>
    <w:rsid w:val="00CD3120"/>
    <w:rsid w:val="00CD5D53"/>
    <w:rsid w:val="00CF146A"/>
    <w:rsid w:val="00CF19DF"/>
    <w:rsid w:val="00CF253C"/>
    <w:rsid w:val="00CF733B"/>
    <w:rsid w:val="00D0266D"/>
    <w:rsid w:val="00D13D4F"/>
    <w:rsid w:val="00D15AB4"/>
    <w:rsid w:val="00D26D9C"/>
    <w:rsid w:val="00D33ED1"/>
    <w:rsid w:val="00D33F5D"/>
    <w:rsid w:val="00D3733C"/>
    <w:rsid w:val="00D410AF"/>
    <w:rsid w:val="00D4369E"/>
    <w:rsid w:val="00D51584"/>
    <w:rsid w:val="00D51F1D"/>
    <w:rsid w:val="00D548C0"/>
    <w:rsid w:val="00D63DA6"/>
    <w:rsid w:val="00D654F4"/>
    <w:rsid w:val="00D75BDD"/>
    <w:rsid w:val="00D916DA"/>
    <w:rsid w:val="00D929C5"/>
    <w:rsid w:val="00DB0F44"/>
    <w:rsid w:val="00DB5383"/>
    <w:rsid w:val="00DC0CC2"/>
    <w:rsid w:val="00DC352F"/>
    <w:rsid w:val="00DC70A0"/>
    <w:rsid w:val="00DD0508"/>
    <w:rsid w:val="00DD331E"/>
    <w:rsid w:val="00DD75C5"/>
    <w:rsid w:val="00DD7DFC"/>
    <w:rsid w:val="00DE282D"/>
    <w:rsid w:val="00DE4708"/>
    <w:rsid w:val="00E03CFF"/>
    <w:rsid w:val="00E25337"/>
    <w:rsid w:val="00E31937"/>
    <w:rsid w:val="00E34091"/>
    <w:rsid w:val="00E550FB"/>
    <w:rsid w:val="00E56288"/>
    <w:rsid w:val="00E626E4"/>
    <w:rsid w:val="00E66DDB"/>
    <w:rsid w:val="00E74345"/>
    <w:rsid w:val="00E75C66"/>
    <w:rsid w:val="00E8369F"/>
    <w:rsid w:val="00E84AC4"/>
    <w:rsid w:val="00E8751F"/>
    <w:rsid w:val="00E87FEC"/>
    <w:rsid w:val="00E94A57"/>
    <w:rsid w:val="00EB51B6"/>
    <w:rsid w:val="00EB7695"/>
    <w:rsid w:val="00ED4BE9"/>
    <w:rsid w:val="00ED4D3D"/>
    <w:rsid w:val="00ED57BE"/>
    <w:rsid w:val="00ED6567"/>
    <w:rsid w:val="00EE2E30"/>
    <w:rsid w:val="00EE3F2F"/>
    <w:rsid w:val="00EE63C8"/>
    <w:rsid w:val="00EF01E2"/>
    <w:rsid w:val="00EF2F07"/>
    <w:rsid w:val="00EF4282"/>
    <w:rsid w:val="00F015E4"/>
    <w:rsid w:val="00F027D8"/>
    <w:rsid w:val="00F047A3"/>
    <w:rsid w:val="00F13B92"/>
    <w:rsid w:val="00F154D2"/>
    <w:rsid w:val="00F161E0"/>
    <w:rsid w:val="00F168AD"/>
    <w:rsid w:val="00F16929"/>
    <w:rsid w:val="00F21B82"/>
    <w:rsid w:val="00F31335"/>
    <w:rsid w:val="00F3253F"/>
    <w:rsid w:val="00F3416F"/>
    <w:rsid w:val="00F34389"/>
    <w:rsid w:val="00F564F6"/>
    <w:rsid w:val="00F618C7"/>
    <w:rsid w:val="00F65DD0"/>
    <w:rsid w:val="00F73F07"/>
    <w:rsid w:val="00F853C9"/>
    <w:rsid w:val="00F8570C"/>
    <w:rsid w:val="00F865B7"/>
    <w:rsid w:val="00F90021"/>
    <w:rsid w:val="00F906B9"/>
    <w:rsid w:val="00F9359A"/>
    <w:rsid w:val="00F93B22"/>
    <w:rsid w:val="00F944E4"/>
    <w:rsid w:val="00F96AA0"/>
    <w:rsid w:val="00FA0E83"/>
    <w:rsid w:val="00FA321B"/>
    <w:rsid w:val="00FB11FD"/>
    <w:rsid w:val="00FC0FB4"/>
    <w:rsid w:val="00FC1A19"/>
    <w:rsid w:val="00FC2ECB"/>
    <w:rsid w:val="00FE42B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0750"/>
    <w:rPr>
      <w:sz w:val="24"/>
      <w:szCs w:val="24"/>
      <w:lang w:val="en-GB"/>
    </w:rPr>
  </w:style>
  <w:style w:type="paragraph" w:styleId="Nadpis2">
    <w:name w:val="heading 2"/>
    <w:basedOn w:val="Normln"/>
    <w:next w:val="Normln"/>
    <w:qFormat/>
    <w:rsid w:val="00930750"/>
    <w:pPr>
      <w:keepNext/>
      <w:outlineLvl w:val="1"/>
    </w:pPr>
    <w:rPr>
      <w:rFonts w:ascii="Arial" w:hAnsi="Arial" w:cs="Arial"/>
      <w:b/>
      <w:bCs/>
      <w:sz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930750"/>
    <w:pPr>
      <w:spacing w:before="100" w:beforeAutospacing="1" w:after="100" w:afterAutospacing="1"/>
    </w:pPr>
    <w:rPr>
      <w:rFonts w:ascii="Arial Unicode MS" w:eastAsia="Arial Unicode MS" w:hAnsi="Arial Unicode MS" w:cs="Arial Unicode MS"/>
      <w:color w:val="0078B3"/>
      <w:lang w:val="cs-CZ"/>
    </w:rPr>
  </w:style>
  <w:style w:type="paragraph" w:styleId="Zkladntext">
    <w:name w:val="Body Text"/>
    <w:basedOn w:val="Normln"/>
    <w:semiHidden/>
    <w:rsid w:val="009307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pPr>
    <w:rPr>
      <w:rFonts w:ascii="Arial" w:hAnsi="Arial" w:cs="Arial"/>
      <w:i/>
      <w:iCs/>
      <w:sz w:val="20"/>
      <w:szCs w:val="20"/>
      <w:lang w:val="en-US"/>
    </w:rPr>
  </w:style>
  <w:style w:type="paragraph" w:styleId="Zkladntext2">
    <w:name w:val="Body Text 2"/>
    <w:basedOn w:val="Normln"/>
    <w:semiHidden/>
    <w:rsid w:val="00930750"/>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00" w:line="360" w:lineRule="auto"/>
      <w:jc w:val="both"/>
    </w:pPr>
    <w:rPr>
      <w:rFonts w:ascii="Arial" w:hAnsi="Arial" w:cs="Arial"/>
      <w:color w:val="000000"/>
      <w:sz w:val="22"/>
      <w:szCs w:val="20"/>
    </w:rPr>
  </w:style>
  <w:style w:type="character" w:styleId="Hypertextovodkaz">
    <w:name w:val="Hyperlink"/>
    <w:semiHidden/>
    <w:rsid w:val="00930750"/>
    <w:rPr>
      <w:color w:val="0000FF"/>
      <w:u w:val="single"/>
    </w:rPr>
  </w:style>
  <w:style w:type="paragraph" w:styleId="Zkladntextodsazen">
    <w:name w:val="Body Text Indent"/>
    <w:basedOn w:val="Normln"/>
    <w:semiHidden/>
    <w:rsid w:val="00930750"/>
    <w:pPr>
      <w:ind w:firstLine="709"/>
      <w:jc w:val="both"/>
    </w:pPr>
    <w:rPr>
      <w:rFonts w:ascii="Arial" w:hAnsi="Arial" w:cs="Arial"/>
      <w:i/>
      <w:iCs/>
      <w:sz w:val="20"/>
    </w:rPr>
  </w:style>
  <w:style w:type="character" w:styleId="Sledovanodkaz">
    <w:name w:val="FollowedHyperlink"/>
    <w:semiHidden/>
    <w:rsid w:val="00930750"/>
    <w:rPr>
      <w:color w:val="800080"/>
      <w:u w:val="single"/>
    </w:rPr>
  </w:style>
  <w:style w:type="paragraph" w:styleId="Zkladntextodsazen2">
    <w:name w:val="Body Text Indent 2"/>
    <w:basedOn w:val="Normln"/>
    <w:link w:val="Zkladntextodsazen2Char"/>
    <w:uiPriority w:val="99"/>
    <w:semiHidden/>
    <w:unhideWhenUsed/>
    <w:rsid w:val="00716283"/>
    <w:pPr>
      <w:spacing w:after="120" w:line="480" w:lineRule="auto"/>
      <w:ind w:left="283"/>
    </w:pPr>
    <w:rPr>
      <w:lang/>
    </w:rPr>
  </w:style>
  <w:style w:type="character" w:customStyle="1" w:styleId="Zkladntextodsazen2Char">
    <w:name w:val="Základní text odsazený 2 Char"/>
    <w:link w:val="Zkladntextodsazen2"/>
    <w:uiPriority w:val="99"/>
    <w:semiHidden/>
    <w:rsid w:val="00716283"/>
    <w:rPr>
      <w:sz w:val="24"/>
      <w:szCs w:val="24"/>
      <w:lang w:val="en-GB"/>
    </w:rPr>
  </w:style>
  <w:style w:type="character" w:styleId="Zvraznn">
    <w:name w:val="Emphasis"/>
    <w:uiPriority w:val="20"/>
    <w:qFormat/>
    <w:rsid w:val="00716283"/>
    <w:rPr>
      <w:i/>
      <w:iCs/>
    </w:rPr>
  </w:style>
  <w:style w:type="paragraph" w:styleId="Textbubliny">
    <w:name w:val="Balloon Text"/>
    <w:basedOn w:val="Normln"/>
    <w:link w:val="TextbublinyChar"/>
    <w:uiPriority w:val="99"/>
    <w:semiHidden/>
    <w:unhideWhenUsed/>
    <w:rsid w:val="00252BC2"/>
    <w:rPr>
      <w:rFonts w:ascii="Tahoma" w:hAnsi="Tahoma"/>
      <w:sz w:val="16"/>
      <w:szCs w:val="16"/>
      <w:lang/>
    </w:rPr>
  </w:style>
  <w:style w:type="character" w:customStyle="1" w:styleId="TextbublinyChar">
    <w:name w:val="Text bubliny Char"/>
    <w:link w:val="Textbubliny"/>
    <w:uiPriority w:val="99"/>
    <w:semiHidden/>
    <w:rsid w:val="00252BC2"/>
    <w:rPr>
      <w:rFonts w:ascii="Tahoma" w:hAnsi="Tahoma" w:cs="Tahoma"/>
      <w:sz w:val="16"/>
      <w:szCs w:val="16"/>
      <w:lang w:val="en-GB"/>
    </w:rPr>
  </w:style>
  <w:style w:type="character" w:customStyle="1" w:styleId="st">
    <w:name w:val="st"/>
    <w:basedOn w:val="Standardnpsmoodstavce"/>
    <w:rsid w:val="00840814"/>
  </w:style>
  <w:style w:type="paragraph" w:customStyle="1" w:styleId="podraeny">
    <w:name w:val="podraženy"/>
    <w:rsid w:val="001873E9"/>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hAnsi="Times New Roman CE obyèejné"/>
      <w:szCs w:val="24"/>
    </w:rPr>
  </w:style>
  <w:style w:type="character" w:styleId="Odkaznakoment">
    <w:name w:val="annotation reference"/>
    <w:uiPriority w:val="99"/>
    <w:semiHidden/>
    <w:unhideWhenUsed/>
    <w:rsid w:val="0013685B"/>
    <w:rPr>
      <w:sz w:val="16"/>
      <w:szCs w:val="16"/>
    </w:rPr>
  </w:style>
  <w:style w:type="paragraph" w:styleId="Textkomente">
    <w:name w:val="annotation text"/>
    <w:basedOn w:val="Normln"/>
    <w:link w:val="TextkomenteChar"/>
    <w:uiPriority w:val="99"/>
    <w:semiHidden/>
    <w:unhideWhenUsed/>
    <w:rsid w:val="0013685B"/>
    <w:rPr>
      <w:sz w:val="20"/>
      <w:szCs w:val="20"/>
      <w:lang/>
    </w:rPr>
  </w:style>
  <w:style w:type="character" w:customStyle="1" w:styleId="TextkomenteChar">
    <w:name w:val="Text komentáře Char"/>
    <w:link w:val="Textkomente"/>
    <w:uiPriority w:val="99"/>
    <w:semiHidden/>
    <w:rsid w:val="0013685B"/>
    <w:rPr>
      <w:lang w:val="en-GB"/>
    </w:rPr>
  </w:style>
  <w:style w:type="paragraph" w:styleId="Pedmtkomente">
    <w:name w:val="annotation subject"/>
    <w:basedOn w:val="Textkomente"/>
    <w:next w:val="Textkomente"/>
    <w:link w:val="PedmtkomenteChar"/>
    <w:uiPriority w:val="99"/>
    <w:semiHidden/>
    <w:unhideWhenUsed/>
    <w:rsid w:val="0013685B"/>
    <w:rPr>
      <w:b/>
      <w:bCs/>
    </w:rPr>
  </w:style>
  <w:style w:type="character" w:customStyle="1" w:styleId="PedmtkomenteChar">
    <w:name w:val="Předmět komentáře Char"/>
    <w:link w:val="Pedmtkomente"/>
    <w:uiPriority w:val="99"/>
    <w:semiHidden/>
    <w:rsid w:val="0013685B"/>
    <w:rPr>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6365395">
      <w:bodyDiv w:val="1"/>
      <w:marLeft w:val="0"/>
      <w:marRight w:val="0"/>
      <w:marTop w:val="0"/>
      <w:marBottom w:val="0"/>
      <w:divBdr>
        <w:top w:val="none" w:sz="0" w:space="0" w:color="auto"/>
        <w:left w:val="none" w:sz="0" w:space="0" w:color="auto"/>
        <w:bottom w:val="none" w:sz="0" w:space="0" w:color="auto"/>
        <w:right w:val="none" w:sz="0" w:space="0" w:color="auto"/>
      </w:divBdr>
      <w:divsChild>
        <w:div w:id="561329243">
          <w:marLeft w:val="0"/>
          <w:marRight w:val="0"/>
          <w:marTop w:val="0"/>
          <w:marBottom w:val="0"/>
          <w:divBdr>
            <w:top w:val="none" w:sz="0" w:space="0" w:color="auto"/>
            <w:left w:val="none" w:sz="0" w:space="0" w:color="auto"/>
            <w:bottom w:val="none" w:sz="0" w:space="0" w:color="auto"/>
            <w:right w:val="none" w:sz="0" w:space="0" w:color="auto"/>
          </w:divBdr>
        </w:div>
        <w:div w:id="1142425995">
          <w:marLeft w:val="0"/>
          <w:marRight w:val="0"/>
          <w:marTop w:val="0"/>
          <w:marBottom w:val="0"/>
          <w:divBdr>
            <w:top w:val="none" w:sz="0" w:space="0" w:color="auto"/>
            <w:left w:val="none" w:sz="0" w:space="0" w:color="auto"/>
            <w:bottom w:val="none" w:sz="0" w:space="0" w:color="auto"/>
            <w:right w:val="none" w:sz="0" w:space="0" w:color="auto"/>
          </w:divBdr>
        </w:div>
        <w:div w:id="1346596660">
          <w:marLeft w:val="0"/>
          <w:marRight w:val="0"/>
          <w:marTop w:val="0"/>
          <w:marBottom w:val="0"/>
          <w:divBdr>
            <w:top w:val="none" w:sz="0" w:space="0" w:color="auto"/>
            <w:left w:val="none" w:sz="0" w:space="0" w:color="auto"/>
            <w:bottom w:val="none" w:sz="0" w:space="0" w:color="auto"/>
            <w:right w:val="none" w:sz="0" w:space="0" w:color="auto"/>
          </w:divBdr>
        </w:div>
        <w:div w:id="1676835173">
          <w:marLeft w:val="0"/>
          <w:marRight w:val="0"/>
          <w:marTop w:val="0"/>
          <w:marBottom w:val="0"/>
          <w:divBdr>
            <w:top w:val="none" w:sz="0" w:space="0" w:color="auto"/>
            <w:left w:val="none" w:sz="0" w:space="0" w:color="auto"/>
            <w:bottom w:val="none" w:sz="0" w:space="0" w:color="auto"/>
            <w:right w:val="none" w:sz="0" w:space="0" w:color="auto"/>
          </w:divBdr>
        </w:div>
        <w:div w:id="176719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is.cz/en" TargetMode="External"/><Relationship Id="rId3" Type="http://schemas.openxmlformats.org/officeDocument/2006/relationships/settings" Target="settings.xml"/><Relationship Id="rId7" Type="http://schemas.openxmlformats.org/officeDocument/2006/relationships/hyperlink" Target="https://www.czso.cz/csu/cizinci/1-ciz_pocet_cizin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zso.cz/csu/czso/population-censuses" TargetMode="External"/><Relationship Id="rId11" Type="http://schemas.microsoft.com/office/2007/relationships/stylesWithEffects" Target="stylesWithEffects.xml"/><Relationship Id="rId5" Type="http://schemas.openxmlformats.org/officeDocument/2006/relationships/hyperlink" Target="https://www.czso.cz/csu/czso/popul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1550</Words>
  <Characters>9146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4</vt:lpstr>
    </vt:vector>
  </TitlesOfParts>
  <Company>csu</Company>
  <LinksUpToDate>false</LinksUpToDate>
  <CharactersWithSpaces>10675</CharactersWithSpaces>
  <SharedDoc>false</SharedDoc>
  <HLinks>
    <vt:vector size="18" baseType="variant">
      <vt:variant>
        <vt:i4>393237</vt:i4>
      </vt:variant>
      <vt:variant>
        <vt:i4>6</vt:i4>
      </vt:variant>
      <vt:variant>
        <vt:i4>0</vt:i4>
      </vt:variant>
      <vt:variant>
        <vt:i4>5</vt:i4>
      </vt:variant>
      <vt:variant>
        <vt:lpwstr>http://www.uzis.cz/en</vt:lpwstr>
      </vt:variant>
      <vt:variant>
        <vt:lpwstr/>
      </vt:variant>
      <vt:variant>
        <vt:i4>2424952</vt:i4>
      </vt:variant>
      <vt:variant>
        <vt:i4>3</vt:i4>
      </vt:variant>
      <vt:variant>
        <vt:i4>0</vt:i4>
      </vt:variant>
      <vt:variant>
        <vt:i4>5</vt:i4>
      </vt:variant>
      <vt:variant>
        <vt:lpwstr>http://www.czso.cz/sldb2011/eng/redakce.nsf/i/home</vt:lpwstr>
      </vt:variant>
      <vt:variant>
        <vt:lpwstr/>
      </vt:variant>
      <vt:variant>
        <vt:i4>6488160</vt:i4>
      </vt:variant>
      <vt:variant>
        <vt:i4>0</vt:i4>
      </vt:variant>
      <vt:variant>
        <vt:i4>0</vt:i4>
      </vt:variant>
      <vt:variant>
        <vt:i4>5</vt:i4>
      </vt:variant>
      <vt:variant>
        <vt:lpwstr>http://www.czso.cz/eng/redakce.nsf/i/population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csu</dc:creator>
  <cp:lastModifiedBy>Ing. Dana Habartová</cp:lastModifiedBy>
  <cp:revision>2</cp:revision>
  <cp:lastPrinted>2017-03-29T09:45:00Z</cp:lastPrinted>
  <dcterms:created xsi:type="dcterms:W3CDTF">2017-09-01T08:27:00Z</dcterms:created>
  <dcterms:modified xsi:type="dcterms:W3CDTF">2017-09-01T08:27:00Z</dcterms:modified>
</cp:coreProperties>
</file>