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C8" w:rsidRDefault="00591CC8" w:rsidP="00591CC8">
      <w:pPr>
        <w:pStyle w:val="Datum"/>
      </w:pPr>
      <w:r>
        <w:t>1</w:t>
      </w:r>
      <w:r w:rsidR="00F85F92">
        <w:t>0. 8</w:t>
      </w:r>
      <w:r>
        <w:t>. 2023</w:t>
      </w:r>
    </w:p>
    <w:p w:rsidR="00591CC8" w:rsidRPr="00A56C80" w:rsidRDefault="00591CC8" w:rsidP="00156AB1">
      <w:pPr>
        <w:pStyle w:val="Nzev"/>
        <w:jc w:val="both"/>
      </w:pPr>
      <w:r>
        <w:t>Vývoj index</w:t>
      </w:r>
      <w:r w:rsidR="00156AB1">
        <w:t>ů cen vývozu a dovozu zboží v</w:t>
      </w:r>
      <w:r w:rsidR="00190A19">
        <w:t>e</w:t>
      </w:r>
      <w:r w:rsidR="00156AB1">
        <w:t> </w:t>
      </w:r>
      <w:r w:rsidR="00190A19">
        <w:t xml:space="preserve">2. čtvrtletí 2023 </w:t>
      </w:r>
    </w:p>
    <w:p w:rsidR="00591CC8" w:rsidRPr="0027281C" w:rsidRDefault="00591CC8" w:rsidP="00591CC8">
      <w:pPr>
        <w:pStyle w:val="Perex"/>
        <w:spacing w:after="0"/>
        <w:rPr>
          <w:szCs w:val="20"/>
        </w:rPr>
      </w:pPr>
      <w:r>
        <w:t>Vývozní ceny se</w:t>
      </w:r>
      <w:r w:rsidR="00341ACE">
        <w:t> </w:t>
      </w:r>
      <w:r w:rsidR="00156AB1">
        <w:t>v</w:t>
      </w:r>
      <w:r w:rsidR="00190A19">
        <w:t>e</w:t>
      </w:r>
      <w:r w:rsidR="00156AB1">
        <w:t xml:space="preserve"> </w:t>
      </w:r>
      <w:r w:rsidR="00190A19">
        <w:t xml:space="preserve">2. čtvrtletí 2023 </w:t>
      </w:r>
      <w:r>
        <w:t xml:space="preserve">proti </w:t>
      </w:r>
      <w:r w:rsidR="000A48CC">
        <w:t xml:space="preserve">1. čtvrtletí 2023 </w:t>
      </w:r>
      <w:r w:rsidR="00884FC7">
        <w:t xml:space="preserve">snížily </w:t>
      </w:r>
      <w:r w:rsidRPr="0027281C">
        <w:rPr>
          <w:szCs w:val="20"/>
        </w:rPr>
        <w:t>o</w:t>
      </w:r>
      <w:r w:rsidR="00F83FA7">
        <w:rPr>
          <w:szCs w:val="20"/>
        </w:rPr>
        <w:t> 2</w:t>
      </w:r>
      <w:r w:rsidRPr="0027281C">
        <w:rPr>
          <w:szCs w:val="20"/>
        </w:rPr>
        <w:t>,</w:t>
      </w:r>
      <w:r w:rsidR="00F83FA7">
        <w:rPr>
          <w:szCs w:val="20"/>
        </w:rPr>
        <w:t>2</w:t>
      </w:r>
      <w:r w:rsidRPr="0027281C">
        <w:rPr>
          <w:szCs w:val="20"/>
        </w:rPr>
        <w:t> %</w:t>
      </w:r>
      <w:r>
        <w:rPr>
          <w:szCs w:val="20"/>
        </w:rPr>
        <w:t>, m</w:t>
      </w:r>
      <w:r w:rsidR="00884FC7">
        <w:rPr>
          <w:szCs w:val="20"/>
        </w:rPr>
        <w:t xml:space="preserve">eziročně </w:t>
      </w:r>
      <w:r w:rsidR="00190A19">
        <w:t xml:space="preserve">ve 2. čtvrtletí 2023 </w:t>
      </w:r>
      <w:r w:rsidRPr="0027281C">
        <w:rPr>
          <w:szCs w:val="20"/>
        </w:rPr>
        <w:t>o </w:t>
      </w:r>
      <w:r w:rsidR="00F83FA7">
        <w:rPr>
          <w:szCs w:val="20"/>
        </w:rPr>
        <w:t>1</w:t>
      </w:r>
      <w:r>
        <w:rPr>
          <w:szCs w:val="20"/>
        </w:rPr>
        <w:t>,</w:t>
      </w:r>
      <w:r w:rsidR="00F83FA7">
        <w:rPr>
          <w:szCs w:val="20"/>
        </w:rPr>
        <w:t>8</w:t>
      </w:r>
      <w:r w:rsidRPr="0027281C">
        <w:rPr>
          <w:szCs w:val="20"/>
        </w:rPr>
        <w:t> %</w:t>
      </w:r>
      <w:r>
        <w:rPr>
          <w:szCs w:val="20"/>
        </w:rPr>
        <w:t>. Dovozní ceny</w:t>
      </w:r>
      <w:r w:rsidR="002C573C">
        <w:t xml:space="preserve"> </w:t>
      </w:r>
      <w:r w:rsidR="00884FC7">
        <w:t xml:space="preserve">se </w:t>
      </w:r>
      <w:r w:rsidR="00190A19">
        <w:t xml:space="preserve">ve 2. čtvrtletí 2023 </w:t>
      </w:r>
      <w:r>
        <w:t xml:space="preserve">proti </w:t>
      </w:r>
      <w:r w:rsidR="00190A19">
        <w:t xml:space="preserve">1. čtvrtletí 2023 </w:t>
      </w:r>
      <w:r w:rsidR="00884FC7">
        <w:t>sníži</w:t>
      </w:r>
      <w:r>
        <w:t xml:space="preserve">ly </w:t>
      </w:r>
      <w:r w:rsidR="00F83FA7">
        <w:rPr>
          <w:szCs w:val="20"/>
        </w:rPr>
        <w:t>o 4,5</w:t>
      </w:r>
      <w:r>
        <w:rPr>
          <w:szCs w:val="20"/>
        </w:rPr>
        <w:t> %, m</w:t>
      </w:r>
      <w:r w:rsidRPr="0027281C">
        <w:rPr>
          <w:szCs w:val="20"/>
        </w:rPr>
        <w:t xml:space="preserve">eziročně </w:t>
      </w:r>
      <w:r w:rsidR="00190A19">
        <w:rPr>
          <w:szCs w:val="20"/>
        </w:rPr>
        <w:t xml:space="preserve">ve 2. čtvrtletí 2023 </w:t>
      </w:r>
      <w:r w:rsidRPr="0027281C">
        <w:rPr>
          <w:szCs w:val="20"/>
        </w:rPr>
        <w:t>o</w:t>
      </w:r>
      <w:r w:rsidR="00F83FA7">
        <w:rPr>
          <w:szCs w:val="20"/>
        </w:rPr>
        <w:t xml:space="preserve"> 7</w:t>
      </w:r>
      <w:r w:rsidR="002C573C">
        <w:rPr>
          <w:szCs w:val="20"/>
        </w:rPr>
        <w:t>,</w:t>
      </w:r>
      <w:r w:rsidR="00F83FA7">
        <w:rPr>
          <w:szCs w:val="20"/>
        </w:rPr>
        <w:t>6</w:t>
      </w:r>
      <w:r>
        <w:rPr>
          <w:szCs w:val="20"/>
        </w:rPr>
        <w:t> %. S</w:t>
      </w:r>
      <w:r w:rsidRPr="0027281C">
        <w:rPr>
          <w:szCs w:val="20"/>
        </w:rPr>
        <w:t xml:space="preserve">měnné relace dosáhly </w:t>
      </w:r>
      <w:r w:rsidR="00190A19">
        <w:t xml:space="preserve">ve 2. čtvrtletí 2023 </w:t>
      </w:r>
      <w:r>
        <w:t xml:space="preserve">proti </w:t>
      </w:r>
      <w:r w:rsidR="00190A19">
        <w:t xml:space="preserve">1. čtvrtletí 2023 </w:t>
      </w:r>
      <w:r w:rsidRPr="0027281C">
        <w:rPr>
          <w:szCs w:val="20"/>
        </w:rPr>
        <w:t xml:space="preserve">hodnoty </w:t>
      </w:r>
      <w:r w:rsidR="00F83FA7">
        <w:rPr>
          <w:szCs w:val="20"/>
        </w:rPr>
        <w:t>102</w:t>
      </w:r>
      <w:r w:rsidR="002C573C">
        <w:rPr>
          <w:szCs w:val="20"/>
        </w:rPr>
        <w:t>,</w:t>
      </w:r>
      <w:r w:rsidR="00F83FA7">
        <w:rPr>
          <w:szCs w:val="20"/>
        </w:rPr>
        <w:t>4</w:t>
      </w:r>
      <w:r w:rsidR="00341ACE">
        <w:rPr>
          <w:szCs w:val="20"/>
        </w:rPr>
        <w:t> </w:t>
      </w:r>
      <w:r>
        <w:rPr>
          <w:szCs w:val="20"/>
        </w:rPr>
        <w:t>%, meziro</w:t>
      </w:r>
      <w:r w:rsidR="002D3C0A">
        <w:rPr>
          <w:szCs w:val="20"/>
        </w:rPr>
        <w:t xml:space="preserve">čně </w:t>
      </w:r>
      <w:r w:rsidR="00190A19">
        <w:rPr>
          <w:szCs w:val="20"/>
        </w:rPr>
        <w:t xml:space="preserve">ve 2. čtvrtletí 2023 </w:t>
      </w:r>
      <w:r>
        <w:rPr>
          <w:szCs w:val="20"/>
        </w:rPr>
        <w:t xml:space="preserve">hodnoty </w:t>
      </w:r>
      <w:r w:rsidR="002C573C">
        <w:rPr>
          <w:szCs w:val="20"/>
        </w:rPr>
        <w:t>10</w:t>
      </w:r>
      <w:r w:rsidR="00F83FA7">
        <w:rPr>
          <w:szCs w:val="20"/>
        </w:rPr>
        <w:t>6</w:t>
      </w:r>
      <w:r w:rsidR="002D3C0A">
        <w:rPr>
          <w:szCs w:val="20"/>
        </w:rPr>
        <w:t>,</w:t>
      </w:r>
      <w:r w:rsidR="00F83FA7">
        <w:rPr>
          <w:szCs w:val="20"/>
        </w:rPr>
        <w:t>3</w:t>
      </w:r>
      <w:r w:rsidR="00341ACE">
        <w:rPr>
          <w:szCs w:val="20"/>
        </w:rPr>
        <w:t> </w:t>
      </w:r>
      <w:r>
        <w:rPr>
          <w:szCs w:val="20"/>
        </w:rPr>
        <w:t>%.</w:t>
      </w:r>
      <w:r w:rsidR="00165461">
        <w:rPr>
          <w:szCs w:val="20"/>
        </w:rPr>
        <w:t xml:space="preserve"> </w:t>
      </w:r>
    </w:p>
    <w:p w:rsidR="00591CC8" w:rsidRPr="00EF2738" w:rsidRDefault="00591CC8" w:rsidP="00591CC8"/>
    <w:p w:rsidR="00591CC8" w:rsidRPr="00782151" w:rsidRDefault="00591CC8" w:rsidP="00591CC8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:rsidR="00591CC8" w:rsidRDefault="00591CC8" w:rsidP="00591CC8">
      <w:pPr>
        <w:rPr>
          <w:szCs w:val="20"/>
        </w:rPr>
      </w:pPr>
      <w:proofErr w:type="spellStart"/>
      <w:r>
        <w:rPr>
          <w:b/>
        </w:rPr>
        <w:t>Mezičtvrtletně</w:t>
      </w:r>
      <w:proofErr w:type="spellEnd"/>
      <w:r>
        <w:rPr>
          <w:b/>
        </w:rPr>
        <w:t xml:space="preserve"> </w:t>
      </w:r>
      <w:r>
        <w:t>(</w:t>
      </w:r>
      <w:r w:rsidR="00190A19">
        <w:t xml:space="preserve">ve 2. čtvrtletí 2023 </w:t>
      </w:r>
      <w:r w:rsidR="00C12538">
        <w:t xml:space="preserve">proti </w:t>
      </w:r>
      <w:r w:rsidR="000A48CC">
        <w:t>1. čtvrtletí 2023</w:t>
      </w:r>
      <w:r>
        <w:t>)</w:t>
      </w:r>
      <w:r w:rsidRPr="00795A17">
        <w:t xml:space="preserve"> </w:t>
      </w:r>
      <w:r w:rsidR="008D529A">
        <w:t>poklesly</w:t>
      </w:r>
      <w:r w:rsidR="00D96089">
        <w:t xml:space="preserve"> o 2</w:t>
      </w:r>
      <w:r w:rsidR="00C12538">
        <w:t>,</w:t>
      </w:r>
      <w:r w:rsidR="00D96089">
        <w:t>2</w:t>
      </w:r>
      <w:r>
        <w:t xml:space="preserve"> %. </w:t>
      </w:r>
      <w:r w:rsidR="00814B4C">
        <w:t xml:space="preserve">Ceny </w:t>
      </w:r>
      <w:r w:rsidR="00A36171">
        <w:t>se snížily ve </w:t>
      </w:r>
      <w:r w:rsidR="00814B4C">
        <w:t xml:space="preserve">všech sledovaných skupinách SITC1. </w:t>
      </w:r>
      <w:r w:rsidR="00A36171">
        <w:t>N</w:t>
      </w:r>
      <w:r w:rsidR="00A3785A">
        <w:t>ejvíce</w:t>
      </w:r>
      <w:r w:rsidR="00A36171">
        <w:t xml:space="preserve"> pokles</w:t>
      </w:r>
      <w:r w:rsidR="00A3785A">
        <w:t>l</w:t>
      </w:r>
      <w:r w:rsidR="00A36171">
        <w:t>y</w:t>
      </w:r>
      <w:r>
        <w:t xml:space="preserve"> ceny </w:t>
      </w:r>
      <w:r w:rsidR="00814B4C">
        <w:t xml:space="preserve">minerálních paliv </w:t>
      </w:r>
      <w:r>
        <w:t>o </w:t>
      </w:r>
      <w:r w:rsidR="00814B4C">
        <w:t>12</w:t>
      </w:r>
      <w:r w:rsidR="00C12538">
        <w:t>,</w:t>
      </w:r>
      <w:r w:rsidR="00814B4C">
        <w:t>8</w:t>
      </w:r>
      <w:r>
        <w:t> %</w:t>
      </w:r>
      <w:r w:rsidR="004145A9">
        <w:t xml:space="preserve"> (zejména </w:t>
      </w:r>
      <w:r w:rsidR="00A3785A">
        <w:t>elektřiny a ropných výrobků</w:t>
      </w:r>
      <w:r w:rsidR="004145A9">
        <w:t>)</w:t>
      </w:r>
      <w:r>
        <w:t>, ostatních surovin</w:t>
      </w:r>
      <w:r>
        <w:rPr>
          <w:rStyle w:val="Znakapoznpodarou"/>
        </w:rPr>
        <w:footnoteReference w:id="1"/>
      </w:r>
      <w:r w:rsidR="00814B4C">
        <w:t xml:space="preserve"> o 5</w:t>
      </w:r>
      <w:r w:rsidR="00AA1159">
        <w:t>,</w:t>
      </w:r>
      <w:r w:rsidR="00814B4C">
        <w:t>9</w:t>
      </w:r>
      <w:r w:rsidR="00AA1159">
        <w:t xml:space="preserve"> % (především </w:t>
      </w:r>
      <w:r w:rsidR="00A3785A">
        <w:t>olejnatých semen a plodů</w:t>
      </w:r>
      <w:r w:rsidR="00C12538">
        <w:t>)</w:t>
      </w:r>
      <w:r w:rsidR="00814B4C">
        <w:t>,</w:t>
      </w:r>
      <w:r w:rsidR="00C12538">
        <w:t xml:space="preserve"> </w:t>
      </w:r>
      <w:r w:rsidR="00814B4C">
        <w:t>potravin o 4,3 % (</w:t>
      </w:r>
      <w:r w:rsidR="001E6EAB">
        <w:t>zvláště</w:t>
      </w:r>
      <w:r w:rsidR="00814B4C">
        <w:t xml:space="preserve"> </w:t>
      </w:r>
      <w:r w:rsidR="008536D6">
        <w:t>obilovin a obilných výrobků</w:t>
      </w:r>
      <w:r w:rsidR="00814B4C">
        <w:t>), chemikálií o 3,5 % (z</w:t>
      </w:r>
      <w:r w:rsidR="003A6748">
        <w:t>ejména</w:t>
      </w:r>
      <w:r w:rsidR="00814B4C">
        <w:t xml:space="preserve"> plastů) a</w:t>
      </w:r>
      <w:r w:rsidR="00A36171">
        <w:t> </w:t>
      </w:r>
      <w:r w:rsidR="00C12538">
        <w:t>polotovarů</w:t>
      </w:r>
      <w:r w:rsidR="00C12538">
        <w:rPr>
          <w:rStyle w:val="Znakapoznpodarou"/>
        </w:rPr>
        <w:footnoteReference w:id="2"/>
      </w:r>
      <w:r w:rsidR="008536D6">
        <w:t xml:space="preserve"> </w:t>
      </w:r>
      <w:r w:rsidR="00814B4C">
        <w:t>o 1</w:t>
      </w:r>
      <w:r>
        <w:t>,</w:t>
      </w:r>
      <w:r w:rsidR="00814B4C">
        <w:t>9</w:t>
      </w:r>
      <w:r>
        <w:t xml:space="preserve"> % (</w:t>
      </w:r>
      <w:r w:rsidR="008536D6">
        <w:t>hlavn</w:t>
      </w:r>
      <w:r>
        <w:t xml:space="preserve">ě </w:t>
      </w:r>
      <w:r w:rsidR="00E06597">
        <w:t>kovových výrobků</w:t>
      </w:r>
      <w:r>
        <w:t xml:space="preserve">). </w:t>
      </w:r>
    </w:p>
    <w:p w:rsidR="0041341E" w:rsidRDefault="00591CC8" w:rsidP="00EC45BB">
      <w:r w:rsidRPr="002522EC">
        <w:rPr>
          <w:b/>
        </w:rPr>
        <w:t xml:space="preserve">Meziročně </w:t>
      </w:r>
      <w:r w:rsidR="00814B4C">
        <w:t xml:space="preserve">ve 2. čtvrtletí 2023 </w:t>
      </w:r>
      <w:r w:rsidR="00814B4C" w:rsidRPr="00814B4C">
        <w:t>se</w:t>
      </w:r>
      <w:r w:rsidR="00814B4C">
        <w:rPr>
          <w:b/>
        </w:rPr>
        <w:t xml:space="preserve"> </w:t>
      </w:r>
      <w:r w:rsidR="00814B4C">
        <w:t>snížil</w:t>
      </w:r>
      <w:r w:rsidR="008D529A">
        <w:t>y</w:t>
      </w:r>
      <w:r w:rsidR="00814B4C">
        <w:t xml:space="preserve"> o 1</w:t>
      </w:r>
      <w:r>
        <w:t>,</w:t>
      </w:r>
      <w:r w:rsidR="00814B4C">
        <w:t>8 % (v</w:t>
      </w:r>
      <w:r>
        <w:t xml:space="preserve"> </w:t>
      </w:r>
      <w:r w:rsidR="00190A19">
        <w:t xml:space="preserve">1. čtvrtletí 2023 </w:t>
      </w:r>
      <w:r w:rsidR="00814B4C">
        <w:t>rostly o 6,3 %</w:t>
      </w:r>
      <w:r>
        <w:t xml:space="preserve">). Nejvíce </w:t>
      </w:r>
      <w:r w:rsidR="00814B4C">
        <w:t>pokles</w:t>
      </w:r>
      <w:r>
        <w:t xml:space="preserve">ly </w:t>
      </w:r>
      <w:r w:rsidR="00AA1159">
        <w:t xml:space="preserve">ceny </w:t>
      </w:r>
      <w:r w:rsidR="00814B4C">
        <w:t xml:space="preserve">ostatních surovin o 25,5 % (především </w:t>
      </w:r>
      <w:r w:rsidR="00E06597">
        <w:t>kovového odpadu</w:t>
      </w:r>
      <w:r w:rsidR="00814B4C">
        <w:t xml:space="preserve">), </w:t>
      </w:r>
      <w:r w:rsidR="003A7D83">
        <w:t>chemikálií o </w:t>
      </w:r>
      <w:r w:rsidR="00814B4C">
        <w:t>9,4</w:t>
      </w:r>
      <w:r w:rsidR="003A7D83">
        <w:t> </w:t>
      </w:r>
      <w:r w:rsidR="00300880">
        <w:t>% (zvláště</w:t>
      </w:r>
      <w:r w:rsidR="003A7D83">
        <w:t xml:space="preserve"> plastů</w:t>
      </w:r>
      <w:r w:rsidR="00300880" w:rsidRPr="00300880">
        <w:t xml:space="preserve"> </w:t>
      </w:r>
      <w:r w:rsidR="00300880">
        <w:t>a organických chemikálií</w:t>
      </w:r>
      <w:r w:rsidR="00814B4C">
        <w:t>) a potravin o 4,7 % (</w:t>
      </w:r>
      <w:r w:rsidR="008737D8">
        <w:t>zejména</w:t>
      </w:r>
      <w:r w:rsidR="00814B4C">
        <w:t xml:space="preserve"> </w:t>
      </w:r>
      <w:r w:rsidR="00115D18">
        <w:t>obilovin a obilných výrobků</w:t>
      </w:r>
      <w:r w:rsidR="00814B4C">
        <w:t xml:space="preserve">). Ceny nápojů rostly o 18,4 % a </w:t>
      </w:r>
      <w:r w:rsidR="00AA1159">
        <w:t>minerálních paliv o </w:t>
      </w:r>
      <w:r w:rsidR="00FD3F28">
        <w:t>2</w:t>
      </w:r>
      <w:r w:rsidR="00AA1159">
        <w:t>,</w:t>
      </w:r>
      <w:r w:rsidR="00FD3F28">
        <w:t>3</w:t>
      </w:r>
      <w:r w:rsidR="00AA1159">
        <w:t xml:space="preserve"> % </w:t>
      </w:r>
      <w:r>
        <w:t>(</w:t>
      </w:r>
      <w:r w:rsidR="00115D18">
        <w:t>elektřiny</w:t>
      </w:r>
      <w:r w:rsidR="003A144F">
        <w:t xml:space="preserve"> a plynu</w:t>
      </w:r>
      <w:r w:rsidR="00FD3F28">
        <w:t>).</w:t>
      </w:r>
    </w:p>
    <w:p w:rsidR="00FD3F28" w:rsidRDefault="00FD3F28" w:rsidP="00EC45BB">
      <w:pPr>
        <w:rPr>
          <w:szCs w:val="20"/>
        </w:rPr>
      </w:pPr>
    </w:p>
    <w:p w:rsidR="00591CC8" w:rsidRPr="00782151" w:rsidRDefault="00591CC8" w:rsidP="00591CC8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:rsidR="006C5BDB" w:rsidRDefault="00591CC8" w:rsidP="00591CC8">
      <w:proofErr w:type="spellStart"/>
      <w:r>
        <w:rPr>
          <w:b/>
        </w:rPr>
        <w:t>Mezičtvrtletně</w:t>
      </w:r>
      <w:proofErr w:type="spellEnd"/>
      <w:r w:rsidRPr="00253DDC">
        <w:rPr>
          <w:b/>
        </w:rPr>
        <w:t xml:space="preserve"> </w:t>
      </w:r>
      <w:r>
        <w:t>(</w:t>
      </w:r>
      <w:r w:rsidR="00190A19">
        <w:t xml:space="preserve">ve 2. čtvrtletí 2023 </w:t>
      </w:r>
      <w:r w:rsidR="002A40D9">
        <w:t xml:space="preserve">proti </w:t>
      </w:r>
      <w:r w:rsidR="006C5BDB">
        <w:t>1. čtvrtletí 2023</w:t>
      </w:r>
      <w:r>
        <w:t>)</w:t>
      </w:r>
      <w:r w:rsidRPr="00795A17">
        <w:t xml:space="preserve"> </w:t>
      </w:r>
      <w:r w:rsidR="006C5BDB">
        <w:t>se snížily o 4,5</w:t>
      </w:r>
      <w:r>
        <w:t> %</w:t>
      </w:r>
      <w:r w:rsidRPr="00945CA2">
        <w:t>.</w:t>
      </w:r>
      <w:r>
        <w:t xml:space="preserve"> Ceny minerálních paliv klesly o </w:t>
      </w:r>
      <w:r w:rsidR="006C5BDB">
        <w:t>22</w:t>
      </w:r>
      <w:r w:rsidR="002A40D9">
        <w:t>,</w:t>
      </w:r>
      <w:r w:rsidR="006C5BDB">
        <w:t>2</w:t>
      </w:r>
      <w:r>
        <w:t> % (</w:t>
      </w:r>
      <w:r w:rsidR="00C9388B">
        <w:t xml:space="preserve">plynu, </w:t>
      </w:r>
      <w:r>
        <w:t>ropy</w:t>
      </w:r>
      <w:r w:rsidR="0026243B">
        <w:t xml:space="preserve"> a</w:t>
      </w:r>
      <w:r>
        <w:t xml:space="preserve"> ro</w:t>
      </w:r>
      <w:r w:rsidR="0049361E">
        <w:t>pných výrobků</w:t>
      </w:r>
      <w:r w:rsidR="00D027F2">
        <w:t xml:space="preserve"> a elektřiny</w:t>
      </w:r>
      <w:r>
        <w:t xml:space="preserve">), </w:t>
      </w:r>
      <w:r w:rsidR="006C5BDB">
        <w:t>chemikálií o 4</w:t>
      </w:r>
      <w:r w:rsidR="002A40D9">
        <w:t>,</w:t>
      </w:r>
      <w:r w:rsidR="006C5BDB">
        <w:t>7</w:t>
      </w:r>
      <w:r w:rsidR="002A40D9">
        <w:t xml:space="preserve"> % (zvláště </w:t>
      </w:r>
      <w:r w:rsidR="003A7D83">
        <w:t>plastů</w:t>
      </w:r>
      <w:r w:rsidR="002A40D9">
        <w:t xml:space="preserve">), </w:t>
      </w:r>
      <w:r w:rsidR="006C5BDB">
        <w:t xml:space="preserve">ostatních surovin o 4,6 % (především </w:t>
      </w:r>
      <w:r w:rsidR="004C4D46">
        <w:t>kaučuku</w:t>
      </w:r>
      <w:r w:rsidR="006C5BDB">
        <w:t>) a polotovarů o 2,4</w:t>
      </w:r>
      <w:r w:rsidR="0026243B">
        <w:t xml:space="preserve"> % </w:t>
      </w:r>
      <w:r w:rsidR="0027586C">
        <w:t>(</w:t>
      </w:r>
      <w:r w:rsidR="00677348">
        <w:t>zejména</w:t>
      </w:r>
      <w:r w:rsidR="0026243B">
        <w:t xml:space="preserve"> </w:t>
      </w:r>
      <w:r w:rsidR="004C4D46">
        <w:t>neželezných kovů</w:t>
      </w:r>
      <w:r w:rsidR="0026243B">
        <w:t>)</w:t>
      </w:r>
      <w:r w:rsidR="006C5BDB">
        <w:t xml:space="preserve">. </w:t>
      </w:r>
      <w:r w:rsidR="00AA1159">
        <w:t>Zvýšily</w:t>
      </w:r>
      <w:r w:rsidR="00BD6E59">
        <w:t xml:space="preserve"> </w:t>
      </w:r>
      <w:r w:rsidR="00AA1159">
        <w:t xml:space="preserve">se </w:t>
      </w:r>
      <w:r w:rsidR="0026243B">
        <w:t>pouze c</w:t>
      </w:r>
      <w:r w:rsidR="0026243B" w:rsidRPr="00BD0447">
        <w:t>eny</w:t>
      </w:r>
      <w:r w:rsidR="0026243B">
        <w:t xml:space="preserve"> </w:t>
      </w:r>
      <w:r w:rsidR="006C5BDB">
        <w:t xml:space="preserve">průmyslového spotřebního zboží o 0,6 % a </w:t>
      </w:r>
      <w:r w:rsidR="00DE2468">
        <w:t>nápojů a </w:t>
      </w:r>
      <w:r w:rsidR="00BD6E59">
        <w:t xml:space="preserve">tabáku </w:t>
      </w:r>
      <w:r w:rsidR="006C5BDB">
        <w:t>o 0</w:t>
      </w:r>
      <w:r>
        <w:t>,</w:t>
      </w:r>
      <w:r w:rsidR="006C5BDB">
        <w:t>4</w:t>
      </w:r>
      <w:r w:rsidR="0026243B">
        <w:t> %</w:t>
      </w:r>
      <w:r w:rsidR="006C5BDB">
        <w:t xml:space="preserve">. </w:t>
      </w:r>
      <w:r w:rsidR="0026243B">
        <w:t xml:space="preserve"> </w:t>
      </w:r>
    </w:p>
    <w:p w:rsidR="00591CC8" w:rsidRDefault="00591CC8" w:rsidP="00591CC8">
      <w:r w:rsidRPr="002522EC">
        <w:rPr>
          <w:b/>
        </w:rPr>
        <w:t xml:space="preserve">Meziročně </w:t>
      </w:r>
      <w:r w:rsidR="00190A19">
        <w:t xml:space="preserve">ve 2. čtvrtletí 2023 </w:t>
      </w:r>
      <w:r w:rsidR="006C5BDB">
        <w:t>se snížily o 7</w:t>
      </w:r>
      <w:r w:rsidR="00C42393">
        <w:t>,</w:t>
      </w:r>
      <w:r w:rsidR="006C5BDB">
        <w:t>6 % (v</w:t>
      </w:r>
      <w:r w:rsidR="00C42393">
        <w:t xml:space="preserve"> </w:t>
      </w:r>
      <w:r w:rsidR="00190A19">
        <w:t xml:space="preserve">1. čtvrtletí 2023 </w:t>
      </w:r>
      <w:r w:rsidR="006C5BDB">
        <w:t xml:space="preserve">rostly </w:t>
      </w:r>
      <w:r>
        <w:t>o </w:t>
      </w:r>
      <w:r w:rsidR="006C5BDB">
        <w:t>3</w:t>
      </w:r>
      <w:r w:rsidR="0026243B">
        <w:t>,</w:t>
      </w:r>
      <w:r w:rsidR="006C5BDB">
        <w:t>2</w:t>
      </w:r>
      <w:r w:rsidR="0026243B">
        <w:t> </w:t>
      </w:r>
      <w:r>
        <w:t>%</w:t>
      </w:r>
      <w:r w:rsidRPr="00336AD0">
        <w:t>).</w:t>
      </w:r>
      <w:r w:rsidR="0045497C">
        <w:t xml:space="preserve"> Nejvíce se sníž</w:t>
      </w:r>
      <w:r w:rsidR="00C42393">
        <w:t xml:space="preserve">ily </w:t>
      </w:r>
      <w:r w:rsidR="0045497C">
        <w:t>ceny minerálních paliv o 32,0 % (</w:t>
      </w:r>
      <w:r w:rsidR="00F2680D">
        <w:t xml:space="preserve">hlavně </w:t>
      </w:r>
      <w:r w:rsidR="00D027F2">
        <w:t xml:space="preserve">ropy a ropných výrobků, </w:t>
      </w:r>
      <w:r w:rsidR="0045497C">
        <w:t xml:space="preserve">plynu a elektřiny), ostatních surovin o 15,8 % (především </w:t>
      </w:r>
      <w:r w:rsidR="00D027F2">
        <w:t>rud kovů a kovového odpadu</w:t>
      </w:r>
      <w:r w:rsidR="0045497C">
        <w:t>) a chemikálií o 10,9 % (zvláště plastů). C</w:t>
      </w:r>
      <w:r w:rsidR="00C42393">
        <w:t xml:space="preserve">eny </w:t>
      </w:r>
      <w:r w:rsidR="0045497C">
        <w:t>nápojů a </w:t>
      </w:r>
      <w:r w:rsidR="008227FB">
        <w:t>tabáku</w:t>
      </w:r>
      <w:r w:rsidR="0045497C">
        <w:t xml:space="preserve"> rostly</w:t>
      </w:r>
      <w:r w:rsidR="00C42393">
        <w:t xml:space="preserve"> o </w:t>
      </w:r>
      <w:r w:rsidR="0045497C">
        <w:t>22</w:t>
      </w:r>
      <w:r>
        <w:t>,</w:t>
      </w:r>
      <w:r w:rsidR="0045497C">
        <w:t>2</w:t>
      </w:r>
      <w:r>
        <w:t> %</w:t>
      </w:r>
      <w:r w:rsidR="00C42393">
        <w:t>, potravin o </w:t>
      </w:r>
      <w:r w:rsidR="0045497C">
        <w:t>6</w:t>
      </w:r>
      <w:r>
        <w:t>,</w:t>
      </w:r>
      <w:r w:rsidR="0045497C">
        <w:t>4</w:t>
      </w:r>
      <w:r>
        <w:t> % (</w:t>
      </w:r>
      <w:r w:rsidR="00CE6B78">
        <w:t>zejména</w:t>
      </w:r>
      <w:r>
        <w:t xml:space="preserve"> </w:t>
      </w:r>
      <w:r w:rsidR="00DE2468">
        <w:t>zeleniny a </w:t>
      </w:r>
      <w:r w:rsidR="00D027F2">
        <w:t>ovoce) a </w:t>
      </w:r>
      <w:r w:rsidR="008227FB">
        <w:t>průmyslo</w:t>
      </w:r>
      <w:r w:rsidR="0045497C">
        <w:t>vého spotřebního zboží o 5,9 %</w:t>
      </w:r>
      <w:r>
        <w:t xml:space="preserve">. </w:t>
      </w:r>
    </w:p>
    <w:p w:rsidR="008227FB" w:rsidRDefault="008227FB" w:rsidP="00591CC8">
      <w:pPr>
        <w:rPr>
          <w:szCs w:val="20"/>
        </w:rPr>
      </w:pPr>
    </w:p>
    <w:p w:rsidR="00591CC8" w:rsidRDefault="00591CC8" w:rsidP="00591CC8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:rsidR="00591CC8" w:rsidRDefault="00591CC8" w:rsidP="00591CC8">
      <w:pPr>
        <w:rPr>
          <w:szCs w:val="20"/>
        </w:rPr>
      </w:pPr>
      <w:proofErr w:type="spellStart"/>
      <w:r>
        <w:rPr>
          <w:b/>
        </w:rPr>
        <w:t>Mezičtvrtletně</w:t>
      </w:r>
      <w:proofErr w:type="spellEnd"/>
      <w:r w:rsidRPr="00253DDC">
        <w:rPr>
          <w:b/>
        </w:rPr>
        <w:t xml:space="preserve"> </w:t>
      </w:r>
      <w:r>
        <w:t>(</w:t>
      </w:r>
      <w:r w:rsidR="00190A19">
        <w:t xml:space="preserve">ve 2. čtvrtletí 2023 </w:t>
      </w:r>
      <w:r w:rsidR="00C12538">
        <w:t xml:space="preserve">proti </w:t>
      </w:r>
      <w:r w:rsidR="00190A19">
        <w:t>1. čtvrtletí 2023</w:t>
      </w:r>
      <w:r>
        <w:t>)</w:t>
      </w:r>
      <w:r w:rsidRPr="00795A17">
        <w:t xml:space="preserve"> </w:t>
      </w:r>
      <w:r w:rsidR="004A5A66">
        <w:t>dosáhly hodnoty</w:t>
      </w:r>
      <w:r>
        <w:t xml:space="preserve"> </w:t>
      </w:r>
      <w:r w:rsidR="004A5A66">
        <w:t>102</w:t>
      </w:r>
      <w:r w:rsidR="00B17433">
        <w:t>,</w:t>
      </w:r>
      <w:r w:rsidR="004A5A66">
        <w:t>4</w:t>
      </w:r>
      <w:r>
        <w:t> %. Nejvyšší pozitivní hodno</w:t>
      </w:r>
      <w:r w:rsidR="008B0CF5">
        <w:t>t</w:t>
      </w:r>
      <w:r w:rsidR="00A00FC9">
        <w:t>u</w:t>
      </w:r>
      <w:r w:rsidR="004A5A66">
        <w:t xml:space="preserve"> </w:t>
      </w:r>
      <w:r w:rsidR="00D027F2">
        <w:t>zaznamena</w:t>
      </w:r>
      <w:r w:rsidR="004A5A66">
        <w:t>la minerální paliva (1</w:t>
      </w:r>
      <w:r w:rsidR="00B17433">
        <w:t>1</w:t>
      </w:r>
      <w:r w:rsidR="004A5A66">
        <w:t>2</w:t>
      </w:r>
      <w:r>
        <w:t>,</w:t>
      </w:r>
      <w:r w:rsidR="004A5A66">
        <w:t>1</w:t>
      </w:r>
      <w:r w:rsidR="00DE2468">
        <w:t> %), nejnižší negativní hodnoty</w:t>
      </w:r>
      <w:r w:rsidRPr="001B0744">
        <w:t xml:space="preserve"> </w:t>
      </w:r>
      <w:r w:rsidR="00D027F2">
        <w:t>dosáh</w:t>
      </w:r>
      <w:r w:rsidR="00B17433">
        <w:t>ly</w:t>
      </w:r>
      <w:r w:rsidR="002614BE">
        <w:t xml:space="preserve"> </w:t>
      </w:r>
      <w:r w:rsidR="00B17433">
        <w:t xml:space="preserve">potraviny </w:t>
      </w:r>
      <w:r w:rsidR="004A5A66">
        <w:t>(96</w:t>
      </w:r>
      <w:r>
        <w:t>,</w:t>
      </w:r>
      <w:r w:rsidR="004A5A66">
        <w:t>8</w:t>
      </w:r>
      <w:r>
        <w:t> %)</w:t>
      </w:r>
      <w:r w:rsidRPr="00872A97">
        <w:rPr>
          <w:szCs w:val="20"/>
        </w:rPr>
        <w:t>.</w:t>
      </w:r>
    </w:p>
    <w:p w:rsidR="00591CC8" w:rsidRDefault="00591CC8" w:rsidP="00591CC8">
      <w:r>
        <w:rPr>
          <w:b/>
          <w:szCs w:val="20"/>
        </w:rPr>
        <w:t>M</w:t>
      </w:r>
      <w:r w:rsidRPr="00260FA6">
        <w:rPr>
          <w:b/>
          <w:szCs w:val="20"/>
        </w:rPr>
        <w:t>eziročně</w:t>
      </w:r>
      <w:r w:rsidRPr="00872A97">
        <w:rPr>
          <w:szCs w:val="20"/>
        </w:rPr>
        <w:t xml:space="preserve"> </w:t>
      </w:r>
      <w:r w:rsidR="00190A19">
        <w:t xml:space="preserve">ve 2. čtvrtletí 2023 </w:t>
      </w:r>
      <w:r>
        <w:t>se zvýšily</w:t>
      </w:r>
      <w:r w:rsidRPr="00726159">
        <w:t xml:space="preserve"> na hodnotu</w:t>
      </w:r>
      <w:r>
        <w:t xml:space="preserve"> </w:t>
      </w:r>
      <w:r w:rsidR="007E1CCD">
        <w:t>10</w:t>
      </w:r>
      <w:r w:rsidR="004A5A66">
        <w:t>6</w:t>
      </w:r>
      <w:r w:rsidRPr="00726159">
        <w:t>,</w:t>
      </w:r>
      <w:r w:rsidR="004A5A66">
        <w:t>3</w:t>
      </w:r>
      <w:r w:rsidRPr="00726159">
        <w:t> % (v</w:t>
      </w:r>
      <w:r w:rsidR="004A5A66">
        <w:t xml:space="preserve"> </w:t>
      </w:r>
      <w:r w:rsidR="00190A19">
        <w:t xml:space="preserve">1. čtvrtletí 2023 </w:t>
      </w:r>
      <w:r w:rsidR="007E1CCD">
        <w:t xml:space="preserve">hodnota </w:t>
      </w:r>
      <w:r w:rsidR="004A5A66">
        <w:t>103</w:t>
      </w:r>
      <w:r w:rsidRPr="00726159">
        <w:t>,</w:t>
      </w:r>
      <w:r w:rsidR="004A5A66">
        <w:t>0</w:t>
      </w:r>
      <w:r w:rsidRPr="00726159">
        <w:t> </w:t>
      </w:r>
      <w:r>
        <w:t>%) a </w:t>
      </w:r>
      <w:r w:rsidR="004A5A66">
        <w:t>druhé</w:t>
      </w:r>
      <w:r>
        <w:t xml:space="preserve"> čtvrtletí </w:t>
      </w:r>
      <w:r w:rsidR="004A5A66">
        <w:t>se drží v</w:t>
      </w:r>
      <w:r w:rsidR="00150327">
        <w:t xml:space="preserve"> pozitivních hodnot</w:t>
      </w:r>
      <w:r w:rsidR="004A5A66">
        <w:t>ách</w:t>
      </w:r>
      <w:r>
        <w:t xml:space="preserve"> – viz graf 2.</w:t>
      </w:r>
      <w:r w:rsidRPr="002E53F7">
        <w:t xml:space="preserve"> </w:t>
      </w:r>
      <w:r w:rsidR="008E755C">
        <w:t>Nejvyšší p</w:t>
      </w:r>
      <w:r w:rsidR="008E755C" w:rsidRPr="002E53F7">
        <w:t>ozitivní</w:t>
      </w:r>
      <w:r w:rsidR="008E755C">
        <w:t xml:space="preserve"> </w:t>
      </w:r>
      <w:r w:rsidR="008E755C" w:rsidRPr="002E53F7">
        <w:t>hodnot</w:t>
      </w:r>
      <w:r w:rsidR="008E755C">
        <w:t>u</w:t>
      </w:r>
      <w:r w:rsidR="008E755C" w:rsidRPr="002E53F7">
        <w:t xml:space="preserve"> </w:t>
      </w:r>
      <w:r w:rsidR="008E755C">
        <w:t>z</w:t>
      </w:r>
      <w:r w:rsidR="004A5A66">
        <w:t>aznamenala minerální paliva (150</w:t>
      </w:r>
      <w:r w:rsidR="008E755C">
        <w:t>,</w:t>
      </w:r>
      <w:r w:rsidR="004A5A66">
        <w:t>4</w:t>
      </w:r>
      <w:r w:rsidR="008E755C">
        <w:t xml:space="preserve"> </w:t>
      </w:r>
      <w:r w:rsidR="00150327">
        <w:t>%) a</w:t>
      </w:r>
      <w:r w:rsidR="008E755C">
        <w:t xml:space="preserve"> n</w:t>
      </w:r>
      <w:r>
        <w:t>ejnižší negativní</w:t>
      </w:r>
      <w:r w:rsidRPr="002E53F7">
        <w:t xml:space="preserve"> </w:t>
      </w:r>
      <w:r>
        <w:t xml:space="preserve">hodnoty dosáhly </w:t>
      </w:r>
      <w:r w:rsidR="008E755C">
        <w:t>o</w:t>
      </w:r>
      <w:r w:rsidR="00A30B39">
        <w:t xml:space="preserve">statní suroviny </w:t>
      </w:r>
      <w:r w:rsidR="004A5A66">
        <w:t>(88,5</w:t>
      </w:r>
      <w:r w:rsidR="008E755C">
        <w:t> %).</w:t>
      </w:r>
    </w:p>
    <w:p w:rsidR="00591CC8" w:rsidRDefault="00591CC8" w:rsidP="00591CC8"/>
    <w:p w:rsidR="00591CC8" w:rsidRDefault="00D027F2" w:rsidP="00591CC8">
      <w:pPr>
        <w:rPr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 wp14:anchorId="6F7680AF">
            <wp:extent cx="5460520" cy="3393183"/>
            <wp:effectExtent l="0" t="0" r="698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952" cy="3405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4F8" w:rsidRDefault="002704F8" w:rsidP="00AF4D27">
      <w:pPr>
        <w:rPr>
          <w:szCs w:val="20"/>
        </w:rPr>
      </w:pPr>
    </w:p>
    <w:p w:rsidR="002704F8" w:rsidRDefault="00D027F2" w:rsidP="00AF4D27">
      <w:pPr>
        <w:rPr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 wp14:anchorId="51019006">
            <wp:extent cx="5393610" cy="3351606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853" cy="3356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4F8" w:rsidRDefault="002704F8" w:rsidP="00AF4D27">
      <w:pPr>
        <w:rPr>
          <w:szCs w:val="20"/>
        </w:rPr>
      </w:pPr>
    </w:p>
    <w:p w:rsidR="00876117" w:rsidRDefault="00876117" w:rsidP="00AF4D27">
      <w:pPr>
        <w:rPr>
          <w:szCs w:val="20"/>
        </w:rPr>
      </w:pPr>
    </w:p>
    <w:p w:rsidR="001A3F18" w:rsidRDefault="001A3F18" w:rsidP="00AF4D27">
      <w:pPr>
        <w:rPr>
          <w:szCs w:val="20"/>
        </w:rPr>
      </w:pPr>
    </w:p>
    <w:p w:rsidR="00EE5AE0" w:rsidRDefault="00EE5AE0" w:rsidP="00EE5AE0">
      <w:pPr>
        <w:rPr>
          <w:noProof/>
          <w:lang w:eastAsia="cs-CZ"/>
        </w:rPr>
      </w:pPr>
      <w:r>
        <w:t xml:space="preserve">Vývoj cen vývozu a dovozu zboží byl významně ovlivněn rovněž kurzem koruny k hlavním zahraničním měnám. </w:t>
      </w:r>
      <w:r w:rsidRPr="00860AE4">
        <w:rPr>
          <w:b/>
        </w:rPr>
        <w:t>Do mezičtvrtletního indexu</w:t>
      </w:r>
      <w:r>
        <w:t xml:space="preserve"> kurzu byly zahrnuty dvě nejvýznamnější měny z hlediska českého zahraničního obchodu, tedy EUR a USD. Mezičtvrtletní indexy kurzů CZK k těmto měnám byly váženy váhou, která těmto zahraničním měnám přísluší v indexu vývozních cen, resp. dovozních cen.</w:t>
      </w:r>
      <w:r w:rsidRPr="00EE5AE0">
        <w:rPr>
          <w:noProof/>
          <w:lang w:eastAsia="cs-CZ"/>
        </w:rPr>
        <w:t xml:space="preserve"> </w:t>
      </w:r>
    </w:p>
    <w:p w:rsidR="00D439F4" w:rsidRDefault="00D439F4" w:rsidP="00EE5AE0">
      <w:pPr>
        <w:rPr>
          <w:noProof/>
          <w:lang w:eastAsia="cs-CZ"/>
        </w:rPr>
      </w:pPr>
    </w:p>
    <w:p w:rsidR="003B3C24" w:rsidRDefault="00D439F4" w:rsidP="00EE5AE0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4B68D3A">
            <wp:extent cx="5089585" cy="3162684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32" cy="3182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AE0" w:rsidRDefault="00D439F4" w:rsidP="00EE5AE0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5C11081">
            <wp:extent cx="5080958" cy="3157324"/>
            <wp:effectExtent l="0" t="0" r="5715" b="508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021" cy="3180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AE0" w:rsidRDefault="00EE5AE0" w:rsidP="00EE5AE0">
      <w:r>
        <w:lastRenderedPageBreak/>
        <w:t>Z výše uvedených grafů 3 a 4 je patrné, že v případě vývozu i dovozu jsou ceny zahraničního obchodu se zbožím vázány na kurzové vlivy. Kontrakty se zahraničními subjekty jsou zpr</w:t>
      </w:r>
      <w:r w:rsidR="00DE5C37">
        <w:t>avidla uzavírány na delší časová</w:t>
      </w:r>
      <w:r>
        <w:t xml:space="preserve"> období</w:t>
      </w:r>
      <w:r w:rsidR="00B91D7D">
        <w:t>,</w:t>
      </w:r>
      <w:r>
        <w:t xml:space="preserve"> a čím je období kontraktu delší, tím je vazba na kurzy silnější.</w:t>
      </w:r>
    </w:p>
    <w:p w:rsidR="00931174" w:rsidRDefault="00931174" w:rsidP="00EE5AE0"/>
    <w:p w:rsidR="00172EC2" w:rsidRPr="004B7530" w:rsidRDefault="00172EC2" w:rsidP="00A159C8">
      <w:pPr>
        <w:pStyle w:val="Nadpis1"/>
        <w:spacing w:after="240"/>
      </w:pPr>
      <w:r w:rsidRPr="004B7530">
        <w:t>Meziroční kurzově očištěné indexy cen zahraničního obchodu</w:t>
      </w:r>
      <w:r>
        <w:t xml:space="preserve"> se zbožím</w:t>
      </w:r>
    </w:p>
    <w:p w:rsidR="00931174" w:rsidRDefault="00172EC2" w:rsidP="00172EC2">
      <w:pPr>
        <w:rPr>
          <w:rFonts w:cs="Arial"/>
          <w:szCs w:val="20"/>
        </w:rPr>
      </w:pPr>
      <w:r w:rsidRPr="004B7530">
        <w:rPr>
          <w:rFonts w:cs="Arial"/>
          <w:szCs w:val="20"/>
        </w:rPr>
        <w:t>ČSÚ počítá také meziroční indexy cen zahraničního obchodu</w:t>
      </w:r>
      <w:r>
        <w:rPr>
          <w:rFonts w:cs="Arial"/>
          <w:szCs w:val="20"/>
        </w:rPr>
        <w:t xml:space="preserve"> se zbožím</w:t>
      </w:r>
      <w:r w:rsidRPr="004B7530">
        <w:rPr>
          <w:rFonts w:cs="Arial"/>
          <w:szCs w:val="20"/>
        </w:rPr>
        <w:t xml:space="preserve"> očištěné o kurzové vlivy. Postupuje se tak, že ceny v cizích měnách vykázané za aktuální měsíc jsou </w:t>
      </w:r>
      <w:r w:rsidRPr="004B7530">
        <w:rPr>
          <w:rFonts w:cs="Arial"/>
          <w:b/>
          <w:bCs/>
          <w:szCs w:val="20"/>
        </w:rPr>
        <w:t>přepočteny</w:t>
      </w:r>
      <w:r w:rsidRPr="004B7530">
        <w:rPr>
          <w:rFonts w:cs="Arial"/>
          <w:szCs w:val="20"/>
        </w:rPr>
        <w:t xml:space="preserve"> na české koruny </w:t>
      </w:r>
      <w:r w:rsidRPr="003E19BB">
        <w:rPr>
          <w:rFonts w:cs="Arial"/>
          <w:b/>
          <w:bCs/>
          <w:szCs w:val="20"/>
        </w:rPr>
        <w:t>kurzem</w:t>
      </w:r>
      <w:r w:rsidRPr="004B7530">
        <w:rPr>
          <w:rFonts w:cs="Arial"/>
          <w:szCs w:val="20"/>
        </w:rPr>
        <w:t xml:space="preserve"> stejného měsíce </w:t>
      </w:r>
      <w:r w:rsidRPr="003E19BB">
        <w:rPr>
          <w:rFonts w:cs="Arial"/>
          <w:b/>
          <w:bCs/>
          <w:szCs w:val="20"/>
        </w:rPr>
        <w:t>minulého roku</w:t>
      </w:r>
      <w:r w:rsidRPr="004B7530">
        <w:rPr>
          <w:rFonts w:cs="Arial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>
        <w:rPr>
          <w:rFonts w:cs="Arial"/>
          <w:szCs w:val="20"/>
        </w:rPr>
        <w:t xml:space="preserve">měsíční </w:t>
      </w:r>
      <w:r w:rsidRPr="004B7530">
        <w:rPr>
          <w:rFonts w:cs="Arial"/>
          <w:szCs w:val="20"/>
        </w:rPr>
        <w:t xml:space="preserve">meziroční očištěný cenový index. </w:t>
      </w:r>
    </w:p>
    <w:p w:rsidR="00A159C8" w:rsidRDefault="00A159C8" w:rsidP="00172EC2">
      <w:pPr>
        <w:rPr>
          <w:rFonts w:cs="Arial"/>
          <w:szCs w:val="20"/>
        </w:rPr>
      </w:pPr>
    </w:p>
    <w:p w:rsidR="00172EC2" w:rsidRPr="004B7530" w:rsidRDefault="00172EC2" w:rsidP="00172EC2">
      <w:pPr>
        <w:rPr>
          <w:rFonts w:cs="Arial"/>
          <w:szCs w:val="20"/>
        </w:rPr>
      </w:pPr>
      <w:r>
        <w:rPr>
          <w:rFonts w:cs="Arial"/>
          <w:szCs w:val="20"/>
        </w:rPr>
        <w:t xml:space="preserve">Od roku 2017 se analogicky počítají také čtvrtletní očištěné indexy. </w:t>
      </w:r>
      <w:r w:rsidR="00931174">
        <w:rPr>
          <w:rFonts w:cs="Arial"/>
          <w:b/>
          <w:bCs/>
          <w:szCs w:val="20"/>
        </w:rPr>
        <w:t>Rozdíly mezi očištěnými a </w:t>
      </w:r>
      <w:r w:rsidRPr="003E19BB">
        <w:rPr>
          <w:rFonts w:cs="Arial"/>
          <w:b/>
          <w:bCs/>
          <w:szCs w:val="20"/>
        </w:rPr>
        <w:t>neočištěnými cenovými indexy mohou být značné</w:t>
      </w:r>
      <w:r w:rsidRPr="004B7530">
        <w:rPr>
          <w:rFonts w:cs="Arial"/>
          <w:szCs w:val="20"/>
        </w:rPr>
        <w:t>, dobře viditelné jsou z graf</w:t>
      </w:r>
      <w:r>
        <w:rPr>
          <w:rFonts w:cs="Arial"/>
          <w:szCs w:val="20"/>
        </w:rPr>
        <w:t xml:space="preserve">ů </w:t>
      </w:r>
      <w:r w:rsidRPr="006317B8">
        <w:rPr>
          <w:rFonts w:cs="Arial"/>
          <w:szCs w:val="20"/>
        </w:rPr>
        <w:t>6 a 7</w:t>
      </w:r>
      <w:r w:rsidRPr="00237A49">
        <w:rPr>
          <w:rFonts w:cs="Arial"/>
          <w:szCs w:val="20"/>
        </w:rPr>
        <w:t xml:space="preserve">, například </w:t>
      </w:r>
      <w:r w:rsidR="00574BD4">
        <w:rPr>
          <w:rFonts w:cs="Arial"/>
          <w:szCs w:val="20"/>
        </w:rPr>
        <w:t xml:space="preserve">v prvním čtvrtletí roku 2018 anebo </w:t>
      </w:r>
      <w:r>
        <w:rPr>
          <w:rFonts w:cs="Arial"/>
          <w:szCs w:val="20"/>
        </w:rPr>
        <w:t>ve druhém</w:t>
      </w:r>
      <w:r w:rsidRPr="00237A49">
        <w:rPr>
          <w:rFonts w:cs="Arial"/>
          <w:szCs w:val="20"/>
        </w:rPr>
        <w:t xml:space="preserve"> čtvrtletí 20</w:t>
      </w:r>
      <w:r w:rsidR="00470090">
        <w:rPr>
          <w:rFonts w:cs="Arial"/>
          <w:szCs w:val="20"/>
        </w:rPr>
        <w:t>21</w:t>
      </w:r>
      <w:r w:rsidRPr="00237A49">
        <w:rPr>
          <w:rFonts w:cs="Arial"/>
          <w:szCs w:val="20"/>
        </w:rPr>
        <w:t>.</w:t>
      </w:r>
    </w:p>
    <w:p w:rsidR="00172EC2" w:rsidRPr="004B7530" w:rsidRDefault="00172EC2" w:rsidP="00172EC2">
      <w:pPr>
        <w:rPr>
          <w:rFonts w:cs="Arial"/>
          <w:szCs w:val="20"/>
        </w:rPr>
      </w:pPr>
      <w:r w:rsidRPr="004B7530">
        <w:rPr>
          <w:rFonts w:cs="Arial"/>
          <w:szCs w:val="20"/>
        </w:rPr>
        <w:t xml:space="preserve">Použitá metoda neumožňuje 100% kurzové očištění, protože </w:t>
      </w:r>
      <w:r>
        <w:rPr>
          <w:rFonts w:cs="Arial"/>
          <w:szCs w:val="20"/>
        </w:rPr>
        <w:t xml:space="preserve">ne </w:t>
      </w:r>
      <w:r w:rsidRPr="004B7530">
        <w:rPr>
          <w:rFonts w:cs="Arial"/>
          <w:szCs w:val="20"/>
        </w:rPr>
        <w:t>všechny realizace v cizích měnách jsou v cizích měnách</w:t>
      </w:r>
      <w:r>
        <w:rPr>
          <w:rFonts w:cs="Arial"/>
          <w:szCs w:val="20"/>
        </w:rPr>
        <w:t xml:space="preserve"> také</w:t>
      </w:r>
      <w:r w:rsidRPr="004B7530">
        <w:rPr>
          <w:rFonts w:cs="Arial"/>
          <w:szCs w:val="20"/>
        </w:rPr>
        <w:t xml:space="preserve"> vykazo</w:t>
      </w:r>
      <w:r>
        <w:rPr>
          <w:rFonts w:cs="Arial"/>
          <w:szCs w:val="20"/>
        </w:rPr>
        <w:t>vány; tento podíl nepřesahuje 30 %. Z </w:t>
      </w:r>
      <w:r w:rsidRPr="004B7530">
        <w:rPr>
          <w:rFonts w:cs="Arial"/>
          <w:szCs w:val="20"/>
        </w:rPr>
        <w:t xml:space="preserve">uvedeného vyplývá, že </w:t>
      </w:r>
      <w:r w:rsidRPr="003E19BB">
        <w:rPr>
          <w:rFonts w:cs="Arial"/>
          <w:b/>
          <w:bCs/>
          <w:szCs w:val="20"/>
        </w:rPr>
        <w:t>při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plném kurzovém očištění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by se rozdíly</w:t>
      </w:r>
      <w:r w:rsidRPr="004B7530">
        <w:rPr>
          <w:rFonts w:cs="Arial"/>
          <w:szCs w:val="20"/>
        </w:rPr>
        <w:t xml:space="preserve"> mezi publikovanými cenovými indexy a kurzově očištěnými cenovými indexy pravděpodobně dále </w:t>
      </w:r>
      <w:r w:rsidRPr="003E19BB">
        <w:rPr>
          <w:rFonts w:cs="Arial"/>
          <w:b/>
          <w:bCs/>
          <w:szCs w:val="20"/>
        </w:rPr>
        <w:t>zvětšovaly</w:t>
      </w:r>
      <w:r w:rsidRPr="004B7530">
        <w:rPr>
          <w:rFonts w:cs="Arial"/>
          <w:szCs w:val="20"/>
        </w:rPr>
        <w:t>.</w:t>
      </w:r>
    </w:p>
    <w:p w:rsidR="00172EC2" w:rsidRPr="00B41F41" w:rsidRDefault="00172EC2" w:rsidP="00172EC2">
      <w:pPr>
        <w:rPr>
          <w:rFonts w:cs="Arial"/>
          <w:szCs w:val="20"/>
        </w:rPr>
      </w:pPr>
    </w:p>
    <w:p w:rsidR="00172EC2" w:rsidRDefault="00172EC2" w:rsidP="00172EC2">
      <w:pPr>
        <w:rPr>
          <w:rFonts w:cs="Arial"/>
          <w:szCs w:val="20"/>
        </w:rPr>
      </w:pPr>
      <w:r w:rsidRPr="00B41F41">
        <w:rPr>
          <w:rFonts w:cs="Arial"/>
          <w:szCs w:val="20"/>
        </w:rPr>
        <w:t xml:space="preserve">Z výše popsaných kurzově očištěných indexů lze vytvořit také kurzově očištěný rozklad přírůstků indexů cen. Tabulka 1 uvádí </w:t>
      </w:r>
      <w:r w:rsidRPr="003E19BB">
        <w:rPr>
          <w:rFonts w:cs="Arial"/>
          <w:b/>
          <w:bCs/>
          <w:szCs w:val="20"/>
        </w:rPr>
        <w:t>publikovaný a kurzově očištěný rozklad přírůstků</w:t>
      </w:r>
      <w:r w:rsidRPr="00B41F41">
        <w:rPr>
          <w:rFonts w:cs="Arial"/>
          <w:b/>
          <w:bCs/>
          <w:szCs w:val="20"/>
        </w:rPr>
        <w:t xml:space="preserve"> </w:t>
      </w:r>
      <w:r w:rsidRPr="00B41F41">
        <w:rPr>
          <w:rFonts w:cs="Arial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A159C8" w:rsidRPr="00B41F41" w:rsidRDefault="00A159C8" w:rsidP="00172EC2">
      <w:pPr>
        <w:rPr>
          <w:rFonts w:cs="Arial"/>
          <w:szCs w:val="20"/>
        </w:rPr>
      </w:pPr>
    </w:p>
    <w:p w:rsidR="00172EC2" w:rsidRDefault="00172EC2" w:rsidP="00172EC2">
      <w:pPr>
        <w:rPr>
          <w:rFonts w:cs="Arial"/>
          <w:szCs w:val="20"/>
        </w:rPr>
      </w:pPr>
      <w:r w:rsidRPr="009827B3">
        <w:rPr>
          <w:rFonts w:cs="Arial"/>
          <w:szCs w:val="20"/>
        </w:rPr>
        <w:t>Obecně platí, že kurzový vliv snižuje cenové indexy zahraničního obchodu</w:t>
      </w:r>
      <w:r>
        <w:rPr>
          <w:rFonts w:cs="Arial"/>
          <w:szCs w:val="20"/>
        </w:rPr>
        <w:t xml:space="preserve"> se zbožím</w:t>
      </w:r>
      <w:r w:rsidRPr="009827B3">
        <w:rPr>
          <w:rFonts w:cs="Arial"/>
          <w:szCs w:val="20"/>
        </w:rPr>
        <w:t>, pokud koruna v úhrnu proti zahraničním měnám posiluje. Naopak kurzový vliv působí na zvyšování indexů cen, pokud koruna v úhrnu pr</w:t>
      </w:r>
      <w:r>
        <w:rPr>
          <w:rFonts w:cs="Arial"/>
          <w:szCs w:val="20"/>
        </w:rPr>
        <w:t>oti zahraničním měnám oslabuje.</w:t>
      </w:r>
    </w:p>
    <w:p w:rsidR="00172EC2" w:rsidRDefault="00172EC2" w:rsidP="00172EC2">
      <w:pPr>
        <w:rPr>
          <w:rFonts w:cs="Arial"/>
          <w:szCs w:val="20"/>
        </w:rPr>
      </w:pPr>
    </w:p>
    <w:p w:rsidR="00172EC2" w:rsidRDefault="00EB663F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7879B840">
            <wp:extent cx="5401255" cy="3355676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62" cy="3363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B69" w:rsidRDefault="00CB3B69" w:rsidP="00172EC2">
      <w:pPr>
        <w:rPr>
          <w:rFonts w:cs="Arial"/>
          <w:szCs w:val="20"/>
        </w:rPr>
      </w:pPr>
    </w:p>
    <w:p w:rsidR="00172EC2" w:rsidRDefault="00172EC2" w:rsidP="00860AE4">
      <w:pPr>
        <w:spacing w:line="240" w:lineRule="auto"/>
        <w:jc w:val="left"/>
        <w:rPr>
          <w:rFonts w:cs="Arial"/>
          <w:szCs w:val="20"/>
        </w:rPr>
      </w:pPr>
      <w:r w:rsidRPr="00DB53A7">
        <w:rPr>
          <w:rFonts w:cs="Arial"/>
          <w:szCs w:val="20"/>
        </w:rPr>
        <w:t>Z následujících grafů 6 a 7 je patrné, jak významně kurzový vliv působil na výši indexů cen vývozu a dovozu.</w:t>
      </w:r>
    </w:p>
    <w:p w:rsidR="00172EC2" w:rsidRDefault="00172EC2" w:rsidP="00172EC2">
      <w:pPr>
        <w:rPr>
          <w:rFonts w:cs="Arial"/>
          <w:szCs w:val="20"/>
        </w:rPr>
      </w:pPr>
    </w:p>
    <w:p w:rsidR="00172EC2" w:rsidRDefault="00D439F4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603A76B7">
            <wp:extent cx="5374256" cy="3340996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35" cy="335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C0F" w:rsidRDefault="00107C0F" w:rsidP="00172EC2">
      <w:pPr>
        <w:rPr>
          <w:rFonts w:cs="Arial"/>
          <w:szCs w:val="20"/>
        </w:rPr>
      </w:pPr>
    </w:p>
    <w:p w:rsidR="00172EC2" w:rsidRPr="009827B3" w:rsidRDefault="00D439F4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123E029F">
            <wp:extent cx="5365630" cy="3335634"/>
            <wp:effectExtent l="0" t="0" r="698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124" cy="334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409" w:rsidRDefault="00DB6409" w:rsidP="00172EC2">
      <w:pPr>
        <w:rPr>
          <w:rFonts w:cs="Arial"/>
        </w:rPr>
      </w:pPr>
    </w:p>
    <w:p w:rsidR="00DB6409" w:rsidRDefault="00172EC2" w:rsidP="00172EC2">
      <w:pPr>
        <w:rPr>
          <w:rFonts w:cs="Arial"/>
        </w:rPr>
      </w:pPr>
      <w:r w:rsidRPr="00DB53A7">
        <w:rPr>
          <w:rFonts w:cs="Arial"/>
        </w:rPr>
        <w:t>Z grafu 8 je patrné působení kurzového vlivu na meziroční směnné relace.</w:t>
      </w:r>
    </w:p>
    <w:p w:rsidR="00DB6409" w:rsidRDefault="00DB6409" w:rsidP="00172EC2">
      <w:pPr>
        <w:rPr>
          <w:rFonts w:cs="Arial"/>
        </w:rPr>
      </w:pPr>
    </w:p>
    <w:p w:rsidR="00172EC2" w:rsidRDefault="00D439F4" w:rsidP="00172EC2">
      <w:pPr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 wp14:anchorId="378C1F12">
            <wp:extent cx="5370115" cy="3338423"/>
            <wp:effectExtent l="0" t="0" r="254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55" cy="3351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EC2" w:rsidRDefault="00172EC2" w:rsidP="00172EC2">
      <w:pPr>
        <w:rPr>
          <w:rFonts w:cs="Arial"/>
          <w:szCs w:val="20"/>
        </w:rPr>
      </w:pPr>
    </w:p>
    <w:p w:rsidR="00B43F11" w:rsidRPr="009827B3" w:rsidRDefault="00D439F4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3FBAB691">
            <wp:extent cx="5416550" cy="3521017"/>
            <wp:effectExtent l="0" t="0" r="0" b="381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00" cy="352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EC2" w:rsidRDefault="00172EC2" w:rsidP="00172EC2">
      <w:pPr>
        <w:rPr>
          <w:rFonts w:cs="Arial"/>
          <w:szCs w:val="20"/>
        </w:rPr>
      </w:pPr>
    </w:p>
    <w:p w:rsidR="00172EC2" w:rsidRDefault="00172EC2" w:rsidP="00172EC2">
      <w:pPr>
        <w:rPr>
          <w:rFonts w:cs="Arial"/>
        </w:rPr>
      </w:pPr>
      <w:r w:rsidRPr="00C542C0">
        <w:rPr>
          <w:rFonts w:cs="Arial"/>
        </w:rPr>
        <w:t xml:space="preserve">Graf 9 ukazuje vývoj hodnoty směnných relací, pokud se ze sledování vyloučí skupina minerálních paliv. V tomto grafu můžeme pozorovat vliv minerálních paliv, který </w:t>
      </w:r>
      <w:r>
        <w:rPr>
          <w:rFonts w:cs="Arial"/>
        </w:rPr>
        <w:t>působí na </w:t>
      </w:r>
      <w:r w:rsidRPr="00C542C0">
        <w:rPr>
          <w:rFonts w:cs="Arial"/>
        </w:rPr>
        <w:t>celkovou hodnotu meziročních směnných relací</w:t>
      </w:r>
      <w:r>
        <w:rPr>
          <w:rFonts w:cs="Arial"/>
        </w:rPr>
        <w:t>. Od </w:t>
      </w:r>
      <w:r w:rsidR="002B5F06">
        <w:rPr>
          <w:rFonts w:cs="Arial"/>
        </w:rPr>
        <w:t xml:space="preserve">1. čtvrtletí 2021 minerální paliva hodnotu směnných relací snižovala, ale </w:t>
      </w:r>
      <w:r w:rsidR="00D92AFC">
        <w:rPr>
          <w:rFonts w:cs="Arial"/>
        </w:rPr>
        <w:t>v 1</w:t>
      </w:r>
      <w:r w:rsidR="00190A19">
        <w:rPr>
          <w:rFonts w:cs="Arial"/>
        </w:rPr>
        <w:t xml:space="preserve">. čtvrtletí 2023 </w:t>
      </w:r>
      <w:r w:rsidR="002B5F06">
        <w:rPr>
          <w:rFonts w:cs="Arial"/>
        </w:rPr>
        <w:t xml:space="preserve">došlo k obratu a </w:t>
      </w:r>
      <w:r>
        <w:rPr>
          <w:rFonts w:cs="Arial"/>
        </w:rPr>
        <w:t>minerální paliva hodnotu</w:t>
      </w:r>
      <w:r w:rsidRPr="00C542C0">
        <w:rPr>
          <w:rFonts w:cs="Arial"/>
        </w:rPr>
        <w:t xml:space="preserve"> </w:t>
      </w:r>
      <w:r>
        <w:rPr>
          <w:rFonts w:cs="Arial"/>
        </w:rPr>
        <w:t>směnných relací</w:t>
      </w:r>
      <w:r w:rsidRPr="00C542C0">
        <w:rPr>
          <w:rFonts w:cs="Arial"/>
        </w:rPr>
        <w:t xml:space="preserve"> </w:t>
      </w:r>
      <w:r w:rsidR="002B5F06">
        <w:rPr>
          <w:rFonts w:cs="Arial"/>
        </w:rPr>
        <w:t xml:space="preserve">začala </w:t>
      </w:r>
      <w:r w:rsidRPr="00C542C0">
        <w:rPr>
          <w:rFonts w:cs="Arial"/>
        </w:rPr>
        <w:t>zvy</w:t>
      </w:r>
      <w:r w:rsidR="002B5F06">
        <w:rPr>
          <w:rFonts w:cs="Arial"/>
        </w:rPr>
        <w:t>šovat</w:t>
      </w:r>
      <w:r>
        <w:rPr>
          <w:rFonts w:cs="Arial"/>
        </w:rPr>
        <w:t xml:space="preserve">. </w:t>
      </w:r>
      <w:r w:rsidRPr="00726159">
        <w:rPr>
          <w:rFonts w:cs="Arial"/>
        </w:rPr>
        <w:t xml:space="preserve">Souvisí to pochopitelně s vývojem cen na světových trzích, zejména ropy. Dovozní ceny, které mají proti cenám vývozním vyšší podíl surovin, reagují </w:t>
      </w:r>
      <w:r>
        <w:rPr>
          <w:rFonts w:cs="Arial"/>
        </w:rPr>
        <w:t>citlivěji na cenové turbulence, p</w:t>
      </w:r>
      <w:r w:rsidRPr="00726159">
        <w:rPr>
          <w:rFonts w:cs="Arial"/>
        </w:rPr>
        <w:t xml:space="preserve">roto </w:t>
      </w:r>
      <w:r>
        <w:rPr>
          <w:rFonts w:cs="Arial"/>
        </w:rPr>
        <w:t xml:space="preserve">se </w:t>
      </w:r>
      <w:r w:rsidRPr="00C542C0">
        <w:rPr>
          <w:rFonts w:cs="Arial"/>
        </w:rPr>
        <w:t xml:space="preserve">zpravidla směnné relace </w:t>
      </w:r>
      <w:r>
        <w:rPr>
          <w:rFonts w:cs="Arial"/>
        </w:rPr>
        <w:t>zvyšují p</w:t>
      </w:r>
      <w:r w:rsidRPr="00C542C0">
        <w:rPr>
          <w:rFonts w:cs="Arial"/>
        </w:rPr>
        <w:t>ři poklesu cen surovin, a naopak</w:t>
      </w:r>
      <w:r w:rsidRPr="00726159">
        <w:rPr>
          <w:rFonts w:cs="Arial"/>
        </w:rPr>
        <w:t xml:space="preserve"> </w:t>
      </w:r>
      <w:r>
        <w:rPr>
          <w:rFonts w:cs="Arial"/>
        </w:rPr>
        <w:t xml:space="preserve">při růstu cen surovin </w:t>
      </w:r>
      <w:r w:rsidRPr="00726159">
        <w:rPr>
          <w:rFonts w:cs="Arial"/>
        </w:rPr>
        <w:t>směnné</w:t>
      </w:r>
      <w:r w:rsidRPr="00C542C0">
        <w:rPr>
          <w:rFonts w:cs="Arial"/>
        </w:rPr>
        <w:t xml:space="preserve"> relace </w:t>
      </w:r>
      <w:r>
        <w:rPr>
          <w:rFonts w:cs="Arial"/>
        </w:rPr>
        <w:t>klesa</w:t>
      </w:r>
      <w:r w:rsidRPr="00C542C0">
        <w:rPr>
          <w:rFonts w:cs="Arial"/>
        </w:rPr>
        <w:t>jí.</w:t>
      </w:r>
    </w:p>
    <w:p w:rsidR="00172EC2" w:rsidRDefault="00172EC2" w:rsidP="00172EC2">
      <w:pPr>
        <w:rPr>
          <w:rFonts w:cs="Arial"/>
        </w:rPr>
      </w:pPr>
    </w:p>
    <w:p w:rsidR="00172EC2" w:rsidRDefault="00172EC2" w:rsidP="00172EC2">
      <w:pPr>
        <w:pStyle w:val="Nadpis1"/>
      </w:pPr>
      <w:r>
        <w:t>Závěrečné shrnutí</w:t>
      </w:r>
    </w:p>
    <w:p w:rsidR="00172EC2" w:rsidRDefault="00172EC2" w:rsidP="00172EC2">
      <w:pPr>
        <w:rPr>
          <w:rFonts w:cs="Arial"/>
        </w:rPr>
      </w:pPr>
      <w:r w:rsidRPr="00767DA3">
        <w:rPr>
          <w:rFonts w:cs="Arial"/>
        </w:rPr>
        <w:t xml:space="preserve">Kurzový vliv meziročně </w:t>
      </w:r>
      <w:r w:rsidR="00190A19">
        <w:rPr>
          <w:rFonts w:cs="Arial"/>
        </w:rPr>
        <w:t xml:space="preserve">ve 2. čtvrtletí 2023 </w:t>
      </w:r>
      <w:r w:rsidRPr="00767DA3">
        <w:rPr>
          <w:rFonts w:cs="Arial"/>
        </w:rPr>
        <w:t xml:space="preserve">snížil index vývozních i dovozních cen. </w:t>
      </w:r>
      <w:r w:rsidR="001752FC">
        <w:rPr>
          <w:rFonts w:cs="Arial"/>
        </w:rPr>
        <w:t>Do</w:t>
      </w:r>
      <w:r w:rsidR="001752FC" w:rsidRPr="00767DA3">
        <w:rPr>
          <w:rFonts w:cs="Arial"/>
        </w:rPr>
        <w:t>vozní ceny</w:t>
      </w:r>
      <w:r w:rsidR="001752FC">
        <w:rPr>
          <w:rFonts w:cs="Arial"/>
        </w:rPr>
        <w:t xml:space="preserve"> </w:t>
      </w:r>
      <w:r w:rsidR="00596B81">
        <w:rPr>
          <w:rFonts w:cs="Arial"/>
        </w:rPr>
        <w:t>klesly</w:t>
      </w:r>
      <w:r w:rsidR="001752FC">
        <w:rPr>
          <w:rFonts w:cs="Arial"/>
        </w:rPr>
        <w:t xml:space="preserve"> více</w:t>
      </w:r>
      <w:r w:rsidR="00DB7A18">
        <w:rPr>
          <w:rFonts w:cs="Arial"/>
        </w:rPr>
        <w:t xml:space="preserve"> než</w:t>
      </w:r>
      <w:r w:rsidR="001752FC" w:rsidRPr="001752FC">
        <w:rPr>
          <w:rFonts w:cs="Arial"/>
        </w:rPr>
        <w:t xml:space="preserve"> </w:t>
      </w:r>
      <w:r w:rsidR="001752FC">
        <w:rPr>
          <w:rFonts w:cs="Arial"/>
        </w:rPr>
        <w:t>vývozní ceny</w:t>
      </w:r>
      <w:r w:rsidRPr="00767DA3">
        <w:rPr>
          <w:rFonts w:cs="Arial"/>
        </w:rPr>
        <w:t>, proto směnné rel</w:t>
      </w:r>
      <w:r w:rsidR="00E403EB">
        <w:rPr>
          <w:rFonts w:cs="Arial"/>
        </w:rPr>
        <w:t xml:space="preserve">ace dosáhly </w:t>
      </w:r>
      <w:r w:rsidR="00DB7A18">
        <w:rPr>
          <w:rFonts w:cs="Arial"/>
        </w:rPr>
        <w:t>pozitivních</w:t>
      </w:r>
      <w:r w:rsidR="00E403EB">
        <w:rPr>
          <w:rFonts w:cs="Arial"/>
        </w:rPr>
        <w:t xml:space="preserve"> hodnot. </w:t>
      </w:r>
      <w:r w:rsidRPr="00767DA3">
        <w:rPr>
          <w:rFonts w:cs="Arial"/>
        </w:rPr>
        <w:t xml:space="preserve">Směnné relace s vyloučením kurzového vlivu </w:t>
      </w:r>
      <w:r w:rsidR="001752FC">
        <w:rPr>
          <w:rFonts w:cs="Arial"/>
        </w:rPr>
        <w:t>dosáhly stejné hodnoty jako</w:t>
      </w:r>
      <w:r w:rsidRPr="00767DA3">
        <w:rPr>
          <w:rFonts w:cs="Arial"/>
        </w:rPr>
        <w:t xml:space="preserve"> směnné relace publikované. Hodnoty bez kurzového vlivu odpovídají kurzově očištěným indexům </w:t>
      </w:r>
      <w:r w:rsidRPr="00767DA3">
        <w:t>– viz</w:t>
      </w:r>
      <w:r w:rsidRPr="00767DA3">
        <w:rPr>
          <w:rFonts w:cs="Arial"/>
        </w:rPr>
        <w:t> grafy 6, 7 a 8.</w:t>
      </w:r>
    </w:p>
    <w:p w:rsidR="00BE455E" w:rsidRDefault="00BE455E" w:rsidP="00172EC2">
      <w:pPr>
        <w:rPr>
          <w:rFonts w:cs="Arial"/>
        </w:rPr>
      </w:pPr>
    </w:p>
    <w:p w:rsidR="00BE455E" w:rsidRDefault="00BE455E" w:rsidP="00172EC2">
      <w:pPr>
        <w:rPr>
          <w:rFonts w:cs="Arial"/>
        </w:rPr>
      </w:pPr>
    </w:p>
    <w:p w:rsidR="00A56C80" w:rsidRPr="00A56C80" w:rsidRDefault="00A56C80" w:rsidP="00A56C80"/>
    <w:p w:rsidR="008B69A0" w:rsidRDefault="008B69A0" w:rsidP="008B69A0">
      <w:pPr>
        <w:rPr>
          <w:rFonts w:cs="Arial"/>
        </w:rPr>
      </w:pPr>
    </w:p>
    <w:p w:rsidR="008B69A0" w:rsidRDefault="008B69A0" w:rsidP="008B69A0">
      <w:pPr>
        <w:rPr>
          <w:rFonts w:cs="Arial"/>
        </w:rPr>
      </w:pPr>
    </w:p>
    <w:p w:rsidR="008B69A0" w:rsidRDefault="008B69A0" w:rsidP="008B69A0">
      <w:pPr>
        <w:rPr>
          <w:rFonts w:cs="Arial"/>
        </w:rPr>
      </w:pPr>
    </w:p>
    <w:p w:rsidR="008B69A0" w:rsidRDefault="008B69A0" w:rsidP="008B69A0">
      <w:pPr>
        <w:rPr>
          <w:rFonts w:cs="Arial"/>
        </w:rPr>
      </w:pPr>
    </w:p>
    <w:p w:rsidR="00EA1219" w:rsidRDefault="007447E4" w:rsidP="00106DBE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D92AFC" w:rsidRPr="00D92AFC">
        <w:rPr>
          <w:noProof/>
          <w:lang w:eastAsia="cs-CZ"/>
        </w:rPr>
        <w:lastRenderedPageBreak/>
        <w:drawing>
          <wp:inline distT="0" distB="0" distL="0" distR="0">
            <wp:extent cx="5503652" cy="6832857"/>
            <wp:effectExtent l="0" t="0" r="1905" b="635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63" cy="68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3C" w:rsidRDefault="0012353C" w:rsidP="00106DBE">
      <w:pPr>
        <w:spacing w:line="240" w:lineRule="auto"/>
        <w:jc w:val="left"/>
        <w:rPr>
          <w:rFonts w:cs="Arial"/>
        </w:rPr>
      </w:pPr>
    </w:p>
    <w:p w:rsidR="0012353C" w:rsidRDefault="0012353C" w:rsidP="0012353C">
      <w:pPr>
        <w:spacing w:line="240" w:lineRule="auto"/>
        <w:jc w:val="left"/>
        <w:rPr>
          <w:rFonts w:cs="Arial"/>
        </w:rPr>
      </w:pPr>
    </w:p>
    <w:p w:rsidR="0012353C" w:rsidRDefault="0012353C" w:rsidP="0012353C">
      <w:pPr>
        <w:spacing w:line="240" w:lineRule="auto"/>
        <w:jc w:val="left"/>
        <w:rPr>
          <w:rFonts w:cs="Arial"/>
        </w:rPr>
      </w:pPr>
    </w:p>
    <w:p w:rsidR="0012353C" w:rsidRDefault="0012353C" w:rsidP="0012353C">
      <w:pPr>
        <w:spacing w:line="240" w:lineRule="auto"/>
        <w:jc w:val="left"/>
        <w:rPr>
          <w:rFonts w:cs="Arial"/>
        </w:rPr>
      </w:pPr>
    </w:p>
    <w:p w:rsidR="0012353C" w:rsidRDefault="0012353C" w:rsidP="0012353C">
      <w:pPr>
        <w:spacing w:line="240" w:lineRule="auto"/>
        <w:jc w:val="left"/>
        <w:rPr>
          <w:rFonts w:cs="Arial"/>
        </w:rPr>
      </w:pPr>
      <w:bookmarkStart w:id="0" w:name="_GoBack"/>
      <w:bookmarkEnd w:id="0"/>
      <w:r>
        <w:rPr>
          <w:rFonts w:cs="Arial"/>
        </w:rPr>
        <w:lastRenderedPageBreak/>
        <w:t xml:space="preserve">Závěrečná tabulka uvádí publikované </w:t>
      </w:r>
      <w:r>
        <w:rPr>
          <w:rFonts w:cs="Arial"/>
          <w:b/>
          <w:bCs/>
        </w:rPr>
        <w:t>neočištěné</w:t>
      </w:r>
      <w:r>
        <w:rPr>
          <w:rFonts w:cs="Arial"/>
        </w:rPr>
        <w:t xml:space="preserve"> indexy cen vývozu a dovozu zboží.</w:t>
      </w:r>
    </w:p>
    <w:p w:rsidR="008B69A0" w:rsidRDefault="00D92AFC" w:rsidP="00E42E00">
      <w:r w:rsidRPr="00D92AFC">
        <w:rPr>
          <w:noProof/>
          <w:lang w:eastAsia="cs-CZ"/>
        </w:rPr>
        <w:drawing>
          <wp:inline distT="0" distB="0" distL="0" distR="0">
            <wp:extent cx="5214887" cy="7030528"/>
            <wp:effectExtent l="0" t="0" r="508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648" cy="703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CB" w:rsidRPr="00633F79" w:rsidRDefault="007B1333" w:rsidP="000725CB">
      <w:pPr>
        <w:rPr>
          <w:sz w:val="18"/>
          <w:szCs w:val="18"/>
        </w:rPr>
      </w:pPr>
      <w:r w:rsidRPr="00633F79">
        <w:rPr>
          <w:b/>
          <w:sz w:val="18"/>
          <w:szCs w:val="18"/>
        </w:rPr>
        <w:t>Zpracoval</w:t>
      </w:r>
      <w:r w:rsidR="000725CB" w:rsidRPr="00633F79">
        <w:rPr>
          <w:b/>
          <w:sz w:val="18"/>
          <w:szCs w:val="18"/>
        </w:rPr>
        <w:t xml:space="preserve">a: </w:t>
      </w:r>
      <w:r w:rsidR="000725CB" w:rsidRPr="00633F79">
        <w:rPr>
          <w:sz w:val="18"/>
          <w:szCs w:val="18"/>
        </w:rPr>
        <w:t>Ing. Hana Lapáčková, odbor statistiky cen</w:t>
      </w:r>
    </w:p>
    <w:p w:rsidR="000725CB" w:rsidRPr="00633F79" w:rsidRDefault="000725CB" w:rsidP="000725CB">
      <w:pPr>
        <w:rPr>
          <w:sz w:val="18"/>
          <w:szCs w:val="18"/>
        </w:rPr>
      </w:pPr>
      <w:r w:rsidRPr="00633F79">
        <w:rPr>
          <w:sz w:val="18"/>
          <w:szCs w:val="18"/>
        </w:rPr>
        <w:t>tel. 274 052 709, e-mail: hana.lapackova@czso.cz</w:t>
      </w:r>
    </w:p>
    <w:sectPr w:rsidR="000725CB" w:rsidRPr="00633F79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46" w:rsidRDefault="00925346" w:rsidP="00BA6370">
      <w:r>
        <w:separator/>
      </w:r>
    </w:p>
  </w:endnote>
  <w:endnote w:type="continuationSeparator" w:id="0">
    <w:p w:rsidR="00925346" w:rsidRDefault="0092534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BD400F" w:rsidRDefault="000725CB" w:rsidP="00BD40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400F" w:rsidRPr="001404AB" w:rsidRDefault="00BD400F" w:rsidP="00BD400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BD400F" w:rsidRPr="00A81EB3" w:rsidRDefault="00BD400F" w:rsidP="00BD400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="008425C7" w:rsidRPr="00532A7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8425C7" w:rsidRPr="00532A7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>: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u w:val="none"/>
                              </w:rPr>
                              <w:t xml:space="preserve"> 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F4168">
                            <w:rPr>
                              <w:rFonts w:cs="Arial"/>
                              <w:noProof/>
                              <w:szCs w:val="15"/>
                            </w:rPr>
                            <w:t>9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BD400F" w:rsidRPr="001404AB" w:rsidRDefault="00BD400F" w:rsidP="00BD400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BD400F" w:rsidRPr="00A81EB3" w:rsidRDefault="00BD400F" w:rsidP="00BD400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="008425C7" w:rsidRPr="00532A7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8425C7" w:rsidRPr="00532A7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>: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u w:val="none"/>
                        </w:rPr>
                        <w:t xml:space="preserve"> 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F4168">
                      <w:rPr>
                        <w:rFonts w:cs="Arial"/>
                        <w:noProof/>
                        <w:szCs w:val="15"/>
                      </w:rPr>
                      <w:t>9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10E929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46" w:rsidRDefault="00925346" w:rsidP="00BA6370">
      <w:r>
        <w:separator/>
      </w:r>
    </w:p>
  </w:footnote>
  <w:footnote w:type="continuationSeparator" w:id="0">
    <w:p w:rsidR="00925346" w:rsidRDefault="00925346" w:rsidP="00BA6370">
      <w:r>
        <w:continuationSeparator/>
      </w:r>
    </w:p>
  </w:footnote>
  <w:footnote w:id="1">
    <w:p w:rsidR="00591CC8" w:rsidRPr="008D127C" w:rsidRDefault="00591CC8" w:rsidP="00591CC8">
      <w:pPr>
        <w:pStyle w:val="Textpoznpodarou"/>
        <w:rPr>
          <w:sz w:val="18"/>
          <w:szCs w:val="18"/>
        </w:rPr>
      </w:pPr>
      <w:r w:rsidRPr="008D127C">
        <w:rPr>
          <w:rStyle w:val="Znakapoznpodarou"/>
          <w:sz w:val="18"/>
          <w:szCs w:val="18"/>
        </w:rPr>
        <w:footnoteRef/>
      </w:r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sz w:val="18"/>
          <w:szCs w:val="18"/>
        </w:rPr>
        <w:t>Názvem</w:t>
      </w:r>
      <w:proofErr w:type="spellEnd"/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ostatní</w:t>
      </w:r>
      <w:proofErr w:type="spellEnd"/>
      <w:r w:rsidRPr="008D127C">
        <w:rPr>
          <w:i/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suroviny</w:t>
      </w:r>
      <w:proofErr w:type="spellEnd"/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sz w:val="18"/>
          <w:szCs w:val="18"/>
        </w:rPr>
        <w:t>jsou</w:t>
      </w:r>
      <w:proofErr w:type="spellEnd"/>
      <w:r w:rsidRPr="008D127C">
        <w:rPr>
          <w:sz w:val="18"/>
          <w:szCs w:val="18"/>
        </w:rPr>
        <w:t xml:space="preserve"> v </w:t>
      </w:r>
      <w:proofErr w:type="spellStart"/>
      <w:r w:rsidRPr="008D127C">
        <w:rPr>
          <w:sz w:val="18"/>
          <w:szCs w:val="18"/>
        </w:rPr>
        <w:t>textu</w:t>
      </w:r>
      <w:proofErr w:type="spellEnd"/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sz w:val="18"/>
          <w:szCs w:val="18"/>
        </w:rPr>
        <w:t>označovány</w:t>
      </w:r>
      <w:proofErr w:type="spellEnd"/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suroviny</w:t>
      </w:r>
      <w:proofErr w:type="spellEnd"/>
      <w:r w:rsidRPr="008D127C">
        <w:rPr>
          <w:i/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nepoživatelné</w:t>
      </w:r>
      <w:proofErr w:type="spellEnd"/>
      <w:r w:rsidRPr="008D127C">
        <w:rPr>
          <w:i/>
          <w:sz w:val="18"/>
          <w:szCs w:val="18"/>
        </w:rPr>
        <w:t xml:space="preserve">, s </w:t>
      </w:r>
      <w:proofErr w:type="spellStart"/>
      <w:r w:rsidRPr="008D127C">
        <w:rPr>
          <w:i/>
          <w:sz w:val="18"/>
          <w:szCs w:val="18"/>
        </w:rPr>
        <w:t>výjimkou</w:t>
      </w:r>
      <w:proofErr w:type="spellEnd"/>
      <w:r w:rsidRPr="008D127C">
        <w:rPr>
          <w:i/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paliv</w:t>
      </w:r>
      <w:proofErr w:type="spellEnd"/>
      <w:r w:rsidRPr="008D127C">
        <w:rPr>
          <w:sz w:val="18"/>
          <w:szCs w:val="18"/>
        </w:rPr>
        <w:t xml:space="preserve"> (SITC 2).</w:t>
      </w:r>
    </w:p>
  </w:footnote>
  <w:footnote w:id="2">
    <w:p w:rsidR="00C12538" w:rsidRPr="008D127C" w:rsidRDefault="00C12538" w:rsidP="00C12538">
      <w:pPr>
        <w:pStyle w:val="Textpoznpodarou"/>
        <w:rPr>
          <w:sz w:val="18"/>
          <w:szCs w:val="18"/>
        </w:rPr>
      </w:pPr>
      <w:r w:rsidRPr="008D127C">
        <w:rPr>
          <w:rStyle w:val="Znakapoznpodarou"/>
          <w:sz w:val="18"/>
          <w:szCs w:val="18"/>
        </w:rPr>
        <w:footnoteRef/>
      </w:r>
      <w:r w:rsidRPr="008D127C">
        <w:rPr>
          <w:sz w:val="18"/>
          <w:szCs w:val="18"/>
        </w:rPr>
        <w:t xml:space="preserve"> </w:t>
      </w:r>
      <w:proofErr w:type="spellStart"/>
      <w:r w:rsidRPr="00726159">
        <w:rPr>
          <w:sz w:val="18"/>
          <w:szCs w:val="18"/>
        </w:rPr>
        <w:t>Názvem</w:t>
      </w:r>
      <w:proofErr w:type="spellEnd"/>
      <w:r w:rsidRPr="00726159">
        <w:rPr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polotovary</w:t>
      </w:r>
      <w:proofErr w:type="spellEnd"/>
      <w:r w:rsidRPr="00726159">
        <w:rPr>
          <w:sz w:val="18"/>
          <w:szCs w:val="18"/>
        </w:rPr>
        <w:t xml:space="preserve"> </w:t>
      </w:r>
      <w:proofErr w:type="spellStart"/>
      <w:r w:rsidRPr="00726159">
        <w:rPr>
          <w:sz w:val="18"/>
          <w:szCs w:val="18"/>
        </w:rPr>
        <w:t>jsou</w:t>
      </w:r>
      <w:proofErr w:type="spellEnd"/>
      <w:r w:rsidRPr="00726159">
        <w:rPr>
          <w:sz w:val="18"/>
          <w:szCs w:val="18"/>
        </w:rPr>
        <w:t xml:space="preserve"> v </w:t>
      </w:r>
      <w:proofErr w:type="spellStart"/>
      <w:r w:rsidRPr="00726159">
        <w:rPr>
          <w:sz w:val="18"/>
          <w:szCs w:val="18"/>
        </w:rPr>
        <w:t>textu</w:t>
      </w:r>
      <w:proofErr w:type="spellEnd"/>
      <w:r w:rsidRPr="00726159">
        <w:rPr>
          <w:sz w:val="18"/>
          <w:szCs w:val="18"/>
        </w:rPr>
        <w:t xml:space="preserve"> </w:t>
      </w:r>
      <w:proofErr w:type="spellStart"/>
      <w:r w:rsidRPr="00726159">
        <w:rPr>
          <w:sz w:val="18"/>
          <w:szCs w:val="18"/>
        </w:rPr>
        <w:t>označovány</w:t>
      </w:r>
      <w:proofErr w:type="spellEnd"/>
      <w:r w:rsidRPr="00726159">
        <w:rPr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tržní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výrobky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tříděné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hlavně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podle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materiálu</w:t>
      </w:r>
      <w:proofErr w:type="spellEnd"/>
      <w:r w:rsidRPr="00726159">
        <w:rPr>
          <w:sz w:val="18"/>
          <w:szCs w:val="18"/>
        </w:rPr>
        <w:t xml:space="preserve"> (SITC 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725C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59EC6" id="Group 6" o:spid="_x0000_s1026" style="position:absolute;margin-left:28.35pt;margin-top:42.55pt;width:498.35pt;height:82.35pt;z-index:25165670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CB"/>
    <w:rsid w:val="0002587B"/>
    <w:rsid w:val="00043BF4"/>
    <w:rsid w:val="00050862"/>
    <w:rsid w:val="000725CB"/>
    <w:rsid w:val="000843A5"/>
    <w:rsid w:val="000878A9"/>
    <w:rsid w:val="00096FC5"/>
    <w:rsid w:val="000A1FFA"/>
    <w:rsid w:val="000A48CC"/>
    <w:rsid w:val="000B6F63"/>
    <w:rsid w:val="000D425E"/>
    <w:rsid w:val="000D5271"/>
    <w:rsid w:val="000E6C24"/>
    <w:rsid w:val="000F5B28"/>
    <w:rsid w:val="000F6E91"/>
    <w:rsid w:val="00106DBE"/>
    <w:rsid w:val="00106E61"/>
    <w:rsid w:val="00107C0F"/>
    <w:rsid w:val="00115D18"/>
    <w:rsid w:val="001167F7"/>
    <w:rsid w:val="0012353C"/>
    <w:rsid w:val="00127216"/>
    <w:rsid w:val="00130867"/>
    <w:rsid w:val="00134D3E"/>
    <w:rsid w:val="00136E64"/>
    <w:rsid w:val="001404AB"/>
    <w:rsid w:val="00150327"/>
    <w:rsid w:val="00156AB1"/>
    <w:rsid w:val="00165461"/>
    <w:rsid w:val="001658A9"/>
    <w:rsid w:val="00167099"/>
    <w:rsid w:val="0017231D"/>
    <w:rsid w:val="00172EC2"/>
    <w:rsid w:val="001752FC"/>
    <w:rsid w:val="00175ABA"/>
    <w:rsid w:val="00176E70"/>
    <w:rsid w:val="001810DC"/>
    <w:rsid w:val="00190A19"/>
    <w:rsid w:val="001974FF"/>
    <w:rsid w:val="001A17A1"/>
    <w:rsid w:val="001A3363"/>
    <w:rsid w:val="001A3F18"/>
    <w:rsid w:val="001A3F1B"/>
    <w:rsid w:val="001A59BF"/>
    <w:rsid w:val="001B607F"/>
    <w:rsid w:val="001B7048"/>
    <w:rsid w:val="001D2496"/>
    <w:rsid w:val="001D369A"/>
    <w:rsid w:val="001D5D27"/>
    <w:rsid w:val="001E6EAB"/>
    <w:rsid w:val="001F50CB"/>
    <w:rsid w:val="001F6C45"/>
    <w:rsid w:val="002070FB"/>
    <w:rsid w:val="00213729"/>
    <w:rsid w:val="00226135"/>
    <w:rsid w:val="0022783D"/>
    <w:rsid w:val="00236E6A"/>
    <w:rsid w:val="00237C71"/>
    <w:rsid w:val="002406FA"/>
    <w:rsid w:val="0024084B"/>
    <w:rsid w:val="00245D19"/>
    <w:rsid w:val="00251F18"/>
    <w:rsid w:val="002522EC"/>
    <w:rsid w:val="00253DDC"/>
    <w:rsid w:val="00256E3E"/>
    <w:rsid w:val="002614BE"/>
    <w:rsid w:val="0026243B"/>
    <w:rsid w:val="002704F8"/>
    <w:rsid w:val="00274046"/>
    <w:rsid w:val="0027586C"/>
    <w:rsid w:val="00282936"/>
    <w:rsid w:val="00283AC0"/>
    <w:rsid w:val="002857ED"/>
    <w:rsid w:val="00292861"/>
    <w:rsid w:val="002A40D9"/>
    <w:rsid w:val="002A4218"/>
    <w:rsid w:val="002A4473"/>
    <w:rsid w:val="002B2E47"/>
    <w:rsid w:val="002B5F06"/>
    <w:rsid w:val="002C573C"/>
    <w:rsid w:val="002D23B5"/>
    <w:rsid w:val="002D3C0A"/>
    <w:rsid w:val="002D6A6C"/>
    <w:rsid w:val="002E24D9"/>
    <w:rsid w:val="002F067E"/>
    <w:rsid w:val="00300880"/>
    <w:rsid w:val="00305F51"/>
    <w:rsid w:val="003301A3"/>
    <w:rsid w:val="00341ACE"/>
    <w:rsid w:val="00344E00"/>
    <w:rsid w:val="00346EF0"/>
    <w:rsid w:val="00352C12"/>
    <w:rsid w:val="00357AEE"/>
    <w:rsid w:val="0036777B"/>
    <w:rsid w:val="00375D69"/>
    <w:rsid w:val="0038282A"/>
    <w:rsid w:val="00384867"/>
    <w:rsid w:val="00397580"/>
    <w:rsid w:val="003A01EA"/>
    <w:rsid w:val="003A144F"/>
    <w:rsid w:val="003A1794"/>
    <w:rsid w:val="003A45C8"/>
    <w:rsid w:val="003A6748"/>
    <w:rsid w:val="003A7D83"/>
    <w:rsid w:val="003B3C24"/>
    <w:rsid w:val="003C2DCF"/>
    <w:rsid w:val="003C77F1"/>
    <w:rsid w:val="003C7FE7"/>
    <w:rsid w:val="003D0499"/>
    <w:rsid w:val="003D5E64"/>
    <w:rsid w:val="003E1B42"/>
    <w:rsid w:val="003F49DA"/>
    <w:rsid w:val="003F526A"/>
    <w:rsid w:val="00405244"/>
    <w:rsid w:val="0041238E"/>
    <w:rsid w:val="0041341E"/>
    <w:rsid w:val="004145A9"/>
    <w:rsid w:val="004436EE"/>
    <w:rsid w:val="00443BCD"/>
    <w:rsid w:val="004522ED"/>
    <w:rsid w:val="0045497C"/>
    <w:rsid w:val="0045547F"/>
    <w:rsid w:val="004554C3"/>
    <w:rsid w:val="00456D03"/>
    <w:rsid w:val="00461AA0"/>
    <w:rsid w:val="00466A7E"/>
    <w:rsid w:val="00470090"/>
    <w:rsid w:val="0048008A"/>
    <w:rsid w:val="004920AD"/>
    <w:rsid w:val="0049361E"/>
    <w:rsid w:val="004A5A66"/>
    <w:rsid w:val="004B1EAE"/>
    <w:rsid w:val="004C4D46"/>
    <w:rsid w:val="004C4DE5"/>
    <w:rsid w:val="004D05B3"/>
    <w:rsid w:val="004E479E"/>
    <w:rsid w:val="004E5537"/>
    <w:rsid w:val="004F08C2"/>
    <w:rsid w:val="004F2F8D"/>
    <w:rsid w:val="004F78E6"/>
    <w:rsid w:val="00512D99"/>
    <w:rsid w:val="00531A2B"/>
    <w:rsid w:val="00531DBB"/>
    <w:rsid w:val="005320B3"/>
    <w:rsid w:val="00532A77"/>
    <w:rsid w:val="00544B6D"/>
    <w:rsid w:val="00553DAA"/>
    <w:rsid w:val="005646B3"/>
    <w:rsid w:val="00566438"/>
    <w:rsid w:val="00574BD4"/>
    <w:rsid w:val="00576430"/>
    <w:rsid w:val="0058638D"/>
    <w:rsid w:val="00591CC8"/>
    <w:rsid w:val="00596B81"/>
    <w:rsid w:val="005B45BF"/>
    <w:rsid w:val="005B6006"/>
    <w:rsid w:val="005C1301"/>
    <w:rsid w:val="005E5229"/>
    <w:rsid w:val="005F51E6"/>
    <w:rsid w:val="005F699D"/>
    <w:rsid w:val="005F720A"/>
    <w:rsid w:val="005F79FB"/>
    <w:rsid w:val="006020DB"/>
    <w:rsid w:val="00604406"/>
    <w:rsid w:val="00605F4A"/>
    <w:rsid w:val="00607822"/>
    <w:rsid w:val="006103AA"/>
    <w:rsid w:val="00613BBF"/>
    <w:rsid w:val="00622B80"/>
    <w:rsid w:val="00633F79"/>
    <w:rsid w:val="00634280"/>
    <w:rsid w:val="0063687B"/>
    <w:rsid w:val="0064139A"/>
    <w:rsid w:val="00641E91"/>
    <w:rsid w:val="00666883"/>
    <w:rsid w:val="00677348"/>
    <w:rsid w:val="006A1FA8"/>
    <w:rsid w:val="006B1642"/>
    <w:rsid w:val="006B3390"/>
    <w:rsid w:val="006B4277"/>
    <w:rsid w:val="006C0872"/>
    <w:rsid w:val="006C09DD"/>
    <w:rsid w:val="006C5BDB"/>
    <w:rsid w:val="006E024F"/>
    <w:rsid w:val="006E203A"/>
    <w:rsid w:val="006E4E81"/>
    <w:rsid w:val="0070060F"/>
    <w:rsid w:val="00707F7D"/>
    <w:rsid w:val="00712CEE"/>
    <w:rsid w:val="007146C4"/>
    <w:rsid w:val="00717EC5"/>
    <w:rsid w:val="00731838"/>
    <w:rsid w:val="00737B80"/>
    <w:rsid w:val="00742371"/>
    <w:rsid w:val="007447E4"/>
    <w:rsid w:val="00745617"/>
    <w:rsid w:val="007519AB"/>
    <w:rsid w:val="00767DA3"/>
    <w:rsid w:val="00772918"/>
    <w:rsid w:val="00775307"/>
    <w:rsid w:val="00787849"/>
    <w:rsid w:val="00795558"/>
    <w:rsid w:val="00797EE1"/>
    <w:rsid w:val="007A57F2"/>
    <w:rsid w:val="007A6D0F"/>
    <w:rsid w:val="007B1333"/>
    <w:rsid w:val="007B7C22"/>
    <w:rsid w:val="007C7F9A"/>
    <w:rsid w:val="007E1CCD"/>
    <w:rsid w:val="007E23A3"/>
    <w:rsid w:val="007E7AF0"/>
    <w:rsid w:val="007F4AEB"/>
    <w:rsid w:val="007F75B2"/>
    <w:rsid w:val="008043C4"/>
    <w:rsid w:val="00804A4F"/>
    <w:rsid w:val="00805CB3"/>
    <w:rsid w:val="00806F21"/>
    <w:rsid w:val="0081264B"/>
    <w:rsid w:val="0081354D"/>
    <w:rsid w:val="00814B4C"/>
    <w:rsid w:val="00815588"/>
    <w:rsid w:val="008227FB"/>
    <w:rsid w:val="00830309"/>
    <w:rsid w:val="00831B1B"/>
    <w:rsid w:val="00836782"/>
    <w:rsid w:val="008425C7"/>
    <w:rsid w:val="008536D6"/>
    <w:rsid w:val="00854025"/>
    <w:rsid w:val="00860AE4"/>
    <w:rsid w:val="00860D62"/>
    <w:rsid w:val="00861D0E"/>
    <w:rsid w:val="00867569"/>
    <w:rsid w:val="008737D8"/>
    <w:rsid w:val="00876117"/>
    <w:rsid w:val="008802D3"/>
    <w:rsid w:val="0088443D"/>
    <w:rsid w:val="00884FC7"/>
    <w:rsid w:val="008A18A9"/>
    <w:rsid w:val="008A3EDD"/>
    <w:rsid w:val="008A750A"/>
    <w:rsid w:val="008B0CF5"/>
    <w:rsid w:val="008B5943"/>
    <w:rsid w:val="008B69A0"/>
    <w:rsid w:val="008C384C"/>
    <w:rsid w:val="008D0F11"/>
    <w:rsid w:val="008D4D66"/>
    <w:rsid w:val="008D529A"/>
    <w:rsid w:val="008E755C"/>
    <w:rsid w:val="008F5335"/>
    <w:rsid w:val="008F73B4"/>
    <w:rsid w:val="008F7F5E"/>
    <w:rsid w:val="0090741A"/>
    <w:rsid w:val="00925346"/>
    <w:rsid w:val="00931174"/>
    <w:rsid w:val="00931A52"/>
    <w:rsid w:val="009334AD"/>
    <w:rsid w:val="00934C1F"/>
    <w:rsid w:val="0095644C"/>
    <w:rsid w:val="0095701A"/>
    <w:rsid w:val="00965E09"/>
    <w:rsid w:val="00987753"/>
    <w:rsid w:val="009B12E1"/>
    <w:rsid w:val="009B55B1"/>
    <w:rsid w:val="009C52BA"/>
    <w:rsid w:val="009C7016"/>
    <w:rsid w:val="009F75D8"/>
    <w:rsid w:val="00A00FC9"/>
    <w:rsid w:val="00A017B6"/>
    <w:rsid w:val="00A04644"/>
    <w:rsid w:val="00A04FD1"/>
    <w:rsid w:val="00A1026E"/>
    <w:rsid w:val="00A159C8"/>
    <w:rsid w:val="00A1767F"/>
    <w:rsid w:val="00A303F5"/>
    <w:rsid w:val="00A30B39"/>
    <w:rsid w:val="00A36171"/>
    <w:rsid w:val="00A3785A"/>
    <w:rsid w:val="00A4343D"/>
    <w:rsid w:val="00A502F1"/>
    <w:rsid w:val="00A516BD"/>
    <w:rsid w:val="00A56C80"/>
    <w:rsid w:val="00A6405A"/>
    <w:rsid w:val="00A6511F"/>
    <w:rsid w:val="00A65E04"/>
    <w:rsid w:val="00A70A83"/>
    <w:rsid w:val="00A81EB3"/>
    <w:rsid w:val="00A82B08"/>
    <w:rsid w:val="00AA1159"/>
    <w:rsid w:val="00AC7F29"/>
    <w:rsid w:val="00AD0858"/>
    <w:rsid w:val="00AE2185"/>
    <w:rsid w:val="00AE4563"/>
    <w:rsid w:val="00AE65DD"/>
    <w:rsid w:val="00AF0D02"/>
    <w:rsid w:val="00AF2BE9"/>
    <w:rsid w:val="00AF4D27"/>
    <w:rsid w:val="00B00C1D"/>
    <w:rsid w:val="00B12FB9"/>
    <w:rsid w:val="00B17433"/>
    <w:rsid w:val="00B21FBD"/>
    <w:rsid w:val="00B228F7"/>
    <w:rsid w:val="00B33194"/>
    <w:rsid w:val="00B33A49"/>
    <w:rsid w:val="00B43F11"/>
    <w:rsid w:val="00B659E3"/>
    <w:rsid w:val="00B67975"/>
    <w:rsid w:val="00B77282"/>
    <w:rsid w:val="00B90BB9"/>
    <w:rsid w:val="00B91D7D"/>
    <w:rsid w:val="00B92775"/>
    <w:rsid w:val="00B95F90"/>
    <w:rsid w:val="00BA439F"/>
    <w:rsid w:val="00BA6370"/>
    <w:rsid w:val="00BB33DD"/>
    <w:rsid w:val="00BC1D9B"/>
    <w:rsid w:val="00BC748B"/>
    <w:rsid w:val="00BD013E"/>
    <w:rsid w:val="00BD0447"/>
    <w:rsid w:val="00BD400F"/>
    <w:rsid w:val="00BD6E59"/>
    <w:rsid w:val="00BE455E"/>
    <w:rsid w:val="00BE6AA9"/>
    <w:rsid w:val="00BF7D3A"/>
    <w:rsid w:val="00C07073"/>
    <w:rsid w:val="00C1087E"/>
    <w:rsid w:val="00C12538"/>
    <w:rsid w:val="00C14875"/>
    <w:rsid w:val="00C17D7F"/>
    <w:rsid w:val="00C269D4"/>
    <w:rsid w:val="00C26F77"/>
    <w:rsid w:val="00C2715F"/>
    <w:rsid w:val="00C36674"/>
    <w:rsid w:val="00C4160D"/>
    <w:rsid w:val="00C42393"/>
    <w:rsid w:val="00C600BD"/>
    <w:rsid w:val="00C61674"/>
    <w:rsid w:val="00C741BA"/>
    <w:rsid w:val="00C82FB7"/>
    <w:rsid w:val="00C8406E"/>
    <w:rsid w:val="00C9388B"/>
    <w:rsid w:val="00CA5D74"/>
    <w:rsid w:val="00CB2709"/>
    <w:rsid w:val="00CB3B69"/>
    <w:rsid w:val="00CB6F89"/>
    <w:rsid w:val="00CC7C25"/>
    <w:rsid w:val="00CE1A2B"/>
    <w:rsid w:val="00CE228C"/>
    <w:rsid w:val="00CE6B78"/>
    <w:rsid w:val="00CF133F"/>
    <w:rsid w:val="00CF545B"/>
    <w:rsid w:val="00D027F2"/>
    <w:rsid w:val="00D03CF0"/>
    <w:rsid w:val="00D27D69"/>
    <w:rsid w:val="00D439F4"/>
    <w:rsid w:val="00D44521"/>
    <w:rsid w:val="00D448C2"/>
    <w:rsid w:val="00D57DB6"/>
    <w:rsid w:val="00D62825"/>
    <w:rsid w:val="00D666C3"/>
    <w:rsid w:val="00D679AE"/>
    <w:rsid w:val="00D74855"/>
    <w:rsid w:val="00D75E77"/>
    <w:rsid w:val="00D824A2"/>
    <w:rsid w:val="00D92AFC"/>
    <w:rsid w:val="00D94700"/>
    <w:rsid w:val="00D96089"/>
    <w:rsid w:val="00D97438"/>
    <w:rsid w:val="00DB6409"/>
    <w:rsid w:val="00DB6785"/>
    <w:rsid w:val="00DB7A18"/>
    <w:rsid w:val="00DD1EAE"/>
    <w:rsid w:val="00DD5653"/>
    <w:rsid w:val="00DE2468"/>
    <w:rsid w:val="00DE46FA"/>
    <w:rsid w:val="00DE5C37"/>
    <w:rsid w:val="00DE7814"/>
    <w:rsid w:val="00DF1257"/>
    <w:rsid w:val="00DF4168"/>
    <w:rsid w:val="00DF47FE"/>
    <w:rsid w:val="00E02476"/>
    <w:rsid w:val="00E06597"/>
    <w:rsid w:val="00E20B47"/>
    <w:rsid w:val="00E21CD9"/>
    <w:rsid w:val="00E26704"/>
    <w:rsid w:val="00E31980"/>
    <w:rsid w:val="00E403EB"/>
    <w:rsid w:val="00E42E00"/>
    <w:rsid w:val="00E530A9"/>
    <w:rsid w:val="00E53F7A"/>
    <w:rsid w:val="00E60C2D"/>
    <w:rsid w:val="00E63CBE"/>
    <w:rsid w:val="00E6423C"/>
    <w:rsid w:val="00E677E7"/>
    <w:rsid w:val="00E7201C"/>
    <w:rsid w:val="00E91DAA"/>
    <w:rsid w:val="00E923BE"/>
    <w:rsid w:val="00E93830"/>
    <w:rsid w:val="00E93E0E"/>
    <w:rsid w:val="00EA1219"/>
    <w:rsid w:val="00EA7B94"/>
    <w:rsid w:val="00EB1ED3"/>
    <w:rsid w:val="00EB4B5C"/>
    <w:rsid w:val="00EB5DB3"/>
    <w:rsid w:val="00EB663F"/>
    <w:rsid w:val="00EC2D51"/>
    <w:rsid w:val="00EC32CA"/>
    <w:rsid w:val="00EC45BB"/>
    <w:rsid w:val="00EC4848"/>
    <w:rsid w:val="00ED7B69"/>
    <w:rsid w:val="00EE5AE0"/>
    <w:rsid w:val="00EF2A59"/>
    <w:rsid w:val="00F0239F"/>
    <w:rsid w:val="00F04FF4"/>
    <w:rsid w:val="00F13564"/>
    <w:rsid w:val="00F15755"/>
    <w:rsid w:val="00F15D72"/>
    <w:rsid w:val="00F26395"/>
    <w:rsid w:val="00F2680D"/>
    <w:rsid w:val="00F32DA4"/>
    <w:rsid w:val="00F47C69"/>
    <w:rsid w:val="00F65B65"/>
    <w:rsid w:val="00F6739B"/>
    <w:rsid w:val="00F80829"/>
    <w:rsid w:val="00F83FA7"/>
    <w:rsid w:val="00F85F92"/>
    <w:rsid w:val="00F95A0B"/>
    <w:rsid w:val="00FA1F6D"/>
    <w:rsid w:val="00FA4C8E"/>
    <w:rsid w:val="00FA6851"/>
    <w:rsid w:val="00FB4E8F"/>
    <w:rsid w:val="00FB687C"/>
    <w:rsid w:val="00FD3F28"/>
    <w:rsid w:val="00FD4FD3"/>
    <w:rsid w:val="00FF42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CF096D84-A0A4-4E95-8141-A992F830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4D27"/>
    <w:pPr>
      <w:spacing w:line="300" w:lineRule="exact"/>
      <w:jc w:val="left"/>
    </w:pPr>
    <w:rPr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4D27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AF4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packova4645\Documents\hana\analyza\2022\Anal&#253;z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1C430-2A78-4626-A5E5-F9A8666F7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6E2AE-EFF8-40F3-924C-6B27B77BFCDC}"/>
</file>

<file path=customXml/itemProps3.xml><?xml version="1.0" encoding="utf-8"?>
<ds:datastoreItem xmlns:ds="http://schemas.openxmlformats.org/officeDocument/2006/customXml" ds:itemID="{4BF1C817-7BF1-43E4-BFF7-F4A3A432908D}"/>
</file>

<file path=customXml/itemProps4.xml><?xml version="1.0" encoding="utf-8"?>
<ds:datastoreItem xmlns:ds="http://schemas.openxmlformats.org/officeDocument/2006/customXml" ds:itemID="{21614EF0-7E8E-4326-9288-D7C1FF665BB9}"/>
</file>

<file path=docProps/app.xml><?xml version="1.0" encoding="utf-8"?>
<Properties xmlns="http://schemas.openxmlformats.org/officeDocument/2006/extended-properties" xmlns:vt="http://schemas.openxmlformats.org/officeDocument/2006/docPropsVTypes">
  <Template>Analýza CZ_2022-02-08.dotx</Template>
  <TotalTime>380</TotalTime>
  <Pages>9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Hana Lapáčková</dc:creator>
  <cp:lastModifiedBy>Lapáčková Hana</cp:lastModifiedBy>
  <cp:revision>35</cp:revision>
  <cp:lastPrinted>2023-08-04T11:37:00Z</cp:lastPrinted>
  <dcterms:created xsi:type="dcterms:W3CDTF">2023-08-03T12:19:00Z</dcterms:created>
  <dcterms:modified xsi:type="dcterms:W3CDTF">2023-08-08T10:24:00Z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