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B2" w:rsidRPr="00EE0047" w:rsidRDefault="00FA10B2" w:rsidP="00FA10B2">
      <w:pPr>
        <w:pStyle w:val="Datum"/>
      </w:pPr>
      <w:r w:rsidRPr="00EE0047">
        <w:t>1</w:t>
      </w:r>
      <w:r w:rsidR="00B54363" w:rsidRPr="00EE0047">
        <w:t>6 August </w:t>
      </w:r>
      <w:r w:rsidRPr="00EE0047">
        <w:t>2024</w:t>
      </w:r>
    </w:p>
    <w:p w:rsidR="00FA10B2" w:rsidRPr="00EE0047" w:rsidRDefault="00FA10B2" w:rsidP="00FA10B2">
      <w:pPr>
        <w:pStyle w:val="Nzev"/>
      </w:pPr>
      <w:bookmarkStart w:id="0" w:name="_GoBack"/>
      <w:r w:rsidRPr="0043020D">
        <w:t xml:space="preserve">Number of </w:t>
      </w:r>
      <w:r w:rsidR="00631E3D" w:rsidRPr="0043020D">
        <w:t xml:space="preserve">the self-employed </w:t>
      </w:r>
      <w:r w:rsidR="00341BE6" w:rsidRPr="0043020D">
        <w:t>decreased</w:t>
      </w:r>
    </w:p>
    <w:bookmarkEnd w:id="0"/>
    <w:p w:rsidR="00FA10B2" w:rsidRPr="00EE0047" w:rsidRDefault="00FA10B2" w:rsidP="00FA10B2">
      <w:pPr>
        <w:pStyle w:val="Podtitulek"/>
        <w:rPr>
          <w:spacing w:val="2"/>
        </w:rPr>
      </w:pPr>
      <w:r w:rsidRPr="00EE0047">
        <w:t xml:space="preserve">Employment and unemployment in the Czech Republic </w:t>
      </w:r>
      <w:r w:rsidRPr="00EE0047">
        <w:rPr>
          <w:spacing w:val="2"/>
        </w:rPr>
        <w:t xml:space="preserve">as measured by the Labour Force Sample Survey – </w:t>
      </w:r>
      <w:r w:rsidR="00631E3D" w:rsidRPr="00EE0047">
        <w:rPr>
          <w:spacing w:val="2"/>
        </w:rPr>
        <w:t>2nd</w:t>
      </w:r>
      <w:r w:rsidRPr="00EE0047">
        <w:rPr>
          <w:spacing w:val="2"/>
        </w:rPr>
        <w:t xml:space="preserve"> quarter of</w:t>
      </w:r>
      <w:r w:rsidRPr="00EE0047">
        <w:t> 2024</w:t>
      </w:r>
    </w:p>
    <w:p w:rsidR="00FA10B2" w:rsidRPr="00EE0047" w:rsidRDefault="00631E3D" w:rsidP="00FA10B2">
      <w:pPr>
        <w:spacing w:after="280" w:line="276" w:lineRule="auto"/>
        <w:jc w:val="both"/>
        <w:rPr>
          <w:rFonts w:cs="Arial"/>
          <w:b/>
          <w:bCs/>
          <w:sz w:val="20"/>
          <w:szCs w:val="20"/>
          <w:lang w:val="en-GB"/>
        </w:rPr>
      </w:pPr>
      <w:r w:rsidRPr="00EE0047">
        <w:rPr>
          <w:rFonts w:cs="Arial"/>
          <w:b/>
          <w:bCs/>
          <w:sz w:val="20"/>
          <w:szCs w:val="20"/>
          <w:lang w:val="en-GB"/>
        </w:rPr>
        <w:t>T</w:t>
      </w:r>
      <w:r w:rsidR="00FA10B2" w:rsidRPr="00EE0047">
        <w:rPr>
          <w:rFonts w:cs="Arial"/>
          <w:b/>
          <w:bCs/>
          <w:sz w:val="20"/>
          <w:szCs w:val="20"/>
          <w:lang w:val="en-GB"/>
        </w:rPr>
        <w:t>he</w:t>
      </w:r>
      <w:r w:rsidRPr="00EE0047">
        <w:rPr>
          <w:rFonts w:cs="Arial"/>
          <w:b/>
          <w:bCs/>
          <w:sz w:val="20"/>
          <w:szCs w:val="20"/>
          <w:lang w:val="en-GB"/>
        </w:rPr>
        <w:t xml:space="preserve"> total</w:t>
      </w:r>
      <w:r w:rsidR="00FA10B2" w:rsidRPr="00EE0047">
        <w:rPr>
          <w:rFonts w:cs="Arial"/>
          <w:b/>
          <w:bCs/>
          <w:sz w:val="20"/>
          <w:szCs w:val="20"/>
          <w:lang w:val="en-GB"/>
        </w:rPr>
        <w:t xml:space="preserve"> employment</w:t>
      </w:r>
      <w:r w:rsidRPr="00EE0047">
        <w:rPr>
          <w:rFonts w:cs="Arial"/>
          <w:b/>
          <w:bCs/>
          <w:sz w:val="20"/>
          <w:szCs w:val="20"/>
          <w:lang w:val="en-GB"/>
        </w:rPr>
        <w:t xml:space="preserve"> increased</w:t>
      </w:r>
      <w:r w:rsidR="00FA10B2" w:rsidRPr="00EE0047">
        <w:rPr>
          <w:rFonts w:cs="Arial"/>
          <w:b/>
          <w:bCs/>
          <w:sz w:val="20"/>
          <w:szCs w:val="20"/>
          <w:lang w:val="en-GB"/>
        </w:rPr>
        <w:t xml:space="preserve"> by 1</w:t>
      </w:r>
      <w:r w:rsidRPr="00EE0047">
        <w:rPr>
          <w:rFonts w:cs="Arial"/>
          <w:b/>
          <w:bCs/>
          <w:sz w:val="20"/>
          <w:szCs w:val="20"/>
          <w:lang w:val="en-GB"/>
        </w:rPr>
        <w:t>03.4 </w:t>
      </w:r>
      <w:r w:rsidR="00FA10B2" w:rsidRPr="00EE0047">
        <w:rPr>
          <w:rFonts w:cs="Arial"/>
          <w:b/>
          <w:bCs/>
          <w:sz w:val="20"/>
          <w:szCs w:val="20"/>
          <w:lang w:val="en-GB"/>
        </w:rPr>
        <w:t>thousand persons</w:t>
      </w:r>
      <w:r w:rsidRPr="00EE0047">
        <w:rPr>
          <w:rFonts w:cs="Arial"/>
          <w:b/>
          <w:bCs/>
          <w:sz w:val="20"/>
          <w:szCs w:val="20"/>
          <w:lang w:val="en-GB"/>
        </w:rPr>
        <w:t>, year-on-year (y-o-y)</w:t>
      </w:r>
      <w:r w:rsidR="00FA10B2" w:rsidRPr="00EE0047">
        <w:rPr>
          <w:rFonts w:cs="Arial"/>
          <w:b/>
          <w:bCs/>
          <w:sz w:val="20"/>
          <w:szCs w:val="20"/>
          <w:lang w:val="en-GB"/>
        </w:rPr>
        <w:t>. The number of the unemployed, according to the methodology of the International Labour Organization (ILO), increased by</w:t>
      </w:r>
      <w:r w:rsidRPr="00EE0047">
        <w:rPr>
          <w:rFonts w:cs="Arial"/>
          <w:b/>
          <w:bCs/>
          <w:sz w:val="20"/>
          <w:szCs w:val="20"/>
          <w:lang w:val="en-GB"/>
        </w:rPr>
        <w:t xml:space="preserve"> 1.7 </w:t>
      </w:r>
      <w:r w:rsidR="00FA10B2" w:rsidRPr="00EE0047">
        <w:rPr>
          <w:rFonts w:cs="Arial"/>
          <w:b/>
          <w:bCs/>
          <w:sz w:val="20"/>
          <w:szCs w:val="20"/>
          <w:lang w:val="en-GB"/>
        </w:rPr>
        <w:t>thousand persons. The number of the economi</w:t>
      </w:r>
      <w:r w:rsidRPr="00EE0047">
        <w:rPr>
          <w:rFonts w:cs="Arial"/>
          <w:b/>
          <w:bCs/>
          <w:sz w:val="20"/>
          <w:szCs w:val="20"/>
          <w:lang w:val="en-GB"/>
        </w:rPr>
        <w:t>cally inactive aged 15+ years increased by 31.4 </w:t>
      </w:r>
      <w:r w:rsidR="00FA10B2" w:rsidRPr="00EE0047">
        <w:rPr>
          <w:rFonts w:cs="Arial"/>
          <w:b/>
          <w:bCs/>
          <w:sz w:val="20"/>
          <w:szCs w:val="20"/>
          <w:lang w:val="en-GB"/>
        </w:rPr>
        <w:t xml:space="preserve">thousand. </w:t>
      </w:r>
    </w:p>
    <w:p w:rsidR="00FA10B2" w:rsidRPr="00EE0047" w:rsidRDefault="00FA10B2" w:rsidP="00FA10B2">
      <w:pPr>
        <w:pStyle w:val="Nadpis3"/>
        <w:spacing w:before="0"/>
        <w:rPr>
          <w:rFonts w:eastAsia="Calibri"/>
          <w:bCs w:val="0"/>
          <w:sz w:val="20"/>
          <w:lang w:val="en-GB"/>
        </w:rPr>
      </w:pPr>
      <w:r w:rsidRPr="00EE0047">
        <w:rPr>
          <w:rFonts w:eastAsia="Calibri"/>
          <w:bCs w:val="0"/>
          <w:sz w:val="20"/>
          <w:lang w:val="en-GB"/>
        </w:rPr>
        <w:t>Employment</w:t>
      </w:r>
    </w:p>
    <w:p w:rsidR="00FA10B2" w:rsidRPr="00EE0047" w:rsidRDefault="00FA10B2" w:rsidP="00FA10B2">
      <w:pPr>
        <w:rPr>
          <w:lang w:val="en-GB"/>
        </w:rPr>
      </w:pPr>
    </w:p>
    <w:p w:rsidR="00FA10B2" w:rsidRPr="00EE0047" w:rsidRDefault="00FA10B2" w:rsidP="00FA10B2">
      <w:pPr>
        <w:spacing w:line="276" w:lineRule="auto"/>
        <w:jc w:val="both"/>
        <w:rPr>
          <w:rFonts w:cs="Arial"/>
          <w:sz w:val="20"/>
          <w:szCs w:val="20"/>
          <w:lang w:val="en-GB"/>
        </w:rPr>
      </w:pPr>
      <w:r w:rsidRPr="00EE0047">
        <w:rPr>
          <w:rFonts w:cs="Arial"/>
          <w:sz w:val="20"/>
          <w:szCs w:val="20"/>
          <w:lang w:val="en-GB"/>
        </w:rPr>
        <w:t xml:space="preserve">In the </w:t>
      </w:r>
      <w:r w:rsidR="00631E3D" w:rsidRPr="00EE0047">
        <w:rPr>
          <w:rFonts w:cs="Arial"/>
          <w:sz w:val="20"/>
          <w:szCs w:val="20"/>
          <w:lang w:val="en-GB"/>
        </w:rPr>
        <w:t>Q2 2024</w:t>
      </w:r>
      <w:r w:rsidRPr="00EE0047">
        <w:rPr>
          <w:rFonts w:cs="Arial"/>
          <w:sz w:val="20"/>
          <w:szCs w:val="20"/>
          <w:lang w:val="en-GB"/>
        </w:rPr>
        <w:t xml:space="preserve">, the seasonally adjusted </w:t>
      </w:r>
      <w:r w:rsidRPr="00EE0047">
        <w:rPr>
          <w:rFonts w:cs="Arial"/>
          <w:b/>
          <w:bCs/>
          <w:sz w:val="20"/>
          <w:szCs w:val="20"/>
          <w:lang w:val="en-GB"/>
        </w:rPr>
        <w:t>average number of employed persons</w:t>
      </w:r>
      <w:r w:rsidR="00631E3D" w:rsidRPr="00EE0047">
        <w:rPr>
          <w:rFonts w:cs="Arial"/>
          <w:sz w:val="20"/>
          <w:szCs w:val="20"/>
          <w:lang w:val="en-GB"/>
        </w:rPr>
        <w:t xml:space="preserve"> decreased by 42.7</w:t>
      </w:r>
      <w:r w:rsidRPr="00EE0047">
        <w:rPr>
          <w:rFonts w:cs="Arial"/>
          <w:sz w:val="20"/>
          <w:szCs w:val="20"/>
          <w:lang w:val="en-GB"/>
        </w:rPr>
        <w:t> thou</w:t>
      </w:r>
      <w:r w:rsidR="00631E3D" w:rsidRPr="00EE0047">
        <w:rPr>
          <w:rFonts w:cs="Arial"/>
          <w:sz w:val="20"/>
          <w:szCs w:val="20"/>
          <w:lang w:val="en-GB"/>
        </w:rPr>
        <w:t>sand persons, compared to the Q1 2024</w:t>
      </w:r>
      <w:r w:rsidRPr="00EE0047">
        <w:rPr>
          <w:rFonts w:cs="Arial"/>
          <w:sz w:val="20"/>
          <w:szCs w:val="20"/>
          <w:lang w:val="en-GB"/>
        </w:rPr>
        <w:t xml:space="preserve">. </w:t>
      </w:r>
    </w:p>
    <w:p w:rsidR="00FA10B2" w:rsidRPr="00EE0047" w:rsidRDefault="00FA10B2" w:rsidP="00FA10B2">
      <w:pPr>
        <w:spacing w:line="276" w:lineRule="auto"/>
        <w:jc w:val="both"/>
        <w:rPr>
          <w:sz w:val="20"/>
          <w:szCs w:val="20"/>
          <w:lang w:val="en-GB"/>
        </w:rPr>
      </w:pPr>
    </w:p>
    <w:p w:rsidR="00FA10B2" w:rsidRPr="00EE0047" w:rsidRDefault="00FA10B2" w:rsidP="00FA10B2">
      <w:pPr>
        <w:spacing w:line="276" w:lineRule="auto"/>
        <w:jc w:val="both"/>
        <w:rPr>
          <w:rFonts w:cs="Arial"/>
          <w:color w:val="000000"/>
          <w:sz w:val="20"/>
          <w:szCs w:val="20"/>
          <w:lang w:val="en-GB"/>
        </w:rPr>
      </w:pPr>
      <w:r w:rsidRPr="00EE0047">
        <w:rPr>
          <w:sz w:val="20"/>
          <w:szCs w:val="20"/>
          <w:lang w:val="en-GB"/>
        </w:rPr>
        <w:t xml:space="preserve">The </w:t>
      </w:r>
      <w:r w:rsidRPr="00EE0047">
        <w:rPr>
          <w:b/>
          <w:sz w:val="20"/>
          <w:szCs w:val="20"/>
          <w:lang w:val="en-GB"/>
        </w:rPr>
        <w:t>number of working persons</w:t>
      </w:r>
      <w:r w:rsidR="00310124" w:rsidRPr="00EE0047">
        <w:rPr>
          <w:sz w:val="20"/>
          <w:szCs w:val="20"/>
          <w:lang w:val="en-GB"/>
        </w:rPr>
        <w:t xml:space="preserve"> aged 15+ years increased by 103.4 thousand, y-o-y, i.e. by 2.0</w:t>
      </w:r>
      <w:r w:rsidRPr="00EE0047">
        <w:rPr>
          <w:sz w:val="20"/>
          <w:szCs w:val="20"/>
          <w:lang w:val="en-GB"/>
        </w:rPr>
        <w:t>% to 5 1</w:t>
      </w:r>
      <w:r w:rsidR="00310124" w:rsidRPr="00EE0047">
        <w:rPr>
          <w:sz w:val="20"/>
          <w:szCs w:val="20"/>
          <w:lang w:val="en-GB"/>
        </w:rPr>
        <w:t>67.3 </w:t>
      </w:r>
      <w:r w:rsidRPr="00EE0047">
        <w:rPr>
          <w:sz w:val="20"/>
          <w:szCs w:val="20"/>
          <w:lang w:val="en-GB"/>
        </w:rPr>
        <w:t>thousand. The increase is mainly owing to an increment in the number of working females.</w:t>
      </w:r>
      <w:r w:rsidR="00310124" w:rsidRPr="00EE0047">
        <w:rPr>
          <w:sz w:val="20"/>
          <w:szCs w:val="20"/>
          <w:lang w:val="en-GB"/>
        </w:rPr>
        <w:t xml:space="preserve"> Their number was by 111.0 </w:t>
      </w:r>
      <w:r w:rsidRPr="00EE0047">
        <w:rPr>
          <w:sz w:val="20"/>
          <w:szCs w:val="20"/>
          <w:lang w:val="en-GB"/>
        </w:rPr>
        <w:t>thousand higher, y-o-y. The number of working persons aged 45</w:t>
      </w:r>
      <w:r w:rsidRPr="00EE0047">
        <w:rPr>
          <w:rFonts w:cs="Arial"/>
          <w:color w:val="000000"/>
          <w:sz w:val="20"/>
          <w:szCs w:val="20"/>
          <w:lang w:val="en-GB"/>
        </w:rPr>
        <w:t>–59 </w:t>
      </w:r>
      <w:r w:rsidRPr="00EE0047">
        <w:rPr>
          <w:sz w:val="20"/>
          <w:szCs w:val="20"/>
          <w:lang w:val="en-GB"/>
        </w:rPr>
        <w:t>years considerably increased,</w:t>
      </w:r>
      <w:r w:rsidR="0026585C" w:rsidRPr="00EE0047">
        <w:rPr>
          <w:sz w:val="20"/>
          <w:szCs w:val="20"/>
          <w:lang w:val="en-GB"/>
        </w:rPr>
        <w:t xml:space="preserve"> by 93</w:t>
      </w:r>
      <w:r w:rsidRPr="00EE0047">
        <w:rPr>
          <w:sz w:val="20"/>
          <w:szCs w:val="20"/>
          <w:lang w:val="en-GB"/>
        </w:rPr>
        <w:t>.</w:t>
      </w:r>
      <w:r w:rsidR="0026585C" w:rsidRPr="00EE0047">
        <w:rPr>
          <w:sz w:val="20"/>
          <w:szCs w:val="20"/>
          <w:lang w:val="en-GB"/>
        </w:rPr>
        <w:t>0 </w:t>
      </w:r>
      <w:r w:rsidRPr="00EE0047">
        <w:rPr>
          <w:sz w:val="20"/>
          <w:szCs w:val="20"/>
          <w:lang w:val="en-GB"/>
        </w:rPr>
        <w:t>thousand; what was also inconsiderable was an increase of working persons aged 60+ years,</w:t>
      </w:r>
      <w:r w:rsidR="0026585C" w:rsidRPr="00EE0047">
        <w:rPr>
          <w:sz w:val="20"/>
          <w:szCs w:val="20"/>
          <w:lang w:val="en-GB"/>
        </w:rPr>
        <w:t xml:space="preserve"> whose number grew by 41.4</w:t>
      </w:r>
      <w:r w:rsidRPr="00EE0047">
        <w:rPr>
          <w:sz w:val="20"/>
          <w:szCs w:val="20"/>
          <w:lang w:val="en-GB"/>
        </w:rPr>
        <w:t xml:space="preserve"> thousand, year-on-year. </w:t>
      </w:r>
      <w:r w:rsidR="00920751" w:rsidRPr="00EE0047">
        <w:rPr>
          <w:rFonts w:cs="Arial"/>
          <w:color w:val="000000"/>
          <w:sz w:val="20"/>
          <w:szCs w:val="20"/>
          <w:lang w:val="en-GB"/>
        </w:rPr>
        <w:t xml:space="preserve">A slight year-on-year increase was also </w:t>
      </w:r>
      <w:r w:rsidR="00920751" w:rsidRPr="00EE0047">
        <w:rPr>
          <w:sz w:val="20"/>
          <w:szCs w:val="20"/>
          <w:lang w:val="en-GB"/>
        </w:rPr>
        <w:t>in the number of working persons aged 30</w:t>
      </w:r>
      <w:r w:rsidR="0060783E" w:rsidRPr="00EE0047">
        <w:rPr>
          <w:rFonts w:cs="Arial"/>
          <w:color w:val="000000"/>
          <w:sz w:val="20"/>
          <w:szCs w:val="20"/>
          <w:lang w:val="en-GB"/>
        </w:rPr>
        <w:t>–</w:t>
      </w:r>
      <w:r w:rsidR="00920751" w:rsidRPr="00EE0047">
        <w:rPr>
          <w:sz w:val="20"/>
          <w:szCs w:val="20"/>
          <w:lang w:val="en-GB"/>
        </w:rPr>
        <w:t>44</w:t>
      </w:r>
      <w:r w:rsidR="0060783E" w:rsidRPr="00EE0047">
        <w:rPr>
          <w:sz w:val="20"/>
          <w:szCs w:val="20"/>
          <w:lang w:val="en-GB"/>
        </w:rPr>
        <w:t xml:space="preserve"> years. In the age category</w:t>
      </w:r>
      <w:r w:rsidRPr="00EE0047">
        <w:rPr>
          <w:sz w:val="20"/>
          <w:szCs w:val="20"/>
          <w:lang w:val="en-GB"/>
        </w:rPr>
        <w:t xml:space="preserve"> of 15</w:t>
      </w:r>
      <w:r w:rsidRPr="00EE0047">
        <w:rPr>
          <w:rFonts w:cs="Arial"/>
          <w:color w:val="000000"/>
          <w:sz w:val="20"/>
          <w:szCs w:val="20"/>
          <w:lang w:val="en-GB"/>
        </w:rPr>
        <w:t>–</w:t>
      </w:r>
      <w:r w:rsidRPr="00EE0047">
        <w:rPr>
          <w:sz w:val="20"/>
          <w:szCs w:val="20"/>
          <w:lang w:val="en-GB"/>
        </w:rPr>
        <w:t>24 years</w:t>
      </w:r>
      <w:r w:rsidR="002E4257" w:rsidRPr="00EE0047">
        <w:rPr>
          <w:sz w:val="20"/>
          <w:szCs w:val="20"/>
          <w:lang w:val="en-GB"/>
        </w:rPr>
        <w:t>,</w:t>
      </w:r>
      <w:r w:rsidR="0060783E" w:rsidRPr="00EE0047">
        <w:rPr>
          <w:sz w:val="20"/>
          <w:szCs w:val="20"/>
          <w:lang w:val="en-GB"/>
        </w:rPr>
        <w:t xml:space="preserve"> the number of working persons stagnated and among working persons aged </w:t>
      </w:r>
      <w:r w:rsidRPr="00EE0047">
        <w:rPr>
          <w:sz w:val="20"/>
          <w:szCs w:val="20"/>
          <w:lang w:val="en-GB"/>
        </w:rPr>
        <w:t>25</w:t>
      </w:r>
      <w:r w:rsidRPr="00EE0047">
        <w:rPr>
          <w:rFonts w:cs="Arial"/>
          <w:color w:val="000000"/>
          <w:sz w:val="20"/>
          <w:szCs w:val="20"/>
          <w:lang w:val="en-GB"/>
        </w:rPr>
        <w:t>–29 years,</w:t>
      </w:r>
      <w:r w:rsidR="0060783E" w:rsidRPr="00EE0047">
        <w:rPr>
          <w:rFonts w:cs="Arial"/>
          <w:color w:val="000000"/>
          <w:sz w:val="20"/>
          <w:szCs w:val="20"/>
          <w:lang w:val="en-GB"/>
        </w:rPr>
        <w:t xml:space="preserve"> a year-on-year decrease</w:t>
      </w:r>
      <w:r w:rsidR="002E4257" w:rsidRPr="00EE0047">
        <w:rPr>
          <w:rFonts w:cs="Arial"/>
          <w:color w:val="000000"/>
          <w:sz w:val="20"/>
          <w:szCs w:val="20"/>
          <w:lang w:val="en-GB"/>
        </w:rPr>
        <w:t xml:space="preserve"> by 39.1 thousand persons</w:t>
      </w:r>
      <w:r w:rsidRPr="00EE0047">
        <w:rPr>
          <w:rFonts w:cs="Arial"/>
          <w:color w:val="000000"/>
          <w:sz w:val="20"/>
          <w:szCs w:val="20"/>
          <w:lang w:val="en-GB"/>
        </w:rPr>
        <w:t xml:space="preserve"> </w:t>
      </w:r>
      <w:r w:rsidRPr="00EE0047">
        <w:rPr>
          <w:sz w:val="20"/>
          <w:szCs w:val="20"/>
          <w:lang w:val="en-GB"/>
        </w:rPr>
        <w:t xml:space="preserve">was recorded. </w:t>
      </w:r>
    </w:p>
    <w:p w:rsidR="00FA10B2" w:rsidRPr="00EE0047" w:rsidRDefault="00FA10B2" w:rsidP="00FA10B2">
      <w:pPr>
        <w:spacing w:line="276" w:lineRule="auto"/>
        <w:jc w:val="both"/>
        <w:rPr>
          <w:sz w:val="20"/>
          <w:szCs w:val="20"/>
          <w:lang w:val="en-GB"/>
        </w:rPr>
      </w:pPr>
    </w:p>
    <w:p w:rsidR="00FA10B2" w:rsidRPr="00EE0047" w:rsidRDefault="002752FA" w:rsidP="00FA10B2">
      <w:pPr>
        <w:spacing w:line="276" w:lineRule="auto"/>
        <w:jc w:val="both"/>
        <w:rPr>
          <w:b/>
          <w:sz w:val="20"/>
          <w:szCs w:val="20"/>
          <w:lang w:val="en-GB"/>
        </w:rPr>
      </w:pPr>
      <w:r>
        <w:rPr>
          <w:b/>
          <w:sz w:val="20"/>
          <w:szCs w:val="20"/>
          <w:lang w:val="en-GB"/>
        </w:rPr>
        <w:br w:type="page"/>
      </w:r>
      <w:r w:rsidR="00FA10B2" w:rsidRPr="00EE0047">
        <w:rPr>
          <w:b/>
          <w:sz w:val="20"/>
          <w:szCs w:val="20"/>
          <w:lang w:val="en-GB"/>
        </w:rPr>
        <w:lastRenderedPageBreak/>
        <w:t>Chart 1: The number of working persons in the national economy and their structure by age group (thousand)</w:t>
      </w:r>
    </w:p>
    <w:p w:rsidR="005A5F7E" w:rsidRDefault="00B60DF9" w:rsidP="005A5F7E">
      <w:pPr>
        <w:spacing w:line="276"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in;height:207.75pt;visibility:visible;mso-wrap-style:square">
            <v:imagedata r:id="rId10" o:title=""/>
          </v:shape>
        </w:pict>
      </w:r>
    </w:p>
    <w:p w:rsidR="00FA10B2" w:rsidRPr="00EE0047" w:rsidRDefault="00FA10B2" w:rsidP="005A5F7E">
      <w:pPr>
        <w:spacing w:line="276" w:lineRule="auto"/>
        <w:rPr>
          <w:szCs w:val="20"/>
          <w:lang w:val="en-GB"/>
        </w:rPr>
      </w:pPr>
      <w:r w:rsidRPr="00EE0047">
        <w:rPr>
          <w:szCs w:val="20"/>
          <w:lang w:val="en-GB"/>
        </w:rPr>
        <w:t>Source: CZSO, LFSS</w:t>
      </w:r>
    </w:p>
    <w:p w:rsidR="00FA10B2" w:rsidRPr="00EE0047" w:rsidRDefault="00FA10B2" w:rsidP="00FA10B2">
      <w:pPr>
        <w:spacing w:line="276" w:lineRule="auto"/>
        <w:jc w:val="both"/>
        <w:rPr>
          <w:sz w:val="20"/>
          <w:szCs w:val="20"/>
          <w:lang w:val="en-GB"/>
        </w:rPr>
      </w:pPr>
    </w:p>
    <w:p w:rsidR="00D55464" w:rsidRPr="00EE0047" w:rsidRDefault="00FA10B2" w:rsidP="00FA10B2">
      <w:pPr>
        <w:spacing w:line="276" w:lineRule="auto"/>
        <w:jc w:val="both"/>
        <w:rPr>
          <w:sz w:val="20"/>
          <w:szCs w:val="20"/>
          <w:lang w:val="en-GB"/>
        </w:rPr>
      </w:pPr>
      <w:r w:rsidRPr="00EE0047">
        <w:rPr>
          <w:sz w:val="20"/>
          <w:szCs w:val="20"/>
          <w:lang w:val="en-GB"/>
        </w:rPr>
        <w:t>The number of</w:t>
      </w:r>
      <w:r w:rsidRPr="00EE0047">
        <w:rPr>
          <w:b/>
          <w:sz w:val="20"/>
          <w:szCs w:val="20"/>
          <w:lang w:val="en-GB"/>
        </w:rPr>
        <w:t xml:space="preserve"> employees</w:t>
      </w:r>
      <w:r w:rsidRPr="00EE0047">
        <w:rPr>
          <w:sz w:val="20"/>
          <w:szCs w:val="20"/>
          <w:lang w:val="en-GB"/>
        </w:rPr>
        <w:t xml:space="preserve"> increased by 1</w:t>
      </w:r>
      <w:r w:rsidR="00A97A82" w:rsidRPr="00EE0047">
        <w:rPr>
          <w:sz w:val="20"/>
          <w:szCs w:val="20"/>
          <w:lang w:val="en-GB"/>
        </w:rPr>
        <w:t>2</w:t>
      </w:r>
      <w:r w:rsidRPr="00EE0047">
        <w:rPr>
          <w:sz w:val="20"/>
          <w:szCs w:val="20"/>
          <w:lang w:val="en-GB"/>
        </w:rPr>
        <w:t xml:space="preserve">4.1 thousand persons. The </w:t>
      </w:r>
      <w:r w:rsidRPr="00EE0047">
        <w:rPr>
          <w:b/>
          <w:sz w:val="20"/>
          <w:szCs w:val="20"/>
          <w:lang w:val="en-GB"/>
        </w:rPr>
        <w:t>number of the self-employed</w:t>
      </w:r>
      <w:r w:rsidRPr="00EE0047">
        <w:rPr>
          <w:sz w:val="20"/>
          <w:szCs w:val="20"/>
          <w:lang w:val="en-GB"/>
        </w:rPr>
        <w:t xml:space="preserve"> (without unpaid contributing</w:t>
      </w:r>
      <w:r w:rsidR="00D55464" w:rsidRPr="00EE0047">
        <w:rPr>
          <w:sz w:val="20"/>
          <w:szCs w:val="20"/>
          <w:lang w:val="en-GB"/>
        </w:rPr>
        <w:t xml:space="preserve"> family workers) de</w:t>
      </w:r>
      <w:r w:rsidR="00A97A82" w:rsidRPr="00EE0047">
        <w:rPr>
          <w:sz w:val="20"/>
          <w:szCs w:val="20"/>
          <w:lang w:val="en-GB"/>
        </w:rPr>
        <w:t>creased by 21.6</w:t>
      </w:r>
      <w:r w:rsidRPr="00EE0047">
        <w:rPr>
          <w:sz w:val="20"/>
          <w:szCs w:val="20"/>
          <w:lang w:val="en-GB"/>
        </w:rPr>
        <w:t> thousand persons.</w:t>
      </w:r>
      <w:r w:rsidR="00BC5909" w:rsidRPr="00EE0047">
        <w:rPr>
          <w:sz w:val="20"/>
          <w:szCs w:val="20"/>
          <w:lang w:val="en-GB"/>
        </w:rPr>
        <w:t xml:space="preserve"> The</w:t>
      </w:r>
      <w:r w:rsidR="00A97A82" w:rsidRPr="00EE0047">
        <w:rPr>
          <w:sz w:val="20"/>
          <w:szCs w:val="20"/>
          <w:lang w:val="en-GB"/>
        </w:rPr>
        <w:t xml:space="preserve"> overall de</w:t>
      </w:r>
      <w:r w:rsidRPr="00EE0047">
        <w:rPr>
          <w:sz w:val="20"/>
          <w:szCs w:val="20"/>
          <w:lang w:val="en-GB"/>
        </w:rPr>
        <w:t xml:space="preserve">crease is owing to a </w:t>
      </w:r>
      <w:r w:rsidR="00A97A82" w:rsidRPr="00EE0047">
        <w:rPr>
          <w:sz w:val="20"/>
          <w:szCs w:val="20"/>
          <w:lang w:val="en-GB"/>
        </w:rPr>
        <w:t>de</w:t>
      </w:r>
      <w:r w:rsidRPr="00EE0047">
        <w:rPr>
          <w:sz w:val="20"/>
          <w:szCs w:val="20"/>
          <w:lang w:val="en-GB"/>
        </w:rPr>
        <w:t>crease in the number of</w:t>
      </w:r>
      <w:r w:rsidRPr="00EE0047">
        <w:rPr>
          <w:b/>
          <w:sz w:val="20"/>
          <w:szCs w:val="20"/>
          <w:lang w:val="en-GB"/>
        </w:rPr>
        <w:t xml:space="preserve"> the self-employed without employees</w:t>
      </w:r>
      <w:r w:rsidR="00A97A82" w:rsidRPr="00EE0047">
        <w:rPr>
          <w:sz w:val="20"/>
          <w:szCs w:val="20"/>
          <w:lang w:val="en-GB"/>
        </w:rPr>
        <w:t xml:space="preserve"> (own-account workers)</w:t>
      </w:r>
      <w:r w:rsidRPr="00EE0047">
        <w:rPr>
          <w:sz w:val="20"/>
          <w:szCs w:val="20"/>
          <w:lang w:val="en-GB"/>
        </w:rPr>
        <w:t xml:space="preserve"> by </w:t>
      </w:r>
      <w:r w:rsidR="00A97A82" w:rsidRPr="00EE0047">
        <w:rPr>
          <w:sz w:val="20"/>
          <w:szCs w:val="20"/>
          <w:lang w:val="en-GB"/>
        </w:rPr>
        <w:t>1</w:t>
      </w:r>
      <w:r w:rsidRPr="00EE0047">
        <w:rPr>
          <w:sz w:val="20"/>
          <w:szCs w:val="20"/>
          <w:lang w:val="en-GB"/>
        </w:rPr>
        <w:t>4.</w:t>
      </w:r>
      <w:r w:rsidR="00A97A82" w:rsidRPr="00EE0047">
        <w:rPr>
          <w:sz w:val="20"/>
          <w:szCs w:val="20"/>
          <w:lang w:val="en-GB"/>
        </w:rPr>
        <w:t>4</w:t>
      </w:r>
      <w:r w:rsidRPr="00EE0047">
        <w:rPr>
          <w:sz w:val="20"/>
          <w:szCs w:val="20"/>
          <w:lang w:val="en-GB"/>
        </w:rPr>
        <w:t> thousand</w:t>
      </w:r>
      <w:r w:rsidR="00D55464" w:rsidRPr="00EE0047">
        <w:rPr>
          <w:sz w:val="20"/>
          <w:szCs w:val="20"/>
          <w:lang w:val="en-GB"/>
        </w:rPr>
        <w:t xml:space="preserve"> as well as a decrease in the number of </w:t>
      </w:r>
      <w:r w:rsidRPr="00EE0047">
        <w:rPr>
          <w:b/>
          <w:sz w:val="20"/>
          <w:szCs w:val="20"/>
          <w:lang w:val="en-GB"/>
        </w:rPr>
        <w:t xml:space="preserve">the self-employed with employees </w:t>
      </w:r>
      <w:r w:rsidRPr="00EE0047">
        <w:rPr>
          <w:sz w:val="20"/>
          <w:szCs w:val="20"/>
          <w:lang w:val="en-GB"/>
        </w:rPr>
        <w:t>(employers)</w:t>
      </w:r>
      <w:r w:rsidR="00D55464" w:rsidRPr="00EE0047">
        <w:rPr>
          <w:sz w:val="20"/>
          <w:szCs w:val="20"/>
          <w:lang w:val="en-GB"/>
        </w:rPr>
        <w:t xml:space="preserve"> the number of whom decreased by 7.2 thousand, y-o-y. </w:t>
      </w:r>
      <w:r w:rsidRPr="00EE0047">
        <w:rPr>
          <w:sz w:val="20"/>
          <w:szCs w:val="20"/>
          <w:lang w:val="en-GB"/>
        </w:rPr>
        <w:t xml:space="preserve"> </w:t>
      </w:r>
    </w:p>
    <w:p w:rsidR="00FA10B2" w:rsidRPr="00EE0047" w:rsidRDefault="00FA10B2" w:rsidP="00FA10B2">
      <w:pPr>
        <w:spacing w:line="276" w:lineRule="auto"/>
        <w:jc w:val="both"/>
        <w:rPr>
          <w:sz w:val="20"/>
          <w:szCs w:val="20"/>
          <w:lang w:val="en-GB"/>
        </w:rPr>
      </w:pPr>
    </w:p>
    <w:p w:rsidR="00025B1B" w:rsidRPr="00EE0047" w:rsidRDefault="00FA10B2" w:rsidP="00FA10B2">
      <w:pPr>
        <w:autoSpaceDE w:val="0"/>
        <w:autoSpaceDN w:val="0"/>
        <w:adjustRightInd w:val="0"/>
        <w:spacing w:line="276" w:lineRule="auto"/>
        <w:jc w:val="both"/>
        <w:rPr>
          <w:sz w:val="20"/>
          <w:szCs w:val="20"/>
          <w:lang w:val="en-GB"/>
        </w:rPr>
      </w:pPr>
      <w:r w:rsidRPr="00EE0047">
        <w:rPr>
          <w:sz w:val="20"/>
          <w:szCs w:val="20"/>
          <w:lang w:val="en-GB"/>
        </w:rPr>
        <w:t xml:space="preserve">According to data for the </w:t>
      </w:r>
      <w:r w:rsidR="00631E3D" w:rsidRPr="00EE0047">
        <w:rPr>
          <w:sz w:val="20"/>
          <w:szCs w:val="20"/>
          <w:lang w:val="en-GB"/>
        </w:rPr>
        <w:t>Q2 2024</w:t>
      </w:r>
      <w:r w:rsidRPr="00EE0047">
        <w:rPr>
          <w:sz w:val="20"/>
          <w:szCs w:val="20"/>
          <w:lang w:val="en-GB"/>
        </w:rPr>
        <w:t xml:space="preserve">, the development of employment in individual economic activities (CZ-NACE sections) in the Czech Republic was </w:t>
      </w:r>
      <w:bookmarkStart w:id="1" w:name="_Ref15309812"/>
      <w:r w:rsidRPr="00EE0047">
        <w:rPr>
          <w:sz w:val="20"/>
          <w:szCs w:val="20"/>
          <w:lang w:val="en-GB"/>
        </w:rPr>
        <w:t>different</w:t>
      </w:r>
      <w:r w:rsidRPr="00EE0047">
        <w:rPr>
          <w:i/>
          <w:sz w:val="20"/>
          <w:szCs w:val="20"/>
          <w:vertAlign w:val="superscript"/>
          <w:lang w:val="en-GB"/>
        </w:rPr>
        <w:footnoteReference w:id="1"/>
      </w:r>
      <w:bookmarkEnd w:id="1"/>
      <w:r w:rsidRPr="00EE0047">
        <w:rPr>
          <w:i/>
          <w:sz w:val="20"/>
          <w:szCs w:val="20"/>
          <w:vertAlign w:val="superscript"/>
          <w:lang w:val="en-GB"/>
        </w:rPr>
        <w:t>)</w:t>
      </w:r>
      <w:r w:rsidRPr="00EE0047">
        <w:rPr>
          <w:sz w:val="20"/>
          <w:szCs w:val="20"/>
          <w:lang w:val="en-GB"/>
        </w:rPr>
        <w:t xml:space="preserve">. In the </w:t>
      </w:r>
      <w:r w:rsidRPr="00EE0047">
        <w:rPr>
          <w:b/>
          <w:sz w:val="20"/>
          <w:szCs w:val="20"/>
          <w:lang w:val="en-GB"/>
        </w:rPr>
        <w:t>primary sector</w:t>
      </w:r>
      <w:r w:rsidRPr="00EE0047">
        <w:rPr>
          <w:sz w:val="20"/>
          <w:szCs w:val="20"/>
          <w:lang w:val="en-GB"/>
        </w:rPr>
        <w:t xml:space="preserve"> of agriculture, forestry and fishing, the number of working persons increased, year-on-year, by </w:t>
      </w:r>
      <w:r w:rsidR="00BC5909" w:rsidRPr="00EE0047">
        <w:rPr>
          <w:sz w:val="20"/>
          <w:szCs w:val="20"/>
          <w:lang w:val="en-GB"/>
        </w:rPr>
        <w:t>5.5</w:t>
      </w:r>
      <w:r w:rsidRPr="00EE0047">
        <w:rPr>
          <w:sz w:val="20"/>
          <w:szCs w:val="20"/>
          <w:lang w:val="en-GB"/>
        </w:rPr>
        <w:t> thousand to 14</w:t>
      </w:r>
      <w:r w:rsidR="00BC5909" w:rsidRPr="00EE0047">
        <w:rPr>
          <w:sz w:val="20"/>
          <w:szCs w:val="20"/>
          <w:lang w:val="en-GB"/>
        </w:rPr>
        <w:t>3.7</w:t>
      </w:r>
      <w:r w:rsidRPr="00EE0047">
        <w:rPr>
          <w:sz w:val="20"/>
          <w:szCs w:val="20"/>
          <w:lang w:val="en-GB"/>
        </w:rPr>
        <w:t xml:space="preserve"> thousand. In the </w:t>
      </w:r>
      <w:r w:rsidRPr="00EE0047">
        <w:rPr>
          <w:b/>
          <w:sz w:val="20"/>
          <w:szCs w:val="20"/>
          <w:lang w:val="en-GB"/>
        </w:rPr>
        <w:t>secondary sector</w:t>
      </w:r>
      <w:r w:rsidRPr="00EE0047">
        <w:rPr>
          <w:sz w:val="20"/>
          <w:szCs w:val="20"/>
          <w:lang w:val="en-GB"/>
        </w:rPr>
        <w:t xml:space="preserve"> of industry and construction, a slight increase in the number of working persons was recorded;</w:t>
      </w:r>
      <w:r w:rsidR="00C95752" w:rsidRPr="00EE0047">
        <w:rPr>
          <w:sz w:val="20"/>
          <w:szCs w:val="20"/>
          <w:lang w:val="en-GB"/>
        </w:rPr>
        <w:t xml:space="preserve"> their number increased by 24.2</w:t>
      </w:r>
      <w:r w:rsidRPr="00EE0047">
        <w:rPr>
          <w:sz w:val="20"/>
          <w:szCs w:val="20"/>
          <w:lang w:val="en-GB"/>
        </w:rPr>
        <w:t> thousand to 1 82</w:t>
      </w:r>
      <w:r w:rsidR="00C95752" w:rsidRPr="00EE0047">
        <w:rPr>
          <w:sz w:val="20"/>
          <w:szCs w:val="20"/>
          <w:lang w:val="en-GB"/>
        </w:rPr>
        <w:t>6.9</w:t>
      </w:r>
      <w:r w:rsidRPr="00EE0047">
        <w:rPr>
          <w:sz w:val="20"/>
          <w:szCs w:val="20"/>
          <w:lang w:val="en-GB"/>
        </w:rPr>
        <w:t xml:space="preserve"> thousand. In the </w:t>
      </w:r>
      <w:r w:rsidRPr="00EE0047">
        <w:rPr>
          <w:b/>
          <w:sz w:val="20"/>
          <w:szCs w:val="20"/>
          <w:lang w:val="en-GB"/>
        </w:rPr>
        <w:t>tertiary sector</w:t>
      </w:r>
      <w:r w:rsidRPr="00EE0047">
        <w:rPr>
          <w:sz w:val="20"/>
          <w:szCs w:val="20"/>
          <w:lang w:val="en-GB"/>
        </w:rPr>
        <w:t xml:space="preserve"> of services, the total employment increased, y-o-y, by</w:t>
      </w:r>
      <w:r w:rsidR="00025B1B" w:rsidRPr="00EE0047">
        <w:rPr>
          <w:sz w:val="20"/>
          <w:szCs w:val="20"/>
          <w:lang w:val="en-GB"/>
        </w:rPr>
        <w:t xml:space="preserve"> 73.7 thousand to 3 196.7</w:t>
      </w:r>
      <w:r w:rsidRPr="00EE0047">
        <w:rPr>
          <w:sz w:val="20"/>
          <w:szCs w:val="20"/>
          <w:lang w:val="en-GB"/>
        </w:rPr>
        <w:t> thousand. In this sector, the number of working persons especially increased in the section of</w:t>
      </w:r>
      <w:r w:rsidR="00025B1B" w:rsidRPr="00EE0047">
        <w:rPr>
          <w:sz w:val="20"/>
          <w:szCs w:val="20"/>
          <w:lang w:val="en-GB"/>
        </w:rPr>
        <w:t xml:space="preserve"> ‘human health and social work activities’</w:t>
      </w:r>
      <w:r w:rsidR="0006385F" w:rsidRPr="00EE0047">
        <w:rPr>
          <w:sz w:val="20"/>
          <w:szCs w:val="20"/>
          <w:lang w:val="en-GB"/>
        </w:rPr>
        <w:t xml:space="preserve"> by 26.0 thousand, </w:t>
      </w:r>
      <w:r w:rsidR="00502229" w:rsidRPr="00EE0047">
        <w:rPr>
          <w:sz w:val="20"/>
          <w:szCs w:val="20"/>
          <w:lang w:val="en-GB"/>
        </w:rPr>
        <w:t>further also in ‘public administration and defence; compulsory social sec</w:t>
      </w:r>
      <w:r w:rsidR="00E32EF4" w:rsidRPr="00EE0047">
        <w:rPr>
          <w:sz w:val="20"/>
          <w:szCs w:val="20"/>
          <w:lang w:val="en-GB"/>
        </w:rPr>
        <w:t>urity’ by 22.6 thousand persons</w:t>
      </w:r>
      <w:r w:rsidR="00502229" w:rsidRPr="00EE0047">
        <w:rPr>
          <w:sz w:val="20"/>
          <w:szCs w:val="20"/>
          <w:lang w:val="en-GB"/>
        </w:rPr>
        <w:t xml:space="preserve"> and in ‘construction’ </w:t>
      </w:r>
      <w:r w:rsidR="004C789B" w:rsidRPr="00EE0047">
        <w:rPr>
          <w:sz w:val="20"/>
          <w:szCs w:val="20"/>
          <w:lang w:val="en-GB"/>
        </w:rPr>
        <w:t>where the number of working persons increased by 22.4 thousand persons.</w:t>
      </w:r>
      <w:r w:rsidR="00AE4C21" w:rsidRPr="00EE0047">
        <w:rPr>
          <w:sz w:val="20"/>
          <w:szCs w:val="20"/>
          <w:lang w:val="en-GB"/>
        </w:rPr>
        <w:t xml:space="preserve"> A slight decrease in the number of working persons was recorded, for example, in the section of ‘professional, scientific and technical activities’</w:t>
      </w:r>
      <w:r w:rsidR="0042113A" w:rsidRPr="00EE0047">
        <w:rPr>
          <w:sz w:val="20"/>
          <w:szCs w:val="20"/>
          <w:lang w:val="en-GB"/>
        </w:rPr>
        <w:t xml:space="preserve">, in which the number </w:t>
      </w:r>
      <w:r w:rsidR="0042113A" w:rsidRPr="00EE0047">
        <w:rPr>
          <w:sz w:val="20"/>
          <w:szCs w:val="20"/>
          <w:lang w:val="en-GB"/>
        </w:rPr>
        <w:lastRenderedPageBreak/>
        <w:t xml:space="preserve">of working persons dropped by 8.5 thousand persons and in ‘arts, entertainment and recreation’, where there was a decrease by 7.3 thousand persons. </w:t>
      </w:r>
      <w:r w:rsidR="00AE4C21" w:rsidRPr="00EE0047">
        <w:rPr>
          <w:sz w:val="20"/>
          <w:szCs w:val="20"/>
          <w:lang w:val="en-GB"/>
        </w:rPr>
        <w:t xml:space="preserve"> </w:t>
      </w:r>
      <w:r w:rsidR="0060636E" w:rsidRPr="00EE0047">
        <w:rPr>
          <w:sz w:val="20"/>
          <w:szCs w:val="20"/>
          <w:lang w:val="en-GB"/>
        </w:rPr>
        <w:t xml:space="preserve"> </w:t>
      </w:r>
      <w:r w:rsidR="004C789B" w:rsidRPr="00EE0047">
        <w:rPr>
          <w:sz w:val="20"/>
          <w:szCs w:val="20"/>
          <w:lang w:val="en-GB"/>
        </w:rPr>
        <w:t xml:space="preserve"> </w:t>
      </w:r>
      <w:r w:rsidR="00502229" w:rsidRPr="00EE0047">
        <w:rPr>
          <w:sz w:val="20"/>
          <w:szCs w:val="20"/>
          <w:lang w:val="en-GB"/>
        </w:rPr>
        <w:t xml:space="preserve">  </w:t>
      </w:r>
      <w:r w:rsidR="00025B1B" w:rsidRPr="00EE0047">
        <w:rPr>
          <w:sz w:val="20"/>
          <w:szCs w:val="20"/>
          <w:lang w:val="en-GB"/>
        </w:rPr>
        <w:t xml:space="preserve"> </w:t>
      </w:r>
    </w:p>
    <w:p w:rsidR="00025B1B" w:rsidRPr="00EE0047" w:rsidRDefault="00025B1B" w:rsidP="00FA10B2">
      <w:pPr>
        <w:autoSpaceDE w:val="0"/>
        <w:autoSpaceDN w:val="0"/>
        <w:adjustRightInd w:val="0"/>
        <w:spacing w:line="276" w:lineRule="auto"/>
        <w:jc w:val="both"/>
        <w:rPr>
          <w:sz w:val="20"/>
          <w:szCs w:val="20"/>
          <w:lang w:val="en-GB"/>
        </w:rPr>
      </w:pPr>
    </w:p>
    <w:p w:rsidR="00FA10B2" w:rsidRPr="00EE0047" w:rsidRDefault="00FA10B2" w:rsidP="00FA10B2">
      <w:pPr>
        <w:spacing w:line="276" w:lineRule="auto"/>
        <w:jc w:val="both"/>
        <w:rPr>
          <w:b/>
          <w:sz w:val="20"/>
          <w:szCs w:val="20"/>
          <w:lang w:val="en-GB"/>
        </w:rPr>
      </w:pPr>
    </w:p>
    <w:p w:rsidR="00FA10B2" w:rsidRPr="00EE0047" w:rsidRDefault="00FA10B2" w:rsidP="00FA10B2">
      <w:pPr>
        <w:spacing w:line="276" w:lineRule="auto"/>
        <w:jc w:val="both"/>
        <w:rPr>
          <w:szCs w:val="20"/>
          <w:lang w:val="en-GB"/>
        </w:rPr>
      </w:pPr>
      <w:r w:rsidRPr="00EE0047">
        <w:rPr>
          <w:b/>
          <w:sz w:val="20"/>
          <w:szCs w:val="20"/>
          <w:lang w:val="en-GB"/>
        </w:rPr>
        <w:t>Chart 2: The</w:t>
      </w:r>
      <w:r w:rsidRPr="00EE0047">
        <w:rPr>
          <w:sz w:val="20"/>
          <w:szCs w:val="20"/>
          <w:lang w:val="en-GB"/>
        </w:rPr>
        <w:t xml:space="preserve"> </w:t>
      </w:r>
      <w:r w:rsidRPr="00EE0047">
        <w:rPr>
          <w:b/>
          <w:sz w:val="20"/>
          <w:szCs w:val="20"/>
          <w:lang w:val="en-GB"/>
        </w:rPr>
        <w:t>number of working persons in the national economy by economic activity (thousand)</w:t>
      </w:r>
      <w:r w:rsidRPr="00EE0047">
        <w:rPr>
          <w:szCs w:val="20"/>
          <w:lang w:val="en-GB"/>
        </w:rPr>
        <w:t xml:space="preserve"> </w:t>
      </w:r>
    </w:p>
    <w:p w:rsidR="00FA10B2" w:rsidRPr="00EE0047" w:rsidRDefault="00B60DF9" w:rsidP="005A5F7E">
      <w:pPr>
        <w:spacing w:line="276" w:lineRule="auto"/>
        <w:jc w:val="center"/>
        <w:rPr>
          <w:szCs w:val="20"/>
          <w:lang w:val="en-GB"/>
        </w:rPr>
      </w:pPr>
      <w:r>
        <w:pict>
          <v:shape id="_x0000_i1026" type="#_x0000_t75" style="width:339.75pt;height:266.25pt;visibility:visible;mso-wrap-style:square">
            <v:imagedata r:id="rId11" o:title=""/>
          </v:shape>
        </w:pict>
      </w:r>
    </w:p>
    <w:p w:rsidR="00FA10B2" w:rsidRPr="00EE0047" w:rsidRDefault="00FA10B2" w:rsidP="00FA10B2">
      <w:pPr>
        <w:spacing w:line="276" w:lineRule="auto"/>
        <w:jc w:val="both"/>
        <w:rPr>
          <w:szCs w:val="20"/>
          <w:lang w:val="en-GB"/>
        </w:rPr>
      </w:pPr>
      <w:r w:rsidRPr="00EE0047">
        <w:rPr>
          <w:szCs w:val="20"/>
          <w:lang w:val="en-GB"/>
        </w:rPr>
        <w:t>Source: CZSO, LFSS</w:t>
      </w:r>
    </w:p>
    <w:p w:rsidR="00FA10B2" w:rsidRPr="00EE0047" w:rsidRDefault="00FA10B2" w:rsidP="00FA10B2">
      <w:pPr>
        <w:jc w:val="both"/>
        <w:rPr>
          <w:sz w:val="20"/>
          <w:szCs w:val="20"/>
          <w:lang w:val="en-GB"/>
        </w:rPr>
      </w:pPr>
    </w:p>
    <w:p w:rsidR="002752FA" w:rsidRDefault="002752FA" w:rsidP="00FA10B2">
      <w:pPr>
        <w:spacing w:line="276" w:lineRule="auto"/>
        <w:jc w:val="both"/>
        <w:rPr>
          <w:sz w:val="20"/>
          <w:szCs w:val="20"/>
          <w:lang w:val="en-GB"/>
        </w:rPr>
      </w:pPr>
    </w:p>
    <w:p w:rsidR="00FA10B2" w:rsidRPr="00EE0047" w:rsidRDefault="00FA10B2" w:rsidP="00FA10B2">
      <w:pPr>
        <w:spacing w:line="276" w:lineRule="auto"/>
        <w:jc w:val="both"/>
        <w:rPr>
          <w:sz w:val="20"/>
          <w:szCs w:val="20"/>
          <w:lang w:val="en-GB"/>
        </w:rPr>
      </w:pPr>
      <w:r w:rsidRPr="00EE0047">
        <w:rPr>
          <w:sz w:val="20"/>
          <w:szCs w:val="20"/>
          <w:lang w:val="en-GB"/>
        </w:rPr>
        <w:t xml:space="preserve">Along with changes in the structure by economic activity (CZ-NACE section), changes in the structure of working persons by occupation also occurred. </w:t>
      </w:r>
      <w:r w:rsidRPr="00EE0047">
        <w:rPr>
          <w:b/>
          <w:sz w:val="20"/>
          <w:szCs w:val="20"/>
          <w:lang w:val="en-GB"/>
        </w:rPr>
        <w:t>According to the Classification of Occupations (CZ-ISCO)</w:t>
      </w:r>
      <w:r w:rsidRPr="00EE0047">
        <w:rPr>
          <w:sz w:val="20"/>
          <w:szCs w:val="20"/>
          <w:lang w:val="en-GB"/>
        </w:rPr>
        <w:t>, the number of working persons increased the most in the major group of professionals</w:t>
      </w:r>
      <w:r w:rsidR="00141D01" w:rsidRPr="00EE0047">
        <w:rPr>
          <w:sz w:val="20"/>
          <w:szCs w:val="20"/>
          <w:lang w:val="en-GB"/>
        </w:rPr>
        <w:t xml:space="preserve"> (by 65.0</w:t>
      </w:r>
      <w:r w:rsidRPr="00EE0047">
        <w:rPr>
          <w:sz w:val="20"/>
          <w:szCs w:val="20"/>
          <w:lang w:val="en-GB"/>
        </w:rPr>
        <w:t> thousand) and in the group of service and sales workers (by 4</w:t>
      </w:r>
      <w:r w:rsidR="00141D01" w:rsidRPr="00EE0047">
        <w:rPr>
          <w:sz w:val="20"/>
          <w:szCs w:val="20"/>
          <w:lang w:val="en-GB"/>
        </w:rPr>
        <w:t>0.2</w:t>
      </w:r>
      <w:r w:rsidRPr="00EE0047">
        <w:rPr>
          <w:sz w:val="20"/>
          <w:szCs w:val="20"/>
          <w:lang w:val="en-GB"/>
        </w:rPr>
        <w:t> thousand). On the other hand, the biggest decrease occurred in the major group of</w:t>
      </w:r>
      <w:r w:rsidR="00141D01" w:rsidRPr="00EE0047">
        <w:rPr>
          <w:sz w:val="20"/>
          <w:szCs w:val="20"/>
          <w:lang w:val="en-GB"/>
        </w:rPr>
        <w:t xml:space="preserve"> clerical support workers (by 62.6</w:t>
      </w:r>
      <w:r w:rsidRPr="00EE0047">
        <w:rPr>
          <w:sz w:val="20"/>
          <w:szCs w:val="20"/>
          <w:lang w:val="en-GB"/>
        </w:rPr>
        <w:t> thousand).</w:t>
      </w:r>
    </w:p>
    <w:p w:rsidR="00FA10B2" w:rsidRPr="00EE0047" w:rsidRDefault="00FA10B2" w:rsidP="00FA10B2">
      <w:pPr>
        <w:jc w:val="both"/>
        <w:rPr>
          <w:b/>
          <w:sz w:val="20"/>
          <w:szCs w:val="20"/>
          <w:lang w:val="en-GB"/>
        </w:rPr>
      </w:pPr>
    </w:p>
    <w:p w:rsidR="00FA10B2" w:rsidRPr="00EE0047" w:rsidRDefault="00844473" w:rsidP="00FA10B2">
      <w:pPr>
        <w:jc w:val="both"/>
        <w:rPr>
          <w:b/>
          <w:sz w:val="20"/>
          <w:szCs w:val="20"/>
          <w:lang w:val="en-GB"/>
        </w:rPr>
      </w:pPr>
      <w:r>
        <w:rPr>
          <w:b/>
          <w:sz w:val="20"/>
          <w:szCs w:val="20"/>
          <w:lang w:val="en-GB"/>
        </w:rPr>
        <w:br w:type="page"/>
      </w:r>
      <w:r w:rsidR="00FA10B2" w:rsidRPr="00EE0047">
        <w:rPr>
          <w:b/>
          <w:sz w:val="20"/>
          <w:szCs w:val="20"/>
          <w:lang w:val="en-GB"/>
        </w:rPr>
        <w:lastRenderedPageBreak/>
        <w:t>Chart 3: The</w:t>
      </w:r>
      <w:r w:rsidR="00FA10B2" w:rsidRPr="00EE0047">
        <w:rPr>
          <w:sz w:val="20"/>
          <w:szCs w:val="20"/>
          <w:lang w:val="en-GB"/>
        </w:rPr>
        <w:t xml:space="preserve"> </w:t>
      </w:r>
      <w:r w:rsidR="00FA10B2" w:rsidRPr="00EE0047">
        <w:rPr>
          <w:b/>
          <w:sz w:val="20"/>
          <w:szCs w:val="20"/>
          <w:lang w:val="en-GB"/>
        </w:rPr>
        <w:t>number of working persons in the national economy by Classification of Occupations (thousand)</w:t>
      </w:r>
    </w:p>
    <w:p w:rsidR="002752FA" w:rsidRDefault="00B60DF9" w:rsidP="002752FA">
      <w:pPr>
        <w:spacing w:line="276" w:lineRule="auto"/>
        <w:jc w:val="center"/>
      </w:pPr>
      <w:r>
        <w:pict>
          <v:shape id="_x0000_i1027" type="#_x0000_t75" style="width:339.75pt;height:231.75pt;visibility:visible;mso-wrap-style:square">
            <v:imagedata r:id="rId12" o:title=""/>
          </v:shape>
        </w:pict>
      </w:r>
    </w:p>
    <w:p w:rsidR="002752FA" w:rsidRPr="00EE0047" w:rsidRDefault="002752FA" w:rsidP="002752FA">
      <w:pPr>
        <w:spacing w:line="276" w:lineRule="auto"/>
        <w:jc w:val="both"/>
        <w:rPr>
          <w:szCs w:val="20"/>
          <w:lang w:val="en-GB"/>
        </w:rPr>
      </w:pPr>
      <w:r w:rsidRPr="00EE0047">
        <w:rPr>
          <w:szCs w:val="20"/>
          <w:lang w:val="en-GB"/>
        </w:rPr>
        <w:t>Source: CZSO, LFSS</w:t>
      </w:r>
    </w:p>
    <w:p w:rsidR="002752FA" w:rsidRDefault="002752FA" w:rsidP="00844473">
      <w:pPr>
        <w:spacing w:line="276" w:lineRule="auto"/>
        <w:jc w:val="both"/>
      </w:pPr>
    </w:p>
    <w:p w:rsidR="002752FA" w:rsidRDefault="002752FA" w:rsidP="00844473">
      <w:pPr>
        <w:spacing w:line="276" w:lineRule="auto"/>
        <w:jc w:val="both"/>
        <w:rPr>
          <w:sz w:val="20"/>
          <w:szCs w:val="20"/>
          <w:lang w:val="en-GB"/>
        </w:rPr>
      </w:pPr>
    </w:p>
    <w:p w:rsidR="00FA10B2" w:rsidRPr="00EE0047" w:rsidRDefault="00FA10B2" w:rsidP="00844473">
      <w:pPr>
        <w:spacing w:line="276" w:lineRule="auto"/>
        <w:jc w:val="both"/>
        <w:rPr>
          <w:sz w:val="20"/>
          <w:szCs w:val="20"/>
          <w:lang w:val="en-GB"/>
        </w:rPr>
      </w:pPr>
      <w:r w:rsidRPr="00EE0047">
        <w:rPr>
          <w:sz w:val="20"/>
          <w:szCs w:val="20"/>
          <w:lang w:val="en-GB"/>
        </w:rPr>
        <w:t xml:space="preserve">The development trend in the number of working persons according to the educational attainment is also related to those changes in the employment structure. The number of working persons with </w:t>
      </w:r>
      <w:r w:rsidRPr="00EE0047">
        <w:rPr>
          <w:b/>
          <w:sz w:val="20"/>
          <w:szCs w:val="20"/>
          <w:lang w:val="en-GB"/>
        </w:rPr>
        <w:t>primary education</w:t>
      </w:r>
      <w:r w:rsidR="00DA7E6F" w:rsidRPr="00EE0047">
        <w:rPr>
          <w:sz w:val="20"/>
          <w:szCs w:val="20"/>
          <w:lang w:val="en-GB"/>
        </w:rPr>
        <w:t xml:space="preserve"> increased by 4.2 thousand to 239.0</w:t>
      </w:r>
      <w:r w:rsidRPr="00EE0047">
        <w:rPr>
          <w:sz w:val="20"/>
          <w:szCs w:val="20"/>
          <w:lang w:val="en-GB"/>
        </w:rPr>
        <w:t xml:space="preserve"> thousand. The number of working persons with </w:t>
      </w:r>
      <w:r w:rsidRPr="00EE0047">
        <w:rPr>
          <w:b/>
          <w:sz w:val="20"/>
          <w:szCs w:val="20"/>
          <w:lang w:val="en-GB"/>
        </w:rPr>
        <w:t>secondary education without A-level examination</w:t>
      </w:r>
      <w:r w:rsidR="00DA7E6F" w:rsidRPr="00EE0047">
        <w:rPr>
          <w:sz w:val="20"/>
          <w:szCs w:val="20"/>
          <w:lang w:val="en-GB"/>
        </w:rPr>
        <w:t xml:space="preserve"> increased by 12</w:t>
      </w:r>
      <w:r w:rsidRPr="00EE0047">
        <w:rPr>
          <w:sz w:val="20"/>
          <w:szCs w:val="20"/>
          <w:lang w:val="en-GB"/>
        </w:rPr>
        <w:t>.8 thousand to 1 6</w:t>
      </w:r>
      <w:r w:rsidR="00DA7E6F" w:rsidRPr="00EE0047">
        <w:rPr>
          <w:sz w:val="20"/>
          <w:szCs w:val="20"/>
          <w:lang w:val="en-GB"/>
        </w:rPr>
        <w:t>19.6</w:t>
      </w:r>
      <w:r w:rsidRPr="00EE0047">
        <w:rPr>
          <w:sz w:val="20"/>
          <w:szCs w:val="20"/>
          <w:lang w:val="en-GB"/>
        </w:rPr>
        <w:t xml:space="preserve"> thousand persons. The number of employed persons with </w:t>
      </w:r>
      <w:r w:rsidRPr="00EE0047">
        <w:rPr>
          <w:b/>
          <w:sz w:val="20"/>
          <w:szCs w:val="20"/>
          <w:lang w:val="en-GB"/>
        </w:rPr>
        <w:t>secondary education with A-level examination</w:t>
      </w:r>
      <w:r w:rsidR="00DA7E6F" w:rsidRPr="00EE0047">
        <w:rPr>
          <w:sz w:val="20"/>
          <w:szCs w:val="20"/>
          <w:lang w:val="en-GB"/>
        </w:rPr>
        <w:t xml:space="preserve"> increased the most, by 47.1</w:t>
      </w:r>
      <w:r w:rsidRPr="00EE0047">
        <w:rPr>
          <w:sz w:val="20"/>
          <w:szCs w:val="20"/>
          <w:lang w:val="en-GB"/>
        </w:rPr>
        <w:t> thousand, to 1 8</w:t>
      </w:r>
      <w:r w:rsidR="00DA7E6F" w:rsidRPr="00EE0047">
        <w:rPr>
          <w:sz w:val="20"/>
          <w:szCs w:val="20"/>
          <w:lang w:val="en-GB"/>
        </w:rPr>
        <w:t>87.3</w:t>
      </w:r>
      <w:r w:rsidRPr="00EE0047">
        <w:rPr>
          <w:sz w:val="20"/>
          <w:szCs w:val="20"/>
          <w:lang w:val="en-GB"/>
        </w:rPr>
        <w:t xml:space="preserve"> thousand working persons. The number of employed persons with </w:t>
      </w:r>
      <w:r w:rsidRPr="00EE0047">
        <w:rPr>
          <w:b/>
          <w:sz w:val="20"/>
          <w:szCs w:val="20"/>
          <w:lang w:val="en-GB"/>
        </w:rPr>
        <w:t>tertiary education</w:t>
      </w:r>
      <w:r w:rsidR="00DA7E6F" w:rsidRPr="00EE0047">
        <w:rPr>
          <w:sz w:val="20"/>
          <w:szCs w:val="20"/>
          <w:lang w:val="en-GB"/>
        </w:rPr>
        <w:t xml:space="preserve"> increased by 38.9 thousand to 1 420.3</w:t>
      </w:r>
      <w:r w:rsidRPr="00EE0047">
        <w:rPr>
          <w:sz w:val="20"/>
          <w:szCs w:val="20"/>
          <w:lang w:val="en-GB"/>
        </w:rPr>
        <w:t> thousand persons.</w:t>
      </w:r>
    </w:p>
    <w:p w:rsidR="00FA10B2" w:rsidRPr="00EE0047" w:rsidRDefault="00FA10B2" w:rsidP="00FA10B2">
      <w:pPr>
        <w:jc w:val="both"/>
        <w:rPr>
          <w:sz w:val="20"/>
          <w:szCs w:val="20"/>
          <w:lang w:val="en-GB"/>
        </w:rPr>
      </w:pPr>
    </w:p>
    <w:p w:rsidR="00FA10B2" w:rsidRPr="00EE0047" w:rsidRDefault="00FA10B2" w:rsidP="00FA10B2">
      <w:pPr>
        <w:spacing w:line="276" w:lineRule="auto"/>
        <w:jc w:val="both"/>
        <w:rPr>
          <w:rFonts w:cs="Arial"/>
          <w:bCs/>
          <w:sz w:val="20"/>
          <w:szCs w:val="20"/>
          <w:lang w:val="en-GB"/>
        </w:rPr>
      </w:pPr>
      <w:r w:rsidRPr="00EE0047">
        <w:rPr>
          <w:rFonts w:cs="Arial"/>
          <w:bCs/>
          <w:sz w:val="20"/>
          <w:szCs w:val="20"/>
          <w:lang w:val="en-GB"/>
        </w:rPr>
        <w:t xml:space="preserve">The </w:t>
      </w:r>
      <w:r w:rsidRPr="00EE0047">
        <w:rPr>
          <w:rFonts w:cs="Arial"/>
          <w:b/>
          <w:bCs/>
          <w:sz w:val="20"/>
          <w:szCs w:val="20"/>
          <w:lang w:val="en-GB"/>
        </w:rPr>
        <w:t>employment rate</w:t>
      </w:r>
      <w:r w:rsidRPr="00EE0047">
        <w:rPr>
          <w:rFonts w:cs="Arial"/>
          <w:bCs/>
          <w:sz w:val="20"/>
          <w:szCs w:val="20"/>
          <w:lang w:val="en-GB"/>
        </w:rPr>
        <w:t xml:space="preserve"> (the percentage of working persons in the age group of 15–64 years old) </w:t>
      </w:r>
      <w:r w:rsidR="001D5EA4" w:rsidRPr="00EE0047">
        <w:rPr>
          <w:rFonts w:cs="Arial"/>
          <w:bCs/>
          <w:sz w:val="20"/>
          <w:szCs w:val="20"/>
          <w:lang w:val="en-GB"/>
        </w:rPr>
        <w:t>remained nearly unchanged</w:t>
      </w:r>
      <w:r w:rsidRPr="00EE0047">
        <w:rPr>
          <w:rFonts w:cs="Arial"/>
          <w:bCs/>
          <w:sz w:val="20"/>
          <w:szCs w:val="20"/>
          <w:lang w:val="en-GB"/>
        </w:rPr>
        <w:t xml:space="preserve"> in the </w:t>
      </w:r>
      <w:r w:rsidR="00631E3D" w:rsidRPr="00EE0047">
        <w:rPr>
          <w:rFonts w:cs="Arial"/>
          <w:bCs/>
          <w:sz w:val="20"/>
          <w:szCs w:val="20"/>
          <w:lang w:val="en-GB"/>
        </w:rPr>
        <w:t>Q2 2024</w:t>
      </w:r>
      <w:r w:rsidRPr="00EE0047">
        <w:rPr>
          <w:rFonts w:cs="Arial"/>
          <w:bCs/>
          <w:sz w:val="20"/>
          <w:szCs w:val="20"/>
          <w:lang w:val="en-GB"/>
        </w:rPr>
        <w:t xml:space="preserve"> compared to the corresponding period of the previous year</w:t>
      </w:r>
      <w:r w:rsidR="001D5EA4" w:rsidRPr="00EE0047">
        <w:rPr>
          <w:rFonts w:cs="Arial"/>
          <w:bCs/>
          <w:sz w:val="20"/>
          <w:szCs w:val="20"/>
          <w:lang w:val="en-GB"/>
        </w:rPr>
        <w:t xml:space="preserve">. However, the development among males and females </w:t>
      </w:r>
      <w:r w:rsidR="00EE0D00" w:rsidRPr="00EE0047">
        <w:rPr>
          <w:rFonts w:cs="Arial"/>
          <w:bCs/>
          <w:sz w:val="20"/>
          <w:szCs w:val="20"/>
          <w:lang w:val="en-GB"/>
        </w:rPr>
        <w:t>was opposing</w:t>
      </w:r>
      <w:r w:rsidR="001D5EA4" w:rsidRPr="00EE0047">
        <w:rPr>
          <w:rFonts w:cs="Arial"/>
          <w:bCs/>
          <w:sz w:val="20"/>
          <w:szCs w:val="20"/>
          <w:lang w:val="en-GB"/>
        </w:rPr>
        <w:t xml:space="preserve">. </w:t>
      </w:r>
      <w:r w:rsidRPr="00EE0047">
        <w:rPr>
          <w:rFonts w:cs="Arial"/>
          <w:bCs/>
          <w:sz w:val="20"/>
          <w:szCs w:val="20"/>
          <w:lang w:val="en-GB"/>
        </w:rPr>
        <w:t xml:space="preserve">The male </w:t>
      </w:r>
      <w:r w:rsidR="001D5EA4" w:rsidRPr="00EE0047">
        <w:rPr>
          <w:rFonts w:cs="Arial"/>
          <w:bCs/>
          <w:sz w:val="20"/>
          <w:szCs w:val="20"/>
          <w:lang w:val="en-GB"/>
        </w:rPr>
        <w:t>employment rate decreased by 0.8 p. p. to 81.0</w:t>
      </w:r>
      <w:r w:rsidRPr="00EE0047">
        <w:rPr>
          <w:rFonts w:cs="Arial"/>
          <w:bCs/>
          <w:sz w:val="20"/>
          <w:szCs w:val="20"/>
          <w:lang w:val="en-GB"/>
        </w:rPr>
        <w:t xml:space="preserve">%, </w:t>
      </w:r>
      <w:r w:rsidR="001D5EA4" w:rsidRPr="00EE0047">
        <w:rPr>
          <w:rFonts w:cs="Arial"/>
          <w:bCs/>
          <w:sz w:val="20"/>
          <w:szCs w:val="20"/>
          <w:lang w:val="en-GB"/>
        </w:rPr>
        <w:t>the female one increased by 1.1 p. p. to 69.3</w:t>
      </w:r>
      <w:r w:rsidRPr="00EE0047">
        <w:rPr>
          <w:rFonts w:cs="Arial"/>
          <w:bCs/>
          <w:sz w:val="20"/>
          <w:szCs w:val="20"/>
          <w:lang w:val="en-GB"/>
        </w:rPr>
        <w:t xml:space="preserve">%.  </w:t>
      </w:r>
    </w:p>
    <w:p w:rsidR="00FA10B2" w:rsidRPr="00EE0047" w:rsidRDefault="00FA10B2" w:rsidP="00FA10B2">
      <w:pPr>
        <w:spacing w:line="276" w:lineRule="auto"/>
        <w:jc w:val="both"/>
        <w:rPr>
          <w:sz w:val="20"/>
          <w:szCs w:val="20"/>
          <w:lang w:val="en-GB"/>
        </w:rPr>
      </w:pPr>
    </w:p>
    <w:p w:rsidR="00FA10B2" w:rsidRPr="00EE0047" w:rsidRDefault="00FA10B2" w:rsidP="00FA10B2">
      <w:pPr>
        <w:pStyle w:val="Nadpis3"/>
        <w:spacing w:before="0"/>
        <w:rPr>
          <w:rFonts w:eastAsia="Calibri"/>
          <w:bCs w:val="0"/>
          <w:sz w:val="20"/>
          <w:lang w:val="en-GB"/>
        </w:rPr>
      </w:pPr>
      <w:r w:rsidRPr="00EE0047">
        <w:rPr>
          <w:rFonts w:eastAsia="Calibri"/>
          <w:bCs w:val="0"/>
          <w:sz w:val="20"/>
          <w:lang w:val="en-GB"/>
        </w:rPr>
        <w:lastRenderedPageBreak/>
        <w:t>Unemployment</w:t>
      </w:r>
    </w:p>
    <w:p w:rsidR="002752FA" w:rsidRDefault="002752FA" w:rsidP="002752FA">
      <w:pPr>
        <w:keepNext/>
        <w:spacing w:line="276" w:lineRule="auto"/>
        <w:jc w:val="both"/>
        <w:rPr>
          <w:rFonts w:cs="Arial"/>
          <w:bCs/>
          <w:sz w:val="20"/>
          <w:szCs w:val="20"/>
          <w:lang w:val="en-GB"/>
        </w:rPr>
      </w:pPr>
    </w:p>
    <w:p w:rsidR="00FA10B2" w:rsidRDefault="00FA10B2" w:rsidP="00FA10B2">
      <w:pPr>
        <w:spacing w:line="276" w:lineRule="auto"/>
        <w:jc w:val="both"/>
        <w:rPr>
          <w:rFonts w:cs="Arial"/>
          <w:sz w:val="20"/>
          <w:szCs w:val="20"/>
          <w:lang w:val="en-GB"/>
        </w:rPr>
      </w:pPr>
      <w:r w:rsidRPr="00EE0047">
        <w:rPr>
          <w:rFonts w:cs="Arial"/>
          <w:bCs/>
          <w:sz w:val="20"/>
          <w:szCs w:val="20"/>
          <w:lang w:val="en-GB"/>
        </w:rPr>
        <w:t xml:space="preserve">The seasonally adjusted </w:t>
      </w:r>
      <w:r w:rsidRPr="00EE0047">
        <w:rPr>
          <w:rFonts w:cs="Arial"/>
          <w:b/>
          <w:bCs/>
          <w:sz w:val="20"/>
          <w:szCs w:val="20"/>
          <w:lang w:val="en-GB"/>
        </w:rPr>
        <w:t>average number of unemployed persons according to the ILO</w:t>
      </w:r>
      <w:r w:rsidRPr="00EE0047">
        <w:rPr>
          <w:rFonts w:cs="Arial"/>
          <w:sz w:val="20"/>
          <w:szCs w:val="20"/>
          <w:lang w:val="en-GB"/>
        </w:rPr>
        <w:t xml:space="preserve"> </w:t>
      </w:r>
      <w:r w:rsidRPr="00EE0047">
        <w:rPr>
          <w:rFonts w:cs="Arial"/>
          <w:b/>
          <w:sz w:val="20"/>
          <w:szCs w:val="20"/>
          <w:lang w:val="en-GB"/>
        </w:rPr>
        <w:t>methodology</w:t>
      </w:r>
      <w:bookmarkStart w:id="2" w:name="_Ref528752430"/>
      <w:r w:rsidRPr="00EE0047">
        <w:rPr>
          <w:rStyle w:val="Znakapoznpodarou"/>
          <w:rFonts w:cs="Arial"/>
          <w:i/>
          <w:sz w:val="20"/>
          <w:szCs w:val="20"/>
          <w:lang w:val="en-GB"/>
        </w:rPr>
        <w:footnoteReference w:id="2"/>
      </w:r>
      <w:bookmarkEnd w:id="2"/>
      <w:r w:rsidRPr="00EE0047">
        <w:rPr>
          <w:rFonts w:cs="Arial"/>
          <w:i/>
          <w:sz w:val="20"/>
          <w:szCs w:val="20"/>
          <w:vertAlign w:val="superscript"/>
          <w:lang w:val="en-GB"/>
        </w:rPr>
        <w:t>)</w:t>
      </w:r>
      <w:r w:rsidR="001D5EA4" w:rsidRPr="00EE0047">
        <w:rPr>
          <w:rFonts w:cs="Arial"/>
          <w:sz w:val="20"/>
          <w:szCs w:val="20"/>
          <w:lang w:val="en-GB"/>
        </w:rPr>
        <w:t xml:space="preserve"> de</w:t>
      </w:r>
      <w:r w:rsidRPr="00EE0047">
        <w:rPr>
          <w:rFonts w:cs="Arial"/>
          <w:sz w:val="20"/>
          <w:szCs w:val="20"/>
          <w:lang w:val="en-GB"/>
        </w:rPr>
        <w:t xml:space="preserve">creased in the </w:t>
      </w:r>
      <w:r w:rsidR="00631E3D" w:rsidRPr="00EE0047">
        <w:rPr>
          <w:rFonts w:cs="Arial"/>
          <w:sz w:val="20"/>
          <w:szCs w:val="20"/>
          <w:lang w:val="en-GB"/>
        </w:rPr>
        <w:t>Q2 2024</w:t>
      </w:r>
      <w:r w:rsidRPr="00EE0047">
        <w:rPr>
          <w:rFonts w:cs="Arial"/>
          <w:sz w:val="20"/>
          <w:szCs w:val="20"/>
          <w:lang w:val="en-GB"/>
        </w:rPr>
        <w:t xml:space="preserve"> by </w:t>
      </w:r>
      <w:r w:rsidR="001D5EA4" w:rsidRPr="00EE0047">
        <w:rPr>
          <w:rFonts w:cs="Arial"/>
          <w:sz w:val="20"/>
          <w:szCs w:val="20"/>
          <w:lang w:val="en-GB"/>
        </w:rPr>
        <w:t>4.2</w:t>
      </w:r>
      <w:r w:rsidRPr="00EE0047">
        <w:rPr>
          <w:rFonts w:cs="Arial"/>
          <w:sz w:val="20"/>
          <w:szCs w:val="20"/>
          <w:lang w:val="en-GB"/>
        </w:rPr>
        <w:t> thousand per</w:t>
      </w:r>
      <w:r w:rsidR="001D5EA4" w:rsidRPr="00EE0047">
        <w:rPr>
          <w:rFonts w:cs="Arial"/>
          <w:sz w:val="20"/>
          <w:szCs w:val="20"/>
          <w:lang w:val="en-GB"/>
        </w:rPr>
        <w:t>sons, compared to that in the Q1 2024</w:t>
      </w:r>
      <w:r w:rsidR="002752FA">
        <w:rPr>
          <w:rFonts w:cs="Arial"/>
          <w:sz w:val="20"/>
          <w:szCs w:val="20"/>
          <w:lang w:val="en-GB"/>
        </w:rPr>
        <w:t>.</w:t>
      </w:r>
    </w:p>
    <w:p w:rsidR="002752FA" w:rsidRPr="00EE0047" w:rsidRDefault="002752FA" w:rsidP="00FA10B2">
      <w:pPr>
        <w:spacing w:line="276" w:lineRule="auto"/>
        <w:jc w:val="both"/>
        <w:rPr>
          <w:rFonts w:cs="Arial"/>
          <w:sz w:val="20"/>
          <w:szCs w:val="20"/>
          <w:lang w:val="en-GB"/>
        </w:rPr>
      </w:pPr>
    </w:p>
    <w:p w:rsidR="00FA10B2" w:rsidRPr="00EE0047" w:rsidRDefault="00FA10B2" w:rsidP="00FA10B2">
      <w:pPr>
        <w:spacing w:line="276" w:lineRule="auto"/>
        <w:jc w:val="both"/>
        <w:rPr>
          <w:b/>
          <w:sz w:val="20"/>
          <w:szCs w:val="20"/>
          <w:lang w:val="en-GB"/>
        </w:rPr>
      </w:pPr>
      <w:r w:rsidRPr="00EE0047">
        <w:rPr>
          <w:b/>
          <w:sz w:val="20"/>
          <w:szCs w:val="20"/>
          <w:lang w:val="en-GB"/>
        </w:rPr>
        <w:t>Chart 4: The number of the unemployed in Regions of the Czech Republic (thousand)</w:t>
      </w:r>
    </w:p>
    <w:p w:rsidR="00FA10B2" w:rsidRPr="00EE0047" w:rsidRDefault="00B60DF9" w:rsidP="005A5F7E">
      <w:pPr>
        <w:spacing w:line="276" w:lineRule="auto"/>
        <w:jc w:val="center"/>
        <w:rPr>
          <w:noProof/>
          <w:lang w:val="en-GB" w:eastAsia="cs-CZ"/>
        </w:rPr>
      </w:pPr>
      <w:r>
        <w:pict>
          <v:shape id="_x0000_i1028" type="#_x0000_t75" style="width:340.5pt;height:223.5pt;visibility:visible;mso-wrap-style:square">
            <v:imagedata r:id="rId13" o:title=""/>
          </v:shape>
        </w:pict>
      </w:r>
    </w:p>
    <w:p w:rsidR="00FA10B2" w:rsidRPr="00EE0047" w:rsidRDefault="00FA10B2" w:rsidP="00FA10B2">
      <w:pPr>
        <w:spacing w:line="276" w:lineRule="auto"/>
        <w:jc w:val="both"/>
        <w:rPr>
          <w:rFonts w:cs="Arial"/>
          <w:sz w:val="20"/>
          <w:szCs w:val="20"/>
          <w:lang w:val="en-GB"/>
        </w:rPr>
      </w:pPr>
      <w:r w:rsidRPr="00EE0047">
        <w:rPr>
          <w:szCs w:val="20"/>
          <w:lang w:val="en-GB"/>
        </w:rPr>
        <w:t>Source: CZSO, LFSS</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2752FA" w:rsidRDefault="002752FA"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EE0047">
        <w:rPr>
          <w:rFonts w:cs="Arial"/>
          <w:sz w:val="20"/>
          <w:szCs w:val="20"/>
          <w:lang w:val="en-GB"/>
        </w:rPr>
        <w:t xml:space="preserve">The total </w:t>
      </w:r>
      <w:r w:rsidRPr="00EE0047">
        <w:rPr>
          <w:rFonts w:cs="Arial"/>
          <w:b/>
          <w:sz w:val="20"/>
          <w:szCs w:val="20"/>
          <w:lang w:val="en-GB"/>
        </w:rPr>
        <w:t>number of the unemployed</w:t>
      </w:r>
      <w:r w:rsidRPr="00EE0047">
        <w:rPr>
          <w:rFonts w:cs="Arial"/>
          <w:sz w:val="20"/>
          <w:szCs w:val="20"/>
          <w:lang w:val="en-GB"/>
        </w:rPr>
        <w:t xml:space="preserve"> aged 15+ years</w:t>
      </w:r>
      <w:r w:rsidR="00790BF8" w:rsidRPr="00EE0047">
        <w:rPr>
          <w:rFonts w:cs="Arial"/>
          <w:sz w:val="20"/>
          <w:szCs w:val="20"/>
          <w:lang w:val="en-GB"/>
        </w:rPr>
        <w:t xml:space="preserve"> slightly</w:t>
      </w:r>
      <w:r w:rsidRPr="00EE0047">
        <w:rPr>
          <w:rFonts w:cs="Arial"/>
          <w:sz w:val="20"/>
          <w:szCs w:val="20"/>
          <w:lang w:val="en-GB"/>
        </w:rPr>
        <w:t xml:space="preserve"> increased, year-on-year. The number o</w:t>
      </w:r>
      <w:r w:rsidR="00B006A4" w:rsidRPr="00EE0047">
        <w:rPr>
          <w:rFonts w:cs="Arial"/>
          <w:sz w:val="20"/>
          <w:szCs w:val="20"/>
          <w:lang w:val="en-GB"/>
        </w:rPr>
        <w:t>f the unemployed increased by 1.7</w:t>
      </w:r>
      <w:r w:rsidRPr="00EE0047">
        <w:rPr>
          <w:rFonts w:cs="Arial"/>
          <w:sz w:val="20"/>
          <w:szCs w:val="20"/>
          <w:lang w:val="en-GB"/>
        </w:rPr>
        <w:t> thousand to 1</w:t>
      </w:r>
      <w:r w:rsidR="00B006A4" w:rsidRPr="00EE0047">
        <w:rPr>
          <w:rFonts w:cs="Arial"/>
          <w:sz w:val="20"/>
          <w:szCs w:val="20"/>
          <w:lang w:val="en-GB"/>
        </w:rPr>
        <w:t>3</w:t>
      </w:r>
      <w:r w:rsidRPr="00EE0047">
        <w:rPr>
          <w:rFonts w:cs="Arial"/>
          <w:sz w:val="20"/>
          <w:szCs w:val="20"/>
          <w:lang w:val="en-GB"/>
        </w:rPr>
        <w:t xml:space="preserve">4.1 thousand persons. Specifically, it was an increase in the number of the unemployed </w:t>
      </w:r>
      <w:r w:rsidR="00B006A4" w:rsidRPr="00EE0047">
        <w:rPr>
          <w:rFonts w:cs="Arial"/>
          <w:sz w:val="20"/>
          <w:szCs w:val="20"/>
          <w:lang w:val="en-GB"/>
        </w:rPr>
        <w:t>males by 2.4 thousand to 66.9</w:t>
      </w:r>
      <w:r w:rsidRPr="00EE0047">
        <w:rPr>
          <w:rFonts w:cs="Arial"/>
          <w:sz w:val="20"/>
          <w:szCs w:val="20"/>
          <w:lang w:val="en-GB"/>
        </w:rPr>
        <w:t xml:space="preserve"> thousand. The number of the unemployed </w:t>
      </w:r>
      <w:r w:rsidR="005C09CB" w:rsidRPr="00EE0047">
        <w:rPr>
          <w:rFonts w:cs="Arial"/>
          <w:sz w:val="20"/>
          <w:szCs w:val="20"/>
          <w:lang w:val="en-GB"/>
        </w:rPr>
        <w:t>females de</w:t>
      </w:r>
      <w:r w:rsidRPr="00EE0047">
        <w:rPr>
          <w:rFonts w:cs="Arial"/>
          <w:sz w:val="20"/>
          <w:szCs w:val="20"/>
          <w:lang w:val="en-GB"/>
        </w:rPr>
        <w:t xml:space="preserve">creased by </w:t>
      </w:r>
      <w:r w:rsidR="005C09CB" w:rsidRPr="00EE0047">
        <w:rPr>
          <w:rFonts w:cs="Arial"/>
          <w:sz w:val="20"/>
          <w:szCs w:val="20"/>
          <w:lang w:val="en-GB"/>
        </w:rPr>
        <w:t>0.7 thousand to 67.2</w:t>
      </w:r>
      <w:r w:rsidRPr="00EE0047">
        <w:rPr>
          <w:rFonts w:cs="Arial"/>
          <w:sz w:val="20"/>
          <w:szCs w:val="20"/>
          <w:lang w:val="en-GB"/>
        </w:rPr>
        <w:t xml:space="preserve"> thousand. </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EE0047">
        <w:rPr>
          <w:rFonts w:cs="Arial"/>
          <w:sz w:val="20"/>
          <w:szCs w:val="20"/>
          <w:lang w:val="en-GB"/>
        </w:rPr>
        <w:t xml:space="preserve">The number of the unemployed increased the most in the </w:t>
      </w:r>
      <w:r w:rsidR="00866238" w:rsidRPr="00EE0047">
        <w:rPr>
          <w:rFonts w:cs="Arial"/>
          <w:i/>
          <w:sz w:val="20"/>
          <w:szCs w:val="20"/>
          <w:lang w:val="en-GB"/>
        </w:rPr>
        <w:t xml:space="preserve">Jihočeský </w:t>
      </w:r>
      <w:r w:rsidR="00866238" w:rsidRPr="00EE0047">
        <w:rPr>
          <w:rFonts w:cs="Arial"/>
          <w:sz w:val="20"/>
          <w:szCs w:val="20"/>
          <w:lang w:val="en-GB"/>
        </w:rPr>
        <w:t>Region (by 3.0 </w:t>
      </w:r>
      <w:r w:rsidRPr="00EE0047">
        <w:rPr>
          <w:rFonts w:cs="Arial"/>
          <w:sz w:val="20"/>
          <w:szCs w:val="20"/>
          <w:lang w:val="en-GB"/>
        </w:rPr>
        <w:t>thousand) and</w:t>
      </w:r>
      <w:r w:rsidR="00866238" w:rsidRPr="00EE0047">
        <w:rPr>
          <w:rFonts w:cs="Arial"/>
          <w:sz w:val="20"/>
          <w:szCs w:val="20"/>
          <w:lang w:val="en-GB"/>
        </w:rPr>
        <w:t xml:space="preserve"> also</w:t>
      </w:r>
      <w:r w:rsidRPr="00EE0047">
        <w:rPr>
          <w:rFonts w:cs="Arial"/>
          <w:sz w:val="20"/>
          <w:szCs w:val="20"/>
          <w:lang w:val="en-GB"/>
        </w:rPr>
        <w:t xml:space="preserve"> in the </w:t>
      </w:r>
      <w:r w:rsidR="00866238" w:rsidRPr="00EE0047">
        <w:rPr>
          <w:rFonts w:cs="Arial"/>
          <w:i/>
          <w:sz w:val="20"/>
          <w:szCs w:val="20"/>
          <w:lang w:val="en-GB"/>
        </w:rPr>
        <w:t>Jihomoravský</w:t>
      </w:r>
      <w:r w:rsidRPr="00EE0047">
        <w:rPr>
          <w:rFonts w:cs="Arial"/>
          <w:sz w:val="20"/>
          <w:szCs w:val="20"/>
          <w:lang w:val="en-GB"/>
        </w:rPr>
        <w:t xml:space="preserve"> Region</w:t>
      </w:r>
      <w:r w:rsidR="00866238" w:rsidRPr="00EE0047">
        <w:rPr>
          <w:rFonts w:cs="Arial"/>
          <w:sz w:val="20"/>
          <w:szCs w:val="20"/>
          <w:lang w:val="en-GB"/>
        </w:rPr>
        <w:t xml:space="preserve"> and in the </w:t>
      </w:r>
      <w:r w:rsidR="00866238" w:rsidRPr="00EE0047">
        <w:rPr>
          <w:rFonts w:cs="Arial"/>
          <w:i/>
          <w:sz w:val="20"/>
          <w:szCs w:val="20"/>
          <w:lang w:val="en-GB"/>
        </w:rPr>
        <w:t>Olomoucký</w:t>
      </w:r>
      <w:r w:rsidR="00866238" w:rsidRPr="00EE0047">
        <w:rPr>
          <w:rFonts w:cs="Arial"/>
          <w:sz w:val="20"/>
          <w:szCs w:val="20"/>
          <w:lang w:val="en-GB"/>
        </w:rPr>
        <w:t xml:space="preserve"> Region</w:t>
      </w:r>
      <w:r w:rsidRPr="00EE0047">
        <w:rPr>
          <w:rFonts w:cs="Arial"/>
          <w:sz w:val="20"/>
          <w:szCs w:val="20"/>
          <w:lang w:val="en-GB"/>
        </w:rPr>
        <w:t xml:space="preserve"> (</w:t>
      </w:r>
      <w:r w:rsidR="00866238" w:rsidRPr="00EE0047">
        <w:rPr>
          <w:rFonts w:cs="Arial"/>
          <w:sz w:val="20"/>
          <w:szCs w:val="20"/>
          <w:lang w:val="en-GB"/>
        </w:rPr>
        <w:t>both the same by 2.3</w:t>
      </w:r>
      <w:r w:rsidRPr="00EE0047">
        <w:rPr>
          <w:rFonts w:cs="Arial"/>
          <w:sz w:val="20"/>
          <w:szCs w:val="20"/>
          <w:lang w:val="en-GB"/>
        </w:rPr>
        <w:t xml:space="preserve"> thousand). </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EE0047">
        <w:rPr>
          <w:rFonts w:cs="Arial"/>
          <w:sz w:val="20"/>
          <w:szCs w:val="20"/>
          <w:lang w:val="en-GB"/>
        </w:rPr>
        <w:t xml:space="preserve">The </w:t>
      </w:r>
      <w:r w:rsidRPr="00EE0047">
        <w:rPr>
          <w:rFonts w:cs="Arial"/>
          <w:b/>
          <w:sz w:val="20"/>
          <w:szCs w:val="20"/>
          <w:lang w:val="en-GB"/>
        </w:rPr>
        <w:t>number of persons unemployed for one year and longer</w:t>
      </w:r>
      <w:r w:rsidRPr="00EE0047">
        <w:rPr>
          <w:rFonts w:cs="Arial"/>
          <w:sz w:val="20"/>
          <w:szCs w:val="20"/>
          <w:lang w:val="en-GB"/>
        </w:rPr>
        <w:t xml:space="preserve"> also</w:t>
      </w:r>
      <w:r w:rsidR="00866238" w:rsidRPr="00EE0047">
        <w:rPr>
          <w:rFonts w:cs="Arial"/>
          <w:sz w:val="20"/>
          <w:szCs w:val="20"/>
          <w:lang w:val="en-GB"/>
        </w:rPr>
        <w:t xml:space="preserve"> slightly</w:t>
      </w:r>
      <w:r w:rsidRPr="00EE0047">
        <w:rPr>
          <w:rFonts w:cs="Arial"/>
          <w:sz w:val="20"/>
          <w:szCs w:val="20"/>
          <w:lang w:val="en-GB"/>
        </w:rPr>
        <w:t xml:space="preserve"> increased; their</w:t>
      </w:r>
      <w:r w:rsidR="002A61F2" w:rsidRPr="00EE0047">
        <w:rPr>
          <w:rFonts w:cs="Arial"/>
          <w:sz w:val="20"/>
          <w:szCs w:val="20"/>
          <w:lang w:val="en-GB"/>
        </w:rPr>
        <w:t xml:space="preserve"> number increased in total by 2.4</w:t>
      </w:r>
      <w:r w:rsidRPr="00EE0047">
        <w:rPr>
          <w:rFonts w:cs="Arial"/>
          <w:sz w:val="20"/>
          <w:szCs w:val="20"/>
          <w:lang w:val="en-GB"/>
        </w:rPr>
        <w:t> thousan</w:t>
      </w:r>
      <w:r w:rsidR="002A61F2" w:rsidRPr="00EE0047">
        <w:rPr>
          <w:rFonts w:cs="Arial"/>
          <w:sz w:val="20"/>
          <w:szCs w:val="20"/>
          <w:lang w:val="en-GB"/>
        </w:rPr>
        <w:t>d persons, y-o-y, and reached 39.9</w:t>
      </w:r>
      <w:r w:rsidRPr="00EE0047">
        <w:rPr>
          <w:rFonts w:cs="Arial"/>
          <w:sz w:val="20"/>
          <w:szCs w:val="20"/>
          <w:lang w:val="en-GB"/>
        </w:rPr>
        <w:t xml:space="preserve"> thousand persons. </w:t>
      </w:r>
      <w:r w:rsidRPr="00EE0047">
        <w:rPr>
          <w:rFonts w:cs="Arial"/>
          <w:sz w:val="20"/>
          <w:szCs w:val="20"/>
          <w:lang w:val="en-GB"/>
        </w:rPr>
        <w:lastRenderedPageBreak/>
        <w:t>The number of the long-term</w:t>
      </w:r>
      <w:r w:rsidR="002A61F2" w:rsidRPr="00EE0047">
        <w:rPr>
          <w:rFonts w:cs="Arial"/>
          <w:sz w:val="20"/>
          <w:szCs w:val="20"/>
          <w:lang w:val="en-GB"/>
        </w:rPr>
        <w:t xml:space="preserve"> unemployed males increased by 1.5</w:t>
      </w:r>
      <w:r w:rsidRPr="00EE0047">
        <w:rPr>
          <w:rFonts w:cs="Arial"/>
          <w:sz w:val="20"/>
          <w:szCs w:val="20"/>
          <w:lang w:val="en-GB"/>
        </w:rPr>
        <w:t xml:space="preserve"> thousand, y-o-y, the number of the long-term unemployed females in the </w:t>
      </w:r>
      <w:r w:rsidR="00631E3D" w:rsidRPr="00EE0047">
        <w:rPr>
          <w:rFonts w:cs="Arial"/>
          <w:sz w:val="20"/>
          <w:szCs w:val="20"/>
          <w:lang w:val="en-GB"/>
        </w:rPr>
        <w:t>Q2 2024</w:t>
      </w:r>
      <w:r w:rsidR="002A61F2" w:rsidRPr="00EE0047">
        <w:rPr>
          <w:rFonts w:cs="Arial"/>
          <w:sz w:val="20"/>
          <w:szCs w:val="20"/>
          <w:lang w:val="en-GB"/>
        </w:rPr>
        <w:t xml:space="preserve"> increased by 0.9</w:t>
      </w:r>
      <w:r w:rsidRPr="00EE0047">
        <w:rPr>
          <w:rFonts w:cs="Arial"/>
          <w:sz w:val="20"/>
          <w:szCs w:val="20"/>
          <w:lang w:val="en-GB"/>
        </w:rPr>
        <w:t xml:space="preserve"> thousand compared to the corresponding period of 2023. </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sz w:val="20"/>
          <w:szCs w:val="20"/>
          <w:lang w:val="en-GB"/>
        </w:rPr>
      </w:pP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bCs/>
          <w:color w:val="333333"/>
          <w:sz w:val="20"/>
          <w:szCs w:val="20"/>
          <w:bdr w:val="none" w:sz="0" w:space="0" w:color="auto" w:frame="1"/>
          <w:shd w:val="clear" w:color="auto" w:fill="FFFFFF"/>
          <w:lang w:val="en-GB"/>
        </w:rPr>
      </w:pPr>
      <w:r w:rsidRPr="00EE0047">
        <w:rPr>
          <w:rFonts w:cs="Arial"/>
          <w:b/>
          <w:sz w:val="20"/>
          <w:szCs w:val="20"/>
          <w:lang w:val="en-GB"/>
        </w:rPr>
        <w:t xml:space="preserve">Chart 5: </w:t>
      </w:r>
      <w:r w:rsidRPr="00EE0047">
        <w:rPr>
          <w:rFonts w:cs="Arial"/>
          <w:b/>
          <w:color w:val="333333"/>
          <w:sz w:val="20"/>
          <w:szCs w:val="20"/>
          <w:bdr w:val="none" w:sz="0" w:space="0" w:color="auto" w:frame="1"/>
          <w:shd w:val="clear" w:color="auto" w:fill="FFFFFF"/>
          <w:lang w:val="en-GB"/>
        </w:rPr>
        <w:t>The</w:t>
      </w:r>
      <w:r w:rsidRPr="00EE0047">
        <w:rPr>
          <w:rFonts w:cs="Arial"/>
          <w:color w:val="333333"/>
          <w:sz w:val="20"/>
          <w:szCs w:val="20"/>
          <w:bdr w:val="none" w:sz="0" w:space="0" w:color="auto" w:frame="1"/>
          <w:shd w:val="clear" w:color="auto" w:fill="FFFFFF"/>
          <w:lang w:val="en-GB"/>
        </w:rPr>
        <w:t> </w:t>
      </w:r>
      <w:r w:rsidRPr="00EE0047">
        <w:rPr>
          <w:rFonts w:cs="Arial"/>
          <w:b/>
          <w:bCs/>
          <w:color w:val="333333"/>
          <w:sz w:val="20"/>
          <w:szCs w:val="20"/>
          <w:bdr w:val="none" w:sz="0" w:space="0" w:color="auto" w:frame="1"/>
          <w:shd w:val="clear" w:color="auto" w:fill="FFFFFF"/>
          <w:lang w:val="en-GB"/>
        </w:rPr>
        <w:t>number of the long-term unemployed (for 1 year and longer) and their age structure (thousand)</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p>
    <w:p w:rsidR="002752FA" w:rsidRDefault="00B60DF9" w:rsidP="002752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szCs w:val="20"/>
          <w:lang w:val="en-GB"/>
        </w:rPr>
      </w:pPr>
      <w:r>
        <w:pict>
          <v:shape id="_x0000_i1029" type="#_x0000_t75" style="width:340.5pt;height:247.5pt;visibility:visible;mso-wrap-style:square">
            <v:imagedata r:id="rId14" o:title=""/>
          </v:shape>
        </w:pict>
      </w:r>
    </w:p>
    <w:p w:rsidR="00FA10B2" w:rsidRPr="00EE0047" w:rsidRDefault="00FA10B2" w:rsidP="002752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Arial"/>
          <w:sz w:val="20"/>
          <w:szCs w:val="20"/>
          <w:lang w:val="en-GB"/>
        </w:rPr>
      </w:pPr>
      <w:r w:rsidRPr="00EE0047">
        <w:rPr>
          <w:szCs w:val="20"/>
          <w:lang w:val="en-GB"/>
        </w:rPr>
        <w:t>Source: CZSO, LFSS</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Cs/>
          <w:sz w:val="20"/>
          <w:szCs w:val="20"/>
          <w:lang w:val="en-GB"/>
        </w:rPr>
      </w:pPr>
    </w:p>
    <w:p w:rsidR="002752FA" w:rsidRDefault="002752FA"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Cs/>
          <w:sz w:val="20"/>
          <w:szCs w:val="20"/>
          <w:lang w:val="en-GB"/>
        </w:rPr>
      </w:pP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EE0047">
        <w:rPr>
          <w:rFonts w:cs="Arial"/>
          <w:bCs/>
          <w:sz w:val="20"/>
          <w:szCs w:val="20"/>
          <w:lang w:val="en-GB"/>
        </w:rPr>
        <w:t xml:space="preserve">The </w:t>
      </w:r>
      <w:r w:rsidRPr="00EE0047">
        <w:rPr>
          <w:rFonts w:cs="Arial"/>
          <w:b/>
          <w:bCs/>
          <w:sz w:val="20"/>
          <w:szCs w:val="20"/>
          <w:lang w:val="en-GB"/>
        </w:rPr>
        <w:t>general unemployment rate according to the ILO definition</w:t>
      </w:r>
      <w:r w:rsidRPr="00EE0047">
        <w:rPr>
          <w:rFonts w:cs="Arial"/>
          <w:sz w:val="20"/>
          <w:szCs w:val="20"/>
          <w:lang w:val="en-GB"/>
        </w:rPr>
        <w:t xml:space="preserve"> in the age group of</w:t>
      </w:r>
      <w:r w:rsidRPr="00EE0047">
        <w:rPr>
          <w:rFonts w:cs="Arial"/>
          <w:sz w:val="20"/>
          <w:szCs w:val="20"/>
          <w:lang w:val="en-GB"/>
        </w:rPr>
        <w:br/>
        <w:t xml:space="preserve">15–64 years old (the percentage of the unemployed in the labour force, i.e. in the sum of the employed and the unemployed) </w:t>
      </w:r>
      <w:r w:rsidR="00920BD0" w:rsidRPr="00EE0047">
        <w:rPr>
          <w:rFonts w:cs="Arial"/>
          <w:sz w:val="20"/>
          <w:szCs w:val="20"/>
          <w:lang w:val="en-GB"/>
        </w:rPr>
        <w:t>remained unchanged</w:t>
      </w:r>
      <w:r w:rsidRPr="00EE0047">
        <w:rPr>
          <w:rFonts w:cs="Arial"/>
          <w:sz w:val="20"/>
          <w:szCs w:val="20"/>
          <w:lang w:val="en-GB"/>
        </w:rPr>
        <w:t>, year-on-year.</w:t>
      </w:r>
      <w:r w:rsidR="00F11376" w:rsidRPr="00EE0047">
        <w:rPr>
          <w:rFonts w:cs="Arial"/>
          <w:sz w:val="20"/>
          <w:szCs w:val="20"/>
          <w:lang w:val="en-GB"/>
        </w:rPr>
        <w:t xml:space="preserve"> In the Q2 2024, it also was 2.6</w:t>
      </w:r>
      <w:r w:rsidRPr="00EE0047">
        <w:rPr>
          <w:rFonts w:cs="Arial"/>
          <w:sz w:val="20"/>
          <w:szCs w:val="20"/>
          <w:lang w:val="en-GB"/>
        </w:rPr>
        <w:t xml:space="preserve">%. </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FA10B2" w:rsidRPr="00EE0047" w:rsidRDefault="005A5F7E"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 w:val="20"/>
          <w:szCs w:val="20"/>
          <w:lang w:val="en-GB"/>
        </w:rPr>
      </w:pPr>
      <w:r>
        <w:rPr>
          <w:b/>
          <w:sz w:val="20"/>
          <w:szCs w:val="20"/>
          <w:lang w:val="en-GB"/>
        </w:rPr>
        <w:br w:type="page"/>
      </w:r>
      <w:r w:rsidR="00FA10B2" w:rsidRPr="00EE0047">
        <w:rPr>
          <w:b/>
          <w:sz w:val="20"/>
          <w:szCs w:val="20"/>
          <w:lang w:val="en-GB"/>
        </w:rPr>
        <w:lastRenderedPageBreak/>
        <w:t>Chart 6: Unemployment rate of the 15–64 years old in Regions of the Czech Republic (%)</w:t>
      </w:r>
    </w:p>
    <w:p w:rsidR="00FA10B2" w:rsidRPr="00EE0047" w:rsidRDefault="00B60DF9" w:rsidP="002752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szCs w:val="20"/>
          <w:lang w:val="en-GB"/>
        </w:rPr>
      </w:pPr>
      <w:r>
        <w:pict>
          <v:shape id="_x0000_i1030" type="#_x0000_t75" style="width:340.5pt;height:224.25pt;visibility:visible;mso-wrap-style:square">
            <v:imagedata r:id="rId15" o:title=""/>
          </v:shape>
        </w:pic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r w:rsidRPr="00EE0047">
        <w:rPr>
          <w:szCs w:val="20"/>
          <w:lang w:val="en-GB"/>
        </w:rPr>
        <w:t>Source: CZSO, LFSS</w:t>
      </w:r>
    </w:p>
    <w:p w:rsidR="00FA10B2" w:rsidRPr="00EE0047" w:rsidRDefault="00FA10B2" w:rsidP="00FA10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0"/>
          <w:lang w:val="en-GB"/>
        </w:rPr>
      </w:pPr>
    </w:p>
    <w:p w:rsidR="002752FA" w:rsidRDefault="002752FA" w:rsidP="00FA10B2">
      <w:pPr>
        <w:spacing w:line="276" w:lineRule="auto"/>
        <w:jc w:val="both"/>
        <w:rPr>
          <w:sz w:val="20"/>
          <w:szCs w:val="20"/>
          <w:lang w:val="en-GB"/>
        </w:rPr>
      </w:pPr>
    </w:p>
    <w:p w:rsidR="001B4670" w:rsidRPr="00EE0047" w:rsidRDefault="00FA10B2" w:rsidP="00FA10B2">
      <w:pPr>
        <w:spacing w:line="276" w:lineRule="auto"/>
        <w:jc w:val="both"/>
        <w:rPr>
          <w:sz w:val="20"/>
          <w:szCs w:val="20"/>
          <w:lang w:val="en-GB"/>
        </w:rPr>
      </w:pPr>
      <w:r w:rsidRPr="00EE0047">
        <w:rPr>
          <w:sz w:val="20"/>
          <w:szCs w:val="20"/>
          <w:lang w:val="en-GB"/>
        </w:rPr>
        <w:t xml:space="preserve">In terms of a </w:t>
      </w:r>
      <w:r w:rsidRPr="00EE0047">
        <w:rPr>
          <w:b/>
          <w:sz w:val="20"/>
          <w:szCs w:val="20"/>
          <w:lang w:val="en-GB"/>
        </w:rPr>
        <w:t>regional comparison</w:t>
      </w:r>
      <w:r w:rsidRPr="00EE0047">
        <w:rPr>
          <w:sz w:val="20"/>
          <w:szCs w:val="20"/>
          <w:lang w:val="en-GB"/>
        </w:rPr>
        <w:t xml:space="preserve">, the general unemployment rate of the 15–64 years old was the highest in </w:t>
      </w:r>
      <w:r w:rsidR="001B4670" w:rsidRPr="00EE0047">
        <w:rPr>
          <w:sz w:val="20"/>
          <w:szCs w:val="20"/>
          <w:lang w:val="en-GB"/>
        </w:rPr>
        <w:t xml:space="preserve">the </w:t>
      </w:r>
      <w:r w:rsidR="001B4670" w:rsidRPr="00EE0047">
        <w:rPr>
          <w:i/>
          <w:sz w:val="20"/>
          <w:szCs w:val="20"/>
          <w:lang w:val="en-GB"/>
        </w:rPr>
        <w:t>Ústecký</w:t>
      </w:r>
      <w:r w:rsidR="001B4670" w:rsidRPr="00EE0047">
        <w:rPr>
          <w:sz w:val="20"/>
          <w:szCs w:val="20"/>
          <w:lang w:val="en-GB"/>
        </w:rPr>
        <w:t xml:space="preserve"> Region (4.7%) and in </w:t>
      </w:r>
      <w:r w:rsidRPr="00EE0047">
        <w:rPr>
          <w:sz w:val="20"/>
          <w:szCs w:val="20"/>
          <w:lang w:val="en-GB"/>
        </w:rPr>
        <w:t xml:space="preserve">the </w:t>
      </w:r>
      <w:r w:rsidRPr="00EE0047">
        <w:rPr>
          <w:i/>
          <w:sz w:val="20"/>
          <w:szCs w:val="20"/>
          <w:lang w:val="en-GB"/>
        </w:rPr>
        <w:t>Karlovarský</w:t>
      </w:r>
      <w:r w:rsidR="001B4670" w:rsidRPr="00EE0047">
        <w:rPr>
          <w:sz w:val="20"/>
          <w:szCs w:val="20"/>
          <w:lang w:val="en-GB"/>
        </w:rPr>
        <w:t xml:space="preserve"> Region (4.5</w:t>
      </w:r>
      <w:r w:rsidRPr="00EE0047">
        <w:rPr>
          <w:sz w:val="20"/>
          <w:szCs w:val="20"/>
          <w:lang w:val="en-GB"/>
        </w:rPr>
        <w:t>%)</w:t>
      </w:r>
      <w:r w:rsidR="001B4670" w:rsidRPr="00EE0047">
        <w:rPr>
          <w:sz w:val="20"/>
          <w:szCs w:val="20"/>
          <w:lang w:val="en-GB"/>
        </w:rPr>
        <w:t xml:space="preserve">. It was the lowest in the </w:t>
      </w:r>
      <w:r w:rsidR="001B4670" w:rsidRPr="00EE0047">
        <w:rPr>
          <w:i/>
          <w:sz w:val="20"/>
          <w:szCs w:val="20"/>
          <w:lang w:val="en-GB"/>
        </w:rPr>
        <w:t>Středočeský</w:t>
      </w:r>
      <w:r w:rsidR="001B4670" w:rsidRPr="00EE0047">
        <w:rPr>
          <w:sz w:val="20"/>
          <w:szCs w:val="20"/>
          <w:lang w:val="en-GB"/>
        </w:rPr>
        <w:t xml:space="preserve"> Region (0.9%) and in the </w:t>
      </w:r>
      <w:r w:rsidR="001B4670" w:rsidRPr="00EE0047">
        <w:rPr>
          <w:i/>
          <w:sz w:val="20"/>
          <w:szCs w:val="20"/>
          <w:lang w:val="en-GB"/>
        </w:rPr>
        <w:t>Vysočina</w:t>
      </w:r>
      <w:r w:rsidR="001B4670" w:rsidRPr="00EE0047">
        <w:rPr>
          <w:sz w:val="20"/>
          <w:szCs w:val="20"/>
          <w:lang w:val="en-GB"/>
        </w:rPr>
        <w:t xml:space="preserve"> Region (1.4%). </w:t>
      </w:r>
      <w:r w:rsidR="001B4670" w:rsidRPr="00EE0047">
        <w:rPr>
          <w:rFonts w:cs="Arial"/>
          <w:sz w:val="20"/>
          <w:szCs w:val="20"/>
          <w:lang w:val="en-GB"/>
        </w:rPr>
        <w:t xml:space="preserve">The biggest </w:t>
      </w:r>
      <w:r w:rsidR="008379DE" w:rsidRPr="00EE0047">
        <w:rPr>
          <w:rFonts w:cs="Arial"/>
          <w:sz w:val="20"/>
          <w:szCs w:val="20"/>
          <w:lang w:val="en-GB"/>
        </w:rPr>
        <w:t xml:space="preserve">year-on-year </w:t>
      </w:r>
      <w:r w:rsidR="001B4670" w:rsidRPr="00EE0047">
        <w:rPr>
          <w:rFonts w:cs="Arial"/>
          <w:sz w:val="20"/>
          <w:szCs w:val="20"/>
          <w:lang w:val="en-GB"/>
        </w:rPr>
        <w:t xml:space="preserve">decrease in the unemployment rate was </w:t>
      </w:r>
      <w:r w:rsidR="001B4670" w:rsidRPr="00EE0047">
        <w:rPr>
          <w:sz w:val="20"/>
          <w:szCs w:val="20"/>
          <w:lang w:val="en-GB"/>
        </w:rPr>
        <w:t>in the</w:t>
      </w:r>
      <w:r w:rsidR="00AC68CF" w:rsidRPr="00EE0047">
        <w:rPr>
          <w:sz w:val="20"/>
          <w:szCs w:val="20"/>
          <w:lang w:val="en-GB"/>
        </w:rPr>
        <w:t xml:space="preserve"> </w:t>
      </w:r>
      <w:r w:rsidR="00AC68CF" w:rsidRPr="00EE0047">
        <w:rPr>
          <w:i/>
          <w:sz w:val="20"/>
          <w:szCs w:val="20"/>
          <w:lang w:val="en-GB"/>
        </w:rPr>
        <w:t>Liberecký</w:t>
      </w:r>
      <w:r w:rsidR="00AC68CF" w:rsidRPr="00EE0047">
        <w:rPr>
          <w:sz w:val="20"/>
          <w:szCs w:val="20"/>
          <w:lang w:val="en-GB"/>
        </w:rPr>
        <w:t xml:space="preserve"> Region (by 0.9</w:t>
      </w:r>
      <w:r w:rsidR="008379DE" w:rsidRPr="00EE0047">
        <w:rPr>
          <w:sz w:val="20"/>
          <w:szCs w:val="20"/>
          <w:lang w:val="en-GB"/>
        </w:rPr>
        <w:t> percentage point</w:t>
      </w:r>
      <w:r w:rsidR="00AC68CF" w:rsidRPr="00EE0047">
        <w:rPr>
          <w:sz w:val="20"/>
          <w:szCs w:val="20"/>
          <w:lang w:val="en-GB"/>
        </w:rPr>
        <w:t> </w:t>
      </w:r>
      <w:r w:rsidR="008379DE" w:rsidRPr="00EE0047">
        <w:rPr>
          <w:sz w:val="20"/>
          <w:szCs w:val="20"/>
          <w:lang w:val="en-GB"/>
        </w:rPr>
        <w:t>(</w:t>
      </w:r>
      <w:r w:rsidR="00AC68CF" w:rsidRPr="00EE0047">
        <w:rPr>
          <w:sz w:val="20"/>
          <w:szCs w:val="20"/>
          <w:lang w:val="en-GB"/>
        </w:rPr>
        <w:t>p. p.</w:t>
      </w:r>
      <w:r w:rsidR="008379DE" w:rsidRPr="00EE0047">
        <w:rPr>
          <w:sz w:val="20"/>
          <w:szCs w:val="20"/>
          <w:lang w:val="en-GB"/>
        </w:rPr>
        <w:t>)</w:t>
      </w:r>
      <w:r w:rsidR="00AC68CF" w:rsidRPr="00EE0047">
        <w:rPr>
          <w:sz w:val="20"/>
          <w:szCs w:val="20"/>
          <w:lang w:val="en-GB"/>
        </w:rPr>
        <w:t xml:space="preserve"> to 3.6%)</w:t>
      </w:r>
      <w:r w:rsidR="00952D4E" w:rsidRPr="00EE0047">
        <w:rPr>
          <w:sz w:val="20"/>
          <w:szCs w:val="20"/>
          <w:lang w:val="en-GB"/>
        </w:rPr>
        <w:t>; the highest</w:t>
      </w:r>
      <w:r w:rsidR="005A1431" w:rsidRPr="00EE0047">
        <w:rPr>
          <w:sz w:val="20"/>
          <w:szCs w:val="20"/>
          <w:lang w:val="en-GB"/>
        </w:rPr>
        <w:t xml:space="preserve"> y-o-y</w:t>
      </w:r>
      <w:r w:rsidR="00952D4E" w:rsidRPr="00EE0047">
        <w:rPr>
          <w:sz w:val="20"/>
          <w:szCs w:val="20"/>
          <w:lang w:val="en-GB"/>
        </w:rPr>
        <w:t xml:space="preserve"> increase was in the </w:t>
      </w:r>
      <w:r w:rsidR="00952D4E" w:rsidRPr="00EE0047">
        <w:rPr>
          <w:i/>
          <w:sz w:val="20"/>
          <w:szCs w:val="20"/>
          <w:lang w:val="en-GB"/>
        </w:rPr>
        <w:t>Olomoucký</w:t>
      </w:r>
      <w:r w:rsidR="00952D4E" w:rsidRPr="00EE0047">
        <w:rPr>
          <w:sz w:val="20"/>
          <w:szCs w:val="20"/>
          <w:lang w:val="en-GB"/>
        </w:rPr>
        <w:t xml:space="preserve"> Region (by 1.0 p. p. to 3.5%). </w:t>
      </w:r>
      <w:r w:rsidR="001B4670" w:rsidRPr="00EE0047">
        <w:rPr>
          <w:sz w:val="20"/>
          <w:szCs w:val="20"/>
          <w:lang w:val="en-GB"/>
        </w:rPr>
        <w:t xml:space="preserve">  </w:t>
      </w:r>
    </w:p>
    <w:p w:rsidR="00FA10B2" w:rsidRPr="00EE0047" w:rsidRDefault="00FA10B2" w:rsidP="00FA10B2">
      <w:pPr>
        <w:spacing w:line="276" w:lineRule="auto"/>
        <w:jc w:val="both"/>
        <w:rPr>
          <w:sz w:val="20"/>
          <w:szCs w:val="20"/>
          <w:lang w:val="en-GB"/>
        </w:rPr>
      </w:pPr>
    </w:p>
    <w:p w:rsidR="00FA10B2" w:rsidRPr="00EE0047" w:rsidRDefault="00FA10B2" w:rsidP="00FA10B2">
      <w:pPr>
        <w:pStyle w:val="Nadpis3"/>
        <w:spacing w:before="0"/>
        <w:rPr>
          <w:rFonts w:eastAsia="Calibri"/>
          <w:bCs w:val="0"/>
          <w:sz w:val="20"/>
          <w:lang w:val="en-GB"/>
        </w:rPr>
      </w:pPr>
      <w:r w:rsidRPr="00EE0047">
        <w:rPr>
          <w:rFonts w:eastAsia="Calibri"/>
          <w:bCs w:val="0"/>
          <w:sz w:val="20"/>
          <w:lang w:val="en-GB"/>
        </w:rPr>
        <w:t>Economic inactivity</w:t>
      </w:r>
    </w:p>
    <w:p w:rsidR="00FA10B2" w:rsidRPr="00EE0047" w:rsidRDefault="00FA10B2" w:rsidP="00FA10B2">
      <w:pPr>
        <w:rPr>
          <w:lang w:val="en-GB"/>
        </w:rPr>
      </w:pPr>
    </w:p>
    <w:p w:rsidR="00FA10B2" w:rsidRPr="00EE0047" w:rsidRDefault="00FA10B2" w:rsidP="00FA10B2">
      <w:pPr>
        <w:spacing w:line="276" w:lineRule="auto"/>
        <w:jc w:val="both"/>
        <w:rPr>
          <w:sz w:val="20"/>
          <w:szCs w:val="20"/>
          <w:lang w:val="en-GB"/>
        </w:rPr>
      </w:pPr>
      <w:r w:rsidRPr="00EE0047">
        <w:rPr>
          <w:b/>
          <w:sz w:val="20"/>
          <w:szCs w:val="20"/>
          <w:lang w:val="en-GB"/>
        </w:rPr>
        <w:t xml:space="preserve">The number of economically inactive persons aged 15+ years </w:t>
      </w:r>
      <w:r w:rsidR="006F5A43" w:rsidRPr="00EE0047">
        <w:rPr>
          <w:sz w:val="20"/>
          <w:szCs w:val="20"/>
          <w:lang w:val="en-GB"/>
        </w:rPr>
        <w:t>was by 31.4</w:t>
      </w:r>
      <w:r w:rsidRPr="00EE0047">
        <w:rPr>
          <w:sz w:val="20"/>
          <w:szCs w:val="20"/>
          <w:lang w:val="en-GB"/>
        </w:rPr>
        <w:t xml:space="preserve"> thousand </w:t>
      </w:r>
      <w:r w:rsidR="006F5A43" w:rsidRPr="00EE0047">
        <w:rPr>
          <w:sz w:val="20"/>
          <w:szCs w:val="20"/>
          <w:lang w:val="en-GB"/>
        </w:rPr>
        <w:t>high</w:t>
      </w:r>
      <w:r w:rsidRPr="00EE0047">
        <w:rPr>
          <w:sz w:val="20"/>
          <w:szCs w:val="20"/>
          <w:lang w:val="en-GB"/>
        </w:rPr>
        <w:t>er, year-on-year, and amounted to 3 </w:t>
      </w:r>
      <w:r w:rsidR="006F5A43" w:rsidRPr="00EE0047">
        <w:rPr>
          <w:sz w:val="20"/>
          <w:szCs w:val="20"/>
          <w:lang w:val="en-GB"/>
        </w:rPr>
        <w:t>500.4</w:t>
      </w:r>
      <w:r w:rsidRPr="00EE0047">
        <w:rPr>
          <w:sz w:val="20"/>
          <w:szCs w:val="20"/>
          <w:lang w:val="en-GB"/>
        </w:rPr>
        <w:t> thousand. The nu</w:t>
      </w:r>
      <w:r w:rsidR="006F5A43" w:rsidRPr="00EE0047">
        <w:rPr>
          <w:sz w:val="20"/>
          <w:szCs w:val="20"/>
          <w:lang w:val="en-GB"/>
        </w:rPr>
        <w:t>mber of economically inactive males increased by 47.8</w:t>
      </w:r>
      <w:r w:rsidRPr="00EE0047">
        <w:rPr>
          <w:sz w:val="20"/>
          <w:szCs w:val="20"/>
          <w:lang w:val="en-GB"/>
        </w:rPr>
        <w:t xml:space="preserve"> thousand; the number of economically inactive </w:t>
      </w:r>
      <w:r w:rsidR="006F5A43" w:rsidRPr="00EE0047">
        <w:rPr>
          <w:sz w:val="20"/>
          <w:szCs w:val="20"/>
          <w:lang w:val="en-GB"/>
        </w:rPr>
        <w:t>females was by 16.3</w:t>
      </w:r>
      <w:r w:rsidRPr="00EE0047">
        <w:rPr>
          <w:sz w:val="20"/>
          <w:szCs w:val="20"/>
          <w:lang w:val="en-GB"/>
        </w:rPr>
        <w:t xml:space="preserve"> thousand lower than a year ago. </w:t>
      </w:r>
    </w:p>
    <w:p w:rsidR="00FA10B2" w:rsidRPr="00EE0047" w:rsidRDefault="00FA10B2" w:rsidP="00FA10B2">
      <w:pPr>
        <w:spacing w:line="276" w:lineRule="auto"/>
        <w:jc w:val="both"/>
        <w:rPr>
          <w:sz w:val="20"/>
          <w:szCs w:val="20"/>
          <w:lang w:val="en-GB"/>
        </w:rPr>
      </w:pP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EE0047">
        <w:rPr>
          <w:sz w:val="20"/>
          <w:szCs w:val="20"/>
          <w:lang w:val="en-GB"/>
        </w:rPr>
        <w:t xml:space="preserve">In the sample survey, data are also collected on </w:t>
      </w:r>
      <w:r w:rsidRPr="00EE0047">
        <w:rPr>
          <w:b/>
          <w:sz w:val="20"/>
          <w:szCs w:val="20"/>
          <w:lang w:val="en-GB"/>
        </w:rPr>
        <w:t>persons who do not work and do not seek a job in an active manner and therefore do not comply with the ILO conditions for the unemployed</w:t>
      </w:r>
      <w:r w:rsidRPr="00EE0047">
        <w:rPr>
          <w:sz w:val="20"/>
          <w:szCs w:val="20"/>
          <w:lang w:val="en-GB"/>
        </w:rPr>
        <w:t xml:space="preserve">, yet they state that they would like to work. In the </w:t>
      </w:r>
      <w:r w:rsidR="00631E3D" w:rsidRPr="00EE0047">
        <w:rPr>
          <w:sz w:val="20"/>
          <w:szCs w:val="20"/>
          <w:lang w:val="en-GB"/>
        </w:rPr>
        <w:t>Q2 2024</w:t>
      </w:r>
      <w:r w:rsidRPr="00EE0047">
        <w:rPr>
          <w:sz w:val="20"/>
          <w:szCs w:val="20"/>
          <w:lang w:val="en-GB"/>
        </w:rPr>
        <w:t>, the number of such persons was</w:t>
      </w:r>
      <w:r w:rsidR="00E42A8F" w:rsidRPr="00EE0047">
        <w:rPr>
          <w:sz w:val="20"/>
          <w:szCs w:val="20"/>
          <w:lang w:val="en-GB"/>
        </w:rPr>
        <w:t xml:space="preserve"> </w:t>
      </w:r>
      <w:r w:rsidRPr="00EE0047">
        <w:rPr>
          <w:sz w:val="20"/>
          <w:szCs w:val="20"/>
          <w:lang w:val="en-GB"/>
        </w:rPr>
        <w:t>8</w:t>
      </w:r>
      <w:r w:rsidR="00E42A8F" w:rsidRPr="00EE0047">
        <w:rPr>
          <w:sz w:val="20"/>
          <w:szCs w:val="20"/>
          <w:lang w:val="en-GB"/>
        </w:rPr>
        <w:t>1.6</w:t>
      </w:r>
      <w:r w:rsidRPr="00EE0047">
        <w:rPr>
          <w:sz w:val="20"/>
          <w:szCs w:val="20"/>
          <w:lang w:val="en-GB"/>
        </w:rPr>
        <w:t> thousand persons, i.e. by</w:t>
      </w:r>
      <w:r w:rsidR="00DF4148" w:rsidRPr="00EE0047">
        <w:rPr>
          <w:sz w:val="20"/>
          <w:szCs w:val="20"/>
          <w:lang w:val="en-GB"/>
        </w:rPr>
        <w:t xml:space="preserve"> 5.8 thousand persons less</w:t>
      </w:r>
      <w:r w:rsidRPr="00EE0047">
        <w:rPr>
          <w:sz w:val="20"/>
          <w:szCs w:val="20"/>
          <w:lang w:val="en-GB"/>
        </w:rPr>
        <w:t xml:space="preserve"> than in the corresponding period of 2023. The number of persons who are willing to work, however, they are not able to start in a potential job immediately, is relatively high.</w:t>
      </w:r>
      <w:r w:rsidR="001C1278" w:rsidRPr="00EE0047">
        <w:rPr>
          <w:sz w:val="20"/>
          <w:szCs w:val="20"/>
          <w:lang w:val="en-GB"/>
        </w:rPr>
        <w:t xml:space="preserve"> Only 13.3</w:t>
      </w:r>
      <w:r w:rsidRPr="00EE0047">
        <w:rPr>
          <w:sz w:val="20"/>
          <w:szCs w:val="20"/>
          <w:lang w:val="en-GB"/>
        </w:rPr>
        <w:t> thousand of the persons are able to start in a job within a fortnight, at the latest.</w:t>
      </w: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rsidR="00FA10B2" w:rsidRPr="00EE0047" w:rsidRDefault="005A5F7E"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Arial"/>
          <w:b/>
          <w:color w:val="000000"/>
          <w:sz w:val="20"/>
          <w:szCs w:val="20"/>
          <w:lang w:val="en-GB" w:eastAsia="cs-CZ"/>
        </w:rPr>
      </w:pPr>
      <w:r>
        <w:rPr>
          <w:rFonts w:cs="Arial"/>
          <w:b/>
          <w:color w:val="000000"/>
          <w:sz w:val="20"/>
          <w:szCs w:val="20"/>
          <w:lang w:val="en-GB" w:eastAsia="cs-CZ"/>
        </w:rPr>
        <w:br w:type="page"/>
      </w:r>
      <w:r w:rsidR="00FA10B2" w:rsidRPr="00EE0047">
        <w:rPr>
          <w:rFonts w:cs="Arial"/>
          <w:b/>
          <w:color w:val="000000"/>
          <w:sz w:val="20"/>
          <w:szCs w:val="20"/>
          <w:lang w:val="en-GB" w:eastAsia="cs-CZ"/>
        </w:rPr>
        <w:lastRenderedPageBreak/>
        <w:t>Methodological change in the LFSS</w:t>
      </w: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b/>
          <w:color w:val="000000"/>
          <w:sz w:val="20"/>
          <w:szCs w:val="20"/>
          <w:lang w:val="en-GB" w:eastAsia="cs-CZ"/>
        </w:rPr>
      </w:pP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r w:rsidRPr="00EE0047">
        <w:rPr>
          <w:rFonts w:cs="Arial"/>
          <w:color w:val="000000"/>
          <w:sz w:val="20"/>
          <w:szCs w:val="20"/>
          <w:lang w:val="en-GB" w:eastAsia="cs-CZ"/>
        </w:rPr>
        <w:t xml:space="preserve">As of the 2nd quarter of 2023, </w:t>
      </w:r>
      <w:hyperlink r:id="rId16" w:history="1">
        <w:r w:rsidRPr="00EE0047">
          <w:rPr>
            <w:rStyle w:val="Hypertextovodkaz"/>
            <w:rFonts w:cs="Arial"/>
            <w:sz w:val="20"/>
            <w:szCs w:val="20"/>
            <w:lang w:val="en-GB" w:eastAsia="cs-CZ"/>
          </w:rPr>
          <w:t>as announced in advance, the methodology</w:t>
        </w:r>
        <w:r w:rsidRPr="00EE0047">
          <w:rPr>
            <w:rStyle w:val="Hypertextovodkaz"/>
            <w:rFonts w:cs="Arial"/>
            <w:i/>
            <w:sz w:val="20"/>
            <w:szCs w:val="20"/>
            <w:lang w:val="en-GB" w:eastAsia="cs-CZ"/>
          </w:rPr>
          <w:t xml:space="preserve"> </w:t>
        </w:r>
        <w:r w:rsidRPr="00EE0047">
          <w:rPr>
            <w:rStyle w:val="Hypertextovodkaz"/>
            <w:rFonts w:cs="Arial"/>
            <w:sz w:val="20"/>
            <w:szCs w:val="20"/>
            <w:lang w:val="en-GB" w:eastAsia="cs-CZ"/>
          </w:rPr>
          <w:t>of the weighting scheme and grossing up changed</w:t>
        </w:r>
      </w:hyperlink>
      <w:r w:rsidRPr="00EE0047">
        <w:rPr>
          <w:sz w:val="20"/>
          <w:szCs w:val="20"/>
          <w:lang w:val="en-GB"/>
        </w:rPr>
        <w:t xml:space="preserve"> </w:t>
      </w:r>
      <w:r w:rsidRPr="00EE0047">
        <w:rPr>
          <w:rFonts w:cs="Arial"/>
          <w:color w:val="000000"/>
          <w:sz w:val="20"/>
          <w:szCs w:val="20"/>
          <w:lang w:val="en-GB" w:eastAsia="cs-CZ"/>
        </w:rPr>
        <w:t>(</w:t>
      </w:r>
      <w:r w:rsidRPr="00EE0047">
        <w:rPr>
          <w:rFonts w:cs="Arial"/>
          <w:i/>
          <w:color w:val="000000"/>
          <w:sz w:val="20"/>
          <w:szCs w:val="20"/>
          <w:lang w:val="en-GB" w:eastAsia="cs-CZ"/>
        </w:rPr>
        <w:t>details in</w:t>
      </w:r>
      <w:r w:rsidRPr="00EE0047">
        <w:rPr>
          <w:rFonts w:cs="Arial"/>
          <w:color w:val="000000"/>
          <w:sz w:val="20"/>
          <w:szCs w:val="20"/>
          <w:lang w:val="en-GB" w:eastAsia="cs-CZ"/>
        </w:rPr>
        <w:t xml:space="preserve"> </w:t>
      </w:r>
      <w:r w:rsidRPr="00EE0047">
        <w:rPr>
          <w:rFonts w:cs="Arial"/>
          <w:i/>
          <w:color w:val="000000"/>
          <w:sz w:val="20"/>
          <w:szCs w:val="20"/>
          <w:lang w:val="en-GB" w:eastAsia="cs-CZ"/>
        </w:rPr>
        <w:t>Czech only</w:t>
      </w:r>
      <w:r w:rsidRPr="00EE0047">
        <w:rPr>
          <w:rFonts w:cs="Arial"/>
          <w:color w:val="000000"/>
          <w:sz w:val="20"/>
          <w:szCs w:val="20"/>
          <w:lang w:val="en-GB" w:eastAsia="cs-CZ"/>
        </w:rPr>
        <w:t xml:space="preserve">). </w:t>
      </w: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color w:val="000000"/>
          <w:sz w:val="20"/>
          <w:szCs w:val="20"/>
          <w:lang w:val="en-GB" w:eastAsia="cs-CZ"/>
        </w:rPr>
      </w:pP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i/>
          <w:szCs w:val="18"/>
          <w:lang w:val="en-GB"/>
        </w:rPr>
      </w:pPr>
      <w:r w:rsidRPr="00EE0047">
        <w:rPr>
          <w:b/>
          <w:i/>
          <w:szCs w:val="18"/>
          <w:lang w:val="en-GB"/>
        </w:rPr>
        <w:t>Note:</w:t>
      </w:r>
    </w:p>
    <w:p w:rsidR="00FA10B2" w:rsidRPr="00EE0047" w:rsidRDefault="00FA10B2" w:rsidP="00FA10B2">
      <w:pPr>
        <w:rPr>
          <w:b/>
          <w:i/>
          <w:szCs w:val="18"/>
          <w:lang w:val="en-GB"/>
        </w:rPr>
      </w:pPr>
      <w:r w:rsidRPr="00EE0047">
        <w:rPr>
          <w:b/>
          <w:i/>
          <w:szCs w:val="18"/>
          <w:lang w:val="en-GB"/>
        </w:rPr>
        <w:t>Recalculation to the same population structure</w:t>
      </w: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i/>
          <w:color w:val="333333"/>
          <w:szCs w:val="18"/>
          <w:bdr w:val="none" w:sz="0" w:space="0" w:color="auto" w:frame="1"/>
          <w:shd w:val="clear" w:color="auto" w:fill="FFFFFF"/>
          <w:lang w:val="en-GB"/>
        </w:rPr>
      </w:pPr>
      <w:r w:rsidRPr="00EE0047">
        <w:rPr>
          <w:rFonts w:cs="Arial"/>
          <w:i/>
          <w:color w:val="333333"/>
          <w:szCs w:val="18"/>
          <w:bdr w:val="none" w:sz="0" w:space="0" w:color="auto" w:frame="1"/>
          <w:shd w:val="clear" w:color="auto" w:fill="FFFFFF"/>
          <w:lang w:val="en-GB"/>
        </w:rPr>
        <w:t>The Labour Force Sample Survey (LFSS) is carried out in selected dwelling households. Collective accommodation establishments are not included in the survey. The data found were weighted to the population of the Czech Republic based on the results of the demographic statistics as at the end of the given year; estimates of the number of persons living outside private households were subtracted from the population totals of the demographic statistics.</w:t>
      </w: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rsidR="00FA10B2" w:rsidRPr="00EE0047" w:rsidRDefault="00FA10B2"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18"/>
          <w:lang w:val="en-GB"/>
        </w:rPr>
      </w:pPr>
    </w:p>
    <w:p w:rsidR="00FA10B2" w:rsidRPr="00EE0047" w:rsidRDefault="00FA10B2" w:rsidP="00FA10B2">
      <w:pPr>
        <w:rPr>
          <w:b/>
          <w:sz w:val="20"/>
          <w:szCs w:val="20"/>
          <w:lang w:val="en-GB"/>
        </w:rPr>
      </w:pPr>
      <w:r w:rsidRPr="00EE0047">
        <w:rPr>
          <w:b/>
          <w:sz w:val="20"/>
          <w:szCs w:val="20"/>
          <w:lang w:val="en-GB"/>
        </w:rPr>
        <w:t>Authors:</w:t>
      </w:r>
    </w:p>
    <w:p w:rsidR="00FA10B2" w:rsidRPr="00EE0047" w:rsidRDefault="00FA10B2" w:rsidP="00FA10B2">
      <w:pPr>
        <w:spacing w:before="120" w:line="276" w:lineRule="auto"/>
        <w:rPr>
          <w:rStyle w:val="Hypertextovodkaz"/>
          <w:i/>
          <w:iCs/>
          <w:sz w:val="20"/>
          <w:szCs w:val="20"/>
          <w:lang w:val="en-GB"/>
        </w:rPr>
      </w:pPr>
      <w:r w:rsidRPr="00EE0047">
        <w:rPr>
          <w:i/>
          <w:iCs/>
          <w:sz w:val="20"/>
          <w:szCs w:val="20"/>
          <w:lang w:val="en-GB"/>
        </w:rPr>
        <w:t>Marta Petráňová, phone number: (+420) 274 054 357, e</w:t>
      </w:r>
      <w:r w:rsidRPr="00EE0047">
        <w:rPr>
          <w:i/>
          <w:iCs/>
          <w:sz w:val="20"/>
          <w:szCs w:val="20"/>
          <w:lang w:val="en-GB"/>
        </w:rPr>
        <w:noBreakHyphen/>
        <w:t>mail: </w:t>
      </w:r>
      <w:hyperlink r:id="rId17" w:history="1">
        <w:r w:rsidRPr="00EE0047">
          <w:rPr>
            <w:rStyle w:val="Hypertextovodkaz"/>
            <w:i/>
            <w:iCs/>
            <w:sz w:val="20"/>
            <w:szCs w:val="20"/>
            <w:lang w:val="en-GB"/>
          </w:rPr>
          <w:t>marta.petranova@csu.gov.cz</w:t>
        </w:r>
      </w:hyperlink>
    </w:p>
    <w:p w:rsidR="00FA10B2" w:rsidRPr="00EE0047" w:rsidRDefault="00FA10B2" w:rsidP="00FA10B2">
      <w:pPr>
        <w:spacing w:line="276" w:lineRule="auto"/>
        <w:rPr>
          <w:i/>
          <w:iCs/>
          <w:sz w:val="20"/>
          <w:szCs w:val="20"/>
          <w:lang w:val="en-GB"/>
        </w:rPr>
      </w:pPr>
      <w:r w:rsidRPr="00EE0047">
        <w:rPr>
          <w:i/>
          <w:iCs/>
          <w:sz w:val="20"/>
          <w:szCs w:val="20"/>
          <w:lang w:val="en-GB"/>
        </w:rPr>
        <w:t xml:space="preserve">Gabriela Strašilová, phone number: (+420) 567 109 071, e-mail: </w:t>
      </w:r>
      <w:hyperlink r:id="rId18" w:history="1">
        <w:r w:rsidRPr="00EE0047">
          <w:rPr>
            <w:rStyle w:val="Hypertextovodkaz"/>
            <w:i/>
            <w:iCs/>
            <w:sz w:val="20"/>
            <w:szCs w:val="20"/>
            <w:lang w:val="en-GB"/>
          </w:rPr>
          <w:t>gabriela.strasilova@csu.gov.cz</w:t>
        </w:r>
      </w:hyperlink>
      <w:r w:rsidRPr="00EE0047">
        <w:rPr>
          <w:i/>
          <w:iCs/>
          <w:sz w:val="20"/>
          <w:szCs w:val="20"/>
          <w:lang w:val="en-GB"/>
        </w:rPr>
        <w:t xml:space="preserve"> </w:t>
      </w:r>
    </w:p>
    <w:p w:rsidR="00FA10B2" w:rsidRPr="00B60DF9" w:rsidRDefault="00B60DF9" w:rsidP="00FA10B2">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jc w:val="both"/>
        <w:rPr>
          <w:rFonts w:cs="Arial"/>
          <w:bCs/>
          <w:i/>
          <w:color w:val="333333"/>
          <w:sz w:val="20"/>
          <w:szCs w:val="20"/>
          <w:shd w:val="clear" w:color="auto" w:fill="FFFFFF"/>
          <w:lang w:val="cs-CZ"/>
        </w:rPr>
      </w:pPr>
      <w:r w:rsidRPr="00B60DF9">
        <w:rPr>
          <w:rFonts w:cs="Arial"/>
          <w:bCs/>
          <w:i/>
          <w:color w:val="333333"/>
          <w:sz w:val="20"/>
          <w:szCs w:val="20"/>
          <w:shd w:val="clear" w:color="auto" w:fill="FFFFFF"/>
          <w:lang w:val="cs-CZ"/>
        </w:rPr>
        <w:t>Labour Force Statistics Unit</w:t>
      </w:r>
    </w:p>
    <w:p w:rsidR="00FA10B2" w:rsidRPr="00EE0047" w:rsidRDefault="00FA10B2" w:rsidP="00FA10B2">
      <w:pPr>
        <w:rPr>
          <w:lang w:val="en-GB"/>
        </w:rPr>
      </w:pPr>
    </w:p>
    <w:p w:rsidR="007F5746" w:rsidRPr="00EE0047" w:rsidRDefault="007F5746" w:rsidP="007F465D">
      <w:pPr>
        <w:tabs>
          <w:tab w:val="left" w:pos="2475"/>
        </w:tabs>
        <w:rPr>
          <w:lang w:val="en-GB"/>
        </w:rPr>
      </w:pPr>
    </w:p>
    <w:sectPr w:rsidR="007F5746" w:rsidRPr="00EE0047" w:rsidSect="00405244">
      <w:headerReference w:type="default" r:id="rId19"/>
      <w:footerReference w:type="default" r:id="rId2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05" w:rsidRDefault="00FE0605" w:rsidP="00BA6370">
      <w:r>
        <w:separator/>
      </w:r>
    </w:p>
  </w:endnote>
  <w:endnote w:type="continuationSeparator" w:id="0">
    <w:p w:rsidR="00FE0605" w:rsidRDefault="00FE060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47" w:rsidRPr="00324724" w:rsidRDefault="00FE0605" w:rsidP="00324724">
    <w:pPr>
      <w:pStyle w:val="Zpat"/>
    </w:pPr>
    <w:r>
      <w:rPr>
        <w:noProof/>
        <w:lang w:val="cs-CZ" w:eastAsia="cs-CZ"/>
      </w:rPr>
      <w:pict w14:anchorId="28162D46">
        <v:shapetype id="_x0000_t202" coordsize="21600,21600" o:spt="202" path="m,l,21600r21600,l21600,xe">
          <v:stroke joinstyle="miter"/>
          <v:path gradientshapeok="t" o:connecttype="rect"/>
        </v:shapetype>
        <v:shape id="Textové pole 2" o:spid="_x0000_s2093"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04547" w:rsidRPr="009D654C" w:rsidRDefault="00004547" w:rsidP="00324724">
                <w:pPr>
                  <w:spacing w:line="220" w:lineRule="atLeast"/>
                </w:pPr>
                <w:r w:rsidRPr="00D52A09">
                  <w:rPr>
                    <w:rFonts w:cs="Arial"/>
                    <w:b/>
                    <w:bCs/>
                    <w:sz w:val="15"/>
                    <w:szCs w:val="15"/>
                  </w:rPr>
                  <w:t>Information Services Unit – Headquarters</w:t>
                </w:r>
              </w:p>
              <w:p w:rsidR="00004547" w:rsidRDefault="00004547" w:rsidP="00324724">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004547" w:rsidRPr="00D52A09" w:rsidRDefault="00004547" w:rsidP="00324724">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0055B2">
                    <w:rPr>
                      <w:rStyle w:val="Hypertextovodkaz"/>
                      <w:rFonts w:cs="Arial"/>
                      <w:b/>
                      <w:sz w:val="15"/>
                      <w:szCs w:val="15"/>
                    </w:rPr>
                    <w:t>www.csu.gov.cz</w:t>
                  </w:r>
                </w:hyperlink>
              </w:p>
              <w:p w:rsidR="00004547" w:rsidRPr="00D95EC6" w:rsidRDefault="00004547" w:rsidP="00324724">
                <w:pPr>
                  <w:tabs>
                    <w:tab w:val="right" w:pos="8505"/>
                  </w:tabs>
                  <w:spacing w:line="220" w:lineRule="atLeast"/>
                  <w:rPr>
                    <w:rFonts w:cs="Arial"/>
                    <w:lang w:val="fr-FR"/>
                  </w:rPr>
                </w:pPr>
                <w:r w:rsidRPr="00D95EC6">
                  <w:rPr>
                    <w:rFonts w:cs="Arial"/>
                    <w:sz w:val="15"/>
                    <w:szCs w:val="15"/>
                    <w:lang w:val="fr-FR"/>
                  </w:rPr>
                  <w:t xml:space="preserve">tel: +420 274 056 789, e-mail: </w:t>
                </w:r>
                <w:hyperlink r:id="rId2" w:history="1">
                  <w:r w:rsidRPr="00D95EC6">
                    <w:rPr>
                      <w:rStyle w:val="Hypertextovodkaz"/>
                      <w:rFonts w:cs="Arial"/>
                      <w:sz w:val="15"/>
                      <w:szCs w:val="15"/>
                      <w:lang w:val="fr-FR"/>
                    </w:rPr>
                    <w:t>infoservis@csu.gov.cz</w:t>
                  </w:r>
                </w:hyperlink>
                <w:r w:rsidRPr="00D95EC6">
                  <w:rPr>
                    <w:rFonts w:cs="Arial"/>
                    <w:sz w:val="15"/>
                    <w:szCs w:val="15"/>
                    <w:lang w:val="fr-FR"/>
                  </w:rPr>
                  <w:tab/>
                </w:r>
                <w:r w:rsidRPr="007E75DE">
                  <w:rPr>
                    <w:rFonts w:cs="Arial"/>
                    <w:szCs w:val="15"/>
                  </w:rPr>
                  <w:fldChar w:fldCharType="begin"/>
                </w:r>
                <w:r w:rsidRPr="00D95EC6">
                  <w:rPr>
                    <w:rFonts w:cs="Arial"/>
                    <w:szCs w:val="15"/>
                    <w:lang w:val="fr-FR"/>
                  </w:rPr>
                  <w:instrText xml:space="preserve"> PAGE   \* MERGEFORMAT </w:instrText>
                </w:r>
                <w:r w:rsidRPr="007E75DE">
                  <w:rPr>
                    <w:rFonts w:cs="Arial"/>
                    <w:szCs w:val="15"/>
                  </w:rPr>
                  <w:fldChar w:fldCharType="separate"/>
                </w:r>
                <w:r w:rsidR="0043020D">
                  <w:rPr>
                    <w:rFonts w:cs="Arial"/>
                    <w:noProof/>
                    <w:szCs w:val="15"/>
                    <w:lang w:val="fr-FR"/>
                  </w:rPr>
                  <w:t>2</w:t>
                </w:r>
                <w:r w:rsidRPr="007E75DE">
                  <w:rPr>
                    <w:rFonts w:cs="Arial"/>
                    <w:szCs w:val="15"/>
                  </w:rPr>
                  <w:fldChar w:fldCharType="end"/>
                </w:r>
              </w:p>
            </w:txbxContent>
          </v:textbox>
          <w10:wrap anchorx="page" anchory="page"/>
        </v:shape>
      </w:pict>
    </w:r>
    <w:r>
      <w:rPr>
        <w:noProof/>
        <w:lang w:val="en-GB"/>
      </w:rPr>
      <w:pict w14:anchorId="28162D47">
        <v:line id="Přímá spojnice 2" o:spid="_x0000_s2092"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05" w:rsidRDefault="00FE0605" w:rsidP="00BA6370">
      <w:r>
        <w:separator/>
      </w:r>
    </w:p>
  </w:footnote>
  <w:footnote w:type="continuationSeparator" w:id="0">
    <w:p w:rsidR="00FE0605" w:rsidRDefault="00FE0605" w:rsidP="00BA6370">
      <w:r>
        <w:continuationSeparator/>
      </w:r>
    </w:p>
  </w:footnote>
  <w:footnote w:id="1">
    <w:p w:rsidR="00004547" w:rsidRPr="007A6167" w:rsidRDefault="00004547" w:rsidP="00FA10B2">
      <w:pPr>
        <w:pStyle w:val="Textpoznpodarou"/>
        <w:spacing w:after="60" w:line="276" w:lineRule="auto"/>
        <w:jc w:val="both"/>
      </w:pPr>
      <w:r w:rsidRPr="00DB59AB">
        <w:rPr>
          <w:rStyle w:val="Znakapoznpodarou"/>
          <w:i/>
        </w:rPr>
        <w:footnoteRef/>
      </w:r>
      <w:r w:rsidRPr="00DB59AB">
        <w:rPr>
          <w:i/>
          <w:vertAlign w:val="superscript"/>
        </w:rPr>
        <w:t>)</w:t>
      </w:r>
      <w:r w:rsidRPr="00DB59AB">
        <w:rPr>
          <w:i/>
        </w:rPr>
        <w:t xml:space="preserve"> </w:t>
      </w:r>
      <w:r w:rsidRPr="00DB59AB">
        <w:rPr>
          <w:i/>
          <w:sz w:val="18"/>
          <w:lang w:val="en-GB"/>
        </w:rPr>
        <w:t>Data for economic activities (CZ-NACE sections) may be influenced by the employed methodology of the Labour Force Sample Survey (LFSS). The survey only covers persons living in dwellings (flats), i.e. private households. Data on persons living in collective accommodation establishments are not measured; these establishments often give accommodation to foreign nationals.</w:t>
      </w:r>
    </w:p>
  </w:footnote>
  <w:footnote w:id="2">
    <w:p w:rsidR="00004547" w:rsidRDefault="00004547" w:rsidP="00FA10B2">
      <w:pPr>
        <w:pStyle w:val="Textpoznpodarou"/>
        <w:spacing w:after="60" w:line="276" w:lineRule="auto"/>
        <w:jc w:val="both"/>
        <w:rPr>
          <w:lang w:val="en-GB"/>
        </w:rPr>
      </w:pPr>
      <w:r w:rsidRPr="00DB59AB">
        <w:rPr>
          <w:rStyle w:val="Znakapoznpodarou"/>
          <w:i/>
        </w:rPr>
        <w:footnoteRef/>
      </w:r>
      <w:r w:rsidRPr="00DB59AB">
        <w:rPr>
          <w:i/>
          <w:vertAlign w:val="superscript"/>
          <w:lang w:val="en-GB"/>
        </w:rPr>
        <w:t>)</w:t>
      </w:r>
      <w:r w:rsidRPr="00DB59AB">
        <w:rPr>
          <w:lang w:val="en-GB"/>
        </w:rPr>
        <w:t xml:space="preserve"> </w:t>
      </w:r>
      <w:r w:rsidRPr="00DB59AB">
        <w:rPr>
          <w:i/>
          <w:iCs/>
          <w:sz w:val="18"/>
          <w:szCs w:val="18"/>
          <w:lang w:val="en-GB"/>
        </w:rPr>
        <w:t xml:space="preserve">The ILO methodology defines </w:t>
      </w:r>
      <w:r w:rsidRPr="00DB59AB">
        <w:rPr>
          <w:b/>
          <w:i/>
          <w:iCs/>
          <w:sz w:val="18"/>
          <w:szCs w:val="18"/>
          <w:lang w:val="en-GB"/>
        </w:rPr>
        <w:t>the unemployed</w:t>
      </w:r>
      <w:r w:rsidRPr="00DB59AB">
        <w:rPr>
          <w:i/>
          <w:iCs/>
          <w:sz w:val="18"/>
          <w:szCs w:val="18"/>
          <w:lang w:val="en-GB"/>
        </w:rPr>
        <w:t xml:space="preserve"> as persons who during the reference period were without a job, did not work an hour for pay or remuneration, and were in an active manner seeking a job they would be able to join within fortnight at the latest. This methodology is uniform for all EU Member States and provides internationally comparable data. It has to be taken into consideration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47" w:rsidRPr="00324724" w:rsidRDefault="00FE0605">
    <w:pPr>
      <w:pStyle w:val="Zhlav"/>
    </w:pPr>
    <w:r>
      <w:rPr>
        <w:noProof/>
        <w:lang w:val="en-GB"/>
      </w:rPr>
      <w:pict w14:anchorId="28162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margin-left:-69.45pt;margin-top:7.95pt;width:505.4pt;height:80.8pt;z-index:3;mso-position-horizontal:absolute;mso-position-horizontal-relative:text;mso-position-vertical:absolute;mso-position-vertical-relative:text">
          <v:imagedata r:id="rId1" o:title="Záhlaví_Analysis_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NotTrackMoves/>
  <w:defaultTabStop w:val="720"/>
  <w:hyphenationZone w:val="425"/>
  <w:characterSpacingControl w:val="doNotCompress"/>
  <w:hdrShapeDefaults>
    <o:shapedefaults v:ext="edit" spidmax="2097">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6AD"/>
    <w:rsid w:val="00003372"/>
    <w:rsid w:val="00004547"/>
    <w:rsid w:val="00025B1B"/>
    <w:rsid w:val="00043BF4"/>
    <w:rsid w:val="00055401"/>
    <w:rsid w:val="0006385F"/>
    <w:rsid w:val="000843A5"/>
    <w:rsid w:val="000B5F23"/>
    <w:rsid w:val="000B6F63"/>
    <w:rsid w:val="000F1788"/>
    <w:rsid w:val="00107D66"/>
    <w:rsid w:val="001404AB"/>
    <w:rsid w:val="001404E9"/>
    <w:rsid w:val="00141D01"/>
    <w:rsid w:val="00142FF7"/>
    <w:rsid w:val="00146B33"/>
    <w:rsid w:val="0017231D"/>
    <w:rsid w:val="00173614"/>
    <w:rsid w:val="001810DC"/>
    <w:rsid w:val="001A430C"/>
    <w:rsid w:val="001B4670"/>
    <w:rsid w:val="001B607F"/>
    <w:rsid w:val="001C1278"/>
    <w:rsid w:val="001C7932"/>
    <w:rsid w:val="001D369A"/>
    <w:rsid w:val="001D5EA4"/>
    <w:rsid w:val="00200F85"/>
    <w:rsid w:val="002070FB"/>
    <w:rsid w:val="00213729"/>
    <w:rsid w:val="002406FA"/>
    <w:rsid w:val="00254C65"/>
    <w:rsid w:val="0026176B"/>
    <w:rsid w:val="0026585C"/>
    <w:rsid w:val="002752FA"/>
    <w:rsid w:val="002A61F2"/>
    <w:rsid w:val="002A7397"/>
    <w:rsid w:val="002B2E47"/>
    <w:rsid w:val="002E4257"/>
    <w:rsid w:val="002F1BD4"/>
    <w:rsid w:val="0030165E"/>
    <w:rsid w:val="0030330F"/>
    <w:rsid w:val="00310124"/>
    <w:rsid w:val="0031368A"/>
    <w:rsid w:val="00324724"/>
    <w:rsid w:val="003301A3"/>
    <w:rsid w:val="00341BE6"/>
    <w:rsid w:val="0036773A"/>
    <w:rsid w:val="0036777B"/>
    <w:rsid w:val="0037278F"/>
    <w:rsid w:val="0038282A"/>
    <w:rsid w:val="00397580"/>
    <w:rsid w:val="003A45C8"/>
    <w:rsid w:val="003A5212"/>
    <w:rsid w:val="003C2DCF"/>
    <w:rsid w:val="003C7FE7"/>
    <w:rsid w:val="003D0499"/>
    <w:rsid w:val="003F526A"/>
    <w:rsid w:val="003F6307"/>
    <w:rsid w:val="004036AD"/>
    <w:rsid w:val="00405244"/>
    <w:rsid w:val="0042113A"/>
    <w:rsid w:val="0043020D"/>
    <w:rsid w:val="004436EE"/>
    <w:rsid w:val="0044754E"/>
    <w:rsid w:val="0045547F"/>
    <w:rsid w:val="004920AD"/>
    <w:rsid w:val="004966AD"/>
    <w:rsid w:val="004A6927"/>
    <w:rsid w:val="004C789B"/>
    <w:rsid w:val="004D05B3"/>
    <w:rsid w:val="004E479E"/>
    <w:rsid w:val="004F78E6"/>
    <w:rsid w:val="00502229"/>
    <w:rsid w:val="005027B1"/>
    <w:rsid w:val="005061C8"/>
    <w:rsid w:val="00512D99"/>
    <w:rsid w:val="00512DDC"/>
    <w:rsid w:val="00531DBB"/>
    <w:rsid w:val="00543B1A"/>
    <w:rsid w:val="005A1431"/>
    <w:rsid w:val="005A5F7E"/>
    <w:rsid w:val="005B4A79"/>
    <w:rsid w:val="005C09CB"/>
    <w:rsid w:val="005D10CC"/>
    <w:rsid w:val="005E1024"/>
    <w:rsid w:val="005F79FB"/>
    <w:rsid w:val="00604406"/>
    <w:rsid w:val="00605F4A"/>
    <w:rsid w:val="0060636E"/>
    <w:rsid w:val="00607822"/>
    <w:rsid w:val="0060783E"/>
    <w:rsid w:val="006103AA"/>
    <w:rsid w:val="00613BBF"/>
    <w:rsid w:val="00622B80"/>
    <w:rsid w:val="00631E3D"/>
    <w:rsid w:val="00636609"/>
    <w:rsid w:val="00640968"/>
    <w:rsid w:val="0064139A"/>
    <w:rsid w:val="006464BE"/>
    <w:rsid w:val="00646722"/>
    <w:rsid w:val="00670B44"/>
    <w:rsid w:val="006D75F0"/>
    <w:rsid w:val="006E024F"/>
    <w:rsid w:val="006E4E81"/>
    <w:rsid w:val="006F5A43"/>
    <w:rsid w:val="00707F7D"/>
    <w:rsid w:val="00717EC5"/>
    <w:rsid w:val="00753838"/>
    <w:rsid w:val="007713E6"/>
    <w:rsid w:val="007756A8"/>
    <w:rsid w:val="00790BF8"/>
    <w:rsid w:val="007972BD"/>
    <w:rsid w:val="007A57F2"/>
    <w:rsid w:val="007B1333"/>
    <w:rsid w:val="007F465D"/>
    <w:rsid w:val="007F4AEB"/>
    <w:rsid w:val="007F5746"/>
    <w:rsid w:val="007F75B2"/>
    <w:rsid w:val="008043C4"/>
    <w:rsid w:val="008208BD"/>
    <w:rsid w:val="0083167F"/>
    <w:rsid w:val="00831B1B"/>
    <w:rsid w:val="00834B42"/>
    <w:rsid w:val="008379DE"/>
    <w:rsid w:val="00844473"/>
    <w:rsid w:val="00847C38"/>
    <w:rsid w:val="00861D0E"/>
    <w:rsid w:val="00866238"/>
    <w:rsid w:val="00867569"/>
    <w:rsid w:val="00871BC2"/>
    <w:rsid w:val="008741E8"/>
    <w:rsid w:val="00874E6D"/>
    <w:rsid w:val="008A750A"/>
    <w:rsid w:val="008C384C"/>
    <w:rsid w:val="008D0F11"/>
    <w:rsid w:val="008D7AF2"/>
    <w:rsid w:val="008F16DD"/>
    <w:rsid w:val="008F73B4"/>
    <w:rsid w:val="00920751"/>
    <w:rsid w:val="00920BD0"/>
    <w:rsid w:val="00952D4E"/>
    <w:rsid w:val="00966D1C"/>
    <w:rsid w:val="009A13DF"/>
    <w:rsid w:val="009B55B1"/>
    <w:rsid w:val="009D654C"/>
    <w:rsid w:val="00A4343D"/>
    <w:rsid w:val="00A502F1"/>
    <w:rsid w:val="00A70A83"/>
    <w:rsid w:val="00A81EB3"/>
    <w:rsid w:val="00A97A82"/>
    <w:rsid w:val="00AC4868"/>
    <w:rsid w:val="00AC68CF"/>
    <w:rsid w:val="00AD508E"/>
    <w:rsid w:val="00AE4C21"/>
    <w:rsid w:val="00B006A4"/>
    <w:rsid w:val="00B00C1D"/>
    <w:rsid w:val="00B13E92"/>
    <w:rsid w:val="00B14061"/>
    <w:rsid w:val="00B24693"/>
    <w:rsid w:val="00B435A3"/>
    <w:rsid w:val="00B54363"/>
    <w:rsid w:val="00B60DF9"/>
    <w:rsid w:val="00B81AA7"/>
    <w:rsid w:val="00BA439F"/>
    <w:rsid w:val="00BA6370"/>
    <w:rsid w:val="00BC5909"/>
    <w:rsid w:val="00C047AC"/>
    <w:rsid w:val="00C269D4"/>
    <w:rsid w:val="00C4160D"/>
    <w:rsid w:val="00C72B82"/>
    <w:rsid w:val="00C8406E"/>
    <w:rsid w:val="00C953BE"/>
    <w:rsid w:val="00C95752"/>
    <w:rsid w:val="00CA6C71"/>
    <w:rsid w:val="00CB2709"/>
    <w:rsid w:val="00CB6A5B"/>
    <w:rsid w:val="00CB6F89"/>
    <w:rsid w:val="00CE228C"/>
    <w:rsid w:val="00CF545B"/>
    <w:rsid w:val="00D02952"/>
    <w:rsid w:val="00D27D69"/>
    <w:rsid w:val="00D448C2"/>
    <w:rsid w:val="00D55464"/>
    <w:rsid w:val="00D63F61"/>
    <w:rsid w:val="00D6496E"/>
    <w:rsid w:val="00D666C3"/>
    <w:rsid w:val="00D67C67"/>
    <w:rsid w:val="00D77100"/>
    <w:rsid w:val="00D95EC6"/>
    <w:rsid w:val="00DA15D9"/>
    <w:rsid w:val="00DA7E6F"/>
    <w:rsid w:val="00DC7261"/>
    <w:rsid w:val="00DF4148"/>
    <w:rsid w:val="00DF47FE"/>
    <w:rsid w:val="00E13523"/>
    <w:rsid w:val="00E26704"/>
    <w:rsid w:val="00E269D5"/>
    <w:rsid w:val="00E31980"/>
    <w:rsid w:val="00E32EF4"/>
    <w:rsid w:val="00E42A8F"/>
    <w:rsid w:val="00E6423C"/>
    <w:rsid w:val="00E64FF6"/>
    <w:rsid w:val="00E93830"/>
    <w:rsid w:val="00E93E0E"/>
    <w:rsid w:val="00EB1ED3"/>
    <w:rsid w:val="00EE0047"/>
    <w:rsid w:val="00EE0D00"/>
    <w:rsid w:val="00EE11DC"/>
    <w:rsid w:val="00EE385E"/>
    <w:rsid w:val="00F077A9"/>
    <w:rsid w:val="00F11376"/>
    <w:rsid w:val="00FA10B2"/>
    <w:rsid w:val="00FB019C"/>
    <w:rsid w:val="00FB687C"/>
    <w:rsid w:val="00FE0605"/>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colormru v:ext="edit" colors="#0071bc"/>
    </o:shapedefaults>
    <o:shapelayout v:ext="edit">
      <o:idmap v:ext="edit" data="1"/>
    </o:shapelayout>
  </w:shapeDefaults>
  <w:decimalSymbol w:val=","/>
  <w:listSeparator w:val=";"/>
  <w14:docId w14:val="377156F9"/>
  <w15:docId w15:val="{AE6189A5-C12B-4CB9-9EF0-A9AE985A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2752FA"/>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customStyle="1" w:styleId="Podtitulek">
    <w:name w:val="Podtitulek_"/>
    <w:next w:val="Normln"/>
    <w:link w:val="PodtitulekChar"/>
    <w:qFormat/>
    <w:rsid w:val="00FA10B2"/>
    <w:pPr>
      <w:spacing w:before="80" w:after="280" w:line="320" w:lineRule="exact"/>
      <w:outlineLvl w:val="0"/>
    </w:pPr>
    <w:rPr>
      <w:rFonts w:ascii="Arial" w:eastAsia="Times New Roman" w:hAnsi="Arial"/>
      <w:b/>
      <w:bCs/>
      <w:sz w:val="28"/>
      <w:szCs w:val="28"/>
      <w:lang w:val="en-GB" w:eastAsia="en-US"/>
    </w:rPr>
  </w:style>
  <w:style w:type="character" w:customStyle="1" w:styleId="PodtitulekChar">
    <w:name w:val="Podtitulek_ Char"/>
    <w:link w:val="Podtitulek"/>
    <w:rsid w:val="00FA10B2"/>
    <w:rPr>
      <w:rFonts w:ascii="Arial" w:eastAsia="Times New Roman" w:hAnsi="Arial"/>
      <w:b/>
      <w:bCs/>
      <w:sz w:val="28"/>
      <w:szCs w:val="28"/>
      <w:lang w:val="en-GB" w:eastAsia="en-US"/>
    </w:rPr>
  </w:style>
  <w:style w:type="paragraph" w:styleId="Textpoznpodarou">
    <w:name w:val="footnote text"/>
    <w:basedOn w:val="Normln"/>
    <w:link w:val="TextpoznpodarouChar"/>
    <w:semiHidden/>
    <w:unhideWhenUsed/>
    <w:rsid w:val="00FA10B2"/>
    <w:rPr>
      <w:sz w:val="20"/>
      <w:szCs w:val="20"/>
    </w:rPr>
  </w:style>
  <w:style w:type="character" w:customStyle="1" w:styleId="TextpoznpodarouChar">
    <w:name w:val="Text pozn. pod čarou Char"/>
    <w:link w:val="Textpoznpodarou"/>
    <w:semiHidden/>
    <w:rsid w:val="00FA10B2"/>
    <w:rPr>
      <w:rFonts w:ascii="Arial" w:hAnsi="Arial"/>
      <w:lang w:val="en-US" w:eastAsia="en-US"/>
    </w:rPr>
  </w:style>
  <w:style w:type="character" w:styleId="Znakapoznpodarou">
    <w:name w:val="footnote reference"/>
    <w:semiHidden/>
    <w:unhideWhenUsed/>
    <w:rsid w:val="00FA10B2"/>
    <w:rPr>
      <w:vertAlign w:val="superscript"/>
    </w:rPr>
  </w:style>
  <w:style w:type="character" w:styleId="Odkaznakoment">
    <w:name w:val="annotation reference"/>
    <w:uiPriority w:val="99"/>
    <w:semiHidden/>
    <w:unhideWhenUsed/>
    <w:rsid w:val="00844473"/>
    <w:rPr>
      <w:sz w:val="16"/>
      <w:szCs w:val="16"/>
    </w:rPr>
  </w:style>
  <w:style w:type="paragraph" w:styleId="Textkomente">
    <w:name w:val="annotation text"/>
    <w:basedOn w:val="Normln"/>
    <w:link w:val="TextkomenteChar"/>
    <w:uiPriority w:val="99"/>
    <w:semiHidden/>
    <w:unhideWhenUsed/>
    <w:rsid w:val="00844473"/>
    <w:rPr>
      <w:sz w:val="20"/>
      <w:szCs w:val="20"/>
    </w:rPr>
  </w:style>
  <w:style w:type="character" w:customStyle="1" w:styleId="TextkomenteChar">
    <w:name w:val="Text komentáře Char"/>
    <w:link w:val="Textkomente"/>
    <w:uiPriority w:val="99"/>
    <w:semiHidden/>
    <w:rsid w:val="00844473"/>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844473"/>
    <w:rPr>
      <w:b/>
      <w:bCs/>
    </w:rPr>
  </w:style>
  <w:style w:type="character" w:customStyle="1" w:styleId="PedmtkomenteChar">
    <w:name w:val="Předmět komentáře Char"/>
    <w:link w:val="Pedmtkomente"/>
    <w:uiPriority w:val="99"/>
    <w:semiHidden/>
    <w:rsid w:val="0084447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1854">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0566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gabriela.strasilova@csu.gov.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marta.petranova@csu.gov.cz" TargetMode="External"/><Relationship Id="rId2" Type="http://schemas.openxmlformats.org/officeDocument/2006/relationships/customXml" Target="../customXml/item2.xml"/><Relationship Id="rId16" Type="http://schemas.openxmlformats.org/officeDocument/2006/relationships/hyperlink" Target="https://www.czso.cz/csu/czso/zmena-v-metodach-odhadu-pracovnich-s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Desktop\NOV&#201;_FORMUL&#193;&#344;E_RI_apod_MM_13_06_2024\Form_c454_Analyza_EN_NOV&#193;_DOM&#201;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76F913C5B1A4797255AD7259AA9ED" ma:contentTypeVersion="38" ma:contentTypeDescription="Vytvoří nový dokument" ma:contentTypeScope="" ma:versionID="8eaca6b660cc43408bed842871f2a3a6">
  <xsd:schema xmlns:xsd="http://www.w3.org/2001/XMLSchema" xmlns:xs="http://www.w3.org/2001/XMLSchema" xmlns:p="http://schemas.microsoft.com/office/2006/metadata/properties" xmlns:ns2="8675fb2b-b414-4bad-b4c4-d9349268b5a1" xmlns:ns3="406a38fe-c53c-4047-b0f8-c641386931ae" targetNamespace="http://schemas.microsoft.com/office/2006/metadata/properties" ma:root="true" ma:fieldsID="ea8f512c3b09ac30ec172ca77bb02a2b" ns2:_="" ns3:_="">
    <xsd:import namespace="8675fb2b-b414-4bad-b4c4-d9349268b5a1"/>
    <xsd:import namespace="406a38fe-c53c-4047-b0f8-c641386931ae"/>
    <xsd:element name="properties">
      <xsd:complexType>
        <xsd:sequence>
          <xsd:element name="documentManagement">
            <xsd:complexType>
              <xsd:all>
                <xsd:element ref="ns2:Forma" minOccurs="0"/>
                <xsd:element ref="ns2:Verzeform" minOccurs="0"/>
                <xsd:element ref="ns2:Vazbanaproces" minOccurs="0"/>
                <xsd:element ref="ns2:Gestor" minOccurs="0"/>
                <xsd:element ref="ns2:Historieverze" minOccurs="0"/>
                <xsd:element ref="ns2:MediaServiceMetadata" minOccurs="0"/>
                <xsd:element ref="ns2:MediaServiceFastMetadata" minOccurs="0"/>
                <xsd:element ref="ns2:Form_c" minOccurs="0"/>
                <xsd:element ref="ns2:NazevForm" minOccurs="0"/>
                <xsd:element ref="ns2:UcinnostOdForm" minOccurs="0"/>
                <xsd:element ref="ns2:DomenaForm" minOccurs="0"/>
                <xsd:element ref="ns2:PredpisForm" minOccurs="0"/>
                <xsd:element ref="ns2:UstanoveniForm" minOccurs="0"/>
                <xsd:element ref="ns2:PoznForm" minOccurs="0"/>
                <xsd:element ref="ns2:Oznaceni" minOccurs="0"/>
                <xsd:element ref="ns2:UcinnostDoForm" minOccurs="0"/>
                <xsd:element ref="ns2:MediaServiceObjectDetectorVersions" minOccurs="0"/>
                <xsd:element ref="ns2:Platnost" minOccurs="0"/>
                <xsd:element ref="ns2:Odkaz"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fb2b-b414-4bad-b4c4-d9349268b5a1" elementFormDefault="qualified">
    <xsd:import namespace="http://schemas.microsoft.com/office/2006/documentManagement/types"/>
    <xsd:import namespace="http://schemas.microsoft.com/office/infopath/2007/PartnerControls"/>
    <xsd:element name="Forma" ma:index="8" nillable="true" ma:displayName="Forma" ma:description="Forma formuláře" ma:format="Dropdown" ma:internalName="Forma">
      <xsd:complexType>
        <xsd:complexContent>
          <xsd:extension base="dms:MultiChoice">
            <xsd:sequence>
              <xsd:element name="Value" maxOccurs="unbounded" minOccurs="0" nillable="true">
                <xsd:simpleType>
                  <xsd:restriction base="dms:Choice">
                    <xsd:enumeration value="Listinná  (analogová)"/>
                    <xsd:enumeration value="Elektronická"/>
                    <xsd:enumeration value="Formulář IS"/>
                  </xsd:restriction>
                </xsd:simpleType>
              </xsd:element>
            </xsd:sequence>
          </xsd:extension>
        </xsd:complexContent>
      </xsd:complexType>
    </xsd:element>
    <xsd:element name="Verzeform" ma:index="9" nillable="true" ma:displayName="Ver." ma:format="Dropdown" ma:internalName="Verzeform">
      <xsd:simpleType>
        <xsd:restriction base="dms:Text">
          <xsd:maxLength value="255"/>
        </xsd:restriction>
      </xsd:simpleType>
    </xsd:element>
    <xsd:element name="Vazbanaproces" ma:index="10" nillable="true" ma:displayName="Vazba na proces" ma:format="Dropdown" ma:internalName="Vazbanaproces">
      <xsd:simpleType>
        <xsd:restriction base="dms:Note">
          <xsd:maxLength value="255"/>
        </xsd:restriction>
      </xsd:simpleType>
    </xsd:element>
    <xsd:element name="Gestor" ma:index="11"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verze" ma:index="12" nillable="true" ma:displayName="Historie verze" ma:format="Dropdown" ma:internalName="Historieverz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Form_c" ma:index="15" nillable="true" ma:displayName="Form_c" ma:format="Dropdown" ma:internalName="Form_c" ma:percentage="FALSE">
      <xsd:simpleType>
        <xsd:restriction base="dms:Number"/>
      </xsd:simpleType>
    </xsd:element>
    <xsd:element name="NazevForm" ma:index="16" nillable="true" ma:displayName="Název formuláře" ma:internalName="NazevForm">
      <xsd:simpleType>
        <xsd:restriction base="dms:Text">
          <xsd:maxLength value="255"/>
        </xsd:restriction>
      </xsd:simpleType>
    </xsd:element>
    <xsd:element name="UcinnostOdForm" ma:index="17" nillable="true" ma:displayName="Účinnost od" ma:description="Datum účinnosti formuláře" ma:format="DateOnly" ma:internalName="UcinnostOdForm">
      <xsd:simpleType>
        <xsd:restriction base="dms:DateTime"/>
      </xsd:simpleType>
    </xsd:element>
    <xsd:element name="DomenaForm" ma:index="18" nillable="true" ma:displayName="Doména" ma:description="Na formuláře na procesní doménu" ma:format="Dropdown" ma:internalName="DomenaForm">
      <xsd:complexType>
        <xsd:complexContent>
          <xsd:extension base="dms:MultiChoice">
            <xsd:sequence>
              <xsd:element name="Value" maxOccurs="unbounded" minOccurs="0" nillable="true">
                <xsd:simpleType>
                  <xsd:restriction base="dms:Choice">
                    <xsd:enumeration value="P1 Bezpečnost"/>
                    <xsd:enumeration value="P2 Účetnictví"/>
                    <xsd:enumeration value="P3 Správa dokumentů"/>
                    <xsd:enumeration value="P4 Komunikace a propagace"/>
                    <xsd:enumeration value="P5 Právní služby"/>
                    <xsd:enumeration value="P6 Personalistika"/>
                    <xsd:enumeration value="P7 Nákup a investice"/>
                    <xsd:enumeration value="P8 Projektové řízení"/>
                    <xsd:enumeration value="P9 IT"/>
                    <xsd:enumeration value="P10 Hospodaření, nakládání s majetkem a jeho správa"/>
                    <xsd:enumeration value="P11 Služební a pracovní tuzemské a zahraniční cesty"/>
                    <xsd:enumeration value="P12 Mezinárodní spolupráce"/>
                    <xsd:enumeration value="P13 Legislativa"/>
                    <xsd:enumeration value="R1 Interní audit"/>
                    <xsd:enumeration value="R2 Řízení a plánování"/>
                    <xsd:enumeration value="R3 Ochrana osobních údajů"/>
                    <xsd:enumeration value="R4 Finanční řízení"/>
                    <xsd:enumeration value="17. Posouzení požadavku"/>
                    <xsd:enumeration value="18. Příprava úlohy"/>
                    <xsd:enumeration value="19. Příprava zpracování"/>
                    <xsd:enumeration value="20. Sběr dat a zpracování"/>
                    <xsd:enumeration value="21.Tvorba a analýza výstupů"/>
                    <xsd:enumeration value="22. Diseminace statistických informací a dat"/>
                    <xsd:enumeration value="23. Metodické prostředí"/>
                    <xsd:enumeration value="24. Podpora ICT"/>
                    <xsd:enumeration value="25. Specifické aktivity pro šetření v domácnostech"/>
                    <xsd:enumeration value="26. Specifické aktivity pro demografickou statistiku"/>
                    <xsd:enumeration value="27. Zahraniční spolupráce"/>
                    <xsd:enumeration value="28. Statistické zpracování (Process)"/>
                    <xsd:enumeration value="29. Evaluace"/>
                    <xsd:enumeration value="30. Volby"/>
                  </xsd:restriction>
                </xsd:simpleType>
              </xsd:element>
            </xsd:sequence>
          </xsd:extension>
        </xsd:complexContent>
      </xsd:complexType>
    </xsd:element>
    <xsd:element name="PredpisForm" ma:index="19" nillable="true" ma:displayName="Definiční předpis" ma:description="Definiční předpis formuláře" ma:format="Dropdown" ma:internalName="PredpisForm">
      <xsd:simpleType>
        <xsd:restriction base="dms:Text">
          <xsd:maxLength value="255"/>
        </xsd:restriction>
      </xsd:simpleType>
    </xsd:element>
    <xsd:element name="UstanoveniForm" ma:index="20" nillable="true" ma:displayName="Ustanovení" ma:description="Ustanovení (čl., odst., písm.)" ma:format="Dropdown" ma:internalName="UstanoveniForm">
      <xsd:simpleType>
        <xsd:restriction base="dms:Note">
          <xsd:maxLength value="255"/>
        </xsd:restriction>
      </xsd:simpleType>
    </xsd:element>
    <xsd:element name="PoznForm" ma:index="21" nillable="true" ma:displayName="Poznámka" ma:description="Poznámka k formuláři" ma:format="Dropdown" ma:internalName="PoznForm">
      <xsd:simpleType>
        <xsd:restriction base="dms:Note">
          <xsd:maxLength value="255"/>
        </xsd:restriction>
      </xsd:simpleType>
    </xsd:element>
    <xsd:element name="Oznaceni" ma:index="22" nillable="true" ma:displayName="Označení" ma:description="Označení formuláře" ma:format="Dropdown" ma:internalName="Oznaceni">
      <xsd:simpleType>
        <xsd:restriction base="dms:Text">
          <xsd:maxLength value="12"/>
        </xsd:restriction>
      </xsd:simpleType>
    </xsd:element>
    <xsd:element name="UcinnostDoForm" ma:index="23" nillable="true" ma:displayName="Účinnost do" ma:format="DateOnly" ma:internalName="UcinnostDoForm">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latnost" ma:index="25" nillable="true" ma:displayName="Platnost" ma:default="1" ma:internalName="Platnost">
      <xsd:simpleType>
        <xsd:restriction base="dms:Boolean"/>
      </xsd:simpleType>
    </xsd:element>
    <xsd:element name="Odkaz" ma:index="26"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Značky obrázků" ma:readOnly="false" ma:fieldId="{5cf76f15-5ced-4ddc-b409-7134ff3c332f}" ma:taxonomyMulti="true" ma:sspId="ba8a29a4-82ad-4cdb-8b82-dfa74bb481e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a38fe-c53c-4047-b0f8-c641386931ae"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d4d15468-1f14-4f0d-947e-4bef9f86f2ae}" ma:internalName="TaxCatchAll" ma:showField="CatchAllData" ma:web="406a38fe-c53c-4047-b0f8-c64138693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storieverze xmlns="8675fb2b-b414-4bad-b4c4-d9349268b5a1" xsi:nil="true"/>
    <Verzeform xmlns="8675fb2b-b414-4bad-b4c4-d9349268b5a1">v1.0</Verzeform>
    <Forma xmlns="8675fb2b-b414-4bad-b4c4-d9349268b5a1">
      <Value>Elektronická</Value>
    </Forma>
    <Vazbanaproces xmlns="8675fb2b-b414-4bad-b4c4-d9349268b5a1" xsi:nil="true"/>
    <Gestor xmlns="8675fb2b-b414-4bad-b4c4-d9349268b5a1">
      <UserInfo>
        <DisplayName>Novotný Michal</DisplayName>
        <AccountId>24</AccountId>
        <AccountType/>
      </UserInfo>
    </Gestor>
    <Form_c xmlns="8675fb2b-b414-4bad-b4c4-d9349268b5a1">454</Form_c>
    <NazevForm xmlns="8675fb2b-b414-4bad-b4c4-d9349268b5a1">Analýza EN</NazevForm>
    <UcinnostOdForm xmlns="8675fb2b-b414-4bad-b4c4-d9349268b5a1">2024-06-18T22:00:00+00:00</UcinnostOdForm>
    <DomenaForm xmlns="8675fb2b-b414-4bad-b4c4-d9349268b5a1">
      <Value>P4 Komunikace a propagace</Value>
    </DomenaForm>
    <PredpisForm xmlns="8675fb2b-b414-4bad-b4c4-d9349268b5a1">Manuál jednotného vizuálního stylu ČSÚ</PredpisForm>
    <UstanoveniForm xmlns="8675fb2b-b414-4bad-b4c4-d9349268b5a1" xsi:nil="true"/>
    <PoznForm xmlns="8675fb2b-b414-4bad-b4c4-d9349268b5a1" xsi:nil="true"/>
    <Oznaceni xmlns="8675fb2b-b414-4bad-b4c4-d9349268b5a1" xsi:nil="true"/>
    <UcinnostDoForm xmlns="8675fb2b-b414-4bad-b4c4-d9349268b5a1" xsi:nil="true"/>
    <Platnost xmlns="8675fb2b-b414-4bad-b4c4-d9349268b5a1">true</Platnost>
    <Odkaz xmlns="8675fb2b-b414-4bad-b4c4-d9349268b5a1">
      <Url xsi:nil="true"/>
      <Description xsi:nil="true"/>
    </Odkaz>
    <TaxCatchAll xmlns="406a38fe-c53c-4047-b0f8-c641386931ae" xsi:nil="true"/>
    <lcf76f155ced4ddcb4097134ff3c332f xmlns="8675fb2b-b414-4bad-b4c4-d9349268b5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7BE-AC9D-4A71-A9B7-54FEC364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fb2b-b414-4bad-b4c4-d9349268b5a1"/>
    <ds:schemaRef ds:uri="406a38fe-c53c-4047-b0f8-c6413869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5A078-77D3-4F21-98CF-9E693564DA8A}">
  <ds:schemaRefs>
    <ds:schemaRef ds:uri="http://schemas.microsoft.com/office/2006/metadata/properties"/>
    <ds:schemaRef ds:uri="http://schemas.microsoft.com/office/infopath/2007/PartnerControls"/>
    <ds:schemaRef ds:uri="8675fb2b-b414-4bad-b4c4-d9349268b5a1"/>
    <ds:schemaRef ds:uri="406a38fe-c53c-4047-b0f8-c641386931ae"/>
  </ds:schemaRefs>
</ds:datastoreItem>
</file>

<file path=customXml/itemProps3.xml><?xml version="1.0" encoding="utf-8"?>
<ds:datastoreItem xmlns:ds="http://schemas.openxmlformats.org/officeDocument/2006/customXml" ds:itemID="{62C6ED98-111A-4070-9CAB-A81B57B31538}">
  <ds:schemaRefs>
    <ds:schemaRef ds:uri="http://schemas.microsoft.com/sharepoint/v3/contenttype/forms"/>
  </ds:schemaRefs>
</ds:datastoreItem>
</file>

<file path=customXml/itemProps4.xml><?xml version="1.0" encoding="utf-8"?>
<ds:datastoreItem xmlns:ds="http://schemas.openxmlformats.org/officeDocument/2006/customXml" ds:itemID="{D0A9ECD1-707C-490A-99BD-0ED0F3F6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Form_c454_Analyza_EN_NOVÁ_DOMÉNA.dotx</Template>
  <TotalTime>200</TotalTime>
  <Pages>8</Pages>
  <Words>1339</Words>
  <Characters>7902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9223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Matoušová Milada</dc:creator>
  <cp:lastModifiedBy>Petráňová Marta</cp:lastModifiedBy>
  <cp:revision>67</cp:revision>
  <dcterms:created xsi:type="dcterms:W3CDTF">2024-06-14T09:28:00Z</dcterms:created>
  <dcterms:modified xsi:type="dcterms:W3CDTF">2024-08-15T07:13:00Z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0x010100FBD76F913C5B1A4797255AD7259AA9ED</vt:lpwstr>
  </property>
  <property fmtid="{D5CDD505-2E9C-101B-9397-08002B2CF9AE}" pid="3" name="Názevformuláře">
    <vt:lpwstr>Analýza EN
</vt:lpwstr>
  </property>
  <property fmtid="{D5CDD505-2E9C-101B-9397-08002B2CF9AE}" pid="4" name="Vazbanaprocesnídoménu">
    <vt:lpwstr>;#4. Komunikace a propagace;#</vt:lpwstr>
  </property>
  <property fmtid="{D5CDD505-2E9C-101B-9397-08002B2CF9AE}" pid="5" name="Vazbanadefiničnípředpis">
    <vt:lpwstr>Směrnice č. 6/2020
</vt:lpwstr>
  </property>
  <property fmtid="{D5CDD505-2E9C-101B-9397-08002B2CF9AE}" pid="6" name="Ustanovení">
    <vt:lpwstr>čl. 3, odst. 4
</vt:lpwstr>
  </property>
  <property fmtid="{D5CDD505-2E9C-101B-9397-08002B2CF9AE}" pid="7" name="Účinnostod">
    <vt:filetime>2022-03-09T08:00:00Z</vt:filetime>
  </property>
  <property fmtid="{D5CDD505-2E9C-101B-9397-08002B2CF9AE}" pid="8" name="Označení">
    <vt:lpwstr>Form_c454</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