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EB3F27" w:rsidRDefault="00733870" w:rsidP="00151EE9">
      <w:pPr>
        <w:pStyle w:val="Nadpis2"/>
        <w:spacing w:after="120"/>
        <w:rPr>
          <w:i/>
          <w:lang w:val="en-GB"/>
        </w:rPr>
      </w:pPr>
      <w:r w:rsidRPr="00EB3F27">
        <w:rPr>
          <w:i/>
          <w:lang w:val="en-GB"/>
        </w:rPr>
        <w:t>Methodological notes</w:t>
      </w:r>
    </w:p>
    <w:p w:rsidR="00A34F65" w:rsidRPr="00A34F65" w:rsidRDefault="00A34F65" w:rsidP="00A34F65">
      <w:pPr>
        <w:rPr>
          <w:rFonts w:cs="Arial"/>
          <w:i/>
          <w:lang w:val="en-GB"/>
        </w:rPr>
      </w:pPr>
      <w:r w:rsidRPr="00A34F65">
        <w:rPr>
          <w:rFonts w:cs="Arial"/>
          <w:i/>
          <w:lang w:val="en-GB"/>
        </w:rPr>
        <w:t>The Administrative Districts of Municipalities with Authorized Local Authority (AD MALA hereinafter) were stipulated by the Decree of the Ministry of the Interior, already mentioned in Preface. The Nomenclatur</w:t>
      </w:r>
      <w:r>
        <w:rPr>
          <w:rFonts w:cs="Arial"/>
          <w:i/>
          <w:lang w:val="en-GB"/>
        </w:rPr>
        <w:t>e of </w:t>
      </w:r>
      <w:r w:rsidRPr="00A34F65">
        <w:rPr>
          <w:rFonts w:cs="Arial"/>
          <w:i/>
          <w:lang w:val="en-GB"/>
        </w:rPr>
        <w:t>Municipalities with Authorized Municipal Office was introduced by Communication of the Czech Statistical Office No. 471/2002 Coll. of 29 October 2002, establishing the Nomenclature of Municipalities with Extended Powers, the Nomenclature of Municipalities with Authorized Municipal Off</w:t>
      </w:r>
      <w:r>
        <w:rPr>
          <w:rFonts w:cs="Arial"/>
          <w:i/>
          <w:lang w:val="en-GB"/>
        </w:rPr>
        <w:t>ice and the Nomenclature of the </w:t>
      </w:r>
      <w:r w:rsidRPr="00A34F65">
        <w:rPr>
          <w:rFonts w:cs="Arial"/>
          <w:i/>
          <w:lang w:val="en-GB"/>
        </w:rPr>
        <w:t>Prague Administrative Territories, which took effect on 1 January 2003.</w:t>
      </w:r>
    </w:p>
    <w:p w:rsidR="00A34F65" w:rsidRPr="00A34F65" w:rsidRDefault="00A34F65" w:rsidP="00A34F65">
      <w:pPr>
        <w:rPr>
          <w:rFonts w:cs="Arial"/>
          <w:i/>
          <w:lang w:val="en-GB"/>
        </w:rPr>
      </w:pPr>
      <w:r w:rsidRPr="00A34F65">
        <w:rPr>
          <w:rFonts w:cs="Arial"/>
          <w:i/>
          <w:lang w:val="en-GB"/>
        </w:rPr>
        <w:t>In compliance with the Act No. 15/2015 Coll., effective since 1 January 2016, Brdy military area was terminated and new boundaries of other military areas in the Czech Republic were set. In accordance with changes in territorial jurisdiction of affected cadastral districts, the boundaries and inhabitants were shifted between Administrative Districts of Municipalities with Authorized Local Authority (AD MALA hereafter) Hořovice, Příbram, Český Krumlov, Prachatice, Volary, Rokycany, Karlovy Vary, Žlutice, Ostrov, Kadaň, Podbořany, Hranice, Olomouc, Prostějov and Šternberk. Because of implemented changes, all military areas have no inhabitants since 1 January 2016.</w:t>
      </w:r>
    </w:p>
    <w:p w:rsidR="00A34F65" w:rsidRPr="00A34F65" w:rsidRDefault="00A34F65" w:rsidP="00A34F65">
      <w:pPr>
        <w:rPr>
          <w:rFonts w:cs="Arial"/>
          <w:i/>
          <w:lang w:val="en-GB"/>
        </w:rPr>
      </w:pPr>
      <w:r w:rsidRPr="00A34F65">
        <w:rPr>
          <w:rFonts w:cs="Arial"/>
          <w:i/>
          <w:lang w:val="en-GB"/>
        </w:rPr>
        <w:t xml:space="preserve">Inhabitants of terminated military area Brdy were divided by address of </w:t>
      </w:r>
      <w:r>
        <w:rPr>
          <w:rFonts w:cs="Arial"/>
          <w:i/>
          <w:lang w:val="en-GB"/>
        </w:rPr>
        <w:t>permanent residence between the </w:t>
      </w:r>
      <w:r w:rsidRPr="00A34F65">
        <w:rPr>
          <w:rFonts w:cs="Arial"/>
          <w:i/>
          <w:lang w:val="en-GB"/>
        </w:rPr>
        <w:t>Příbram AD MALA (to Jince and Obecnice municipalities), the Rokycany AD MALA (to Skořice municipality) and the Hořovice AD MALA (to Zaječov municipality). Inhabitants of the military area Boletice were newly incorporated in the Český Krumlov AD MALA (in Kájov municipality and newly established municipality Polná na Šumavě), the Volary AD MALA (in Křišťanov municipa</w:t>
      </w:r>
      <w:r>
        <w:rPr>
          <w:rFonts w:cs="Arial"/>
          <w:i/>
          <w:lang w:val="en-GB"/>
        </w:rPr>
        <w:t>lity) and the Prachatice AD </w:t>
      </w:r>
      <w:r w:rsidRPr="00A34F65">
        <w:rPr>
          <w:rFonts w:cs="Arial"/>
          <w:i/>
          <w:lang w:val="en-GB"/>
        </w:rPr>
        <w:t>MALA (in Ktiš municipality). Inhabitants of the military area Březina were incorporated in the Prostějov AD MALA (in Krumsín and Otaslavice municipalities). Inhabitants of the military area Hradiště were incorporated in the Karlovy Vary AD MALA (in newly established municipality Bražec), the Ostrov AD MALA (in Stráž nad Ohří municipality and newly established municipality Doupov</w:t>
      </w:r>
      <w:r>
        <w:rPr>
          <w:rFonts w:cs="Arial"/>
          <w:i/>
          <w:lang w:val="en-GB"/>
        </w:rPr>
        <w:t>ské Hradiště), the Podbořany AD </w:t>
      </w:r>
      <w:r w:rsidRPr="00A34F65">
        <w:rPr>
          <w:rFonts w:cs="Arial"/>
          <w:i/>
          <w:lang w:val="en-GB"/>
        </w:rPr>
        <w:t>MALA (in Podbořanský Rohozec municipality), the Kadaň AD MALA (in Radon</w:t>
      </w:r>
      <w:r>
        <w:rPr>
          <w:rFonts w:cs="Arial"/>
          <w:i/>
          <w:lang w:val="en-GB"/>
        </w:rPr>
        <w:t>ice municipality) and in the </w:t>
      </w:r>
      <w:r w:rsidRPr="00A34F65">
        <w:rPr>
          <w:rFonts w:cs="Arial"/>
          <w:i/>
          <w:lang w:val="en-GB"/>
        </w:rPr>
        <w:t xml:space="preserve">Žlutice AD MALA (in Verušičky municipality). Inhabitants of military </w:t>
      </w:r>
      <w:r>
        <w:rPr>
          <w:rFonts w:cs="Arial"/>
          <w:i/>
          <w:lang w:val="en-GB"/>
        </w:rPr>
        <w:t>area Libavá were shifted to the </w:t>
      </w:r>
      <w:r w:rsidRPr="00A34F65">
        <w:rPr>
          <w:rFonts w:cs="Arial"/>
          <w:i/>
          <w:lang w:val="en-GB"/>
        </w:rPr>
        <w:t xml:space="preserve">Hranice AD MALA (to newly established municipality Luboměř pod Strážnou), the Olomouc AD MALA (to newly established municipality Kozlov) and to the Šternberk AD MALA (to newly established municipality Město Libavá). </w:t>
      </w:r>
    </w:p>
    <w:p w:rsidR="00A34F65" w:rsidRPr="00A34F65" w:rsidRDefault="00A34F65" w:rsidP="00A34F65">
      <w:pPr>
        <w:rPr>
          <w:rFonts w:cs="Arial"/>
          <w:i/>
          <w:lang w:val="en-GB"/>
        </w:rPr>
      </w:pPr>
      <w:r w:rsidRPr="00A34F65">
        <w:rPr>
          <w:rFonts w:cs="Arial"/>
          <w:i/>
          <w:lang w:val="en-GB"/>
        </w:rPr>
        <w:t>Dolní Lutyně municipality was shifted (effective on 1 January 2012) from the Orlová AD MALA to the Bohumín AD MALA.</w:t>
      </w:r>
    </w:p>
    <w:p w:rsidR="00A34F65" w:rsidRPr="00A34F65" w:rsidRDefault="00A34F65" w:rsidP="00A34F65">
      <w:pPr>
        <w:rPr>
          <w:rFonts w:cs="Arial"/>
          <w:i/>
          <w:lang w:val="en-GB"/>
        </w:rPr>
      </w:pPr>
      <w:r w:rsidRPr="00A34F65">
        <w:rPr>
          <w:rFonts w:cs="Arial"/>
          <w:i/>
          <w:lang w:val="en-GB"/>
        </w:rPr>
        <w:t>The Yearbook contains data adjusted to territories of AD MALA effective</w:t>
      </w:r>
      <w:r>
        <w:rPr>
          <w:rFonts w:cs="Arial"/>
          <w:i/>
          <w:lang w:val="en-GB"/>
        </w:rPr>
        <w:t xml:space="preserve"> on 1 January 201</w:t>
      </w:r>
      <w:r w:rsidR="005429B8">
        <w:rPr>
          <w:rFonts w:cs="Arial"/>
          <w:i/>
          <w:lang w:val="en-GB"/>
        </w:rPr>
        <w:t>9</w:t>
      </w:r>
      <w:r>
        <w:rPr>
          <w:rFonts w:cs="Arial"/>
          <w:i/>
          <w:lang w:val="en-GB"/>
        </w:rPr>
        <w:t>. There are a </w:t>
      </w:r>
      <w:r w:rsidRPr="00A34F65">
        <w:rPr>
          <w:rFonts w:cs="Arial"/>
          <w:i/>
          <w:lang w:val="en-GB"/>
        </w:rPr>
        <w:t>total of 388 AD MALA, Prague and military domains (Boletice, Březina, Hradiště a Libavá) are not included. The code stated behind the name of the district is the code of the district according to the classification CZ-LAU1, the code behind the name of the region is the code of the region by the classification CZ-NUTS3.</w:t>
      </w:r>
    </w:p>
    <w:p w:rsidR="00A34F65" w:rsidRPr="00A34F65" w:rsidRDefault="00A34F65" w:rsidP="00A34F65">
      <w:pPr>
        <w:rPr>
          <w:rFonts w:cs="Arial"/>
          <w:i/>
          <w:lang w:val="en-GB"/>
        </w:rPr>
      </w:pPr>
      <w:r w:rsidRPr="00A34F65">
        <w:rPr>
          <w:rFonts w:cs="Arial"/>
          <w:i/>
          <w:lang w:val="en-GB"/>
        </w:rPr>
        <w:t xml:space="preserve">Changes in the numbers of municipalities in AD MALA result from merging or separating of municipalities.  </w:t>
      </w:r>
    </w:p>
    <w:p w:rsidR="00A34F65" w:rsidRPr="00A34F65" w:rsidRDefault="00A34F65" w:rsidP="00A34F65">
      <w:pPr>
        <w:rPr>
          <w:rFonts w:cs="Arial"/>
          <w:i/>
          <w:lang w:val="en-GB"/>
        </w:rPr>
      </w:pPr>
      <w:r w:rsidRPr="00A34F65">
        <w:rPr>
          <w:rFonts w:cs="Arial"/>
          <w:i/>
          <w:lang w:val="en-GB"/>
        </w:rPr>
        <w:t>All data refer to the resident population of AD MALA, irrespective of citizenship. Since 2001, the figures include (in accordance with the Population and Housing Census 2001) foreigners with long-term stay (i.e., the stay based on visa over 90 days, as stipulated by Act No. 326/1999 Coll.) and foreigners with granted asylum status (in compliance with Act No. 325/1999 Coll.). Since 1 May 2004, in accordance with amendment No. 326/1999 Coll., the figures include citizens of the Europe</w:t>
      </w:r>
      <w:r>
        <w:rPr>
          <w:rFonts w:cs="Arial"/>
          <w:i/>
          <w:lang w:val="en-GB"/>
        </w:rPr>
        <w:t>an Union with temporary stay on </w:t>
      </w:r>
      <w:r w:rsidRPr="00A34F65">
        <w:rPr>
          <w:rFonts w:cs="Arial"/>
          <w:i/>
          <w:lang w:val="en-GB"/>
        </w:rPr>
        <w:t>the territory of the Czech Republic, and citizens of other countries with long-term stay. The data also contain information on events (marriages, births and deaths) of permanent residents of CR that occurred abroad.</w:t>
      </w:r>
    </w:p>
    <w:p w:rsidR="00A34F65" w:rsidRPr="00A34F65" w:rsidRDefault="00A34F65" w:rsidP="00A34F65">
      <w:pPr>
        <w:rPr>
          <w:rFonts w:cs="Arial"/>
          <w:i/>
          <w:lang w:val="en-GB"/>
        </w:rPr>
      </w:pPr>
      <w:r w:rsidRPr="00A34F65">
        <w:rPr>
          <w:rFonts w:cs="Arial"/>
          <w:i/>
          <w:lang w:val="en-GB"/>
        </w:rPr>
        <w:lastRenderedPageBreak/>
        <w:t>The population as of 31 December of given year is equal the population as of 1 January of the next year. And, the population as of 31 December of given year is computed as the population as of 1 January of given year plus total population increase. It is not true for years in which the population census was held, when</w:t>
      </w:r>
      <w:r>
        <w:rPr>
          <w:rFonts w:cs="Arial"/>
          <w:i/>
          <w:lang w:val="en-GB"/>
        </w:rPr>
        <w:t xml:space="preserve"> the </w:t>
      </w:r>
      <w:r w:rsidRPr="00A34F65">
        <w:rPr>
          <w:rFonts w:cs="Arial"/>
          <w:i/>
          <w:lang w:val="en-GB"/>
        </w:rPr>
        <w:t xml:space="preserve">stock as of 31 December of the year before census is not equal the stock as of 1 January of census year. Here it refers to the Population and Housing Census 2011 - the population as of 1 January 2011 differs from the population as of 31 December 2010. </w:t>
      </w:r>
    </w:p>
    <w:p w:rsidR="00A34F65" w:rsidRPr="00A34F65" w:rsidRDefault="00A34F65" w:rsidP="00A34F65">
      <w:pPr>
        <w:rPr>
          <w:rFonts w:cs="Arial"/>
          <w:i/>
          <w:lang w:val="en-GB"/>
        </w:rPr>
      </w:pPr>
      <w:r w:rsidRPr="00A34F65">
        <w:rPr>
          <w:rFonts w:cs="Arial"/>
          <w:i/>
          <w:lang w:val="en-GB"/>
        </w:rPr>
        <w:t xml:space="preserve">The disagreement between the population as of 31 December and 1 January by AD MALA could also be due to the shifts of municipalities between AD MALA as well as to the extraordinary adjustments of the municipality population stocks. </w:t>
      </w:r>
    </w:p>
    <w:p w:rsidR="00A34F65" w:rsidRPr="00A34F65" w:rsidRDefault="00A34F65" w:rsidP="00A34F65">
      <w:pPr>
        <w:rPr>
          <w:rFonts w:cs="Arial"/>
          <w:i/>
          <w:lang w:val="en-GB"/>
        </w:rPr>
      </w:pPr>
      <w:r w:rsidRPr="00A34F65">
        <w:rPr>
          <w:rFonts w:cs="Arial"/>
          <w:i/>
          <w:lang w:val="en-GB"/>
        </w:rPr>
        <w:t>Definitions of marriages, divorces, births, abortions and deaths and the deri</w:t>
      </w:r>
      <w:r>
        <w:rPr>
          <w:rFonts w:cs="Arial"/>
          <w:i/>
          <w:lang w:val="en-GB"/>
        </w:rPr>
        <w:t>ved indicators are given in the </w:t>
      </w:r>
      <w:r w:rsidRPr="00A34F65">
        <w:rPr>
          <w:rFonts w:cs="Arial"/>
          <w:i/>
          <w:lang w:val="en-GB"/>
        </w:rPr>
        <w:t>Demographic Yearbook of the Czech Republic (code 130067-1</w:t>
      </w:r>
      <w:r w:rsidR="005429B8">
        <w:rPr>
          <w:rFonts w:cs="Arial"/>
          <w:i/>
          <w:lang w:val="en-GB"/>
        </w:rPr>
        <w:t>9</w:t>
      </w:r>
      <w:bookmarkStart w:id="0" w:name="_GoBack"/>
      <w:bookmarkEnd w:id="0"/>
      <w:r w:rsidRPr="00A34F65">
        <w:rPr>
          <w:rFonts w:cs="Arial"/>
          <w:i/>
          <w:lang w:val="en-GB"/>
        </w:rPr>
        <w:t>).</w:t>
      </w:r>
    </w:p>
    <w:p w:rsidR="00733870" w:rsidRPr="00EB3F27" w:rsidRDefault="00A34F65" w:rsidP="00A34F65">
      <w:pPr>
        <w:rPr>
          <w:rFonts w:cs="Arial"/>
          <w:i/>
          <w:lang w:val="en-GB"/>
        </w:rPr>
      </w:pPr>
      <w:r w:rsidRPr="00A34F65">
        <w:rPr>
          <w:rFonts w:cs="Arial"/>
          <w:i/>
          <w:lang w:val="en-GB"/>
        </w:rPr>
        <w:t>Migration is the change in a place of permanent residence from municipa</w:t>
      </w:r>
      <w:r>
        <w:rPr>
          <w:rFonts w:cs="Arial"/>
          <w:i/>
          <w:lang w:val="en-GB"/>
        </w:rPr>
        <w:t>lity to municipality within the </w:t>
      </w:r>
      <w:r w:rsidRPr="00A34F65">
        <w:rPr>
          <w:rFonts w:cs="Arial"/>
          <w:i/>
          <w:lang w:val="en-GB"/>
        </w:rPr>
        <w:t>territory of the Czech Republic or across the borders of the Czech Rep</w:t>
      </w:r>
      <w:r>
        <w:rPr>
          <w:rFonts w:cs="Arial"/>
          <w:i/>
          <w:lang w:val="en-GB"/>
        </w:rPr>
        <w:t>ublic (external migration). The </w:t>
      </w:r>
      <w:r w:rsidRPr="00A34F65">
        <w:rPr>
          <w:rFonts w:cs="Arial"/>
          <w:i/>
          <w:lang w:val="en-GB"/>
        </w:rPr>
        <w:t xml:space="preserve">statistics measures the number of moves, not the number of migrants – one person could move twice or more times. The term ‘immigrant’ is used for immigrant into </w:t>
      </w:r>
      <w:proofErr w:type="spellStart"/>
      <w:r w:rsidRPr="00A34F65">
        <w:rPr>
          <w:rFonts w:cs="Arial"/>
          <w:i/>
          <w:lang w:val="en-GB"/>
        </w:rPr>
        <w:t>a</w:t>
      </w:r>
      <w:proofErr w:type="spellEnd"/>
      <w:r w:rsidRPr="00A34F65">
        <w:rPr>
          <w:rFonts w:cs="Arial"/>
          <w:i/>
          <w:lang w:val="en-GB"/>
        </w:rPr>
        <w:t xml:space="preserve"> AD MALA, the term ‘emigrant’ for emigrant out of AD MALA, in both cases refer to movement across the AD MALA line (so as including international migration). Internal migration refers to the migration between municipalities within one AD MALA (i.e. not cross AD MALA line). There is no internal migration within AD MALA 42132 Krupka, 51052 Hodkovice nad Mohelkou, 62011 Adamov, 62031 Brno, 71071 Hlubočky </w:t>
      </w:r>
      <w:proofErr w:type="gramStart"/>
      <w:r w:rsidRPr="00A34F65">
        <w:rPr>
          <w:rFonts w:cs="Arial"/>
          <w:i/>
          <w:lang w:val="en-GB"/>
        </w:rPr>
        <w:t>a</w:t>
      </w:r>
      <w:proofErr w:type="gramEnd"/>
      <w:r w:rsidRPr="00A34F65">
        <w:rPr>
          <w:rFonts w:cs="Arial"/>
          <w:i/>
          <w:lang w:val="en-GB"/>
        </w:rPr>
        <w:t xml:space="preserve"> 81192 Vratimov, as only one municipality forms this AD MALA.</w:t>
      </w:r>
    </w:p>
    <w:p w:rsidR="00733870" w:rsidRPr="00EB3F27" w:rsidRDefault="00733870" w:rsidP="00151EE9">
      <w:pPr>
        <w:rPr>
          <w:rFonts w:cs="Arial"/>
          <w:i/>
          <w:lang w:val="en-GB"/>
        </w:rPr>
      </w:pPr>
      <w:r w:rsidRPr="00EB3F27">
        <w:rPr>
          <w:rFonts w:cs="Arial"/>
          <w:i/>
          <w:lang w:val="en-GB"/>
        </w:rPr>
        <w:t>Symbols used in tables:</w:t>
      </w:r>
    </w:p>
    <w:p w:rsidR="00733870" w:rsidRPr="00EB3F27" w:rsidRDefault="00733870" w:rsidP="00151EE9">
      <w:pPr>
        <w:ind w:left="340"/>
        <w:contextualSpacing/>
        <w:rPr>
          <w:rFonts w:cs="Arial"/>
          <w:i/>
          <w:lang w:val="en-GB"/>
        </w:rPr>
      </w:pPr>
      <w:r w:rsidRPr="00EB3F27">
        <w:rPr>
          <w:rFonts w:cs="Arial"/>
          <w:i/>
          <w:lang w:val="en-GB"/>
        </w:rPr>
        <w:t>-    The symbol of dash in place of a figure indicates that the phenomenon did not occur.</w:t>
      </w:r>
    </w:p>
    <w:p w:rsidR="00733870" w:rsidRPr="00EB3F27" w:rsidRDefault="00733870" w:rsidP="00151EE9">
      <w:pPr>
        <w:ind w:left="340"/>
        <w:contextualSpacing/>
        <w:rPr>
          <w:rFonts w:cs="Arial"/>
          <w:i/>
          <w:lang w:val="en-GB"/>
        </w:rPr>
      </w:pPr>
      <w:r w:rsidRPr="00EB3F27">
        <w:rPr>
          <w:rFonts w:cs="Arial"/>
          <w:i/>
          <w:lang w:val="en-GB"/>
        </w:rPr>
        <w:t>.    The symbol of dot shows that the figure is not available or cannot be relied on.</w:t>
      </w:r>
    </w:p>
    <w:p w:rsidR="00733870" w:rsidRPr="00EB3F27" w:rsidRDefault="00733870" w:rsidP="00151EE9">
      <w:pPr>
        <w:ind w:left="340"/>
        <w:contextualSpacing/>
        <w:rPr>
          <w:rFonts w:cs="Arial"/>
          <w:i/>
          <w:lang w:val="en-GB"/>
        </w:rPr>
      </w:pPr>
      <w:r w:rsidRPr="00EB3F27">
        <w:rPr>
          <w:rFonts w:cs="Arial"/>
          <w:i/>
          <w:lang w:val="en-GB"/>
        </w:rPr>
        <w:t>x   The symbol of small cross shows that the figure is not applicable.</w:t>
      </w:r>
    </w:p>
    <w:p w:rsidR="00D6594D" w:rsidRPr="00EB3F27" w:rsidRDefault="00D6594D" w:rsidP="002323DB">
      <w:pPr>
        <w:spacing w:before="120"/>
        <w:rPr>
          <w:rFonts w:cs="Arial"/>
          <w:i/>
          <w:color w:val="FF0000"/>
          <w:lang w:val="en-GB"/>
        </w:rPr>
      </w:pPr>
    </w:p>
    <w:sectPr w:rsidR="00D6594D" w:rsidRPr="00EB3F27" w:rsidSect="000056D5">
      <w:headerReference w:type="even" r:id="rId8"/>
      <w:headerReference w:type="default" r:id="rId9"/>
      <w:footerReference w:type="even" r:id="rId10"/>
      <w:footerReference w:type="default"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989" w:rsidRDefault="008A4989" w:rsidP="00E71A58">
      <w:r>
        <w:separator/>
      </w:r>
    </w:p>
  </w:endnote>
  <w:endnote w:type="continuationSeparator" w:id="0">
    <w:p w:rsidR="008A4989" w:rsidRDefault="008A498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733870">
      <w:rPr>
        <w:szCs w:val="16"/>
      </w:rPr>
      <w:t>6</w:t>
    </w:r>
    <w:r w:rsidR="00284876" w:rsidRPr="00F1639F">
      <w:rPr>
        <w:szCs w:val="16"/>
      </w:rPr>
      <w:tab/>
    </w:r>
    <w:r w:rsidR="00C63CD7">
      <w:rPr>
        <w:rStyle w:val="ZpatChar"/>
        <w:szCs w:val="16"/>
      </w:rPr>
      <w:t>200</w:t>
    </w:r>
    <w:r w:rsidR="00C21F2B">
      <w:rPr>
        <w:rStyle w:val="ZpatChar"/>
        <w:szCs w:val="16"/>
      </w:rPr>
      <w:t>9 – 2018</w:t>
    </w:r>
    <w:r w:rsidR="00C63CD7">
      <w:rPr>
        <w:rStyle w:val="ZpatChar"/>
        <w:szCs w:val="16"/>
      </w:rPr>
      <w:t xml:space="preserve"> / </w:t>
    </w:r>
    <w:r w:rsidR="00C63CD7" w:rsidRPr="00C63CD7">
      <w:rPr>
        <w:rStyle w:val="ZpatChar"/>
        <w:i/>
        <w:szCs w:val="16"/>
      </w:rPr>
      <w:t>200</w:t>
    </w:r>
    <w:r w:rsidR="00C21F2B">
      <w:rPr>
        <w:rStyle w:val="ZpatChar"/>
        <w:i/>
        <w:szCs w:val="16"/>
      </w:rPr>
      <w:t>9</w:t>
    </w:r>
    <w:r w:rsidR="00C63CD7" w:rsidRPr="00C63CD7">
      <w:rPr>
        <w:rStyle w:val="ZpatChar"/>
        <w:i/>
        <w:szCs w:val="16"/>
      </w:rPr>
      <w:t xml:space="preserve"> – 201</w:t>
    </w:r>
    <w:r w:rsidR="00C21F2B">
      <w:rPr>
        <w:rStyle w:val="ZpatChar"/>
        <w:i/>
        <w:szCs w:val="16"/>
      </w:rPr>
      <w:t>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A418BC">
    <w:pPr>
      <w:pStyle w:val="Zpat"/>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200</w:t>
    </w:r>
    <w:r w:rsidR="00C21F2B">
      <w:rPr>
        <w:rStyle w:val="ZpatChar"/>
        <w:szCs w:val="16"/>
      </w:rPr>
      <w:t>9</w:t>
    </w:r>
    <w:r w:rsidR="00E97C22">
      <w:rPr>
        <w:rStyle w:val="ZpatChar"/>
        <w:szCs w:val="16"/>
      </w:rPr>
      <w:t xml:space="preserve"> </w:t>
    </w:r>
    <w:r w:rsidR="00645EA4">
      <w:rPr>
        <w:rStyle w:val="ZpatChar"/>
        <w:szCs w:val="16"/>
      </w:rPr>
      <w:t>–</w:t>
    </w:r>
    <w:r w:rsidR="00E97C22">
      <w:rPr>
        <w:rStyle w:val="ZpatChar"/>
        <w:szCs w:val="16"/>
      </w:rPr>
      <w:t xml:space="preserve"> </w:t>
    </w:r>
    <w:r w:rsidR="00284876">
      <w:rPr>
        <w:rStyle w:val="ZpatChar"/>
        <w:szCs w:val="16"/>
      </w:rPr>
      <w:t>201</w:t>
    </w:r>
    <w:r w:rsidR="00C21F2B">
      <w:rPr>
        <w:rStyle w:val="ZpatChar"/>
        <w:szCs w:val="16"/>
      </w:rPr>
      <w:t>8</w:t>
    </w:r>
    <w:r w:rsidR="003C31BE">
      <w:rPr>
        <w:rStyle w:val="ZpatChar"/>
        <w:szCs w:val="16"/>
      </w:rPr>
      <w:t xml:space="preserve"> / </w:t>
    </w:r>
    <w:r w:rsidR="003C31BE" w:rsidRPr="00C63CD7">
      <w:rPr>
        <w:rStyle w:val="ZpatChar"/>
        <w:i/>
        <w:szCs w:val="16"/>
      </w:rPr>
      <w:t>200</w:t>
    </w:r>
    <w:r w:rsidR="00C21F2B">
      <w:rPr>
        <w:rStyle w:val="ZpatChar"/>
        <w:i/>
        <w:szCs w:val="16"/>
      </w:rPr>
      <w:t>9</w:t>
    </w:r>
    <w:r w:rsidR="003C31BE" w:rsidRPr="00C63CD7">
      <w:rPr>
        <w:rStyle w:val="ZpatChar"/>
        <w:i/>
        <w:szCs w:val="16"/>
      </w:rPr>
      <w:t xml:space="preserve"> – 201</w:t>
    </w:r>
    <w:r w:rsidR="00C21F2B">
      <w:rPr>
        <w:rStyle w:val="ZpatChar"/>
        <w:i/>
        <w:szCs w:val="16"/>
      </w:rPr>
      <w:t>8</w:t>
    </w:r>
    <w:r w:rsidR="00284876" w:rsidRPr="00F1639F">
      <w:rPr>
        <w:szCs w:val="16"/>
      </w:rPr>
      <w:tab/>
    </w:r>
    <w:r w:rsidR="00733870">
      <w:rPr>
        <w:rStyle w:val="ZpatChar"/>
        <w:szCs w:val="16"/>
      </w:rPr>
      <w:t>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989" w:rsidRDefault="008A4989" w:rsidP="00E71A58">
      <w:r>
        <w:separator/>
      </w:r>
    </w:p>
  </w:footnote>
  <w:footnote w:type="continuationSeparator" w:id="0">
    <w:p w:rsidR="008A4989" w:rsidRDefault="008A4989" w:rsidP="00E71A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284876" w:rsidRPr="00A34F65" w:rsidRDefault="00284876" w:rsidP="00A34F6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F65" w:rsidRDefault="00A34F65" w:rsidP="00A34F65">
    <w:pPr>
      <w:pStyle w:val="Zhlav"/>
    </w:pPr>
    <w:r w:rsidRPr="00A50BD4">
      <w:t xml:space="preserve">Demografická ročenka správních obvodů obcí s pověřeným obecním úřadem </w:t>
    </w:r>
  </w:p>
  <w:p w:rsidR="00A34F65" w:rsidRPr="003C31BE" w:rsidRDefault="00A34F65" w:rsidP="00A34F65">
    <w:pPr>
      <w:pStyle w:val="Zhlav"/>
      <w:rPr>
        <w:i/>
        <w:lang w:val="en-US"/>
      </w:rPr>
    </w:pPr>
    <w:r w:rsidRPr="00A50BD4">
      <w:rPr>
        <w:i/>
        <w:lang w:val="en-US"/>
      </w:rPr>
      <w:t>Demographic Yearbook of Administrative Districts of Municipalities with Authorized Municipal Authority</w:t>
    </w:r>
  </w:p>
  <w:p w:rsidR="003C31BE" w:rsidRPr="00A34F65" w:rsidRDefault="003C31BE" w:rsidP="00A34F6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55pt;height:11.5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60C89"/>
    <w:rsid w:val="000610E1"/>
    <w:rsid w:val="00062EC5"/>
    <w:rsid w:val="00062F22"/>
    <w:rsid w:val="000712B3"/>
    <w:rsid w:val="00077DE1"/>
    <w:rsid w:val="00080BC7"/>
    <w:rsid w:val="0008263E"/>
    <w:rsid w:val="00082C19"/>
    <w:rsid w:val="00085395"/>
    <w:rsid w:val="00087634"/>
    <w:rsid w:val="00087F2B"/>
    <w:rsid w:val="000974D1"/>
    <w:rsid w:val="0009799E"/>
    <w:rsid w:val="000A1183"/>
    <w:rsid w:val="000A256D"/>
    <w:rsid w:val="000A2E22"/>
    <w:rsid w:val="000A3A2C"/>
    <w:rsid w:val="000A7ED2"/>
    <w:rsid w:val="000C3408"/>
    <w:rsid w:val="000C6AFD"/>
    <w:rsid w:val="000D5637"/>
    <w:rsid w:val="000E6FBD"/>
    <w:rsid w:val="000E7857"/>
    <w:rsid w:val="00100F5C"/>
    <w:rsid w:val="00104C4C"/>
    <w:rsid w:val="00111291"/>
    <w:rsid w:val="0011325A"/>
    <w:rsid w:val="0012192F"/>
    <w:rsid w:val="00125D69"/>
    <w:rsid w:val="001405FA"/>
    <w:rsid w:val="001410FA"/>
    <w:rsid w:val="001425C3"/>
    <w:rsid w:val="00151EE9"/>
    <w:rsid w:val="00155321"/>
    <w:rsid w:val="001574B7"/>
    <w:rsid w:val="0016256B"/>
    <w:rsid w:val="00163793"/>
    <w:rsid w:val="001706D6"/>
    <w:rsid w:val="001714F2"/>
    <w:rsid w:val="001770D9"/>
    <w:rsid w:val="00184B08"/>
    <w:rsid w:val="00185010"/>
    <w:rsid w:val="001A552F"/>
    <w:rsid w:val="001A6BC7"/>
    <w:rsid w:val="001B2CA9"/>
    <w:rsid w:val="001B3110"/>
    <w:rsid w:val="001B4729"/>
    <w:rsid w:val="001B6C09"/>
    <w:rsid w:val="001C05CD"/>
    <w:rsid w:val="001D231C"/>
    <w:rsid w:val="001D68B2"/>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70A33"/>
    <w:rsid w:val="00271465"/>
    <w:rsid w:val="00284876"/>
    <w:rsid w:val="00285412"/>
    <w:rsid w:val="0029097D"/>
    <w:rsid w:val="002A16D4"/>
    <w:rsid w:val="002A230C"/>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527A3"/>
    <w:rsid w:val="003657F3"/>
    <w:rsid w:val="003719A2"/>
    <w:rsid w:val="003818DC"/>
    <w:rsid w:val="00385D98"/>
    <w:rsid w:val="003A2B4D"/>
    <w:rsid w:val="003A478C"/>
    <w:rsid w:val="003A5525"/>
    <w:rsid w:val="003A6B38"/>
    <w:rsid w:val="003B5A32"/>
    <w:rsid w:val="003B7305"/>
    <w:rsid w:val="003C31BE"/>
    <w:rsid w:val="003C3490"/>
    <w:rsid w:val="003D3BEB"/>
    <w:rsid w:val="003D6920"/>
    <w:rsid w:val="003E4C91"/>
    <w:rsid w:val="003F313C"/>
    <w:rsid w:val="003F551C"/>
    <w:rsid w:val="00407C13"/>
    <w:rsid w:val="00410638"/>
    <w:rsid w:val="00432A58"/>
    <w:rsid w:val="00434617"/>
    <w:rsid w:val="00440900"/>
    <w:rsid w:val="004441A0"/>
    <w:rsid w:val="00476240"/>
    <w:rsid w:val="00476439"/>
    <w:rsid w:val="00477325"/>
    <w:rsid w:val="0047735C"/>
    <w:rsid w:val="004776BC"/>
    <w:rsid w:val="0048139F"/>
    <w:rsid w:val="00481E40"/>
    <w:rsid w:val="00484ECE"/>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108C0"/>
    <w:rsid w:val="00511873"/>
    <w:rsid w:val="00512A2F"/>
    <w:rsid w:val="00513B7E"/>
    <w:rsid w:val="00515C74"/>
    <w:rsid w:val="0052007E"/>
    <w:rsid w:val="0052337A"/>
    <w:rsid w:val="0052454B"/>
    <w:rsid w:val="00525137"/>
    <w:rsid w:val="005251DD"/>
    <w:rsid w:val="00532CE7"/>
    <w:rsid w:val="0053324C"/>
    <w:rsid w:val="00534715"/>
    <w:rsid w:val="00534A28"/>
    <w:rsid w:val="00541508"/>
    <w:rsid w:val="005429B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56DF"/>
    <w:rsid w:val="00695BEF"/>
    <w:rsid w:val="006977F6"/>
    <w:rsid w:val="00697A13"/>
    <w:rsid w:val="006A109C"/>
    <w:rsid w:val="006A1D3A"/>
    <w:rsid w:val="006A2DAB"/>
    <w:rsid w:val="006A6488"/>
    <w:rsid w:val="006B344A"/>
    <w:rsid w:val="006B78D8"/>
    <w:rsid w:val="006C113F"/>
    <w:rsid w:val="006C1EDE"/>
    <w:rsid w:val="006C56D4"/>
    <w:rsid w:val="006C6924"/>
    <w:rsid w:val="006C7CA6"/>
    <w:rsid w:val="006D3E8A"/>
    <w:rsid w:val="006D61F6"/>
    <w:rsid w:val="006E279A"/>
    <w:rsid w:val="006E313B"/>
    <w:rsid w:val="00704A5B"/>
    <w:rsid w:val="00706AD4"/>
    <w:rsid w:val="007140BE"/>
    <w:rsid w:val="0071648A"/>
    <w:rsid w:val="007171F9"/>
    <w:rsid w:val="007211F5"/>
    <w:rsid w:val="00725BB5"/>
    <w:rsid w:val="00730AE8"/>
    <w:rsid w:val="0073379D"/>
    <w:rsid w:val="00733870"/>
    <w:rsid w:val="0073775E"/>
    <w:rsid w:val="00741493"/>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3434"/>
    <w:rsid w:val="00865E4C"/>
    <w:rsid w:val="008701E4"/>
    <w:rsid w:val="00875A32"/>
    <w:rsid w:val="00876086"/>
    <w:rsid w:val="00884704"/>
    <w:rsid w:val="008873D4"/>
    <w:rsid w:val="00892F55"/>
    <w:rsid w:val="00893E85"/>
    <w:rsid w:val="00894031"/>
    <w:rsid w:val="008A32D0"/>
    <w:rsid w:val="008A4989"/>
    <w:rsid w:val="008B7C02"/>
    <w:rsid w:val="008B7D2B"/>
    <w:rsid w:val="008C0049"/>
    <w:rsid w:val="008C0E88"/>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3920"/>
    <w:rsid w:val="009B6FD3"/>
    <w:rsid w:val="009C1750"/>
    <w:rsid w:val="009C2E29"/>
    <w:rsid w:val="009C554B"/>
    <w:rsid w:val="009C719E"/>
    <w:rsid w:val="009D3ACD"/>
    <w:rsid w:val="009E3739"/>
    <w:rsid w:val="009E5DDB"/>
    <w:rsid w:val="009F4CA7"/>
    <w:rsid w:val="00A02D97"/>
    <w:rsid w:val="00A10D66"/>
    <w:rsid w:val="00A14114"/>
    <w:rsid w:val="00A23E43"/>
    <w:rsid w:val="00A26D83"/>
    <w:rsid w:val="00A30F65"/>
    <w:rsid w:val="00A34F65"/>
    <w:rsid w:val="00A418BC"/>
    <w:rsid w:val="00A46DE0"/>
    <w:rsid w:val="00A50D73"/>
    <w:rsid w:val="00A52CAD"/>
    <w:rsid w:val="00A53FC7"/>
    <w:rsid w:val="00A62CE1"/>
    <w:rsid w:val="00A6741E"/>
    <w:rsid w:val="00A75E40"/>
    <w:rsid w:val="00A77D1D"/>
    <w:rsid w:val="00A857C0"/>
    <w:rsid w:val="00A92428"/>
    <w:rsid w:val="00AA2996"/>
    <w:rsid w:val="00AA3FE9"/>
    <w:rsid w:val="00AA52BF"/>
    <w:rsid w:val="00AA559A"/>
    <w:rsid w:val="00AB2AF1"/>
    <w:rsid w:val="00AC1083"/>
    <w:rsid w:val="00AD306C"/>
    <w:rsid w:val="00AE09B3"/>
    <w:rsid w:val="00AE0C2E"/>
    <w:rsid w:val="00AE1A83"/>
    <w:rsid w:val="00AF107E"/>
    <w:rsid w:val="00AF2218"/>
    <w:rsid w:val="00B00913"/>
    <w:rsid w:val="00B01593"/>
    <w:rsid w:val="00B10A4D"/>
    <w:rsid w:val="00B17E71"/>
    <w:rsid w:val="00B17FDE"/>
    <w:rsid w:val="00B21224"/>
    <w:rsid w:val="00B2379C"/>
    <w:rsid w:val="00B2687D"/>
    <w:rsid w:val="00B32DDB"/>
    <w:rsid w:val="00B34528"/>
    <w:rsid w:val="00B402FC"/>
    <w:rsid w:val="00B46604"/>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4555"/>
    <w:rsid w:val="00BC7154"/>
    <w:rsid w:val="00BD366B"/>
    <w:rsid w:val="00BD6D50"/>
    <w:rsid w:val="00BE18B9"/>
    <w:rsid w:val="00BE2495"/>
    <w:rsid w:val="00BE3108"/>
    <w:rsid w:val="00BF1578"/>
    <w:rsid w:val="00BF36A5"/>
    <w:rsid w:val="00C21F2B"/>
    <w:rsid w:val="00C21F94"/>
    <w:rsid w:val="00C27913"/>
    <w:rsid w:val="00C33B68"/>
    <w:rsid w:val="00C36A79"/>
    <w:rsid w:val="00C405D4"/>
    <w:rsid w:val="00C446ED"/>
    <w:rsid w:val="00C4513B"/>
    <w:rsid w:val="00C54697"/>
    <w:rsid w:val="00C55411"/>
    <w:rsid w:val="00C63CD7"/>
    <w:rsid w:val="00C6752D"/>
    <w:rsid w:val="00C73885"/>
    <w:rsid w:val="00C747B1"/>
    <w:rsid w:val="00C82191"/>
    <w:rsid w:val="00C8621D"/>
    <w:rsid w:val="00C90CF4"/>
    <w:rsid w:val="00C92EB6"/>
    <w:rsid w:val="00C93389"/>
    <w:rsid w:val="00C96CCE"/>
    <w:rsid w:val="00CA36DE"/>
    <w:rsid w:val="00CB2C9B"/>
    <w:rsid w:val="00CB4930"/>
    <w:rsid w:val="00CC2E7D"/>
    <w:rsid w:val="00CD10A5"/>
    <w:rsid w:val="00CD2076"/>
    <w:rsid w:val="00CE670B"/>
    <w:rsid w:val="00CF3F68"/>
    <w:rsid w:val="00CF51EC"/>
    <w:rsid w:val="00CF73AE"/>
    <w:rsid w:val="00CF7FF0"/>
    <w:rsid w:val="00D040DD"/>
    <w:rsid w:val="00D13986"/>
    <w:rsid w:val="00D25F28"/>
    <w:rsid w:val="00D27973"/>
    <w:rsid w:val="00D43F76"/>
    <w:rsid w:val="00D50F46"/>
    <w:rsid w:val="00D6594D"/>
    <w:rsid w:val="00D66223"/>
    <w:rsid w:val="00D8084C"/>
    <w:rsid w:val="00DA7C0C"/>
    <w:rsid w:val="00DB2EC8"/>
    <w:rsid w:val="00DB5695"/>
    <w:rsid w:val="00DC5B3B"/>
    <w:rsid w:val="00DC75CB"/>
    <w:rsid w:val="00DD129F"/>
    <w:rsid w:val="00DD1FAB"/>
    <w:rsid w:val="00DD487E"/>
    <w:rsid w:val="00DD685B"/>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93820"/>
    <w:rsid w:val="00E96E34"/>
    <w:rsid w:val="00E97C22"/>
    <w:rsid w:val="00EA0C68"/>
    <w:rsid w:val="00EB3F27"/>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67CE980C"/>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8D680-38D3-4CEE-87E3-9A978AA2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195</TotalTime>
  <Pages>2</Pages>
  <Words>883</Words>
  <Characters>5211</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Ing. Jan Bílík</cp:lastModifiedBy>
  <cp:revision>16</cp:revision>
  <cp:lastPrinted>2018-05-11T09:18:00Z</cp:lastPrinted>
  <dcterms:created xsi:type="dcterms:W3CDTF">2018-06-04T08:54:00Z</dcterms:created>
  <dcterms:modified xsi:type="dcterms:W3CDTF">2019-01-04T13:00:00Z</dcterms:modified>
</cp:coreProperties>
</file>