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53DB2" w14:textId="77777777" w:rsidR="006E3BD4" w:rsidRDefault="006E3BD4" w:rsidP="006E3BD4">
      <w:pPr>
        <w:pStyle w:val="Nadpis1"/>
      </w:pPr>
      <w:bookmarkStart w:id="0" w:name="_Toc444112503"/>
      <w:r>
        <w:t>3. Výdaje domácností na zdravotní péči</w:t>
      </w:r>
    </w:p>
    <w:p w14:paraId="58DCC502" w14:textId="69210F27" w:rsidR="006E3BD4" w:rsidRPr="00FB13FD" w:rsidRDefault="006E3BD4" w:rsidP="006E3BD4">
      <w:pPr>
        <w:jc w:val="both"/>
      </w:pPr>
      <w:r>
        <w:t xml:space="preserve">Systém zdravotní péče v České republice je založen především na veřejném zdravotním pojištění, které poskytuje všeobecné pokrytí a široký rozsah hrazených služeb. Náklady na zdravotní péči každoročně stoupají a výnosy z veřejného zdravotního pojištění nestačí tento nárůst pokrýt, proto se i v Česku opět začaly zvyšovat v posledních letech přímé platby občanů za lékařskou péči. </w:t>
      </w:r>
      <w:r>
        <w:rPr>
          <w:rFonts w:cs="Arial"/>
          <w:color w:val="000000"/>
          <w:szCs w:val="20"/>
        </w:rPr>
        <w:t>I přes výše uvedené konstatování platí, že výdaje domácnosti na zdravotní péči jsou u nás spíše doplňkovým zdrojem financování zdravotnictví.</w:t>
      </w:r>
      <w:r w:rsidR="009E5D78">
        <w:rPr>
          <w:rFonts w:cs="Arial"/>
          <w:color w:val="000000"/>
          <w:szCs w:val="20"/>
        </w:rPr>
        <w:t xml:space="preserve"> Podíl přímých plateb domácností v Česku se v posledních letech pohyboval</w:t>
      </w:r>
      <w:r>
        <w:rPr>
          <w:rFonts w:cs="Arial"/>
          <w:color w:val="000000"/>
          <w:szCs w:val="20"/>
        </w:rPr>
        <w:t xml:space="preserve"> „jen“ kolem 14 % na celkových výdajích za</w:t>
      </w:r>
      <w:r w:rsidR="009E5D78">
        <w:rPr>
          <w:rFonts w:cs="Arial"/>
          <w:color w:val="000000"/>
          <w:szCs w:val="20"/>
        </w:rPr>
        <w:t> </w:t>
      </w:r>
      <w:r>
        <w:rPr>
          <w:rFonts w:cs="Arial"/>
          <w:color w:val="000000"/>
          <w:szCs w:val="20"/>
        </w:rPr>
        <w:t xml:space="preserve">zdravotní péči.    </w:t>
      </w:r>
    </w:p>
    <w:p w14:paraId="287EB492" w14:textId="368E1DCC" w:rsidR="006E3BD4" w:rsidRDefault="006E3BD4" w:rsidP="006E3BD4">
      <w:pPr>
        <w:keepNext/>
        <w:jc w:val="both"/>
        <w:rPr>
          <w:rFonts w:cs="Arial"/>
          <w:color w:val="000000"/>
          <w:szCs w:val="20"/>
        </w:rPr>
      </w:pPr>
      <w:r w:rsidRPr="00991A9E">
        <w:rPr>
          <w:rFonts w:cs="Arial"/>
          <w:color w:val="000000"/>
          <w:szCs w:val="20"/>
        </w:rPr>
        <w:t xml:space="preserve">Následující kapitola přináší přehled </w:t>
      </w:r>
      <w:r w:rsidRPr="00991A9E">
        <w:rPr>
          <w:rFonts w:cs="Arial"/>
          <w:b/>
          <w:color w:val="000000"/>
          <w:szCs w:val="20"/>
        </w:rPr>
        <w:t>základních údajů o výdajích domácností na zdravotní péči</w:t>
      </w:r>
      <w:r w:rsidRPr="00991A9E">
        <w:rPr>
          <w:rFonts w:cs="Arial"/>
          <w:color w:val="000000"/>
          <w:szCs w:val="20"/>
        </w:rPr>
        <w:t xml:space="preserve">. Více pozornosti je věnováno výdajům </w:t>
      </w:r>
      <w:r w:rsidRPr="00991A9E">
        <w:rPr>
          <w:rFonts w:cs="Arial"/>
          <w:b/>
          <w:color w:val="000000"/>
          <w:szCs w:val="20"/>
        </w:rPr>
        <w:t>na léky</w:t>
      </w:r>
      <w:r w:rsidRPr="00991A9E">
        <w:rPr>
          <w:rFonts w:cs="Arial"/>
          <w:color w:val="000000"/>
          <w:szCs w:val="20"/>
        </w:rPr>
        <w:t xml:space="preserve">, které </w:t>
      </w:r>
      <w:r>
        <w:rPr>
          <w:rFonts w:cs="Arial"/>
          <w:color w:val="000000"/>
          <w:szCs w:val="20"/>
        </w:rPr>
        <w:t xml:space="preserve">v oblasti zdraví </w:t>
      </w:r>
      <w:r w:rsidRPr="00991A9E">
        <w:rPr>
          <w:rFonts w:cs="Arial"/>
          <w:color w:val="000000"/>
          <w:szCs w:val="20"/>
        </w:rPr>
        <w:t xml:space="preserve">patří k nejnákladnějším položkám českých domácností. Zaměříme se rovněž na informace o výdajích domácností </w:t>
      </w:r>
      <w:r w:rsidRPr="00991A9E">
        <w:rPr>
          <w:rFonts w:cs="Arial"/>
          <w:b/>
          <w:color w:val="000000"/>
          <w:szCs w:val="20"/>
        </w:rPr>
        <w:t>na jednotlivé druhy zdravotní péče</w:t>
      </w:r>
      <w:r>
        <w:rPr>
          <w:rFonts w:cs="Arial"/>
          <w:b/>
          <w:color w:val="000000"/>
          <w:szCs w:val="20"/>
        </w:rPr>
        <w:t>, především na péči stomatologickou</w:t>
      </w:r>
      <w:r w:rsidRPr="00991A9E">
        <w:rPr>
          <w:rFonts w:cs="Arial"/>
          <w:b/>
          <w:color w:val="000000"/>
          <w:szCs w:val="20"/>
        </w:rPr>
        <w:t xml:space="preserve"> </w:t>
      </w:r>
      <w:r w:rsidRPr="00991A9E">
        <w:rPr>
          <w:rFonts w:cs="Arial"/>
          <w:color w:val="000000"/>
          <w:szCs w:val="20"/>
        </w:rPr>
        <w:t xml:space="preserve">a připomeneme si </w:t>
      </w:r>
      <w:r w:rsidRPr="00991A9E">
        <w:rPr>
          <w:rFonts w:cs="Arial"/>
          <w:b/>
          <w:color w:val="000000"/>
          <w:szCs w:val="20"/>
        </w:rPr>
        <w:t>vývoj regulačních poplatků</w:t>
      </w:r>
      <w:r w:rsidRPr="00991A9E">
        <w:rPr>
          <w:rFonts w:cs="Arial"/>
          <w:color w:val="000000"/>
          <w:szCs w:val="20"/>
        </w:rPr>
        <w:t xml:space="preserve"> od jejich počátku do</w:t>
      </w:r>
      <w:r w:rsidR="005B66E0">
        <w:rPr>
          <w:rFonts w:cs="Arial"/>
          <w:color w:val="000000"/>
          <w:szCs w:val="20"/>
        </w:rPr>
        <w:t> </w:t>
      </w:r>
      <w:r w:rsidRPr="00991A9E">
        <w:rPr>
          <w:rFonts w:cs="Arial"/>
          <w:color w:val="000000"/>
          <w:szCs w:val="20"/>
        </w:rPr>
        <w:t>současné doby.</w:t>
      </w:r>
    </w:p>
    <w:p w14:paraId="1FE20C86" w14:textId="77777777" w:rsidR="006E3BD4" w:rsidRDefault="006E3BD4" w:rsidP="006E3BD4">
      <w:pPr>
        <w:keepNext/>
        <w:jc w:val="both"/>
        <w:rPr>
          <w:rFonts w:cs="Arial"/>
          <w:color w:val="000000"/>
          <w:szCs w:val="20"/>
        </w:rPr>
      </w:pPr>
      <w:r>
        <w:rPr>
          <w:rFonts w:cs="Arial"/>
          <w:color w:val="000000"/>
          <w:szCs w:val="20"/>
        </w:rPr>
        <w:t xml:space="preserve">Údaje o výdajích domácností na zdravotní péči jsou ze všech sledovaných oblastí dostupné za nejdelší časovou řadu, a to již od roku 1990.   </w:t>
      </w:r>
    </w:p>
    <w:p w14:paraId="3E072F18" w14:textId="77777777" w:rsidR="006E3BD4" w:rsidRDefault="006E3BD4" w:rsidP="006E3BD4">
      <w:pPr>
        <w:pStyle w:val="Nadpis3"/>
      </w:pPr>
      <w:r>
        <w:t xml:space="preserve">3.1. </w:t>
      </w:r>
      <w:r w:rsidRPr="00482DB1">
        <w:t>Celkové výdaje domácností</w:t>
      </w:r>
      <w:r>
        <w:t xml:space="preserve"> na zdravotní péči – základní ukazatele</w:t>
      </w:r>
    </w:p>
    <w:p w14:paraId="34A69153" w14:textId="77777777" w:rsidR="006E3BD4" w:rsidRDefault="006E3BD4" w:rsidP="006E3BD4">
      <w:pPr>
        <w:jc w:val="both"/>
        <w:rPr>
          <w:rFonts w:cs="Arial"/>
          <w:color w:val="000000"/>
          <w:szCs w:val="20"/>
        </w:rPr>
      </w:pPr>
      <w:r w:rsidRPr="00C51E92">
        <w:rPr>
          <w:szCs w:val="17"/>
        </w:rPr>
        <w:t>V roce 201</w:t>
      </w:r>
      <w:r>
        <w:rPr>
          <w:szCs w:val="17"/>
        </w:rPr>
        <w:t>9</w:t>
      </w:r>
      <w:r w:rsidRPr="00C51E92">
        <w:rPr>
          <w:szCs w:val="17"/>
        </w:rPr>
        <w:t xml:space="preserve"> </w:t>
      </w:r>
      <w:r>
        <w:rPr>
          <w:szCs w:val="17"/>
        </w:rPr>
        <w:t>dosáhly</w:t>
      </w:r>
      <w:r w:rsidRPr="00C51E92">
        <w:rPr>
          <w:szCs w:val="17"/>
        </w:rPr>
        <w:t xml:space="preserve"> v Česku </w:t>
      </w:r>
      <w:r w:rsidRPr="00FC0B39">
        <w:rPr>
          <w:b/>
          <w:szCs w:val="17"/>
        </w:rPr>
        <w:t xml:space="preserve">celkové </w:t>
      </w:r>
      <w:r>
        <w:rPr>
          <w:b/>
          <w:szCs w:val="17"/>
        </w:rPr>
        <w:t xml:space="preserve">přímé </w:t>
      </w:r>
      <w:r w:rsidRPr="00FC0B39">
        <w:rPr>
          <w:b/>
          <w:szCs w:val="17"/>
        </w:rPr>
        <w:t>výdaje domácností na zdravotní péči</w:t>
      </w:r>
      <w:r w:rsidRPr="00C51E92">
        <w:rPr>
          <w:szCs w:val="17"/>
        </w:rPr>
        <w:t xml:space="preserve"> </w:t>
      </w:r>
      <w:r w:rsidRPr="00875546">
        <w:rPr>
          <w:b/>
          <w:szCs w:val="17"/>
        </w:rPr>
        <w:t>63,7 mld. Kč</w:t>
      </w:r>
      <w:r>
        <w:rPr>
          <w:b/>
          <w:szCs w:val="17"/>
        </w:rPr>
        <w:t xml:space="preserve">. </w:t>
      </w:r>
      <w:r w:rsidRPr="00476D78">
        <w:rPr>
          <w:rFonts w:cs="Arial"/>
          <w:color w:val="000000"/>
          <w:szCs w:val="20"/>
        </w:rPr>
        <w:t>Meziročně vzrostly</w:t>
      </w:r>
      <w:r>
        <w:rPr>
          <w:rFonts w:cs="Arial"/>
          <w:color w:val="000000"/>
          <w:szCs w:val="20"/>
        </w:rPr>
        <w:t xml:space="preserve"> tyto výdaje </w:t>
      </w:r>
      <w:r w:rsidRPr="00476D78">
        <w:rPr>
          <w:rFonts w:cs="Arial"/>
          <w:color w:val="000000"/>
          <w:szCs w:val="20"/>
        </w:rPr>
        <w:t xml:space="preserve">o </w:t>
      </w:r>
      <w:r>
        <w:rPr>
          <w:rFonts w:cs="Arial"/>
          <w:color w:val="000000"/>
          <w:szCs w:val="20"/>
        </w:rPr>
        <w:t>11</w:t>
      </w:r>
      <w:r w:rsidRPr="00476D78">
        <w:rPr>
          <w:rFonts w:cs="Arial"/>
          <w:color w:val="000000"/>
          <w:szCs w:val="20"/>
        </w:rPr>
        <w:t>,1 %</w:t>
      </w:r>
      <w:r>
        <w:rPr>
          <w:rFonts w:cs="Arial"/>
          <w:color w:val="000000"/>
          <w:szCs w:val="20"/>
        </w:rPr>
        <w:t xml:space="preserve">, tj. nejvíce od roku 2010. </w:t>
      </w:r>
      <w:r w:rsidRPr="00476D78">
        <w:rPr>
          <w:rFonts w:cs="Arial"/>
          <w:color w:val="000000"/>
          <w:szCs w:val="20"/>
        </w:rPr>
        <w:t>Na tomto nárůstu se nejv</w:t>
      </w:r>
      <w:r>
        <w:rPr>
          <w:rFonts w:cs="Arial"/>
          <w:color w:val="000000"/>
          <w:szCs w:val="20"/>
        </w:rPr>
        <w:t xml:space="preserve">ýrazněji </w:t>
      </w:r>
      <w:r w:rsidRPr="00476D78">
        <w:rPr>
          <w:rFonts w:cs="Arial"/>
          <w:color w:val="000000"/>
          <w:szCs w:val="20"/>
        </w:rPr>
        <w:t xml:space="preserve">podílely výdaje </w:t>
      </w:r>
      <w:r>
        <w:rPr>
          <w:rFonts w:cs="Arial"/>
          <w:color w:val="000000"/>
          <w:szCs w:val="20"/>
        </w:rPr>
        <w:t>domácností za léky</w:t>
      </w:r>
      <w:r w:rsidRPr="00476D78">
        <w:rPr>
          <w:rFonts w:cs="Arial"/>
          <w:color w:val="000000"/>
          <w:szCs w:val="20"/>
        </w:rPr>
        <w:t xml:space="preserve">, které se meziročně zvýšily o </w:t>
      </w:r>
      <w:r>
        <w:rPr>
          <w:rFonts w:cs="Arial"/>
          <w:color w:val="000000"/>
          <w:szCs w:val="20"/>
        </w:rPr>
        <w:t xml:space="preserve">4,0 mld. Kč. Procentuálně to představuje nárůst oproti roku 2018 o 15,6 %. Podrobněji jsou rozebrány výdaje domácností za léky níže a dále i v samostatné kapitole </w:t>
      </w:r>
      <w:proofErr w:type="gramStart"/>
      <w:r>
        <w:rPr>
          <w:rFonts w:cs="Arial"/>
          <w:color w:val="000000"/>
          <w:szCs w:val="20"/>
        </w:rPr>
        <w:t>č.5.</w:t>
      </w:r>
      <w:proofErr w:type="gramEnd"/>
      <w:r>
        <w:rPr>
          <w:rFonts w:cs="Arial"/>
          <w:color w:val="000000"/>
          <w:szCs w:val="20"/>
        </w:rPr>
        <w:t xml:space="preserve"> </w:t>
      </w:r>
    </w:p>
    <w:p w14:paraId="7521DC50" w14:textId="71AB26A8" w:rsidR="006E3BD4" w:rsidRPr="009F7D92" w:rsidRDefault="006E3BD4" w:rsidP="006E3BD4">
      <w:pPr>
        <w:keepNext/>
        <w:jc w:val="both"/>
        <w:rPr>
          <w:rFonts w:cs="Arial"/>
          <w:b/>
          <w:i/>
          <w:color w:val="000000"/>
          <w:szCs w:val="20"/>
        </w:rPr>
      </w:pPr>
      <w:r w:rsidRPr="009F7D92">
        <w:rPr>
          <w:rFonts w:cs="Arial"/>
          <w:b/>
          <w:i/>
          <w:color w:val="000000"/>
          <w:szCs w:val="20"/>
        </w:rPr>
        <w:t>V letech 201</w:t>
      </w:r>
      <w:r>
        <w:rPr>
          <w:rFonts w:cs="Arial"/>
          <w:b/>
          <w:i/>
          <w:color w:val="000000"/>
          <w:szCs w:val="20"/>
        </w:rPr>
        <w:t>0</w:t>
      </w:r>
      <w:r w:rsidRPr="009F7D92">
        <w:rPr>
          <w:rFonts w:cs="Arial"/>
          <w:b/>
          <w:i/>
          <w:color w:val="000000"/>
          <w:szCs w:val="20"/>
        </w:rPr>
        <w:t xml:space="preserve"> až 2019 </w:t>
      </w:r>
      <w:r w:rsidR="009E5D78">
        <w:rPr>
          <w:rFonts w:cs="Arial"/>
          <w:b/>
          <w:i/>
          <w:color w:val="000000"/>
          <w:szCs w:val="20"/>
        </w:rPr>
        <w:t xml:space="preserve">zaplatily </w:t>
      </w:r>
      <w:r>
        <w:rPr>
          <w:rFonts w:cs="Arial"/>
          <w:b/>
          <w:i/>
          <w:color w:val="000000"/>
          <w:szCs w:val="20"/>
        </w:rPr>
        <w:t xml:space="preserve">domácnosti za zdravotní péči ze svých kapes cca </w:t>
      </w:r>
      <w:r w:rsidRPr="009F7D92">
        <w:rPr>
          <w:rFonts w:cs="Arial"/>
          <w:b/>
          <w:i/>
          <w:color w:val="000000"/>
          <w:szCs w:val="20"/>
        </w:rPr>
        <w:t>50</w:t>
      </w:r>
      <w:r>
        <w:rPr>
          <w:rFonts w:cs="Arial"/>
          <w:b/>
          <w:i/>
          <w:color w:val="000000"/>
          <w:szCs w:val="20"/>
        </w:rPr>
        <w:t>0</w:t>
      </w:r>
      <w:r w:rsidRPr="009F7D92">
        <w:rPr>
          <w:rFonts w:cs="Arial"/>
          <w:b/>
          <w:i/>
          <w:color w:val="000000"/>
          <w:szCs w:val="20"/>
        </w:rPr>
        <w:t xml:space="preserve"> miliard </w:t>
      </w:r>
    </w:p>
    <w:p w14:paraId="2F0DEDFD" w14:textId="506DE6E0" w:rsidR="006E3BD4" w:rsidRDefault="006E3BD4" w:rsidP="006E3BD4">
      <w:pPr>
        <w:jc w:val="both"/>
        <w:rPr>
          <w:szCs w:val="17"/>
        </w:rPr>
      </w:pPr>
      <w:r w:rsidRPr="00094127">
        <w:rPr>
          <w:rFonts w:cs="Arial"/>
          <w:color w:val="000000"/>
          <w:szCs w:val="20"/>
        </w:rPr>
        <w:t xml:space="preserve">V sledovaném období let 2010 až 2019 rostly výdaje na zdravotní péči </w:t>
      </w:r>
      <w:r>
        <w:rPr>
          <w:rFonts w:cs="Arial"/>
          <w:color w:val="000000"/>
          <w:szCs w:val="20"/>
        </w:rPr>
        <w:t xml:space="preserve">placené z kapes pacientů </w:t>
      </w:r>
      <w:r w:rsidRPr="00094127">
        <w:rPr>
          <w:rFonts w:cs="Arial"/>
          <w:color w:val="000000"/>
          <w:szCs w:val="20"/>
        </w:rPr>
        <w:t xml:space="preserve">v běžných cenách v průměru o </w:t>
      </w:r>
      <w:r>
        <w:rPr>
          <w:rFonts w:cs="Arial"/>
          <w:color w:val="000000"/>
          <w:szCs w:val="20"/>
        </w:rPr>
        <w:t>4,4</w:t>
      </w:r>
      <w:r w:rsidRPr="00094127">
        <w:rPr>
          <w:rFonts w:cs="Arial"/>
          <w:color w:val="000000"/>
          <w:szCs w:val="20"/>
        </w:rPr>
        <w:t xml:space="preserve"> % ročně.</w:t>
      </w:r>
      <w:r>
        <w:rPr>
          <w:rFonts w:cs="Arial"/>
          <w:color w:val="000000"/>
          <w:szCs w:val="20"/>
        </w:rPr>
        <w:t xml:space="preserve"> V absolutním vyjádření domácnosti v roce 2019 na zdravotní péči vynaložily o 20 miliard více než v roce 2010. Za celé toto období deseti let </w:t>
      </w:r>
      <w:r w:rsidRPr="00C51E92">
        <w:rPr>
          <w:szCs w:val="17"/>
        </w:rPr>
        <w:t xml:space="preserve">pak zaplatily české domácnosti z vlastních prostředků za zdravotní péči nad rámec veřejného zdravotního pojištění celkem </w:t>
      </w:r>
      <w:r>
        <w:rPr>
          <w:szCs w:val="17"/>
        </w:rPr>
        <w:t xml:space="preserve">cca pět set mld. Kč. </w:t>
      </w:r>
    </w:p>
    <w:p w14:paraId="446FBF61" w14:textId="5A6045E4" w:rsidR="006E3BD4" w:rsidRPr="00FB13FD" w:rsidRDefault="00F24A08" w:rsidP="006E3BD4">
      <w:pPr>
        <w:widowControl w:val="0"/>
        <w:jc w:val="both"/>
        <w:rPr>
          <w:rFonts w:cs="Arial"/>
          <w:i/>
          <w:szCs w:val="20"/>
        </w:rPr>
      </w:pPr>
      <w:r>
        <w:t>Pokud</w:t>
      </w:r>
      <w:r w:rsidR="006E3BD4">
        <w:t xml:space="preserve"> jde o </w:t>
      </w:r>
      <w:r w:rsidR="006E3BD4" w:rsidRPr="007567BF">
        <w:rPr>
          <w:b/>
        </w:rPr>
        <w:t>podíl domácností na financování zdravotní péč</w:t>
      </w:r>
      <w:r w:rsidR="004953C5">
        <w:rPr>
          <w:b/>
        </w:rPr>
        <w:t>e</w:t>
      </w:r>
      <w:r w:rsidR="006E3BD4">
        <w:t>, patří Česko v rámci EU mezi státy, kde je tento podíl spíše nižší. V roce 2019 se přímé</w:t>
      </w:r>
      <w:r>
        <w:t xml:space="preserve"> platby domácností podílely 13,3</w:t>
      </w:r>
      <w:r w:rsidR="006E3BD4">
        <w:t> % na výdajích na zdravotní péči v Česku celkem. Obdobný podíl můžeme najít i v Německu, Dánsku či Švé</w:t>
      </w:r>
      <w:r w:rsidR="005B66E0">
        <w:t>dsku. Nižší je pak například ve </w:t>
      </w:r>
      <w:r w:rsidR="006E3BD4">
        <w:t xml:space="preserve">Francii, kde však hraje významnou roli financování zdravotní péče prostřednictvím dobrovolného (soukromého) zdravotního pojištění. Naopak o něco vyšší podíl domácností na financování zdravotní péče než v Česku, okolo 20 %, je například u našich sousedů v Rakousku, na Slovensku či v Polsku. V Maďarsku a v Portugalsku je z kapes domácností financováno cca 30 % výdajů na zdravotní péči a v Bulharsku nebo v Lotyšsku to je dokonce téměř 40 %. </w:t>
      </w:r>
      <w:r w:rsidR="006E3BD4" w:rsidRPr="00D94E51">
        <w:rPr>
          <w:rFonts w:cs="Arial"/>
          <w:i/>
          <w:szCs w:val="20"/>
        </w:rPr>
        <w:t>Podrobněji viz kapitola č. 6 Mezinárodní srovnání.</w:t>
      </w:r>
    </w:p>
    <w:p w14:paraId="3F107A7C" w14:textId="77777777" w:rsidR="006E3BD4" w:rsidRPr="007567BF" w:rsidRDefault="006E3BD4" w:rsidP="006E3BD4">
      <w:pPr>
        <w:jc w:val="both"/>
        <w:rPr>
          <w:b/>
          <w:szCs w:val="17"/>
        </w:rPr>
      </w:pPr>
      <w:r>
        <w:rPr>
          <w:szCs w:val="17"/>
        </w:rPr>
        <w:t>P</w:t>
      </w:r>
      <w:r w:rsidRPr="00991A9E">
        <w:rPr>
          <w:szCs w:val="17"/>
        </w:rPr>
        <w:t xml:space="preserve">římé výdaje domácností na zdravotní péči </w:t>
      </w:r>
      <w:r w:rsidRPr="00FD497D">
        <w:rPr>
          <w:b/>
          <w:szCs w:val="17"/>
        </w:rPr>
        <w:t>na jednoho obyvatele</w:t>
      </w:r>
      <w:r w:rsidRPr="00991A9E">
        <w:rPr>
          <w:szCs w:val="17"/>
        </w:rPr>
        <w:t xml:space="preserve"> </w:t>
      </w:r>
      <w:r>
        <w:rPr>
          <w:szCs w:val="17"/>
        </w:rPr>
        <w:t>vzrostly v roce 2019 na částku</w:t>
      </w:r>
      <w:r w:rsidRPr="00991A9E">
        <w:rPr>
          <w:szCs w:val="17"/>
        </w:rPr>
        <w:t xml:space="preserve"> </w:t>
      </w:r>
      <w:r>
        <w:rPr>
          <w:szCs w:val="17"/>
        </w:rPr>
        <w:t>6</w:t>
      </w:r>
      <w:r w:rsidRPr="00991A9E">
        <w:rPr>
          <w:szCs w:val="17"/>
        </w:rPr>
        <w:t xml:space="preserve"> tis. </w:t>
      </w:r>
      <w:r>
        <w:rPr>
          <w:szCs w:val="17"/>
        </w:rPr>
        <w:t>Kč. Za posledních deset let tak došlo k nárůstu výdajů na obyvatele o bezmála dva tisíce Kč.</w:t>
      </w:r>
    </w:p>
    <w:p w14:paraId="7637BBDD" w14:textId="77777777" w:rsidR="006E3BD4" w:rsidRPr="006E3BD4" w:rsidRDefault="006E3BD4" w:rsidP="006E3BD4"/>
    <w:p w14:paraId="532EFECD" w14:textId="77777777" w:rsidR="006E3BD4" w:rsidRPr="006E3BD4" w:rsidRDefault="006E3BD4" w:rsidP="006E3BD4"/>
    <w:bookmarkEnd w:id="0"/>
    <w:p w14:paraId="4CF1DF81" w14:textId="77777777" w:rsidR="00A50D73" w:rsidRDefault="00A50D73" w:rsidP="00A16413"/>
    <w:p w14:paraId="76183A51" w14:textId="77777777" w:rsidR="00F24A08" w:rsidRDefault="006E3BD4" w:rsidP="00F24A08">
      <w:pPr>
        <w:keepNext/>
        <w:spacing w:before="120" w:after="120"/>
        <w:jc w:val="both"/>
        <w:rPr>
          <w:rFonts w:cs="Arial"/>
          <w:b/>
          <w:sz w:val="18"/>
          <w:szCs w:val="18"/>
        </w:rPr>
      </w:pPr>
      <w:r w:rsidRPr="00C73EDE">
        <w:rPr>
          <w:rFonts w:cs="Arial"/>
          <w:b/>
          <w:sz w:val="18"/>
          <w:szCs w:val="18"/>
        </w:rPr>
        <w:lastRenderedPageBreak/>
        <w:t xml:space="preserve">Graf č. 3.1. Přímé výdaje domácností v Česku na zdravotní péči, 2010-2019 (mld. Kč; %) </w:t>
      </w:r>
    </w:p>
    <w:p w14:paraId="1A822931" w14:textId="77777777" w:rsidR="006E3BD4" w:rsidRPr="00B061B2" w:rsidRDefault="00F24A08" w:rsidP="00F24A08">
      <w:pPr>
        <w:keepNext/>
        <w:spacing w:before="120" w:after="120"/>
        <w:jc w:val="center"/>
        <w:rPr>
          <w:rFonts w:cs="Arial"/>
          <w:b/>
          <w:sz w:val="18"/>
          <w:szCs w:val="18"/>
        </w:rPr>
      </w:pPr>
      <w:r>
        <w:rPr>
          <w:noProof/>
        </w:rPr>
        <w:drawing>
          <wp:inline distT="0" distB="0" distL="0" distR="0" wp14:anchorId="5D86CA95" wp14:editId="1716A83F">
            <wp:extent cx="5859780" cy="3299460"/>
            <wp:effectExtent l="0" t="0" r="7620" b="1524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E7308B5" w14:textId="77777777" w:rsidR="006E3BD4" w:rsidRDefault="006E3BD4" w:rsidP="00F24A08">
      <w:pPr>
        <w:spacing w:before="60" w:after="120" w:line="240" w:lineRule="auto"/>
        <w:jc w:val="both"/>
        <w:rPr>
          <w:i/>
          <w:sz w:val="16"/>
          <w:szCs w:val="16"/>
        </w:rPr>
      </w:pPr>
      <w:r>
        <w:rPr>
          <w:i/>
          <w:sz w:val="16"/>
          <w:szCs w:val="16"/>
        </w:rPr>
        <w:t xml:space="preserve">Poznámka: </w:t>
      </w:r>
      <w:r w:rsidRPr="000B2B5E">
        <w:rPr>
          <w:i/>
          <w:sz w:val="16"/>
          <w:szCs w:val="16"/>
        </w:rPr>
        <w:t>Výdaje domácností na zdravotní péči vychází z předběžných výsledků Národních účtů ČSÚ za rok 201</w:t>
      </w:r>
      <w:r>
        <w:rPr>
          <w:i/>
          <w:sz w:val="16"/>
          <w:szCs w:val="16"/>
        </w:rPr>
        <w:t>9</w:t>
      </w:r>
      <w:r w:rsidRPr="000B2B5E">
        <w:rPr>
          <w:i/>
          <w:sz w:val="16"/>
          <w:szCs w:val="16"/>
        </w:rPr>
        <w:t xml:space="preserve">. </w:t>
      </w:r>
    </w:p>
    <w:p w14:paraId="6E21BB4D" w14:textId="77777777" w:rsidR="006E3BD4" w:rsidRDefault="006E3BD4" w:rsidP="00F24A08">
      <w:pPr>
        <w:pStyle w:val="Nadpis3"/>
        <w:spacing w:before="60" w:after="240"/>
        <w:rPr>
          <w:i/>
          <w:color w:val="000000" w:themeColor="text1"/>
          <w:sz w:val="16"/>
          <w:szCs w:val="16"/>
        </w:rPr>
      </w:pPr>
      <w:r w:rsidRPr="00054233">
        <w:rPr>
          <w:i/>
          <w:color w:val="000000" w:themeColor="text1"/>
          <w:sz w:val="16"/>
          <w:szCs w:val="16"/>
        </w:rPr>
        <w:t xml:space="preserve">                                                                                                                            Zdroj: ČSÚ 2021, Zdravotnické účty ČR 2010 - 2019 </w:t>
      </w:r>
    </w:p>
    <w:p w14:paraId="1F1B77FA" w14:textId="77777777" w:rsidR="006E3BD4" w:rsidRDefault="006E3BD4" w:rsidP="006E3BD4">
      <w:pPr>
        <w:pStyle w:val="Nadpis3"/>
      </w:pPr>
      <w:r>
        <w:t>3.2. Výdaje domácností podle druhu zdravotní péče</w:t>
      </w:r>
    </w:p>
    <w:p w14:paraId="7BD68729" w14:textId="77777777" w:rsidR="006E3BD4" w:rsidRDefault="006E3BD4" w:rsidP="00F24A08">
      <w:pPr>
        <w:keepNext/>
        <w:spacing w:before="120" w:after="120" w:line="240" w:lineRule="auto"/>
        <w:jc w:val="both"/>
        <w:rPr>
          <w:b/>
          <w:bCs/>
          <w:sz w:val="18"/>
          <w:szCs w:val="18"/>
        </w:rPr>
      </w:pPr>
      <w:r w:rsidRPr="0093643D">
        <w:rPr>
          <w:b/>
          <w:sz w:val="18"/>
          <w:szCs w:val="18"/>
        </w:rPr>
        <w:t>Tabulka č</w:t>
      </w:r>
      <w:r w:rsidR="000B134E">
        <w:rPr>
          <w:b/>
          <w:sz w:val="18"/>
          <w:szCs w:val="18"/>
        </w:rPr>
        <w:t>.</w:t>
      </w:r>
      <w:r w:rsidRPr="0093643D">
        <w:rPr>
          <w:b/>
          <w:sz w:val="18"/>
          <w:szCs w:val="18"/>
        </w:rPr>
        <w:t xml:space="preserve"> 3.1. Výdaje domácností v Česku podle druhu zdravotní péče </w:t>
      </w:r>
      <w:r w:rsidRPr="0093643D">
        <w:rPr>
          <w:b/>
          <w:bCs/>
          <w:sz w:val="18"/>
          <w:szCs w:val="18"/>
        </w:rPr>
        <w:t>(mil. Kč)</w:t>
      </w:r>
    </w:p>
    <w:tbl>
      <w:tblPr>
        <w:tblW w:w="9550" w:type="dxa"/>
        <w:tblInd w:w="55" w:type="dxa"/>
        <w:tblLayout w:type="fixed"/>
        <w:tblCellMar>
          <w:left w:w="70" w:type="dxa"/>
          <w:right w:w="70" w:type="dxa"/>
        </w:tblCellMar>
        <w:tblLook w:val="04A0" w:firstRow="1" w:lastRow="0" w:firstColumn="1" w:lastColumn="0" w:noHBand="0" w:noVBand="1"/>
      </w:tblPr>
      <w:tblGrid>
        <w:gridCol w:w="3471"/>
        <w:gridCol w:w="852"/>
        <w:gridCol w:w="852"/>
        <w:gridCol w:w="852"/>
        <w:gridCol w:w="852"/>
        <w:gridCol w:w="852"/>
        <w:gridCol w:w="853"/>
        <w:gridCol w:w="900"/>
        <w:gridCol w:w="66"/>
      </w:tblGrid>
      <w:tr w:rsidR="006E3BD4" w:rsidRPr="00B061B2" w14:paraId="15CC5BE1" w14:textId="77777777" w:rsidTr="00D82E2F">
        <w:trPr>
          <w:trHeight w:val="543"/>
        </w:trPr>
        <w:tc>
          <w:tcPr>
            <w:tcW w:w="3471" w:type="dxa"/>
            <w:tcBorders>
              <w:top w:val="single" w:sz="8" w:space="0" w:color="auto"/>
              <w:left w:val="nil"/>
              <w:bottom w:val="single" w:sz="8" w:space="0" w:color="auto"/>
              <w:right w:val="single" w:sz="4" w:space="0" w:color="auto"/>
            </w:tcBorders>
            <w:shd w:val="clear" w:color="auto" w:fill="auto"/>
            <w:noWrap/>
            <w:vAlign w:val="center"/>
            <w:hideMark/>
          </w:tcPr>
          <w:p w14:paraId="700C2BD3" w14:textId="218003BF" w:rsidR="006E3BD4" w:rsidRPr="00B061B2" w:rsidRDefault="009E5D78" w:rsidP="00D82E2F">
            <w:pPr>
              <w:spacing w:after="0" w:line="240" w:lineRule="auto"/>
              <w:jc w:val="center"/>
              <w:rPr>
                <w:rFonts w:cs="Arial"/>
                <w:sz w:val="16"/>
                <w:szCs w:val="16"/>
              </w:rPr>
            </w:pPr>
            <w:r>
              <w:rPr>
                <w:rFonts w:cs="Arial"/>
                <w:sz w:val="16"/>
                <w:szCs w:val="16"/>
              </w:rPr>
              <w:t>Druh péče</w:t>
            </w:r>
          </w:p>
        </w:tc>
        <w:tc>
          <w:tcPr>
            <w:tcW w:w="852" w:type="dxa"/>
            <w:tcBorders>
              <w:top w:val="single" w:sz="8" w:space="0" w:color="auto"/>
              <w:left w:val="nil"/>
              <w:bottom w:val="single" w:sz="8" w:space="0" w:color="auto"/>
              <w:right w:val="single" w:sz="4" w:space="0" w:color="auto"/>
            </w:tcBorders>
            <w:shd w:val="clear" w:color="auto" w:fill="auto"/>
            <w:noWrap/>
            <w:vAlign w:val="center"/>
          </w:tcPr>
          <w:p w14:paraId="1DFA2847" w14:textId="77777777" w:rsidR="006E3BD4" w:rsidRPr="00B061B2" w:rsidRDefault="006E3BD4" w:rsidP="00D82E2F">
            <w:pPr>
              <w:spacing w:after="0" w:line="240" w:lineRule="auto"/>
              <w:jc w:val="center"/>
              <w:rPr>
                <w:rFonts w:cs="Arial"/>
                <w:b/>
                <w:bCs/>
                <w:sz w:val="16"/>
                <w:szCs w:val="16"/>
              </w:rPr>
            </w:pPr>
            <w:r w:rsidRPr="00B061B2">
              <w:rPr>
                <w:rFonts w:cs="Arial"/>
                <w:b/>
                <w:bCs/>
                <w:sz w:val="16"/>
                <w:szCs w:val="16"/>
              </w:rPr>
              <w:t>2010</w:t>
            </w:r>
          </w:p>
        </w:tc>
        <w:tc>
          <w:tcPr>
            <w:tcW w:w="852" w:type="dxa"/>
            <w:tcBorders>
              <w:top w:val="single" w:sz="8" w:space="0" w:color="auto"/>
              <w:left w:val="nil"/>
              <w:bottom w:val="single" w:sz="8" w:space="0" w:color="auto"/>
              <w:right w:val="single" w:sz="4" w:space="0" w:color="auto"/>
            </w:tcBorders>
            <w:shd w:val="clear" w:color="auto" w:fill="auto"/>
            <w:noWrap/>
            <w:vAlign w:val="center"/>
          </w:tcPr>
          <w:p w14:paraId="20E7F18E" w14:textId="77777777" w:rsidR="006E3BD4" w:rsidRPr="00B061B2" w:rsidRDefault="006E3BD4" w:rsidP="00D82E2F">
            <w:pPr>
              <w:spacing w:after="0" w:line="240" w:lineRule="auto"/>
              <w:jc w:val="center"/>
              <w:rPr>
                <w:rFonts w:cs="Arial"/>
                <w:b/>
                <w:bCs/>
                <w:sz w:val="16"/>
                <w:szCs w:val="16"/>
              </w:rPr>
            </w:pPr>
            <w:r w:rsidRPr="00B061B2">
              <w:rPr>
                <w:rFonts w:cs="Arial"/>
                <w:b/>
                <w:bCs/>
                <w:sz w:val="16"/>
                <w:szCs w:val="16"/>
              </w:rPr>
              <w:t>2015</w:t>
            </w:r>
          </w:p>
        </w:tc>
        <w:tc>
          <w:tcPr>
            <w:tcW w:w="852" w:type="dxa"/>
            <w:tcBorders>
              <w:top w:val="single" w:sz="8" w:space="0" w:color="auto"/>
              <w:left w:val="nil"/>
              <w:bottom w:val="single" w:sz="8" w:space="0" w:color="auto"/>
              <w:right w:val="single" w:sz="4" w:space="0" w:color="auto"/>
            </w:tcBorders>
            <w:shd w:val="clear" w:color="auto" w:fill="auto"/>
            <w:noWrap/>
            <w:vAlign w:val="center"/>
          </w:tcPr>
          <w:p w14:paraId="7D2A8C2E" w14:textId="77777777" w:rsidR="006E3BD4" w:rsidRPr="00B061B2" w:rsidRDefault="006E3BD4" w:rsidP="00D82E2F">
            <w:pPr>
              <w:spacing w:after="0" w:line="240" w:lineRule="auto"/>
              <w:jc w:val="center"/>
              <w:rPr>
                <w:rFonts w:cs="Arial"/>
                <w:b/>
                <w:bCs/>
                <w:sz w:val="16"/>
                <w:szCs w:val="16"/>
              </w:rPr>
            </w:pPr>
            <w:r w:rsidRPr="00B061B2">
              <w:rPr>
                <w:rFonts w:cs="Arial"/>
                <w:b/>
                <w:bCs/>
                <w:sz w:val="16"/>
                <w:szCs w:val="16"/>
              </w:rPr>
              <w:t>2016</w:t>
            </w:r>
          </w:p>
        </w:tc>
        <w:tc>
          <w:tcPr>
            <w:tcW w:w="852" w:type="dxa"/>
            <w:tcBorders>
              <w:top w:val="single" w:sz="8" w:space="0" w:color="auto"/>
              <w:left w:val="nil"/>
              <w:bottom w:val="single" w:sz="8" w:space="0" w:color="auto"/>
              <w:right w:val="single" w:sz="4" w:space="0" w:color="auto"/>
            </w:tcBorders>
            <w:shd w:val="clear" w:color="auto" w:fill="auto"/>
            <w:noWrap/>
            <w:vAlign w:val="center"/>
          </w:tcPr>
          <w:p w14:paraId="6450B85F" w14:textId="77777777" w:rsidR="006E3BD4" w:rsidRPr="00B061B2" w:rsidRDefault="006E3BD4" w:rsidP="00D82E2F">
            <w:pPr>
              <w:spacing w:after="0" w:line="240" w:lineRule="auto"/>
              <w:jc w:val="center"/>
              <w:rPr>
                <w:rFonts w:cs="Arial"/>
                <w:b/>
                <w:bCs/>
                <w:sz w:val="16"/>
                <w:szCs w:val="16"/>
              </w:rPr>
            </w:pPr>
            <w:r w:rsidRPr="00B061B2">
              <w:rPr>
                <w:rFonts w:cs="Arial"/>
                <w:b/>
                <w:bCs/>
                <w:sz w:val="16"/>
                <w:szCs w:val="16"/>
              </w:rPr>
              <w:t>2017</w:t>
            </w:r>
          </w:p>
        </w:tc>
        <w:tc>
          <w:tcPr>
            <w:tcW w:w="852" w:type="dxa"/>
            <w:tcBorders>
              <w:top w:val="single" w:sz="8" w:space="0" w:color="auto"/>
              <w:left w:val="nil"/>
              <w:bottom w:val="single" w:sz="8" w:space="0" w:color="auto"/>
              <w:right w:val="single" w:sz="4" w:space="0" w:color="auto"/>
            </w:tcBorders>
            <w:shd w:val="clear" w:color="auto" w:fill="auto"/>
            <w:noWrap/>
            <w:vAlign w:val="center"/>
          </w:tcPr>
          <w:p w14:paraId="07BDF180" w14:textId="77777777" w:rsidR="006E3BD4" w:rsidRPr="00B061B2" w:rsidRDefault="006E3BD4" w:rsidP="00D82E2F">
            <w:pPr>
              <w:spacing w:after="0" w:line="240" w:lineRule="auto"/>
              <w:jc w:val="center"/>
              <w:rPr>
                <w:rFonts w:cs="Arial"/>
                <w:b/>
                <w:bCs/>
                <w:sz w:val="16"/>
                <w:szCs w:val="16"/>
              </w:rPr>
            </w:pPr>
            <w:r w:rsidRPr="00B061B2">
              <w:rPr>
                <w:rFonts w:cs="Arial"/>
                <w:b/>
                <w:bCs/>
                <w:sz w:val="16"/>
                <w:szCs w:val="16"/>
              </w:rPr>
              <w:t>2018</w:t>
            </w:r>
          </w:p>
        </w:tc>
        <w:tc>
          <w:tcPr>
            <w:tcW w:w="853" w:type="dxa"/>
            <w:tcBorders>
              <w:top w:val="single" w:sz="8" w:space="0" w:color="auto"/>
              <w:left w:val="nil"/>
              <w:bottom w:val="single" w:sz="8" w:space="0" w:color="auto"/>
              <w:right w:val="single" w:sz="4" w:space="0" w:color="auto"/>
            </w:tcBorders>
            <w:shd w:val="clear" w:color="auto" w:fill="auto"/>
            <w:noWrap/>
            <w:vAlign w:val="center"/>
          </w:tcPr>
          <w:p w14:paraId="1CE67EF0" w14:textId="77777777" w:rsidR="006E3BD4" w:rsidRPr="00B061B2" w:rsidRDefault="006E3BD4" w:rsidP="00D82E2F">
            <w:pPr>
              <w:spacing w:after="0" w:line="240" w:lineRule="auto"/>
              <w:jc w:val="center"/>
              <w:rPr>
                <w:rFonts w:cs="Arial"/>
                <w:b/>
                <w:bCs/>
                <w:sz w:val="16"/>
                <w:szCs w:val="16"/>
              </w:rPr>
            </w:pPr>
            <w:r w:rsidRPr="00B061B2">
              <w:rPr>
                <w:rFonts w:cs="Arial"/>
                <w:b/>
                <w:bCs/>
                <w:sz w:val="16"/>
                <w:szCs w:val="16"/>
              </w:rPr>
              <w:t>2019</w:t>
            </w:r>
          </w:p>
        </w:tc>
        <w:tc>
          <w:tcPr>
            <w:tcW w:w="966" w:type="dxa"/>
            <w:gridSpan w:val="2"/>
            <w:tcBorders>
              <w:top w:val="single" w:sz="8" w:space="0" w:color="auto"/>
              <w:left w:val="nil"/>
              <w:bottom w:val="single" w:sz="8" w:space="0" w:color="auto"/>
              <w:right w:val="nil"/>
            </w:tcBorders>
            <w:shd w:val="clear" w:color="auto" w:fill="auto"/>
            <w:vAlign w:val="center"/>
          </w:tcPr>
          <w:p w14:paraId="51A082F2" w14:textId="77777777" w:rsidR="006E3BD4" w:rsidRPr="00B061B2" w:rsidRDefault="006E3BD4" w:rsidP="00D82E2F">
            <w:pPr>
              <w:spacing w:after="0"/>
              <w:jc w:val="center"/>
              <w:rPr>
                <w:rFonts w:cs="Arial"/>
                <w:b/>
                <w:bCs/>
                <w:i/>
                <w:sz w:val="16"/>
                <w:szCs w:val="16"/>
              </w:rPr>
            </w:pPr>
            <w:r w:rsidRPr="00B061B2">
              <w:rPr>
                <w:rFonts w:cs="Arial"/>
                <w:b/>
                <w:bCs/>
                <w:i/>
                <w:sz w:val="16"/>
                <w:szCs w:val="16"/>
              </w:rPr>
              <w:t>Index 2019/2018</w:t>
            </w:r>
          </w:p>
        </w:tc>
      </w:tr>
      <w:tr w:rsidR="006E3BD4" w:rsidRPr="00B061B2" w14:paraId="5F9AAC25" w14:textId="77777777" w:rsidTr="00D82E2F">
        <w:trPr>
          <w:gridAfter w:val="1"/>
          <w:wAfter w:w="66" w:type="dxa"/>
          <w:trHeight w:val="251"/>
        </w:trPr>
        <w:tc>
          <w:tcPr>
            <w:tcW w:w="3471" w:type="dxa"/>
            <w:tcBorders>
              <w:top w:val="nil"/>
              <w:left w:val="nil"/>
              <w:bottom w:val="nil"/>
              <w:right w:val="single" w:sz="4" w:space="0" w:color="auto"/>
            </w:tcBorders>
            <w:shd w:val="clear" w:color="000000" w:fill="F2DCDB"/>
            <w:noWrap/>
            <w:vAlign w:val="bottom"/>
            <w:hideMark/>
          </w:tcPr>
          <w:p w14:paraId="5BED71AC" w14:textId="77777777" w:rsidR="006E3BD4" w:rsidRPr="00B061B2" w:rsidRDefault="006E3BD4" w:rsidP="00D82E2F">
            <w:pPr>
              <w:spacing w:after="0" w:line="240" w:lineRule="auto"/>
              <w:rPr>
                <w:rFonts w:cs="Arial"/>
                <w:b/>
                <w:bCs/>
                <w:sz w:val="16"/>
                <w:szCs w:val="16"/>
              </w:rPr>
            </w:pPr>
            <w:r w:rsidRPr="00B061B2">
              <w:rPr>
                <w:rFonts w:cs="Arial"/>
                <w:b/>
                <w:bCs/>
                <w:sz w:val="16"/>
                <w:szCs w:val="16"/>
              </w:rPr>
              <w:t>Léčebná péče</w:t>
            </w:r>
          </w:p>
        </w:tc>
        <w:tc>
          <w:tcPr>
            <w:tcW w:w="852" w:type="dxa"/>
            <w:tcBorders>
              <w:top w:val="nil"/>
              <w:left w:val="nil"/>
              <w:bottom w:val="nil"/>
              <w:right w:val="single" w:sz="4" w:space="0" w:color="auto"/>
            </w:tcBorders>
            <w:shd w:val="clear" w:color="000000" w:fill="F2DCDB"/>
            <w:noWrap/>
          </w:tcPr>
          <w:p w14:paraId="3F2EB065" w14:textId="77777777" w:rsidR="006E3BD4" w:rsidRPr="00B061B2" w:rsidRDefault="006E3BD4" w:rsidP="00D82E2F">
            <w:pPr>
              <w:spacing w:after="0"/>
              <w:jc w:val="right"/>
              <w:rPr>
                <w:rFonts w:cs="Arial"/>
                <w:b/>
                <w:bCs/>
                <w:sz w:val="16"/>
                <w:szCs w:val="16"/>
              </w:rPr>
            </w:pPr>
            <w:r w:rsidRPr="00B061B2">
              <w:rPr>
                <w:sz w:val="16"/>
                <w:szCs w:val="16"/>
              </w:rPr>
              <w:t>14 044</w:t>
            </w:r>
          </w:p>
        </w:tc>
        <w:tc>
          <w:tcPr>
            <w:tcW w:w="852" w:type="dxa"/>
            <w:tcBorders>
              <w:top w:val="nil"/>
              <w:left w:val="nil"/>
              <w:bottom w:val="nil"/>
              <w:right w:val="single" w:sz="4" w:space="0" w:color="auto"/>
            </w:tcBorders>
            <w:shd w:val="clear" w:color="000000" w:fill="F2DCDB"/>
            <w:noWrap/>
          </w:tcPr>
          <w:p w14:paraId="7D31F585" w14:textId="77777777" w:rsidR="006E3BD4" w:rsidRPr="00B061B2" w:rsidRDefault="006E3BD4" w:rsidP="00D82E2F">
            <w:pPr>
              <w:spacing w:after="0"/>
              <w:jc w:val="right"/>
              <w:rPr>
                <w:rFonts w:cs="Arial"/>
                <w:b/>
                <w:bCs/>
                <w:sz w:val="16"/>
                <w:szCs w:val="16"/>
              </w:rPr>
            </w:pPr>
            <w:r w:rsidRPr="00B061B2">
              <w:rPr>
                <w:sz w:val="16"/>
                <w:szCs w:val="16"/>
              </w:rPr>
              <w:t>17 345</w:t>
            </w:r>
          </w:p>
        </w:tc>
        <w:tc>
          <w:tcPr>
            <w:tcW w:w="852" w:type="dxa"/>
            <w:tcBorders>
              <w:top w:val="nil"/>
              <w:left w:val="nil"/>
              <w:bottom w:val="nil"/>
              <w:right w:val="single" w:sz="4" w:space="0" w:color="auto"/>
            </w:tcBorders>
            <w:shd w:val="clear" w:color="000000" w:fill="F2DCDB"/>
            <w:noWrap/>
          </w:tcPr>
          <w:p w14:paraId="00A4DF90" w14:textId="77777777" w:rsidR="006E3BD4" w:rsidRPr="00B061B2" w:rsidRDefault="006E3BD4" w:rsidP="00D82E2F">
            <w:pPr>
              <w:spacing w:after="0"/>
              <w:jc w:val="right"/>
              <w:rPr>
                <w:rFonts w:cs="Arial"/>
                <w:b/>
                <w:bCs/>
                <w:sz w:val="16"/>
                <w:szCs w:val="16"/>
              </w:rPr>
            </w:pPr>
            <w:r w:rsidRPr="00B061B2">
              <w:rPr>
                <w:sz w:val="16"/>
                <w:szCs w:val="16"/>
              </w:rPr>
              <w:t>18 078</w:t>
            </w:r>
          </w:p>
        </w:tc>
        <w:tc>
          <w:tcPr>
            <w:tcW w:w="852" w:type="dxa"/>
            <w:tcBorders>
              <w:top w:val="nil"/>
              <w:left w:val="nil"/>
              <w:bottom w:val="nil"/>
              <w:right w:val="single" w:sz="4" w:space="0" w:color="auto"/>
            </w:tcBorders>
            <w:shd w:val="clear" w:color="000000" w:fill="F2DCDB"/>
            <w:noWrap/>
          </w:tcPr>
          <w:p w14:paraId="50214EAF" w14:textId="77777777" w:rsidR="006E3BD4" w:rsidRPr="00B061B2" w:rsidRDefault="006E3BD4" w:rsidP="00D82E2F">
            <w:pPr>
              <w:spacing w:after="0"/>
              <w:jc w:val="right"/>
              <w:rPr>
                <w:rFonts w:cs="Arial"/>
                <w:b/>
                <w:bCs/>
                <w:sz w:val="16"/>
                <w:szCs w:val="16"/>
              </w:rPr>
            </w:pPr>
            <w:r w:rsidRPr="00B061B2">
              <w:rPr>
                <w:sz w:val="16"/>
                <w:szCs w:val="16"/>
              </w:rPr>
              <w:t>18 391</w:t>
            </w:r>
          </w:p>
        </w:tc>
        <w:tc>
          <w:tcPr>
            <w:tcW w:w="852" w:type="dxa"/>
            <w:tcBorders>
              <w:top w:val="nil"/>
              <w:left w:val="nil"/>
              <w:bottom w:val="nil"/>
              <w:right w:val="single" w:sz="4" w:space="0" w:color="auto"/>
            </w:tcBorders>
            <w:shd w:val="clear" w:color="000000" w:fill="F2DCDB"/>
            <w:noWrap/>
          </w:tcPr>
          <w:p w14:paraId="28D47255" w14:textId="77777777" w:rsidR="006E3BD4" w:rsidRPr="00B061B2" w:rsidRDefault="006E3BD4" w:rsidP="00D82E2F">
            <w:pPr>
              <w:spacing w:after="0"/>
              <w:jc w:val="right"/>
              <w:rPr>
                <w:rFonts w:cs="Arial"/>
                <w:b/>
                <w:bCs/>
                <w:sz w:val="16"/>
                <w:szCs w:val="16"/>
              </w:rPr>
            </w:pPr>
            <w:r w:rsidRPr="00B061B2">
              <w:rPr>
                <w:sz w:val="16"/>
                <w:szCs w:val="16"/>
              </w:rPr>
              <w:t>19 634</w:t>
            </w:r>
          </w:p>
        </w:tc>
        <w:tc>
          <w:tcPr>
            <w:tcW w:w="853" w:type="dxa"/>
            <w:tcBorders>
              <w:top w:val="nil"/>
              <w:left w:val="nil"/>
              <w:bottom w:val="nil"/>
              <w:right w:val="single" w:sz="4" w:space="0" w:color="auto"/>
            </w:tcBorders>
            <w:shd w:val="clear" w:color="000000" w:fill="F2DCDB"/>
            <w:noWrap/>
          </w:tcPr>
          <w:p w14:paraId="7932F540" w14:textId="77777777" w:rsidR="006E3BD4" w:rsidRPr="00B061B2" w:rsidRDefault="006E3BD4" w:rsidP="00D82E2F">
            <w:pPr>
              <w:spacing w:after="0"/>
              <w:jc w:val="right"/>
              <w:rPr>
                <w:rFonts w:cs="Arial"/>
                <w:b/>
                <w:bCs/>
                <w:color w:val="000000"/>
                <w:sz w:val="16"/>
                <w:szCs w:val="16"/>
              </w:rPr>
            </w:pPr>
            <w:r w:rsidRPr="00B061B2">
              <w:rPr>
                <w:sz w:val="16"/>
                <w:szCs w:val="16"/>
              </w:rPr>
              <w:t>20 789</w:t>
            </w:r>
          </w:p>
        </w:tc>
        <w:tc>
          <w:tcPr>
            <w:tcW w:w="900" w:type="dxa"/>
            <w:tcBorders>
              <w:top w:val="nil"/>
              <w:left w:val="nil"/>
              <w:bottom w:val="nil"/>
              <w:right w:val="nil"/>
            </w:tcBorders>
            <w:shd w:val="clear" w:color="000000" w:fill="F2DCDB"/>
            <w:noWrap/>
          </w:tcPr>
          <w:p w14:paraId="32F7984E" w14:textId="04BC7049" w:rsidR="006E3BD4" w:rsidRPr="00B061B2" w:rsidRDefault="006E3BD4" w:rsidP="00D82E2F">
            <w:pPr>
              <w:spacing w:after="0"/>
              <w:jc w:val="right"/>
              <w:rPr>
                <w:rFonts w:cs="Arial"/>
                <w:b/>
                <w:bCs/>
                <w:i/>
                <w:iCs/>
                <w:color w:val="000000"/>
                <w:sz w:val="16"/>
                <w:szCs w:val="16"/>
              </w:rPr>
            </w:pPr>
            <w:r w:rsidRPr="00B061B2">
              <w:rPr>
                <w:sz w:val="16"/>
                <w:szCs w:val="16"/>
              </w:rPr>
              <w:t>105,9</w:t>
            </w:r>
            <w:r w:rsidR="009E5D78">
              <w:rPr>
                <w:sz w:val="16"/>
                <w:szCs w:val="16"/>
              </w:rPr>
              <w:t xml:space="preserve"> </w:t>
            </w:r>
            <w:r w:rsidRPr="00B061B2">
              <w:rPr>
                <w:sz w:val="16"/>
                <w:szCs w:val="16"/>
              </w:rPr>
              <w:t>%</w:t>
            </w:r>
          </w:p>
        </w:tc>
      </w:tr>
      <w:tr w:rsidR="006E3BD4" w:rsidRPr="00B061B2" w14:paraId="16DCE066" w14:textId="77777777" w:rsidTr="00D82E2F">
        <w:trPr>
          <w:gridAfter w:val="1"/>
          <w:wAfter w:w="66" w:type="dxa"/>
          <w:trHeight w:val="251"/>
        </w:trPr>
        <w:tc>
          <w:tcPr>
            <w:tcW w:w="3471" w:type="dxa"/>
            <w:tcBorders>
              <w:top w:val="nil"/>
              <w:left w:val="nil"/>
              <w:bottom w:val="nil"/>
              <w:right w:val="single" w:sz="4" w:space="0" w:color="auto"/>
            </w:tcBorders>
            <w:shd w:val="clear" w:color="auto" w:fill="auto"/>
            <w:noWrap/>
            <w:vAlign w:val="bottom"/>
            <w:hideMark/>
          </w:tcPr>
          <w:p w14:paraId="4BCAF00A" w14:textId="77777777" w:rsidR="006E3BD4" w:rsidRPr="00B061B2" w:rsidRDefault="006E3BD4" w:rsidP="00D82E2F">
            <w:pPr>
              <w:spacing w:after="0" w:line="240" w:lineRule="auto"/>
              <w:rPr>
                <w:rFonts w:cs="Arial"/>
                <w:sz w:val="16"/>
                <w:szCs w:val="16"/>
              </w:rPr>
            </w:pPr>
            <w:r w:rsidRPr="00B061B2">
              <w:rPr>
                <w:rFonts w:cs="Arial"/>
                <w:sz w:val="16"/>
                <w:szCs w:val="16"/>
              </w:rPr>
              <w:t xml:space="preserve">  Lůžková léčebná péče</w:t>
            </w:r>
          </w:p>
        </w:tc>
        <w:tc>
          <w:tcPr>
            <w:tcW w:w="852" w:type="dxa"/>
            <w:tcBorders>
              <w:top w:val="nil"/>
              <w:left w:val="nil"/>
              <w:bottom w:val="nil"/>
              <w:right w:val="single" w:sz="4" w:space="0" w:color="auto"/>
            </w:tcBorders>
            <w:shd w:val="clear" w:color="auto" w:fill="auto"/>
            <w:noWrap/>
          </w:tcPr>
          <w:p w14:paraId="43679F5A" w14:textId="77777777" w:rsidR="006E3BD4" w:rsidRPr="00B061B2" w:rsidRDefault="006E3BD4" w:rsidP="00D82E2F">
            <w:pPr>
              <w:spacing w:after="0"/>
              <w:jc w:val="right"/>
              <w:rPr>
                <w:rFonts w:cs="Arial"/>
                <w:sz w:val="16"/>
                <w:szCs w:val="16"/>
              </w:rPr>
            </w:pPr>
            <w:r w:rsidRPr="00B061B2">
              <w:rPr>
                <w:sz w:val="16"/>
                <w:szCs w:val="16"/>
              </w:rPr>
              <w:t>355</w:t>
            </w:r>
          </w:p>
        </w:tc>
        <w:tc>
          <w:tcPr>
            <w:tcW w:w="852" w:type="dxa"/>
            <w:tcBorders>
              <w:top w:val="nil"/>
              <w:left w:val="nil"/>
              <w:bottom w:val="nil"/>
              <w:right w:val="single" w:sz="4" w:space="0" w:color="auto"/>
            </w:tcBorders>
            <w:shd w:val="clear" w:color="auto" w:fill="auto"/>
            <w:noWrap/>
          </w:tcPr>
          <w:p w14:paraId="795912DD" w14:textId="77777777" w:rsidR="006E3BD4" w:rsidRPr="00B061B2" w:rsidRDefault="006E3BD4" w:rsidP="00D82E2F">
            <w:pPr>
              <w:spacing w:after="0"/>
              <w:jc w:val="right"/>
              <w:rPr>
                <w:rFonts w:cs="Arial"/>
                <w:sz w:val="16"/>
                <w:szCs w:val="16"/>
              </w:rPr>
            </w:pPr>
            <w:r w:rsidRPr="00B061B2">
              <w:rPr>
                <w:sz w:val="16"/>
                <w:szCs w:val="16"/>
              </w:rPr>
              <w:t>854</w:t>
            </w:r>
          </w:p>
        </w:tc>
        <w:tc>
          <w:tcPr>
            <w:tcW w:w="852" w:type="dxa"/>
            <w:tcBorders>
              <w:top w:val="nil"/>
              <w:left w:val="nil"/>
              <w:bottom w:val="nil"/>
              <w:right w:val="single" w:sz="4" w:space="0" w:color="auto"/>
            </w:tcBorders>
            <w:shd w:val="clear" w:color="auto" w:fill="auto"/>
            <w:noWrap/>
          </w:tcPr>
          <w:p w14:paraId="693599F3" w14:textId="77777777" w:rsidR="006E3BD4" w:rsidRPr="00B061B2" w:rsidRDefault="006E3BD4" w:rsidP="00D82E2F">
            <w:pPr>
              <w:spacing w:after="0"/>
              <w:jc w:val="right"/>
              <w:rPr>
                <w:rFonts w:cs="Arial"/>
                <w:sz w:val="16"/>
                <w:szCs w:val="16"/>
              </w:rPr>
            </w:pPr>
            <w:r w:rsidRPr="00B061B2">
              <w:rPr>
                <w:sz w:val="16"/>
                <w:szCs w:val="16"/>
              </w:rPr>
              <w:t>917</w:t>
            </w:r>
          </w:p>
        </w:tc>
        <w:tc>
          <w:tcPr>
            <w:tcW w:w="852" w:type="dxa"/>
            <w:tcBorders>
              <w:top w:val="nil"/>
              <w:left w:val="nil"/>
              <w:bottom w:val="nil"/>
              <w:right w:val="single" w:sz="4" w:space="0" w:color="auto"/>
            </w:tcBorders>
            <w:shd w:val="clear" w:color="auto" w:fill="auto"/>
            <w:noWrap/>
          </w:tcPr>
          <w:p w14:paraId="485FEE3F" w14:textId="77777777" w:rsidR="006E3BD4" w:rsidRPr="00B061B2" w:rsidRDefault="006E3BD4" w:rsidP="00D82E2F">
            <w:pPr>
              <w:spacing w:after="0"/>
              <w:jc w:val="right"/>
              <w:rPr>
                <w:rFonts w:cs="Arial"/>
                <w:sz w:val="16"/>
                <w:szCs w:val="16"/>
              </w:rPr>
            </w:pPr>
            <w:r w:rsidRPr="00B061B2">
              <w:rPr>
                <w:sz w:val="16"/>
                <w:szCs w:val="16"/>
              </w:rPr>
              <w:t>1 130</w:t>
            </w:r>
          </w:p>
        </w:tc>
        <w:tc>
          <w:tcPr>
            <w:tcW w:w="852" w:type="dxa"/>
            <w:tcBorders>
              <w:top w:val="nil"/>
              <w:left w:val="nil"/>
              <w:bottom w:val="nil"/>
              <w:right w:val="single" w:sz="4" w:space="0" w:color="auto"/>
            </w:tcBorders>
            <w:shd w:val="clear" w:color="auto" w:fill="auto"/>
            <w:noWrap/>
          </w:tcPr>
          <w:p w14:paraId="2343C11A" w14:textId="77777777" w:rsidR="006E3BD4" w:rsidRPr="00B061B2" w:rsidRDefault="006E3BD4" w:rsidP="00D82E2F">
            <w:pPr>
              <w:spacing w:after="0"/>
              <w:jc w:val="right"/>
              <w:rPr>
                <w:rFonts w:cs="Arial"/>
                <w:sz w:val="16"/>
                <w:szCs w:val="16"/>
              </w:rPr>
            </w:pPr>
            <w:r w:rsidRPr="00B061B2">
              <w:rPr>
                <w:sz w:val="16"/>
                <w:szCs w:val="16"/>
              </w:rPr>
              <w:t>1 281</w:t>
            </w:r>
          </w:p>
        </w:tc>
        <w:tc>
          <w:tcPr>
            <w:tcW w:w="853" w:type="dxa"/>
            <w:tcBorders>
              <w:top w:val="nil"/>
              <w:left w:val="nil"/>
              <w:bottom w:val="nil"/>
              <w:right w:val="single" w:sz="4" w:space="0" w:color="auto"/>
            </w:tcBorders>
            <w:shd w:val="clear" w:color="auto" w:fill="auto"/>
            <w:noWrap/>
          </w:tcPr>
          <w:p w14:paraId="7953D098" w14:textId="77777777" w:rsidR="006E3BD4" w:rsidRPr="00B061B2" w:rsidRDefault="006E3BD4" w:rsidP="00D82E2F">
            <w:pPr>
              <w:spacing w:after="0"/>
              <w:jc w:val="right"/>
              <w:rPr>
                <w:rFonts w:cs="Arial"/>
                <w:color w:val="000000"/>
                <w:sz w:val="16"/>
                <w:szCs w:val="16"/>
              </w:rPr>
            </w:pPr>
            <w:r w:rsidRPr="00B061B2">
              <w:rPr>
                <w:sz w:val="16"/>
                <w:szCs w:val="16"/>
              </w:rPr>
              <w:t>1 364</w:t>
            </w:r>
          </w:p>
        </w:tc>
        <w:tc>
          <w:tcPr>
            <w:tcW w:w="900" w:type="dxa"/>
            <w:tcBorders>
              <w:top w:val="nil"/>
              <w:left w:val="nil"/>
              <w:bottom w:val="nil"/>
              <w:right w:val="nil"/>
            </w:tcBorders>
            <w:shd w:val="clear" w:color="auto" w:fill="auto"/>
            <w:noWrap/>
          </w:tcPr>
          <w:p w14:paraId="1F76425E" w14:textId="5DA3AD2A" w:rsidR="006E3BD4" w:rsidRPr="00B061B2" w:rsidRDefault="006E3BD4" w:rsidP="00D82E2F">
            <w:pPr>
              <w:spacing w:after="0"/>
              <w:jc w:val="right"/>
              <w:rPr>
                <w:rFonts w:cs="Arial"/>
                <w:i/>
                <w:iCs/>
                <w:color w:val="000000"/>
                <w:sz w:val="16"/>
                <w:szCs w:val="16"/>
              </w:rPr>
            </w:pPr>
            <w:r w:rsidRPr="00B061B2">
              <w:rPr>
                <w:sz w:val="16"/>
                <w:szCs w:val="16"/>
              </w:rPr>
              <w:t>106,5</w:t>
            </w:r>
            <w:r w:rsidR="009E5D78">
              <w:rPr>
                <w:sz w:val="16"/>
                <w:szCs w:val="16"/>
              </w:rPr>
              <w:t xml:space="preserve"> </w:t>
            </w:r>
            <w:r w:rsidRPr="00B061B2">
              <w:rPr>
                <w:sz w:val="16"/>
                <w:szCs w:val="16"/>
              </w:rPr>
              <w:t>%</w:t>
            </w:r>
          </w:p>
        </w:tc>
      </w:tr>
      <w:tr w:rsidR="006E3BD4" w:rsidRPr="00B061B2" w14:paraId="7C4467B9" w14:textId="77777777" w:rsidTr="00D82E2F">
        <w:trPr>
          <w:gridAfter w:val="1"/>
          <w:wAfter w:w="66" w:type="dxa"/>
          <w:trHeight w:val="251"/>
        </w:trPr>
        <w:tc>
          <w:tcPr>
            <w:tcW w:w="3471" w:type="dxa"/>
            <w:tcBorders>
              <w:top w:val="nil"/>
              <w:left w:val="nil"/>
              <w:bottom w:val="nil"/>
              <w:right w:val="single" w:sz="4" w:space="0" w:color="auto"/>
            </w:tcBorders>
            <w:shd w:val="clear" w:color="auto" w:fill="auto"/>
            <w:noWrap/>
            <w:vAlign w:val="bottom"/>
            <w:hideMark/>
          </w:tcPr>
          <w:p w14:paraId="32997123" w14:textId="77777777" w:rsidR="006E3BD4" w:rsidRPr="00B061B2" w:rsidRDefault="006E3BD4" w:rsidP="00D82E2F">
            <w:pPr>
              <w:spacing w:after="0" w:line="240" w:lineRule="auto"/>
              <w:rPr>
                <w:rFonts w:cs="Arial"/>
                <w:sz w:val="16"/>
                <w:szCs w:val="16"/>
              </w:rPr>
            </w:pPr>
            <w:r w:rsidRPr="00B061B2">
              <w:rPr>
                <w:rFonts w:cs="Arial"/>
                <w:sz w:val="16"/>
                <w:szCs w:val="16"/>
              </w:rPr>
              <w:t xml:space="preserve">  Ambulantní léčebná péče</w:t>
            </w:r>
          </w:p>
        </w:tc>
        <w:tc>
          <w:tcPr>
            <w:tcW w:w="852" w:type="dxa"/>
            <w:tcBorders>
              <w:top w:val="nil"/>
              <w:left w:val="nil"/>
              <w:bottom w:val="nil"/>
              <w:right w:val="single" w:sz="4" w:space="0" w:color="auto"/>
            </w:tcBorders>
            <w:shd w:val="clear" w:color="auto" w:fill="auto"/>
            <w:noWrap/>
          </w:tcPr>
          <w:p w14:paraId="43961B83" w14:textId="77777777" w:rsidR="006E3BD4" w:rsidRPr="00B061B2" w:rsidRDefault="006E3BD4" w:rsidP="00D82E2F">
            <w:pPr>
              <w:spacing w:after="0"/>
              <w:jc w:val="right"/>
              <w:rPr>
                <w:rFonts w:cs="Arial"/>
                <w:sz w:val="16"/>
                <w:szCs w:val="16"/>
              </w:rPr>
            </w:pPr>
            <w:r w:rsidRPr="00B061B2">
              <w:rPr>
                <w:sz w:val="16"/>
                <w:szCs w:val="16"/>
              </w:rPr>
              <w:t>13 689</w:t>
            </w:r>
          </w:p>
        </w:tc>
        <w:tc>
          <w:tcPr>
            <w:tcW w:w="852" w:type="dxa"/>
            <w:tcBorders>
              <w:top w:val="nil"/>
              <w:left w:val="nil"/>
              <w:bottom w:val="nil"/>
              <w:right w:val="single" w:sz="4" w:space="0" w:color="auto"/>
            </w:tcBorders>
            <w:shd w:val="clear" w:color="auto" w:fill="auto"/>
            <w:noWrap/>
          </w:tcPr>
          <w:p w14:paraId="70AA5B96" w14:textId="77777777" w:rsidR="006E3BD4" w:rsidRPr="00B061B2" w:rsidRDefault="006E3BD4" w:rsidP="00D82E2F">
            <w:pPr>
              <w:spacing w:after="0"/>
              <w:jc w:val="right"/>
              <w:rPr>
                <w:rFonts w:cs="Arial"/>
                <w:sz w:val="16"/>
                <w:szCs w:val="16"/>
              </w:rPr>
            </w:pPr>
            <w:r w:rsidRPr="00B061B2">
              <w:rPr>
                <w:sz w:val="16"/>
                <w:szCs w:val="16"/>
              </w:rPr>
              <w:t>16 491</w:t>
            </w:r>
          </w:p>
        </w:tc>
        <w:tc>
          <w:tcPr>
            <w:tcW w:w="852" w:type="dxa"/>
            <w:tcBorders>
              <w:top w:val="nil"/>
              <w:left w:val="nil"/>
              <w:bottom w:val="nil"/>
              <w:right w:val="single" w:sz="4" w:space="0" w:color="auto"/>
            </w:tcBorders>
            <w:shd w:val="clear" w:color="auto" w:fill="auto"/>
            <w:noWrap/>
          </w:tcPr>
          <w:p w14:paraId="52887204" w14:textId="77777777" w:rsidR="006E3BD4" w:rsidRPr="00B061B2" w:rsidRDefault="006E3BD4" w:rsidP="00D82E2F">
            <w:pPr>
              <w:spacing w:after="0"/>
              <w:jc w:val="right"/>
              <w:rPr>
                <w:rFonts w:cs="Arial"/>
                <w:sz w:val="16"/>
                <w:szCs w:val="16"/>
              </w:rPr>
            </w:pPr>
            <w:r w:rsidRPr="00B061B2">
              <w:rPr>
                <w:sz w:val="16"/>
                <w:szCs w:val="16"/>
              </w:rPr>
              <w:t>17 161</w:t>
            </w:r>
          </w:p>
        </w:tc>
        <w:tc>
          <w:tcPr>
            <w:tcW w:w="852" w:type="dxa"/>
            <w:tcBorders>
              <w:top w:val="nil"/>
              <w:left w:val="nil"/>
              <w:bottom w:val="nil"/>
              <w:right w:val="single" w:sz="4" w:space="0" w:color="auto"/>
            </w:tcBorders>
            <w:shd w:val="clear" w:color="auto" w:fill="auto"/>
            <w:noWrap/>
          </w:tcPr>
          <w:p w14:paraId="578AEC47" w14:textId="77777777" w:rsidR="006E3BD4" w:rsidRPr="00B061B2" w:rsidRDefault="006E3BD4" w:rsidP="00D82E2F">
            <w:pPr>
              <w:spacing w:after="0"/>
              <w:jc w:val="right"/>
              <w:rPr>
                <w:rFonts w:cs="Arial"/>
                <w:sz w:val="16"/>
                <w:szCs w:val="16"/>
              </w:rPr>
            </w:pPr>
            <w:r w:rsidRPr="00B061B2">
              <w:rPr>
                <w:sz w:val="16"/>
                <w:szCs w:val="16"/>
              </w:rPr>
              <w:t>17 260</w:t>
            </w:r>
          </w:p>
        </w:tc>
        <w:tc>
          <w:tcPr>
            <w:tcW w:w="852" w:type="dxa"/>
            <w:tcBorders>
              <w:top w:val="nil"/>
              <w:left w:val="nil"/>
              <w:bottom w:val="nil"/>
              <w:right w:val="single" w:sz="4" w:space="0" w:color="auto"/>
            </w:tcBorders>
            <w:shd w:val="clear" w:color="auto" w:fill="auto"/>
            <w:noWrap/>
          </w:tcPr>
          <w:p w14:paraId="07973E0E" w14:textId="77777777" w:rsidR="006E3BD4" w:rsidRPr="00B061B2" w:rsidRDefault="006E3BD4" w:rsidP="00D82E2F">
            <w:pPr>
              <w:spacing w:after="0"/>
              <w:jc w:val="right"/>
              <w:rPr>
                <w:rFonts w:cs="Arial"/>
                <w:sz w:val="16"/>
                <w:szCs w:val="16"/>
              </w:rPr>
            </w:pPr>
            <w:r w:rsidRPr="00B061B2">
              <w:rPr>
                <w:sz w:val="16"/>
                <w:szCs w:val="16"/>
              </w:rPr>
              <w:t>18 353</w:t>
            </w:r>
          </w:p>
        </w:tc>
        <w:tc>
          <w:tcPr>
            <w:tcW w:w="853" w:type="dxa"/>
            <w:tcBorders>
              <w:top w:val="nil"/>
              <w:left w:val="nil"/>
              <w:bottom w:val="nil"/>
              <w:right w:val="single" w:sz="4" w:space="0" w:color="auto"/>
            </w:tcBorders>
            <w:shd w:val="clear" w:color="auto" w:fill="auto"/>
            <w:noWrap/>
          </w:tcPr>
          <w:p w14:paraId="503465E4" w14:textId="77777777" w:rsidR="006E3BD4" w:rsidRPr="00B061B2" w:rsidRDefault="006E3BD4" w:rsidP="00D82E2F">
            <w:pPr>
              <w:spacing w:after="0"/>
              <w:jc w:val="right"/>
              <w:rPr>
                <w:rFonts w:cs="Arial"/>
                <w:color w:val="000000"/>
                <w:sz w:val="16"/>
                <w:szCs w:val="16"/>
              </w:rPr>
            </w:pPr>
            <w:r w:rsidRPr="00B061B2">
              <w:rPr>
                <w:sz w:val="16"/>
                <w:szCs w:val="16"/>
              </w:rPr>
              <w:t>19 424</w:t>
            </w:r>
          </w:p>
        </w:tc>
        <w:tc>
          <w:tcPr>
            <w:tcW w:w="900" w:type="dxa"/>
            <w:tcBorders>
              <w:top w:val="nil"/>
              <w:left w:val="nil"/>
              <w:bottom w:val="nil"/>
              <w:right w:val="nil"/>
            </w:tcBorders>
            <w:shd w:val="clear" w:color="auto" w:fill="auto"/>
            <w:noWrap/>
          </w:tcPr>
          <w:p w14:paraId="0535CE9F" w14:textId="6CD401E2" w:rsidR="006E3BD4" w:rsidRPr="00B061B2" w:rsidRDefault="006E3BD4" w:rsidP="00D82E2F">
            <w:pPr>
              <w:spacing w:after="0"/>
              <w:jc w:val="right"/>
              <w:rPr>
                <w:rFonts w:cs="Arial"/>
                <w:i/>
                <w:iCs/>
                <w:color w:val="000000"/>
                <w:sz w:val="16"/>
                <w:szCs w:val="16"/>
              </w:rPr>
            </w:pPr>
            <w:r w:rsidRPr="00B061B2">
              <w:rPr>
                <w:sz w:val="16"/>
                <w:szCs w:val="16"/>
              </w:rPr>
              <w:t>105,8</w:t>
            </w:r>
            <w:r w:rsidR="009E5D78">
              <w:rPr>
                <w:sz w:val="16"/>
                <w:szCs w:val="16"/>
              </w:rPr>
              <w:t xml:space="preserve"> </w:t>
            </w:r>
            <w:r w:rsidRPr="00B061B2">
              <w:rPr>
                <w:sz w:val="16"/>
                <w:szCs w:val="16"/>
              </w:rPr>
              <w:t>%</w:t>
            </w:r>
          </w:p>
        </w:tc>
      </w:tr>
      <w:tr w:rsidR="006E3BD4" w:rsidRPr="00B061B2" w14:paraId="3A5AC5AE" w14:textId="77777777" w:rsidTr="00D82E2F">
        <w:trPr>
          <w:gridAfter w:val="1"/>
          <w:wAfter w:w="66" w:type="dxa"/>
          <w:trHeight w:val="251"/>
        </w:trPr>
        <w:tc>
          <w:tcPr>
            <w:tcW w:w="3471" w:type="dxa"/>
            <w:tcBorders>
              <w:top w:val="nil"/>
              <w:left w:val="nil"/>
              <w:bottom w:val="nil"/>
              <w:right w:val="single" w:sz="4" w:space="0" w:color="auto"/>
            </w:tcBorders>
            <w:shd w:val="clear" w:color="auto" w:fill="auto"/>
            <w:noWrap/>
            <w:vAlign w:val="bottom"/>
            <w:hideMark/>
          </w:tcPr>
          <w:p w14:paraId="674C2CB9" w14:textId="77777777" w:rsidR="006E3BD4" w:rsidRPr="00B061B2" w:rsidRDefault="006E3BD4" w:rsidP="00D82E2F">
            <w:pPr>
              <w:spacing w:after="0" w:line="240" w:lineRule="auto"/>
              <w:rPr>
                <w:rFonts w:cs="Arial"/>
                <w:sz w:val="16"/>
                <w:szCs w:val="16"/>
              </w:rPr>
            </w:pPr>
            <w:r w:rsidRPr="00B061B2">
              <w:rPr>
                <w:rFonts w:cs="Arial"/>
                <w:sz w:val="16"/>
                <w:szCs w:val="16"/>
              </w:rPr>
              <w:t xml:space="preserve">     Všeobecná léčebná péče </w:t>
            </w:r>
          </w:p>
        </w:tc>
        <w:tc>
          <w:tcPr>
            <w:tcW w:w="852" w:type="dxa"/>
            <w:tcBorders>
              <w:top w:val="nil"/>
              <w:left w:val="nil"/>
              <w:bottom w:val="nil"/>
              <w:right w:val="single" w:sz="4" w:space="0" w:color="auto"/>
            </w:tcBorders>
            <w:shd w:val="clear" w:color="auto" w:fill="auto"/>
            <w:noWrap/>
          </w:tcPr>
          <w:p w14:paraId="705CB39C" w14:textId="77777777" w:rsidR="006E3BD4" w:rsidRPr="00B061B2" w:rsidRDefault="006E3BD4" w:rsidP="00D82E2F">
            <w:pPr>
              <w:spacing w:after="0"/>
              <w:jc w:val="right"/>
              <w:rPr>
                <w:rFonts w:cs="Arial"/>
                <w:sz w:val="16"/>
                <w:szCs w:val="16"/>
              </w:rPr>
            </w:pPr>
            <w:r w:rsidRPr="00B061B2">
              <w:rPr>
                <w:sz w:val="16"/>
                <w:szCs w:val="16"/>
              </w:rPr>
              <w:t>1 729</w:t>
            </w:r>
          </w:p>
        </w:tc>
        <w:tc>
          <w:tcPr>
            <w:tcW w:w="852" w:type="dxa"/>
            <w:tcBorders>
              <w:top w:val="nil"/>
              <w:left w:val="nil"/>
              <w:bottom w:val="nil"/>
              <w:right w:val="single" w:sz="4" w:space="0" w:color="auto"/>
            </w:tcBorders>
            <w:shd w:val="clear" w:color="auto" w:fill="auto"/>
            <w:noWrap/>
          </w:tcPr>
          <w:p w14:paraId="2F6351EC" w14:textId="77777777" w:rsidR="006E3BD4" w:rsidRPr="00B061B2" w:rsidRDefault="006E3BD4" w:rsidP="00D82E2F">
            <w:pPr>
              <w:spacing w:after="0"/>
              <w:jc w:val="right"/>
              <w:rPr>
                <w:rFonts w:cs="Arial"/>
                <w:sz w:val="16"/>
                <w:szCs w:val="16"/>
              </w:rPr>
            </w:pPr>
            <w:r w:rsidRPr="00B061B2">
              <w:rPr>
                <w:sz w:val="16"/>
                <w:szCs w:val="16"/>
              </w:rPr>
              <w:t>1 916</w:t>
            </w:r>
          </w:p>
        </w:tc>
        <w:tc>
          <w:tcPr>
            <w:tcW w:w="852" w:type="dxa"/>
            <w:tcBorders>
              <w:top w:val="nil"/>
              <w:left w:val="nil"/>
              <w:bottom w:val="nil"/>
              <w:right w:val="single" w:sz="4" w:space="0" w:color="auto"/>
            </w:tcBorders>
            <w:shd w:val="clear" w:color="auto" w:fill="auto"/>
            <w:noWrap/>
          </w:tcPr>
          <w:p w14:paraId="104A9418" w14:textId="77777777" w:rsidR="006E3BD4" w:rsidRPr="00B061B2" w:rsidRDefault="006E3BD4" w:rsidP="00D82E2F">
            <w:pPr>
              <w:spacing w:after="0"/>
              <w:jc w:val="right"/>
              <w:rPr>
                <w:rFonts w:cs="Arial"/>
                <w:sz w:val="16"/>
                <w:szCs w:val="16"/>
              </w:rPr>
            </w:pPr>
            <w:r w:rsidRPr="00B061B2">
              <w:rPr>
                <w:sz w:val="16"/>
                <w:szCs w:val="16"/>
              </w:rPr>
              <w:t>1 981</w:t>
            </w:r>
          </w:p>
        </w:tc>
        <w:tc>
          <w:tcPr>
            <w:tcW w:w="852" w:type="dxa"/>
            <w:tcBorders>
              <w:top w:val="nil"/>
              <w:left w:val="nil"/>
              <w:bottom w:val="nil"/>
              <w:right w:val="single" w:sz="4" w:space="0" w:color="auto"/>
            </w:tcBorders>
            <w:shd w:val="clear" w:color="auto" w:fill="auto"/>
            <w:noWrap/>
          </w:tcPr>
          <w:p w14:paraId="18200987" w14:textId="77777777" w:rsidR="006E3BD4" w:rsidRPr="00B061B2" w:rsidRDefault="006E3BD4" w:rsidP="00D82E2F">
            <w:pPr>
              <w:spacing w:after="0"/>
              <w:jc w:val="right"/>
              <w:rPr>
                <w:rFonts w:cs="Arial"/>
                <w:sz w:val="16"/>
                <w:szCs w:val="16"/>
              </w:rPr>
            </w:pPr>
            <w:r w:rsidRPr="00B061B2">
              <w:rPr>
                <w:sz w:val="16"/>
                <w:szCs w:val="16"/>
              </w:rPr>
              <w:t>1 926</w:t>
            </w:r>
          </w:p>
        </w:tc>
        <w:tc>
          <w:tcPr>
            <w:tcW w:w="852" w:type="dxa"/>
            <w:tcBorders>
              <w:top w:val="nil"/>
              <w:left w:val="nil"/>
              <w:bottom w:val="nil"/>
              <w:right w:val="single" w:sz="4" w:space="0" w:color="auto"/>
            </w:tcBorders>
            <w:shd w:val="clear" w:color="auto" w:fill="auto"/>
            <w:noWrap/>
          </w:tcPr>
          <w:p w14:paraId="201A4B59" w14:textId="77777777" w:rsidR="006E3BD4" w:rsidRPr="00B061B2" w:rsidRDefault="006E3BD4" w:rsidP="00D82E2F">
            <w:pPr>
              <w:spacing w:after="0"/>
              <w:jc w:val="right"/>
              <w:rPr>
                <w:rFonts w:cs="Arial"/>
                <w:sz w:val="16"/>
                <w:szCs w:val="16"/>
              </w:rPr>
            </w:pPr>
            <w:r w:rsidRPr="00B061B2">
              <w:rPr>
                <w:sz w:val="16"/>
                <w:szCs w:val="16"/>
              </w:rPr>
              <w:t>2 113</w:t>
            </w:r>
          </w:p>
        </w:tc>
        <w:tc>
          <w:tcPr>
            <w:tcW w:w="853" w:type="dxa"/>
            <w:tcBorders>
              <w:top w:val="nil"/>
              <w:left w:val="nil"/>
              <w:bottom w:val="nil"/>
              <w:right w:val="single" w:sz="4" w:space="0" w:color="auto"/>
            </w:tcBorders>
            <w:shd w:val="clear" w:color="auto" w:fill="auto"/>
            <w:noWrap/>
          </w:tcPr>
          <w:p w14:paraId="2BC95DDD" w14:textId="77777777" w:rsidR="006E3BD4" w:rsidRPr="00B061B2" w:rsidRDefault="006E3BD4" w:rsidP="00D82E2F">
            <w:pPr>
              <w:spacing w:after="0"/>
              <w:jc w:val="right"/>
              <w:rPr>
                <w:rFonts w:cs="Arial"/>
                <w:color w:val="000000"/>
                <w:sz w:val="16"/>
                <w:szCs w:val="16"/>
              </w:rPr>
            </w:pPr>
            <w:r w:rsidRPr="00B061B2">
              <w:rPr>
                <w:sz w:val="16"/>
                <w:szCs w:val="16"/>
              </w:rPr>
              <w:t>2 181</w:t>
            </w:r>
          </w:p>
        </w:tc>
        <w:tc>
          <w:tcPr>
            <w:tcW w:w="900" w:type="dxa"/>
            <w:tcBorders>
              <w:top w:val="nil"/>
              <w:left w:val="nil"/>
              <w:bottom w:val="nil"/>
              <w:right w:val="nil"/>
            </w:tcBorders>
            <w:shd w:val="clear" w:color="auto" w:fill="auto"/>
            <w:noWrap/>
          </w:tcPr>
          <w:p w14:paraId="6722BA87" w14:textId="4D7F4617" w:rsidR="006E3BD4" w:rsidRPr="00B061B2" w:rsidRDefault="006E3BD4" w:rsidP="00D82E2F">
            <w:pPr>
              <w:spacing w:after="0"/>
              <w:jc w:val="right"/>
              <w:rPr>
                <w:rFonts w:cs="Arial"/>
                <w:i/>
                <w:iCs/>
                <w:color w:val="000000"/>
                <w:sz w:val="16"/>
                <w:szCs w:val="16"/>
              </w:rPr>
            </w:pPr>
            <w:r w:rsidRPr="00B061B2">
              <w:rPr>
                <w:sz w:val="16"/>
                <w:szCs w:val="16"/>
              </w:rPr>
              <w:t>103,2</w:t>
            </w:r>
            <w:r w:rsidR="009E5D78">
              <w:rPr>
                <w:sz w:val="16"/>
                <w:szCs w:val="16"/>
              </w:rPr>
              <w:t xml:space="preserve"> </w:t>
            </w:r>
            <w:r w:rsidRPr="00B061B2">
              <w:rPr>
                <w:sz w:val="16"/>
                <w:szCs w:val="16"/>
              </w:rPr>
              <w:t>%</w:t>
            </w:r>
          </w:p>
        </w:tc>
      </w:tr>
      <w:tr w:rsidR="006E3BD4" w:rsidRPr="00B061B2" w14:paraId="3A4CD460" w14:textId="77777777" w:rsidTr="00D82E2F">
        <w:trPr>
          <w:gridAfter w:val="1"/>
          <w:wAfter w:w="66" w:type="dxa"/>
          <w:trHeight w:val="251"/>
        </w:trPr>
        <w:tc>
          <w:tcPr>
            <w:tcW w:w="3471" w:type="dxa"/>
            <w:tcBorders>
              <w:top w:val="nil"/>
              <w:left w:val="nil"/>
              <w:bottom w:val="nil"/>
              <w:right w:val="single" w:sz="4" w:space="0" w:color="auto"/>
            </w:tcBorders>
            <w:shd w:val="clear" w:color="auto" w:fill="auto"/>
            <w:noWrap/>
            <w:vAlign w:val="bottom"/>
            <w:hideMark/>
          </w:tcPr>
          <w:p w14:paraId="475E689F" w14:textId="77777777" w:rsidR="006E3BD4" w:rsidRPr="00B061B2" w:rsidRDefault="006E3BD4" w:rsidP="00D82E2F">
            <w:pPr>
              <w:spacing w:after="0" w:line="240" w:lineRule="auto"/>
              <w:rPr>
                <w:rFonts w:cs="Arial"/>
                <w:sz w:val="16"/>
                <w:szCs w:val="16"/>
              </w:rPr>
            </w:pPr>
            <w:r w:rsidRPr="00B061B2">
              <w:rPr>
                <w:rFonts w:cs="Arial"/>
                <w:sz w:val="16"/>
                <w:szCs w:val="16"/>
              </w:rPr>
              <w:t xml:space="preserve">     Stomatologická léčebná péče</w:t>
            </w:r>
          </w:p>
        </w:tc>
        <w:tc>
          <w:tcPr>
            <w:tcW w:w="852" w:type="dxa"/>
            <w:tcBorders>
              <w:top w:val="nil"/>
              <w:left w:val="nil"/>
              <w:bottom w:val="nil"/>
              <w:right w:val="single" w:sz="4" w:space="0" w:color="auto"/>
            </w:tcBorders>
            <w:shd w:val="clear" w:color="auto" w:fill="auto"/>
            <w:noWrap/>
          </w:tcPr>
          <w:p w14:paraId="0BE06F63" w14:textId="77777777" w:rsidR="006E3BD4" w:rsidRPr="00B061B2" w:rsidRDefault="006E3BD4" w:rsidP="00D82E2F">
            <w:pPr>
              <w:spacing w:after="0"/>
              <w:jc w:val="right"/>
              <w:rPr>
                <w:rFonts w:cs="Arial"/>
                <w:sz w:val="16"/>
                <w:szCs w:val="16"/>
              </w:rPr>
            </w:pPr>
            <w:r w:rsidRPr="00B061B2">
              <w:rPr>
                <w:sz w:val="16"/>
                <w:szCs w:val="16"/>
              </w:rPr>
              <w:t>7 683</w:t>
            </w:r>
          </w:p>
        </w:tc>
        <w:tc>
          <w:tcPr>
            <w:tcW w:w="852" w:type="dxa"/>
            <w:tcBorders>
              <w:top w:val="nil"/>
              <w:left w:val="nil"/>
              <w:bottom w:val="nil"/>
              <w:right w:val="single" w:sz="4" w:space="0" w:color="auto"/>
            </w:tcBorders>
            <w:shd w:val="clear" w:color="auto" w:fill="auto"/>
            <w:noWrap/>
          </w:tcPr>
          <w:p w14:paraId="3C1DD15A" w14:textId="77777777" w:rsidR="006E3BD4" w:rsidRPr="00B061B2" w:rsidRDefault="006E3BD4" w:rsidP="00D82E2F">
            <w:pPr>
              <w:spacing w:after="0"/>
              <w:jc w:val="right"/>
              <w:rPr>
                <w:rFonts w:cs="Arial"/>
                <w:sz w:val="16"/>
                <w:szCs w:val="16"/>
              </w:rPr>
            </w:pPr>
            <w:r w:rsidRPr="00B061B2">
              <w:rPr>
                <w:sz w:val="16"/>
                <w:szCs w:val="16"/>
              </w:rPr>
              <w:t>9 592</w:t>
            </w:r>
          </w:p>
        </w:tc>
        <w:tc>
          <w:tcPr>
            <w:tcW w:w="852" w:type="dxa"/>
            <w:tcBorders>
              <w:top w:val="nil"/>
              <w:left w:val="nil"/>
              <w:bottom w:val="nil"/>
              <w:right w:val="single" w:sz="4" w:space="0" w:color="auto"/>
            </w:tcBorders>
            <w:shd w:val="clear" w:color="auto" w:fill="auto"/>
            <w:noWrap/>
          </w:tcPr>
          <w:p w14:paraId="5EF53FDC" w14:textId="77777777" w:rsidR="006E3BD4" w:rsidRPr="00B061B2" w:rsidRDefault="006E3BD4" w:rsidP="00D82E2F">
            <w:pPr>
              <w:spacing w:after="0"/>
              <w:jc w:val="right"/>
              <w:rPr>
                <w:rFonts w:cs="Arial"/>
                <w:sz w:val="16"/>
                <w:szCs w:val="16"/>
              </w:rPr>
            </w:pPr>
            <w:r w:rsidRPr="00B061B2">
              <w:rPr>
                <w:sz w:val="16"/>
                <w:szCs w:val="16"/>
              </w:rPr>
              <w:t>9 957</w:t>
            </w:r>
          </w:p>
        </w:tc>
        <w:tc>
          <w:tcPr>
            <w:tcW w:w="852" w:type="dxa"/>
            <w:tcBorders>
              <w:top w:val="nil"/>
              <w:left w:val="nil"/>
              <w:bottom w:val="nil"/>
              <w:right w:val="single" w:sz="4" w:space="0" w:color="auto"/>
            </w:tcBorders>
            <w:shd w:val="clear" w:color="auto" w:fill="auto"/>
            <w:noWrap/>
          </w:tcPr>
          <w:p w14:paraId="019FD6C8" w14:textId="77777777" w:rsidR="006E3BD4" w:rsidRPr="00B061B2" w:rsidRDefault="006E3BD4" w:rsidP="00D82E2F">
            <w:pPr>
              <w:spacing w:after="0"/>
              <w:jc w:val="right"/>
              <w:rPr>
                <w:rFonts w:cs="Arial"/>
                <w:sz w:val="16"/>
                <w:szCs w:val="16"/>
              </w:rPr>
            </w:pPr>
            <w:r w:rsidRPr="00B061B2">
              <w:rPr>
                <w:sz w:val="16"/>
                <w:szCs w:val="16"/>
              </w:rPr>
              <w:t>10 252</w:t>
            </w:r>
          </w:p>
        </w:tc>
        <w:tc>
          <w:tcPr>
            <w:tcW w:w="852" w:type="dxa"/>
            <w:tcBorders>
              <w:top w:val="nil"/>
              <w:left w:val="nil"/>
              <w:bottom w:val="nil"/>
              <w:right w:val="single" w:sz="4" w:space="0" w:color="auto"/>
            </w:tcBorders>
            <w:shd w:val="clear" w:color="auto" w:fill="auto"/>
            <w:noWrap/>
          </w:tcPr>
          <w:p w14:paraId="6BFF73CC" w14:textId="77777777" w:rsidR="006E3BD4" w:rsidRPr="00B061B2" w:rsidRDefault="006E3BD4" w:rsidP="00D82E2F">
            <w:pPr>
              <w:spacing w:after="0"/>
              <w:jc w:val="right"/>
              <w:rPr>
                <w:rFonts w:cs="Arial"/>
                <w:sz w:val="16"/>
                <w:szCs w:val="16"/>
              </w:rPr>
            </w:pPr>
            <w:r w:rsidRPr="00B061B2">
              <w:rPr>
                <w:sz w:val="16"/>
                <w:szCs w:val="16"/>
              </w:rPr>
              <w:t>10 299</w:t>
            </w:r>
          </w:p>
        </w:tc>
        <w:tc>
          <w:tcPr>
            <w:tcW w:w="853" w:type="dxa"/>
            <w:tcBorders>
              <w:top w:val="nil"/>
              <w:left w:val="nil"/>
              <w:bottom w:val="nil"/>
              <w:right w:val="single" w:sz="4" w:space="0" w:color="auto"/>
            </w:tcBorders>
            <w:shd w:val="clear" w:color="auto" w:fill="auto"/>
            <w:noWrap/>
          </w:tcPr>
          <w:p w14:paraId="420A3B57" w14:textId="77777777" w:rsidR="006E3BD4" w:rsidRPr="00B061B2" w:rsidRDefault="006E3BD4" w:rsidP="00D82E2F">
            <w:pPr>
              <w:spacing w:after="0"/>
              <w:jc w:val="right"/>
              <w:rPr>
                <w:rFonts w:cs="Arial"/>
                <w:color w:val="000000"/>
                <w:sz w:val="16"/>
                <w:szCs w:val="16"/>
              </w:rPr>
            </w:pPr>
            <w:r w:rsidRPr="00B061B2">
              <w:rPr>
                <w:sz w:val="16"/>
                <w:szCs w:val="16"/>
              </w:rPr>
              <w:t>10 858</w:t>
            </w:r>
          </w:p>
        </w:tc>
        <w:tc>
          <w:tcPr>
            <w:tcW w:w="900" w:type="dxa"/>
            <w:tcBorders>
              <w:top w:val="nil"/>
              <w:left w:val="nil"/>
              <w:bottom w:val="nil"/>
              <w:right w:val="nil"/>
            </w:tcBorders>
            <w:shd w:val="clear" w:color="auto" w:fill="auto"/>
            <w:noWrap/>
          </w:tcPr>
          <w:p w14:paraId="1D936315" w14:textId="0F5371ED" w:rsidR="006E3BD4" w:rsidRPr="00B061B2" w:rsidRDefault="006E3BD4" w:rsidP="00D82E2F">
            <w:pPr>
              <w:spacing w:after="0"/>
              <w:jc w:val="right"/>
              <w:rPr>
                <w:rFonts w:cs="Arial"/>
                <w:i/>
                <w:iCs/>
                <w:color w:val="000000"/>
                <w:sz w:val="16"/>
                <w:szCs w:val="16"/>
              </w:rPr>
            </w:pPr>
            <w:r w:rsidRPr="00B061B2">
              <w:rPr>
                <w:sz w:val="16"/>
                <w:szCs w:val="16"/>
              </w:rPr>
              <w:t>105,4</w:t>
            </w:r>
            <w:r w:rsidR="009E5D78">
              <w:rPr>
                <w:sz w:val="16"/>
                <w:szCs w:val="16"/>
              </w:rPr>
              <w:t xml:space="preserve"> </w:t>
            </w:r>
            <w:r w:rsidRPr="00B061B2">
              <w:rPr>
                <w:sz w:val="16"/>
                <w:szCs w:val="16"/>
              </w:rPr>
              <w:t>%</w:t>
            </w:r>
          </w:p>
        </w:tc>
      </w:tr>
      <w:tr w:rsidR="006E3BD4" w:rsidRPr="00B061B2" w14:paraId="3A0DAF48" w14:textId="77777777" w:rsidTr="00D82E2F">
        <w:trPr>
          <w:gridAfter w:val="1"/>
          <w:wAfter w:w="66" w:type="dxa"/>
          <w:trHeight w:val="251"/>
        </w:trPr>
        <w:tc>
          <w:tcPr>
            <w:tcW w:w="3471" w:type="dxa"/>
            <w:tcBorders>
              <w:top w:val="nil"/>
              <w:left w:val="nil"/>
              <w:bottom w:val="nil"/>
              <w:right w:val="single" w:sz="4" w:space="0" w:color="auto"/>
            </w:tcBorders>
            <w:shd w:val="clear" w:color="auto" w:fill="auto"/>
            <w:noWrap/>
            <w:vAlign w:val="bottom"/>
            <w:hideMark/>
          </w:tcPr>
          <w:p w14:paraId="307C461C" w14:textId="77777777" w:rsidR="006E3BD4" w:rsidRPr="00B061B2" w:rsidRDefault="006E3BD4" w:rsidP="00D82E2F">
            <w:pPr>
              <w:spacing w:after="0" w:line="240" w:lineRule="auto"/>
              <w:rPr>
                <w:rFonts w:cs="Arial"/>
                <w:sz w:val="16"/>
                <w:szCs w:val="16"/>
              </w:rPr>
            </w:pPr>
            <w:r w:rsidRPr="00B061B2">
              <w:rPr>
                <w:rFonts w:cs="Arial"/>
                <w:sz w:val="16"/>
                <w:szCs w:val="16"/>
              </w:rPr>
              <w:t xml:space="preserve">     Specializovaná léčebná péče </w:t>
            </w:r>
          </w:p>
        </w:tc>
        <w:tc>
          <w:tcPr>
            <w:tcW w:w="852" w:type="dxa"/>
            <w:tcBorders>
              <w:top w:val="nil"/>
              <w:left w:val="nil"/>
              <w:bottom w:val="nil"/>
              <w:right w:val="single" w:sz="4" w:space="0" w:color="auto"/>
            </w:tcBorders>
            <w:shd w:val="clear" w:color="auto" w:fill="auto"/>
            <w:noWrap/>
          </w:tcPr>
          <w:p w14:paraId="2A9A74D8" w14:textId="77777777" w:rsidR="006E3BD4" w:rsidRPr="00B061B2" w:rsidRDefault="006E3BD4" w:rsidP="00D82E2F">
            <w:pPr>
              <w:spacing w:after="0"/>
              <w:jc w:val="right"/>
              <w:rPr>
                <w:rFonts w:cs="Arial"/>
                <w:sz w:val="16"/>
                <w:szCs w:val="16"/>
              </w:rPr>
            </w:pPr>
            <w:r w:rsidRPr="00B061B2">
              <w:rPr>
                <w:sz w:val="16"/>
                <w:szCs w:val="16"/>
              </w:rPr>
              <w:t>3 437</w:t>
            </w:r>
          </w:p>
        </w:tc>
        <w:tc>
          <w:tcPr>
            <w:tcW w:w="852" w:type="dxa"/>
            <w:tcBorders>
              <w:top w:val="nil"/>
              <w:left w:val="nil"/>
              <w:bottom w:val="nil"/>
              <w:right w:val="single" w:sz="4" w:space="0" w:color="auto"/>
            </w:tcBorders>
            <w:shd w:val="clear" w:color="auto" w:fill="auto"/>
            <w:noWrap/>
          </w:tcPr>
          <w:p w14:paraId="02813FB0" w14:textId="77777777" w:rsidR="006E3BD4" w:rsidRPr="00B061B2" w:rsidRDefault="006E3BD4" w:rsidP="00D82E2F">
            <w:pPr>
              <w:spacing w:after="0"/>
              <w:jc w:val="right"/>
              <w:rPr>
                <w:rFonts w:cs="Arial"/>
                <w:sz w:val="16"/>
                <w:szCs w:val="16"/>
              </w:rPr>
            </w:pPr>
            <w:r w:rsidRPr="00B061B2">
              <w:rPr>
                <w:sz w:val="16"/>
                <w:szCs w:val="16"/>
              </w:rPr>
              <w:t>3 809</w:t>
            </w:r>
          </w:p>
        </w:tc>
        <w:tc>
          <w:tcPr>
            <w:tcW w:w="852" w:type="dxa"/>
            <w:tcBorders>
              <w:top w:val="nil"/>
              <w:left w:val="nil"/>
              <w:bottom w:val="nil"/>
              <w:right w:val="single" w:sz="4" w:space="0" w:color="auto"/>
            </w:tcBorders>
            <w:shd w:val="clear" w:color="auto" w:fill="auto"/>
            <w:noWrap/>
          </w:tcPr>
          <w:p w14:paraId="337505C6" w14:textId="77777777" w:rsidR="006E3BD4" w:rsidRPr="00B061B2" w:rsidRDefault="006E3BD4" w:rsidP="00D82E2F">
            <w:pPr>
              <w:spacing w:after="0"/>
              <w:jc w:val="right"/>
              <w:rPr>
                <w:rFonts w:cs="Arial"/>
                <w:sz w:val="16"/>
                <w:szCs w:val="16"/>
              </w:rPr>
            </w:pPr>
            <w:r w:rsidRPr="00B061B2">
              <w:rPr>
                <w:sz w:val="16"/>
                <w:szCs w:val="16"/>
              </w:rPr>
              <w:t>3 939</w:t>
            </w:r>
          </w:p>
        </w:tc>
        <w:tc>
          <w:tcPr>
            <w:tcW w:w="852" w:type="dxa"/>
            <w:tcBorders>
              <w:top w:val="nil"/>
              <w:left w:val="nil"/>
              <w:bottom w:val="nil"/>
              <w:right w:val="single" w:sz="4" w:space="0" w:color="auto"/>
            </w:tcBorders>
            <w:shd w:val="clear" w:color="auto" w:fill="auto"/>
            <w:noWrap/>
          </w:tcPr>
          <w:p w14:paraId="2B6B57AC" w14:textId="77777777" w:rsidR="006E3BD4" w:rsidRPr="00B061B2" w:rsidRDefault="006E3BD4" w:rsidP="00D82E2F">
            <w:pPr>
              <w:spacing w:after="0"/>
              <w:jc w:val="right"/>
              <w:rPr>
                <w:rFonts w:cs="Arial"/>
                <w:sz w:val="16"/>
                <w:szCs w:val="16"/>
              </w:rPr>
            </w:pPr>
            <w:r w:rsidRPr="00B061B2">
              <w:rPr>
                <w:sz w:val="16"/>
                <w:szCs w:val="16"/>
              </w:rPr>
              <w:t>3 829</w:t>
            </w:r>
          </w:p>
        </w:tc>
        <w:tc>
          <w:tcPr>
            <w:tcW w:w="852" w:type="dxa"/>
            <w:tcBorders>
              <w:top w:val="nil"/>
              <w:left w:val="nil"/>
              <w:bottom w:val="nil"/>
              <w:right w:val="single" w:sz="4" w:space="0" w:color="auto"/>
            </w:tcBorders>
            <w:shd w:val="clear" w:color="auto" w:fill="auto"/>
            <w:noWrap/>
          </w:tcPr>
          <w:p w14:paraId="500F2AB0" w14:textId="77777777" w:rsidR="006E3BD4" w:rsidRPr="00B061B2" w:rsidRDefault="006E3BD4" w:rsidP="00D82E2F">
            <w:pPr>
              <w:spacing w:after="0"/>
              <w:jc w:val="right"/>
              <w:rPr>
                <w:rFonts w:cs="Arial"/>
                <w:sz w:val="16"/>
                <w:szCs w:val="16"/>
              </w:rPr>
            </w:pPr>
            <w:r w:rsidRPr="00B061B2">
              <w:rPr>
                <w:sz w:val="16"/>
                <w:szCs w:val="16"/>
              </w:rPr>
              <w:t>4 200</w:t>
            </w:r>
          </w:p>
        </w:tc>
        <w:tc>
          <w:tcPr>
            <w:tcW w:w="853" w:type="dxa"/>
            <w:tcBorders>
              <w:top w:val="nil"/>
              <w:left w:val="nil"/>
              <w:bottom w:val="nil"/>
              <w:right w:val="single" w:sz="4" w:space="0" w:color="auto"/>
            </w:tcBorders>
            <w:shd w:val="clear" w:color="auto" w:fill="auto"/>
            <w:noWrap/>
          </w:tcPr>
          <w:p w14:paraId="70E58D88" w14:textId="77777777" w:rsidR="006E3BD4" w:rsidRPr="00B061B2" w:rsidRDefault="006E3BD4" w:rsidP="00D82E2F">
            <w:pPr>
              <w:spacing w:after="0"/>
              <w:jc w:val="right"/>
              <w:rPr>
                <w:rFonts w:cs="Arial"/>
                <w:color w:val="000000"/>
                <w:sz w:val="16"/>
                <w:szCs w:val="16"/>
              </w:rPr>
            </w:pPr>
            <w:r w:rsidRPr="00B061B2">
              <w:rPr>
                <w:sz w:val="16"/>
                <w:szCs w:val="16"/>
              </w:rPr>
              <w:t>4 336</w:t>
            </w:r>
          </w:p>
        </w:tc>
        <w:tc>
          <w:tcPr>
            <w:tcW w:w="900" w:type="dxa"/>
            <w:tcBorders>
              <w:top w:val="nil"/>
              <w:left w:val="nil"/>
              <w:bottom w:val="nil"/>
              <w:right w:val="nil"/>
            </w:tcBorders>
            <w:shd w:val="clear" w:color="auto" w:fill="auto"/>
            <w:noWrap/>
          </w:tcPr>
          <w:p w14:paraId="31739451" w14:textId="3410CCF0" w:rsidR="006E3BD4" w:rsidRPr="00B061B2" w:rsidRDefault="006E3BD4" w:rsidP="00D82E2F">
            <w:pPr>
              <w:spacing w:after="0"/>
              <w:jc w:val="right"/>
              <w:rPr>
                <w:rFonts w:cs="Arial"/>
                <w:i/>
                <w:iCs/>
                <w:color w:val="000000"/>
                <w:sz w:val="16"/>
                <w:szCs w:val="16"/>
              </w:rPr>
            </w:pPr>
            <w:r w:rsidRPr="00B061B2">
              <w:rPr>
                <w:sz w:val="16"/>
                <w:szCs w:val="16"/>
              </w:rPr>
              <w:t>103,2</w:t>
            </w:r>
            <w:r w:rsidR="009E5D78">
              <w:rPr>
                <w:sz w:val="16"/>
                <w:szCs w:val="16"/>
              </w:rPr>
              <w:t xml:space="preserve"> </w:t>
            </w:r>
            <w:r w:rsidRPr="00B061B2">
              <w:rPr>
                <w:sz w:val="16"/>
                <w:szCs w:val="16"/>
              </w:rPr>
              <w:t>%</w:t>
            </w:r>
          </w:p>
        </w:tc>
      </w:tr>
      <w:tr w:rsidR="006E3BD4" w:rsidRPr="00B061B2" w14:paraId="36E35D38" w14:textId="77777777" w:rsidTr="00D82E2F">
        <w:trPr>
          <w:gridAfter w:val="1"/>
          <w:wAfter w:w="66" w:type="dxa"/>
          <w:trHeight w:val="251"/>
        </w:trPr>
        <w:tc>
          <w:tcPr>
            <w:tcW w:w="3471" w:type="dxa"/>
            <w:tcBorders>
              <w:top w:val="nil"/>
              <w:left w:val="nil"/>
              <w:bottom w:val="nil"/>
              <w:right w:val="single" w:sz="4" w:space="0" w:color="auto"/>
            </w:tcBorders>
            <w:shd w:val="clear" w:color="000000" w:fill="F2DCDB"/>
            <w:noWrap/>
            <w:vAlign w:val="bottom"/>
            <w:hideMark/>
          </w:tcPr>
          <w:p w14:paraId="3A0A3E6A" w14:textId="77777777" w:rsidR="006E3BD4" w:rsidRPr="00B061B2" w:rsidRDefault="006E3BD4" w:rsidP="00D82E2F">
            <w:pPr>
              <w:spacing w:after="0" w:line="240" w:lineRule="auto"/>
              <w:rPr>
                <w:rFonts w:cs="Arial"/>
                <w:b/>
                <w:bCs/>
                <w:sz w:val="16"/>
                <w:szCs w:val="16"/>
              </w:rPr>
            </w:pPr>
            <w:r w:rsidRPr="00B061B2">
              <w:rPr>
                <w:rFonts w:cs="Arial"/>
                <w:b/>
                <w:bCs/>
                <w:sz w:val="16"/>
                <w:szCs w:val="16"/>
              </w:rPr>
              <w:t>Rehabilitační péče</w:t>
            </w:r>
          </w:p>
        </w:tc>
        <w:tc>
          <w:tcPr>
            <w:tcW w:w="852" w:type="dxa"/>
            <w:tcBorders>
              <w:top w:val="nil"/>
              <w:left w:val="nil"/>
              <w:bottom w:val="nil"/>
              <w:right w:val="single" w:sz="4" w:space="0" w:color="auto"/>
            </w:tcBorders>
            <w:shd w:val="clear" w:color="000000" w:fill="F2DCDB"/>
            <w:noWrap/>
          </w:tcPr>
          <w:p w14:paraId="36093982" w14:textId="77777777" w:rsidR="006E3BD4" w:rsidRPr="00B061B2" w:rsidRDefault="006E3BD4" w:rsidP="00D82E2F">
            <w:pPr>
              <w:spacing w:after="0"/>
              <w:jc w:val="right"/>
              <w:rPr>
                <w:rFonts w:cs="Arial"/>
                <w:b/>
                <w:bCs/>
                <w:sz w:val="16"/>
                <w:szCs w:val="16"/>
              </w:rPr>
            </w:pPr>
            <w:r w:rsidRPr="00B061B2">
              <w:rPr>
                <w:sz w:val="16"/>
                <w:szCs w:val="16"/>
              </w:rPr>
              <w:t>1 907</w:t>
            </w:r>
          </w:p>
        </w:tc>
        <w:tc>
          <w:tcPr>
            <w:tcW w:w="852" w:type="dxa"/>
            <w:tcBorders>
              <w:top w:val="nil"/>
              <w:left w:val="nil"/>
              <w:bottom w:val="nil"/>
              <w:right w:val="single" w:sz="4" w:space="0" w:color="auto"/>
            </w:tcBorders>
            <w:shd w:val="clear" w:color="000000" w:fill="F2DCDB"/>
            <w:noWrap/>
          </w:tcPr>
          <w:p w14:paraId="1AEFF144" w14:textId="77777777" w:rsidR="006E3BD4" w:rsidRPr="00B061B2" w:rsidRDefault="006E3BD4" w:rsidP="00D82E2F">
            <w:pPr>
              <w:spacing w:after="0"/>
              <w:jc w:val="right"/>
              <w:rPr>
                <w:rFonts w:cs="Arial"/>
                <w:b/>
                <w:bCs/>
                <w:sz w:val="16"/>
                <w:szCs w:val="16"/>
              </w:rPr>
            </w:pPr>
            <w:r w:rsidRPr="00B061B2">
              <w:rPr>
                <w:sz w:val="16"/>
                <w:szCs w:val="16"/>
              </w:rPr>
              <w:t>3 837</w:t>
            </w:r>
          </w:p>
        </w:tc>
        <w:tc>
          <w:tcPr>
            <w:tcW w:w="852" w:type="dxa"/>
            <w:tcBorders>
              <w:top w:val="nil"/>
              <w:left w:val="nil"/>
              <w:bottom w:val="nil"/>
              <w:right w:val="single" w:sz="4" w:space="0" w:color="auto"/>
            </w:tcBorders>
            <w:shd w:val="clear" w:color="000000" w:fill="F2DCDB"/>
            <w:noWrap/>
          </w:tcPr>
          <w:p w14:paraId="02078AA9" w14:textId="77777777" w:rsidR="006E3BD4" w:rsidRPr="00B061B2" w:rsidRDefault="006E3BD4" w:rsidP="00D82E2F">
            <w:pPr>
              <w:spacing w:after="0"/>
              <w:jc w:val="right"/>
              <w:rPr>
                <w:rFonts w:cs="Arial"/>
                <w:b/>
                <w:bCs/>
                <w:sz w:val="16"/>
                <w:szCs w:val="16"/>
              </w:rPr>
            </w:pPr>
            <w:r w:rsidRPr="00B061B2">
              <w:rPr>
                <w:sz w:val="16"/>
                <w:szCs w:val="16"/>
              </w:rPr>
              <w:t>4 140</w:t>
            </w:r>
          </w:p>
        </w:tc>
        <w:tc>
          <w:tcPr>
            <w:tcW w:w="852" w:type="dxa"/>
            <w:tcBorders>
              <w:top w:val="nil"/>
              <w:left w:val="nil"/>
              <w:bottom w:val="nil"/>
              <w:right w:val="single" w:sz="4" w:space="0" w:color="auto"/>
            </w:tcBorders>
            <w:shd w:val="clear" w:color="000000" w:fill="F2DCDB"/>
            <w:noWrap/>
          </w:tcPr>
          <w:p w14:paraId="765F1769" w14:textId="77777777" w:rsidR="006E3BD4" w:rsidRPr="00B061B2" w:rsidRDefault="006E3BD4" w:rsidP="00D82E2F">
            <w:pPr>
              <w:spacing w:after="0"/>
              <w:jc w:val="right"/>
              <w:rPr>
                <w:rFonts w:cs="Arial"/>
                <w:b/>
                <w:bCs/>
                <w:sz w:val="16"/>
                <w:szCs w:val="16"/>
              </w:rPr>
            </w:pPr>
            <w:r w:rsidRPr="00B061B2">
              <w:rPr>
                <w:sz w:val="16"/>
                <w:szCs w:val="16"/>
              </w:rPr>
              <w:t>4 812</w:t>
            </w:r>
          </w:p>
        </w:tc>
        <w:tc>
          <w:tcPr>
            <w:tcW w:w="852" w:type="dxa"/>
            <w:tcBorders>
              <w:top w:val="nil"/>
              <w:left w:val="nil"/>
              <w:bottom w:val="nil"/>
              <w:right w:val="single" w:sz="4" w:space="0" w:color="auto"/>
            </w:tcBorders>
            <w:shd w:val="clear" w:color="000000" w:fill="F2DCDB"/>
            <w:noWrap/>
          </w:tcPr>
          <w:p w14:paraId="391202D2" w14:textId="77777777" w:rsidR="006E3BD4" w:rsidRPr="00B061B2" w:rsidRDefault="006E3BD4" w:rsidP="00D82E2F">
            <w:pPr>
              <w:spacing w:after="0"/>
              <w:jc w:val="right"/>
              <w:rPr>
                <w:rFonts w:cs="Arial"/>
                <w:b/>
                <w:bCs/>
                <w:sz w:val="16"/>
                <w:szCs w:val="16"/>
              </w:rPr>
            </w:pPr>
            <w:r w:rsidRPr="00B061B2">
              <w:rPr>
                <w:sz w:val="16"/>
                <w:szCs w:val="16"/>
              </w:rPr>
              <w:t>5 736</w:t>
            </w:r>
          </w:p>
        </w:tc>
        <w:tc>
          <w:tcPr>
            <w:tcW w:w="853" w:type="dxa"/>
            <w:tcBorders>
              <w:top w:val="nil"/>
              <w:left w:val="nil"/>
              <w:bottom w:val="nil"/>
              <w:right w:val="single" w:sz="4" w:space="0" w:color="auto"/>
            </w:tcBorders>
            <w:shd w:val="clear" w:color="000000" w:fill="F2DCDB"/>
            <w:noWrap/>
          </w:tcPr>
          <w:p w14:paraId="0302FD72" w14:textId="77777777" w:rsidR="006E3BD4" w:rsidRPr="00B061B2" w:rsidRDefault="006E3BD4" w:rsidP="00D82E2F">
            <w:pPr>
              <w:spacing w:after="0"/>
              <w:jc w:val="right"/>
              <w:rPr>
                <w:rFonts w:cs="Arial"/>
                <w:b/>
                <w:bCs/>
                <w:color w:val="000000"/>
                <w:sz w:val="16"/>
                <w:szCs w:val="16"/>
              </w:rPr>
            </w:pPr>
            <w:r w:rsidRPr="00B061B2">
              <w:rPr>
                <w:sz w:val="16"/>
                <w:szCs w:val="16"/>
              </w:rPr>
              <w:t>6 282</w:t>
            </w:r>
          </w:p>
        </w:tc>
        <w:tc>
          <w:tcPr>
            <w:tcW w:w="900" w:type="dxa"/>
            <w:tcBorders>
              <w:top w:val="nil"/>
              <w:left w:val="nil"/>
              <w:bottom w:val="nil"/>
              <w:right w:val="nil"/>
            </w:tcBorders>
            <w:shd w:val="clear" w:color="000000" w:fill="F2DCDB"/>
            <w:noWrap/>
          </w:tcPr>
          <w:p w14:paraId="24C1B903" w14:textId="0176DD16" w:rsidR="006E3BD4" w:rsidRPr="00B061B2" w:rsidRDefault="006E3BD4" w:rsidP="00D82E2F">
            <w:pPr>
              <w:spacing w:after="0"/>
              <w:jc w:val="right"/>
              <w:rPr>
                <w:rFonts w:cs="Arial"/>
                <w:b/>
                <w:bCs/>
                <w:i/>
                <w:iCs/>
                <w:color w:val="000000"/>
                <w:sz w:val="16"/>
                <w:szCs w:val="16"/>
              </w:rPr>
            </w:pPr>
            <w:r w:rsidRPr="00B061B2">
              <w:rPr>
                <w:sz w:val="16"/>
                <w:szCs w:val="16"/>
              </w:rPr>
              <w:t>109,5</w:t>
            </w:r>
            <w:r w:rsidR="009E5D78">
              <w:rPr>
                <w:sz w:val="16"/>
                <w:szCs w:val="16"/>
              </w:rPr>
              <w:t xml:space="preserve"> </w:t>
            </w:r>
            <w:r w:rsidRPr="00B061B2">
              <w:rPr>
                <w:sz w:val="16"/>
                <w:szCs w:val="16"/>
              </w:rPr>
              <w:t>%</w:t>
            </w:r>
          </w:p>
        </w:tc>
      </w:tr>
      <w:tr w:rsidR="006E3BD4" w:rsidRPr="00B061B2" w14:paraId="732C8BC6" w14:textId="77777777" w:rsidTr="00D82E2F">
        <w:trPr>
          <w:gridAfter w:val="1"/>
          <w:wAfter w:w="66" w:type="dxa"/>
          <w:trHeight w:val="251"/>
        </w:trPr>
        <w:tc>
          <w:tcPr>
            <w:tcW w:w="3471" w:type="dxa"/>
            <w:tcBorders>
              <w:top w:val="nil"/>
              <w:left w:val="nil"/>
              <w:bottom w:val="nil"/>
              <w:right w:val="single" w:sz="4" w:space="0" w:color="auto"/>
            </w:tcBorders>
            <w:shd w:val="clear" w:color="auto" w:fill="auto"/>
            <w:noWrap/>
            <w:vAlign w:val="bottom"/>
            <w:hideMark/>
          </w:tcPr>
          <w:p w14:paraId="4B7BEF81" w14:textId="77777777" w:rsidR="006E3BD4" w:rsidRPr="00B061B2" w:rsidRDefault="006E3BD4" w:rsidP="00D82E2F">
            <w:pPr>
              <w:spacing w:after="0" w:line="240" w:lineRule="auto"/>
              <w:rPr>
                <w:rFonts w:cs="Arial"/>
                <w:sz w:val="16"/>
                <w:szCs w:val="16"/>
              </w:rPr>
            </w:pPr>
            <w:r w:rsidRPr="00B061B2">
              <w:rPr>
                <w:rFonts w:cs="Arial"/>
                <w:sz w:val="16"/>
                <w:szCs w:val="16"/>
              </w:rPr>
              <w:t xml:space="preserve">  Lůžková rehabilitační (lázeňská) péče</w:t>
            </w:r>
          </w:p>
        </w:tc>
        <w:tc>
          <w:tcPr>
            <w:tcW w:w="852" w:type="dxa"/>
            <w:tcBorders>
              <w:top w:val="nil"/>
              <w:left w:val="nil"/>
              <w:bottom w:val="nil"/>
              <w:right w:val="single" w:sz="4" w:space="0" w:color="auto"/>
            </w:tcBorders>
            <w:shd w:val="clear" w:color="auto" w:fill="auto"/>
            <w:noWrap/>
          </w:tcPr>
          <w:p w14:paraId="6CA0109C" w14:textId="77777777" w:rsidR="006E3BD4" w:rsidRPr="00B061B2" w:rsidRDefault="006E3BD4" w:rsidP="00D82E2F">
            <w:pPr>
              <w:spacing w:after="0"/>
              <w:jc w:val="right"/>
              <w:rPr>
                <w:rFonts w:cs="Arial"/>
                <w:sz w:val="16"/>
                <w:szCs w:val="16"/>
              </w:rPr>
            </w:pPr>
            <w:r w:rsidRPr="00B061B2">
              <w:rPr>
                <w:sz w:val="16"/>
                <w:szCs w:val="16"/>
              </w:rPr>
              <w:t>1 163</w:t>
            </w:r>
          </w:p>
        </w:tc>
        <w:tc>
          <w:tcPr>
            <w:tcW w:w="852" w:type="dxa"/>
            <w:tcBorders>
              <w:top w:val="nil"/>
              <w:left w:val="nil"/>
              <w:bottom w:val="nil"/>
              <w:right w:val="single" w:sz="4" w:space="0" w:color="auto"/>
            </w:tcBorders>
            <w:shd w:val="clear" w:color="auto" w:fill="auto"/>
            <w:noWrap/>
          </w:tcPr>
          <w:p w14:paraId="53AA2E53" w14:textId="77777777" w:rsidR="006E3BD4" w:rsidRPr="00B061B2" w:rsidRDefault="006E3BD4" w:rsidP="00D82E2F">
            <w:pPr>
              <w:spacing w:after="0"/>
              <w:jc w:val="right"/>
              <w:rPr>
                <w:rFonts w:cs="Arial"/>
                <w:sz w:val="16"/>
                <w:szCs w:val="16"/>
              </w:rPr>
            </w:pPr>
            <w:r w:rsidRPr="00B061B2">
              <w:rPr>
                <w:sz w:val="16"/>
                <w:szCs w:val="16"/>
              </w:rPr>
              <w:t>2 799</w:t>
            </w:r>
          </w:p>
        </w:tc>
        <w:tc>
          <w:tcPr>
            <w:tcW w:w="852" w:type="dxa"/>
            <w:tcBorders>
              <w:top w:val="nil"/>
              <w:left w:val="nil"/>
              <w:bottom w:val="nil"/>
              <w:right w:val="single" w:sz="4" w:space="0" w:color="auto"/>
            </w:tcBorders>
            <w:shd w:val="clear" w:color="auto" w:fill="auto"/>
            <w:noWrap/>
          </w:tcPr>
          <w:p w14:paraId="42C01785" w14:textId="77777777" w:rsidR="006E3BD4" w:rsidRPr="00B061B2" w:rsidRDefault="006E3BD4" w:rsidP="00D82E2F">
            <w:pPr>
              <w:spacing w:after="0"/>
              <w:jc w:val="right"/>
              <w:rPr>
                <w:rFonts w:cs="Arial"/>
                <w:sz w:val="16"/>
                <w:szCs w:val="16"/>
              </w:rPr>
            </w:pPr>
            <w:r w:rsidRPr="00B061B2">
              <w:rPr>
                <w:sz w:val="16"/>
                <w:szCs w:val="16"/>
              </w:rPr>
              <w:t>3 006</w:t>
            </w:r>
          </w:p>
        </w:tc>
        <w:tc>
          <w:tcPr>
            <w:tcW w:w="852" w:type="dxa"/>
            <w:tcBorders>
              <w:top w:val="nil"/>
              <w:left w:val="nil"/>
              <w:bottom w:val="nil"/>
              <w:right w:val="single" w:sz="4" w:space="0" w:color="auto"/>
            </w:tcBorders>
            <w:shd w:val="clear" w:color="auto" w:fill="auto"/>
            <w:noWrap/>
          </w:tcPr>
          <w:p w14:paraId="5E531C56" w14:textId="77777777" w:rsidR="006E3BD4" w:rsidRPr="00B061B2" w:rsidRDefault="006E3BD4" w:rsidP="00D82E2F">
            <w:pPr>
              <w:spacing w:after="0"/>
              <w:jc w:val="right"/>
              <w:rPr>
                <w:rFonts w:cs="Arial"/>
                <w:sz w:val="16"/>
                <w:szCs w:val="16"/>
              </w:rPr>
            </w:pPr>
            <w:r w:rsidRPr="00B061B2">
              <w:rPr>
                <w:sz w:val="16"/>
                <w:szCs w:val="16"/>
              </w:rPr>
              <w:t>3 704</w:t>
            </w:r>
          </w:p>
        </w:tc>
        <w:tc>
          <w:tcPr>
            <w:tcW w:w="852" w:type="dxa"/>
            <w:tcBorders>
              <w:top w:val="nil"/>
              <w:left w:val="nil"/>
              <w:bottom w:val="nil"/>
              <w:right w:val="single" w:sz="4" w:space="0" w:color="auto"/>
            </w:tcBorders>
            <w:shd w:val="clear" w:color="auto" w:fill="auto"/>
            <w:noWrap/>
          </w:tcPr>
          <w:p w14:paraId="3572F2F9" w14:textId="77777777" w:rsidR="006E3BD4" w:rsidRPr="00B061B2" w:rsidRDefault="006E3BD4" w:rsidP="00D82E2F">
            <w:pPr>
              <w:spacing w:after="0"/>
              <w:jc w:val="right"/>
              <w:rPr>
                <w:rFonts w:cs="Arial"/>
                <w:sz w:val="16"/>
                <w:szCs w:val="16"/>
              </w:rPr>
            </w:pPr>
            <w:r w:rsidRPr="00B061B2">
              <w:rPr>
                <w:sz w:val="16"/>
                <w:szCs w:val="16"/>
              </w:rPr>
              <w:t>4 197</w:t>
            </w:r>
          </w:p>
        </w:tc>
        <w:tc>
          <w:tcPr>
            <w:tcW w:w="853" w:type="dxa"/>
            <w:tcBorders>
              <w:top w:val="nil"/>
              <w:left w:val="nil"/>
              <w:bottom w:val="nil"/>
              <w:right w:val="single" w:sz="4" w:space="0" w:color="auto"/>
            </w:tcBorders>
            <w:shd w:val="clear" w:color="auto" w:fill="auto"/>
            <w:noWrap/>
          </w:tcPr>
          <w:p w14:paraId="15E00B3C" w14:textId="77777777" w:rsidR="006E3BD4" w:rsidRPr="00B061B2" w:rsidRDefault="006E3BD4" w:rsidP="00D82E2F">
            <w:pPr>
              <w:spacing w:after="0"/>
              <w:jc w:val="right"/>
              <w:rPr>
                <w:rFonts w:cs="Arial"/>
                <w:color w:val="000000"/>
                <w:sz w:val="16"/>
                <w:szCs w:val="16"/>
              </w:rPr>
            </w:pPr>
            <w:r w:rsidRPr="00B061B2">
              <w:rPr>
                <w:sz w:val="16"/>
                <w:szCs w:val="16"/>
              </w:rPr>
              <w:t>4 471</w:t>
            </w:r>
          </w:p>
        </w:tc>
        <w:tc>
          <w:tcPr>
            <w:tcW w:w="900" w:type="dxa"/>
            <w:tcBorders>
              <w:top w:val="nil"/>
              <w:left w:val="nil"/>
              <w:bottom w:val="nil"/>
              <w:right w:val="nil"/>
            </w:tcBorders>
            <w:shd w:val="clear" w:color="auto" w:fill="auto"/>
            <w:noWrap/>
          </w:tcPr>
          <w:p w14:paraId="4F1BA8EE" w14:textId="07EFDCDD" w:rsidR="006E3BD4" w:rsidRPr="00B061B2" w:rsidRDefault="006E3BD4" w:rsidP="00D82E2F">
            <w:pPr>
              <w:spacing w:after="0"/>
              <w:jc w:val="right"/>
              <w:rPr>
                <w:rFonts w:cs="Arial"/>
                <w:i/>
                <w:iCs/>
                <w:color w:val="000000"/>
                <w:sz w:val="16"/>
                <w:szCs w:val="16"/>
              </w:rPr>
            </w:pPr>
            <w:r w:rsidRPr="00B061B2">
              <w:rPr>
                <w:sz w:val="16"/>
                <w:szCs w:val="16"/>
              </w:rPr>
              <w:t>106,5</w:t>
            </w:r>
            <w:r w:rsidR="009E5D78">
              <w:rPr>
                <w:sz w:val="16"/>
                <w:szCs w:val="16"/>
              </w:rPr>
              <w:t xml:space="preserve"> </w:t>
            </w:r>
            <w:r w:rsidRPr="00B061B2">
              <w:rPr>
                <w:sz w:val="16"/>
                <w:szCs w:val="16"/>
              </w:rPr>
              <w:t>%</w:t>
            </w:r>
          </w:p>
        </w:tc>
      </w:tr>
      <w:tr w:rsidR="006E3BD4" w:rsidRPr="00B061B2" w14:paraId="1448A3DF" w14:textId="77777777" w:rsidTr="00D82E2F">
        <w:trPr>
          <w:gridAfter w:val="1"/>
          <w:wAfter w:w="66" w:type="dxa"/>
          <w:trHeight w:val="251"/>
        </w:trPr>
        <w:tc>
          <w:tcPr>
            <w:tcW w:w="3471" w:type="dxa"/>
            <w:tcBorders>
              <w:top w:val="nil"/>
              <w:left w:val="nil"/>
              <w:bottom w:val="nil"/>
              <w:right w:val="single" w:sz="4" w:space="0" w:color="auto"/>
            </w:tcBorders>
            <w:shd w:val="clear" w:color="auto" w:fill="auto"/>
            <w:noWrap/>
            <w:vAlign w:val="bottom"/>
            <w:hideMark/>
          </w:tcPr>
          <w:p w14:paraId="0EFB188E" w14:textId="77777777" w:rsidR="006E3BD4" w:rsidRPr="00B061B2" w:rsidRDefault="006E3BD4" w:rsidP="00D82E2F">
            <w:pPr>
              <w:spacing w:after="0" w:line="240" w:lineRule="auto"/>
              <w:rPr>
                <w:rFonts w:cs="Arial"/>
                <w:sz w:val="16"/>
                <w:szCs w:val="16"/>
              </w:rPr>
            </w:pPr>
            <w:r w:rsidRPr="00B061B2">
              <w:rPr>
                <w:rFonts w:cs="Arial"/>
                <w:sz w:val="16"/>
                <w:szCs w:val="16"/>
              </w:rPr>
              <w:t xml:space="preserve">  Ambulantní rehabilitační péče</w:t>
            </w:r>
          </w:p>
        </w:tc>
        <w:tc>
          <w:tcPr>
            <w:tcW w:w="852" w:type="dxa"/>
            <w:tcBorders>
              <w:top w:val="nil"/>
              <w:left w:val="nil"/>
              <w:bottom w:val="nil"/>
              <w:right w:val="single" w:sz="4" w:space="0" w:color="auto"/>
            </w:tcBorders>
            <w:shd w:val="clear" w:color="auto" w:fill="auto"/>
            <w:noWrap/>
          </w:tcPr>
          <w:p w14:paraId="51E9A92C" w14:textId="77777777" w:rsidR="006E3BD4" w:rsidRPr="00B061B2" w:rsidRDefault="006E3BD4" w:rsidP="00D82E2F">
            <w:pPr>
              <w:spacing w:after="0"/>
              <w:jc w:val="right"/>
              <w:rPr>
                <w:rFonts w:cs="Arial"/>
                <w:sz w:val="16"/>
                <w:szCs w:val="16"/>
              </w:rPr>
            </w:pPr>
            <w:r w:rsidRPr="00B061B2">
              <w:rPr>
                <w:sz w:val="16"/>
                <w:szCs w:val="16"/>
              </w:rPr>
              <w:t>744</w:t>
            </w:r>
          </w:p>
        </w:tc>
        <w:tc>
          <w:tcPr>
            <w:tcW w:w="852" w:type="dxa"/>
            <w:tcBorders>
              <w:top w:val="nil"/>
              <w:left w:val="nil"/>
              <w:bottom w:val="nil"/>
              <w:right w:val="single" w:sz="4" w:space="0" w:color="auto"/>
            </w:tcBorders>
            <w:shd w:val="clear" w:color="auto" w:fill="auto"/>
            <w:noWrap/>
          </w:tcPr>
          <w:p w14:paraId="0C0BCF8F" w14:textId="77777777" w:rsidR="006E3BD4" w:rsidRPr="00B061B2" w:rsidRDefault="006E3BD4" w:rsidP="00D82E2F">
            <w:pPr>
              <w:spacing w:after="0"/>
              <w:jc w:val="right"/>
              <w:rPr>
                <w:rFonts w:cs="Arial"/>
                <w:sz w:val="16"/>
                <w:szCs w:val="16"/>
              </w:rPr>
            </w:pPr>
            <w:r w:rsidRPr="00B061B2">
              <w:rPr>
                <w:sz w:val="16"/>
                <w:szCs w:val="16"/>
              </w:rPr>
              <w:t>1 038</w:t>
            </w:r>
          </w:p>
        </w:tc>
        <w:tc>
          <w:tcPr>
            <w:tcW w:w="852" w:type="dxa"/>
            <w:tcBorders>
              <w:top w:val="nil"/>
              <w:left w:val="nil"/>
              <w:bottom w:val="nil"/>
              <w:right w:val="single" w:sz="4" w:space="0" w:color="auto"/>
            </w:tcBorders>
            <w:shd w:val="clear" w:color="auto" w:fill="auto"/>
            <w:noWrap/>
          </w:tcPr>
          <w:p w14:paraId="3C265ADF" w14:textId="77777777" w:rsidR="006E3BD4" w:rsidRPr="00B061B2" w:rsidRDefault="006E3BD4" w:rsidP="00D82E2F">
            <w:pPr>
              <w:spacing w:after="0"/>
              <w:jc w:val="right"/>
              <w:rPr>
                <w:rFonts w:cs="Arial"/>
                <w:sz w:val="16"/>
                <w:szCs w:val="16"/>
              </w:rPr>
            </w:pPr>
            <w:r w:rsidRPr="00B061B2">
              <w:rPr>
                <w:sz w:val="16"/>
                <w:szCs w:val="16"/>
              </w:rPr>
              <w:t>1 134</w:t>
            </w:r>
          </w:p>
        </w:tc>
        <w:tc>
          <w:tcPr>
            <w:tcW w:w="852" w:type="dxa"/>
            <w:tcBorders>
              <w:top w:val="nil"/>
              <w:left w:val="nil"/>
              <w:bottom w:val="nil"/>
              <w:right w:val="single" w:sz="4" w:space="0" w:color="auto"/>
            </w:tcBorders>
            <w:shd w:val="clear" w:color="auto" w:fill="auto"/>
            <w:noWrap/>
          </w:tcPr>
          <w:p w14:paraId="2678E026" w14:textId="77777777" w:rsidR="006E3BD4" w:rsidRPr="00B061B2" w:rsidRDefault="006E3BD4" w:rsidP="00D82E2F">
            <w:pPr>
              <w:spacing w:after="0"/>
              <w:jc w:val="right"/>
              <w:rPr>
                <w:rFonts w:cs="Arial"/>
                <w:sz w:val="16"/>
                <w:szCs w:val="16"/>
              </w:rPr>
            </w:pPr>
            <w:r w:rsidRPr="00B061B2">
              <w:rPr>
                <w:sz w:val="16"/>
                <w:szCs w:val="16"/>
              </w:rPr>
              <w:t>1 108</w:t>
            </w:r>
          </w:p>
        </w:tc>
        <w:tc>
          <w:tcPr>
            <w:tcW w:w="852" w:type="dxa"/>
            <w:tcBorders>
              <w:top w:val="nil"/>
              <w:left w:val="nil"/>
              <w:bottom w:val="nil"/>
              <w:right w:val="single" w:sz="4" w:space="0" w:color="auto"/>
            </w:tcBorders>
            <w:shd w:val="clear" w:color="auto" w:fill="auto"/>
            <w:noWrap/>
          </w:tcPr>
          <w:p w14:paraId="063BE20F" w14:textId="77777777" w:rsidR="006E3BD4" w:rsidRPr="00B061B2" w:rsidRDefault="006E3BD4" w:rsidP="00D82E2F">
            <w:pPr>
              <w:spacing w:after="0"/>
              <w:jc w:val="right"/>
              <w:rPr>
                <w:rFonts w:cs="Arial"/>
                <w:sz w:val="16"/>
                <w:szCs w:val="16"/>
              </w:rPr>
            </w:pPr>
            <w:r w:rsidRPr="00B061B2">
              <w:rPr>
                <w:sz w:val="16"/>
                <w:szCs w:val="16"/>
              </w:rPr>
              <w:t>1 539</w:t>
            </w:r>
          </w:p>
        </w:tc>
        <w:tc>
          <w:tcPr>
            <w:tcW w:w="853" w:type="dxa"/>
            <w:tcBorders>
              <w:top w:val="nil"/>
              <w:left w:val="nil"/>
              <w:bottom w:val="nil"/>
              <w:right w:val="single" w:sz="4" w:space="0" w:color="auto"/>
            </w:tcBorders>
            <w:shd w:val="clear" w:color="auto" w:fill="auto"/>
            <w:noWrap/>
          </w:tcPr>
          <w:p w14:paraId="425BFB2B" w14:textId="77777777" w:rsidR="006E3BD4" w:rsidRPr="00B061B2" w:rsidRDefault="006E3BD4" w:rsidP="00D82E2F">
            <w:pPr>
              <w:spacing w:after="0"/>
              <w:jc w:val="right"/>
              <w:rPr>
                <w:rFonts w:cs="Arial"/>
                <w:color w:val="000000"/>
                <w:sz w:val="16"/>
                <w:szCs w:val="16"/>
              </w:rPr>
            </w:pPr>
            <w:r w:rsidRPr="00B061B2">
              <w:rPr>
                <w:sz w:val="16"/>
                <w:szCs w:val="16"/>
              </w:rPr>
              <w:t>1 812</w:t>
            </w:r>
          </w:p>
        </w:tc>
        <w:tc>
          <w:tcPr>
            <w:tcW w:w="900" w:type="dxa"/>
            <w:tcBorders>
              <w:top w:val="nil"/>
              <w:left w:val="nil"/>
              <w:bottom w:val="nil"/>
              <w:right w:val="nil"/>
            </w:tcBorders>
            <w:shd w:val="clear" w:color="auto" w:fill="auto"/>
            <w:noWrap/>
          </w:tcPr>
          <w:p w14:paraId="5DBF706B" w14:textId="3FBD9F71" w:rsidR="006E3BD4" w:rsidRPr="00B061B2" w:rsidRDefault="006E3BD4" w:rsidP="00D82E2F">
            <w:pPr>
              <w:spacing w:after="0"/>
              <w:jc w:val="right"/>
              <w:rPr>
                <w:rFonts w:cs="Arial"/>
                <w:i/>
                <w:iCs/>
                <w:color w:val="000000"/>
                <w:sz w:val="16"/>
                <w:szCs w:val="16"/>
              </w:rPr>
            </w:pPr>
            <w:r w:rsidRPr="00B061B2">
              <w:rPr>
                <w:sz w:val="16"/>
                <w:szCs w:val="16"/>
              </w:rPr>
              <w:t>117,7</w:t>
            </w:r>
            <w:r w:rsidR="009E5D78">
              <w:rPr>
                <w:sz w:val="16"/>
                <w:szCs w:val="16"/>
              </w:rPr>
              <w:t xml:space="preserve"> </w:t>
            </w:r>
            <w:r w:rsidRPr="00B061B2">
              <w:rPr>
                <w:sz w:val="16"/>
                <w:szCs w:val="16"/>
              </w:rPr>
              <w:t>%</w:t>
            </w:r>
          </w:p>
        </w:tc>
      </w:tr>
      <w:tr w:rsidR="006E3BD4" w:rsidRPr="00B061B2" w14:paraId="65003351" w14:textId="77777777" w:rsidTr="00D82E2F">
        <w:trPr>
          <w:gridAfter w:val="1"/>
          <w:wAfter w:w="66" w:type="dxa"/>
          <w:trHeight w:val="251"/>
        </w:trPr>
        <w:tc>
          <w:tcPr>
            <w:tcW w:w="3471" w:type="dxa"/>
            <w:tcBorders>
              <w:top w:val="nil"/>
              <w:left w:val="nil"/>
              <w:bottom w:val="nil"/>
              <w:right w:val="nil"/>
            </w:tcBorders>
            <w:shd w:val="clear" w:color="000000" w:fill="F2DCDB"/>
            <w:noWrap/>
            <w:vAlign w:val="bottom"/>
            <w:hideMark/>
          </w:tcPr>
          <w:p w14:paraId="41C3642C" w14:textId="77777777" w:rsidR="006E3BD4" w:rsidRPr="00B061B2" w:rsidRDefault="006E3BD4" w:rsidP="00D82E2F">
            <w:pPr>
              <w:spacing w:after="0" w:line="240" w:lineRule="auto"/>
              <w:rPr>
                <w:rFonts w:cs="Arial"/>
                <w:b/>
                <w:color w:val="000000"/>
                <w:sz w:val="16"/>
                <w:szCs w:val="16"/>
              </w:rPr>
            </w:pPr>
            <w:r w:rsidRPr="00B061B2">
              <w:rPr>
                <w:rFonts w:cs="Arial"/>
                <w:b/>
                <w:color w:val="000000"/>
                <w:sz w:val="16"/>
                <w:szCs w:val="16"/>
              </w:rPr>
              <w:t>Dlouhodobá lůžková péče</w:t>
            </w:r>
          </w:p>
        </w:tc>
        <w:tc>
          <w:tcPr>
            <w:tcW w:w="852" w:type="dxa"/>
            <w:tcBorders>
              <w:top w:val="nil"/>
              <w:left w:val="single" w:sz="4" w:space="0" w:color="auto"/>
              <w:bottom w:val="nil"/>
              <w:right w:val="single" w:sz="4" w:space="0" w:color="auto"/>
            </w:tcBorders>
            <w:shd w:val="clear" w:color="000000" w:fill="F2DCDB"/>
            <w:noWrap/>
          </w:tcPr>
          <w:p w14:paraId="7FE6D4BB" w14:textId="77777777" w:rsidR="006E3BD4" w:rsidRPr="00B061B2" w:rsidRDefault="006E3BD4" w:rsidP="00D82E2F">
            <w:pPr>
              <w:spacing w:after="0"/>
              <w:jc w:val="right"/>
              <w:rPr>
                <w:rFonts w:cs="Arial"/>
                <w:b/>
                <w:bCs/>
                <w:sz w:val="16"/>
                <w:szCs w:val="16"/>
              </w:rPr>
            </w:pPr>
            <w:r w:rsidRPr="00B061B2">
              <w:rPr>
                <w:sz w:val="16"/>
                <w:szCs w:val="16"/>
              </w:rPr>
              <w:t>39</w:t>
            </w:r>
          </w:p>
        </w:tc>
        <w:tc>
          <w:tcPr>
            <w:tcW w:w="852" w:type="dxa"/>
            <w:tcBorders>
              <w:top w:val="nil"/>
              <w:left w:val="single" w:sz="4" w:space="0" w:color="auto"/>
              <w:bottom w:val="nil"/>
              <w:right w:val="single" w:sz="4" w:space="0" w:color="auto"/>
            </w:tcBorders>
            <w:shd w:val="clear" w:color="000000" w:fill="F2DCDB"/>
            <w:noWrap/>
          </w:tcPr>
          <w:p w14:paraId="557C0796" w14:textId="77777777" w:rsidR="006E3BD4" w:rsidRPr="00B061B2" w:rsidRDefault="006E3BD4" w:rsidP="00D82E2F">
            <w:pPr>
              <w:spacing w:after="0"/>
              <w:jc w:val="right"/>
              <w:rPr>
                <w:rFonts w:cs="Arial"/>
                <w:b/>
                <w:bCs/>
                <w:sz w:val="16"/>
                <w:szCs w:val="16"/>
              </w:rPr>
            </w:pPr>
            <w:r w:rsidRPr="00B061B2">
              <w:rPr>
                <w:sz w:val="16"/>
                <w:szCs w:val="16"/>
              </w:rPr>
              <w:t>93</w:t>
            </w:r>
          </w:p>
        </w:tc>
        <w:tc>
          <w:tcPr>
            <w:tcW w:w="852" w:type="dxa"/>
            <w:tcBorders>
              <w:top w:val="nil"/>
              <w:left w:val="nil"/>
              <w:bottom w:val="nil"/>
              <w:right w:val="single" w:sz="4" w:space="0" w:color="auto"/>
            </w:tcBorders>
            <w:shd w:val="clear" w:color="000000" w:fill="F2DCDB"/>
            <w:noWrap/>
          </w:tcPr>
          <w:p w14:paraId="123BF6DD" w14:textId="77777777" w:rsidR="006E3BD4" w:rsidRPr="00B061B2" w:rsidRDefault="006E3BD4" w:rsidP="00D82E2F">
            <w:pPr>
              <w:spacing w:after="0"/>
              <w:jc w:val="right"/>
              <w:rPr>
                <w:rFonts w:cs="Arial"/>
                <w:b/>
                <w:bCs/>
                <w:sz w:val="16"/>
                <w:szCs w:val="16"/>
              </w:rPr>
            </w:pPr>
            <w:r w:rsidRPr="00B061B2">
              <w:rPr>
                <w:sz w:val="16"/>
                <w:szCs w:val="16"/>
              </w:rPr>
              <w:t>100</w:t>
            </w:r>
          </w:p>
        </w:tc>
        <w:tc>
          <w:tcPr>
            <w:tcW w:w="852" w:type="dxa"/>
            <w:tcBorders>
              <w:top w:val="nil"/>
              <w:left w:val="nil"/>
              <w:bottom w:val="nil"/>
              <w:right w:val="single" w:sz="4" w:space="0" w:color="auto"/>
            </w:tcBorders>
            <w:shd w:val="clear" w:color="000000" w:fill="F2DCDB"/>
            <w:noWrap/>
          </w:tcPr>
          <w:p w14:paraId="217A28F2" w14:textId="77777777" w:rsidR="006E3BD4" w:rsidRPr="00B061B2" w:rsidRDefault="006E3BD4" w:rsidP="00D82E2F">
            <w:pPr>
              <w:spacing w:after="0"/>
              <w:jc w:val="right"/>
              <w:rPr>
                <w:rFonts w:cs="Arial"/>
                <w:b/>
                <w:bCs/>
                <w:sz w:val="16"/>
                <w:szCs w:val="16"/>
              </w:rPr>
            </w:pPr>
            <w:r w:rsidRPr="00B061B2">
              <w:rPr>
                <w:sz w:val="16"/>
                <w:szCs w:val="16"/>
              </w:rPr>
              <w:t>124</w:t>
            </w:r>
          </w:p>
        </w:tc>
        <w:tc>
          <w:tcPr>
            <w:tcW w:w="852" w:type="dxa"/>
            <w:tcBorders>
              <w:top w:val="nil"/>
              <w:left w:val="nil"/>
              <w:bottom w:val="nil"/>
              <w:right w:val="single" w:sz="4" w:space="0" w:color="auto"/>
            </w:tcBorders>
            <w:shd w:val="clear" w:color="000000" w:fill="F2DCDB"/>
            <w:noWrap/>
          </w:tcPr>
          <w:p w14:paraId="66818947" w14:textId="77777777" w:rsidR="006E3BD4" w:rsidRPr="00B061B2" w:rsidRDefault="006E3BD4" w:rsidP="00D82E2F">
            <w:pPr>
              <w:spacing w:after="0"/>
              <w:jc w:val="right"/>
              <w:rPr>
                <w:rFonts w:cs="Arial"/>
                <w:b/>
                <w:bCs/>
                <w:sz w:val="16"/>
                <w:szCs w:val="16"/>
              </w:rPr>
            </w:pPr>
            <w:r w:rsidRPr="00B061B2">
              <w:rPr>
                <w:sz w:val="16"/>
                <w:szCs w:val="16"/>
              </w:rPr>
              <w:t>140</w:t>
            </w:r>
          </w:p>
        </w:tc>
        <w:tc>
          <w:tcPr>
            <w:tcW w:w="853" w:type="dxa"/>
            <w:tcBorders>
              <w:top w:val="nil"/>
              <w:left w:val="nil"/>
              <w:bottom w:val="nil"/>
              <w:right w:val="single" w:sz="4" w:space="0" w:color="auto"/>
            </w:tcBorders>
            <w:shd w:val="clear" w:color="000000" w:fill="F2DCDB"/>
            <w:noWrap/>
          </w:tcPr>
          <w:p w14:paraId="127C5FEF" w14:textId="77777777" w:rsidR="006E3BD4" w:rsidRPr="00B061B2" w:rsidRDefault="006E3BD4" w:rsidP="00D82E2F">
            <w:pPr>
              <w:spacing w:after="0"/>
              <w:jc w:val="right"/>
              <w:rPr>
                <w:rFonts w:cs="Arial"/>
                <w:b/>
                <w:bCs/>
                <w:color w:val="000000"/>
                <w:sz w:val="16"/>
                <w:szCs w:val="16"/>
              </w:rPr>
            </w:pPr>
            <w:r w:rsidRPr="00B061B2">
              <w:rPr>
                <w:sz w:val="16"/>
                <w:szCs w:val="16"/>
              </w:rPr>
              <w:t>149</w:t>
            </w:r>
          </w:p>
        </w:tc>
        <w:tc>
          <w:tcPr>
            <w:tcW w:w="900" w:type="dxa"/>
            <w:tcBorders>
              <w:top w:val="nil"/>
              <w:left w:val="nil"/>
              <w:bottom w:val="nil"/>
              <w:right w:val="nil"/>
            </w:tcBorders>
            <w:shd w:val="clear" w:color="000000" w:fill="F2DCDB"/>
            <w:noWrap/>
          </w:tcPr>
          <w:p w14:paraId="4878FFF5" w14:textId="3BFB10CE" w:rsidR="006E3BD4" w:rsidRPr="00B061B2" w:rsidRDefault="006E3BD4" w:rsidP="00D82E2F">
            <w:pPr>
              <w:spacing w:after="0"/>
              <w:jc w:val="right"/>
              <w:rPr>
                <w:rFonts w:cs="Arial"/>
                <w:b/>
                <w:bCs/>
                <w:i/>
                <w:iCs/>
                <w:color w:val="000000"/>
                <w:sz w:val="16"/>
                <w:szCs w:val="16"/>
              </w:rPr>
            </w:pPr>
            <w:r w:rsidRPr="00B061B2">
              <w:rPr>
                <w:sz w:val="16"/>
                <w:szCs w:val="16"/>
              </w:rPr>
              <w:t>106,5</w:t>
            </w:r>
            <w:r w:rsidR="009E5D78">
              <w:rPr>
                <w:sz w:val="16"/>
                <w:szCs w:val="16"/>
              </w:rPr>
              <w:t xml:space="preserve"> </w:t>
            </w:r>
            <w:r w:rsidRPr="00B061B2">
              <w:rPr>
                <w:sz w:val="16"/>
                <w:szCs w:val="16"/>
              </w:rPr>
              <w:t>%</w:t>
            </w:r>
          </w:p>
        </w:tc>
      </w:tr>
      <w:tr w:rsidR="006E3BD4" w:rsidRPr="00B061B2" w14:paraId="57454DD1" w14:textId="77777777" w:rsidTr="00D82E2F">
        <w:trPr>
          <w:gridAfter w:val="1"/>
          <w:wAfter w:w="66" w:type="dxa"/>
          <w:trHeight w:val="251"/>
        </w:trPr>
        <w:tc>
          <w:tcPr>
            <w:tcW w:w="3471" w:type="dxa"/>
            <w:tcBorders>
              <w:top w:val="nil"/>
              <w:left w:val="nil"/>
              <w:bottom w:val="nil"/>
              <w:right w:val="single" w:sz="4" w:space="0" w:color="auto"/>
            </w:tcBorders>
            <w:shd w:val="clear" w:color="000000" w:fill="F2DCDB"/>
            <w:noWrap/>
            <w:vAlign w:val="bottom"/>
            <w:hideMark/>
          </w:tcPr>
          <w:p w14:paraId="53BD980C" w14:textId="77777777" w:rsidR="006E3BD4" w:rsidRPr="00B061B2" w:rsidRDefault="006E3BD4" w:rsidP="00D82E2F">
            <w:pPr>
              <w:spacing w:after="0" w:line="240" w:lineRule="auto"/>
              <w:rPr>
                <w:rFonts w:cs="Arial"/>
                <w:b/>
                <w:bCs/>
                <w:sz w:val="16"/>
                <w:szCs w:val="16"/>
              </w:rPr>
            </w:pPr>
            <w:r w:rsidRPr="00B061B2">
              <w:rPr>
                <w:rFonts w:cs="Arial"/>
                <w:b/>
                <w:bCs/>
                <w:sz w:val="16"/>
                <w:szCs w:val="16"/>
              </w:rPr>
              <w:t xml:space="preserve">Léčiva a ostatní zdravotnické výrobky </w:t>
            </w:r>
          </w:p>
        </w:tc>
        <w:tc>
          <w:tcPr>
            <w:tcW w:w="852" w:type="dxa"/>
            <w:tcBorders>
              <w:top w:val="nil"/>
              <w:left w:val="nil"/>
              <w:bottom w:val="nil"/>
              <w:right w:val="single" w:sz="4" w:space="0" w:color="auto"/>
            </w:tcBorders>
            <w:shd w:val="clear" w:color="000000" w:fill="F2DCDB"/>
            <w:noWrap/>
          </w:tcPr>
          <w:p w14:paraId="2B7ED43C" w14:textId="77777777" w:rsidR="006E3BD4" w:rsidRPr="00B061B2" w:rsidRDefault="006E3BD4" w:rsidP="00D82E2F">
            <w:pPr>
              <w:spacing w:after="0"/>
              <w:jc w:val="right"/>
              <w:rPr>
                <w:rFonts w:cs="Arial"/>
                <w:b/>
                <w:bCs/>
                <w:sz w:val="16"/>
                <w:szCs w:val="16"/>
              </w:rPr>
            </w:pPr>
            <w:r w:rsidRPr="00B061B2">
              <w:rPr>
                <w:sz w:val="16"/>
                <w:szCs w:val="16"/>
              </w:rPr>
              <w:t>27 115</w:t>
            </w:r>
          </w:p>
        </w:tc>
        <w:tc>
          <w:tcPr>
            <w:tcW w:w="852" w:type="dxa"/>
            <w:tcBorders>
              <w:top w:val="nil"/>
              <w:left w:val="nil"/>
              <w:bottom w:val="nil"/>
              <w:right w:val="single" w:sz="4" w:space="0" w:color="auto"/>
            </w:tcBorders>
            <w:shd w:val="clear" w:color="000000" w:fill="F2DCDB"/>
            <w:noWrap/>
          </w:tcPr>
          <w:p w14:paraId="3BA0CD66" w14:textId="77777777" w:rsidR="006E3BD4" w:rsidRPr="00B061B2" w:rsidRDefault="006E3BD4" w:rsidP="00D82E2F">
            <w:pPr>
              <w:spacing w:after="0"/>
              <w:jc w:val="right"/>
              <w:rPr>
                <w:rFonts w:cs="Arial"/>
                <w:b/>
                <w:bCs/>
                <w:sz w:val="16"/>
                <w:szCs w:val="16"/>
              </w:rPr>
            </w:pPr>
            <w:r w:rsidRPr="00B061B2">
              <w:rPr>
                <w:sz w:val="16"/>
                <w:szCs w:val="16"/>
              </w:rPr>
              <w:t>29 359</w:t>
            </w:r>
          </w:p>
        </w:tc>
        <w:tc>
          <w:tcPr>
            <w:tcW w:w="852" w:type="dxa"/>
            <w:tcBorders>
              <w:top w:val="nil"/>
              <w:left w:val="nil"/>
              <w:bottom w:val="nil"/>
              <w:right w:val="single" w:sz="4" w:space="0" w:color="auto"/>
            </w:tcBorders>
            <w:shd w:val="clear" w:color="000000" w:fill="F2DCDB"/>
            <w:noWrap/>
          </w:tcPr>
          <w:p w14:paraId="22F4A676" w14:textId="77777777" w:rsidR="006E3BD4" w:rsidRPr="00B061B2" w:rsidRDefault="006E3BD4" w:rsidP="00D82E2F">
            <w:pPr>
              <w:spacing w:after="0"/>
              <w:jc w:val="right"/>
              <w:rPr>
                <w:rFonts w:cs="Arial"/>
                <w:b/>
                <w:bCs/>
                <w:sz w:val="16"/>
                <w:szCs w:val="16"/>
              </w:rPr>
            </w:pPr>
            <w:r w:rsidRPr="00B061B2">
              <w:rPr>
                <w:sz w:val="16"/>
                <w:szCs w:val="16"/>
              </w:rPr>
              <w:t>30 635</w:t>
            </w:r>
          </w:p>
        </w:tc>
        <w:tc>
          <w:tcPr>
            <w:tcW w:w="852" w:type="dxa"/>
            <w:tcBorders>
              <w:top w:val="nil"/>
              <w:left w:val="nil"/>
              <w:bottom w:val="nil"/>
              <w:right w:val="single" w:sz="4" w:space="0" w:color="auto"/>
            </w:tcBorders>
            <w:shd w:val="clear" w:color="000000" w:fill="F2DCDB"/>
            <w:noWrap/>
          </w:tcPr>
          <w:p w14:paraId="1EA2BFA1" w14:textId="77777777" w:rsidR="006E3BD4" w:rsidRPr="00B061B2" w:rsidRDefault="006E3BD4" w:rsidP="00D82E2F">
            <w:pPr>
              <w:spacing w:after="0"/>
              <w:jc w:val="right"/>
              <w:rPr>
                <w:rFonts w:cs="Arial"/>
                <w:b/>
                <w:bCs/>
                <w:sz w:val="16"/>
                <w:szCs w:val="16"/>
              </w:rPr>
            </w:pPr>
            <w:r w:rsidRPr="00B061B2">
              <w:rPr>
                <w:sz w:val="16"/>
                <w:szCs w:val="16"/>
              </w:rPr>
              <w:t>31 544</w:t>
            </w:r>
          </w:p>
        </w:tc>
        <w:tc>
          <w:tcPr>
            <w:tcW w:w="852" w:type="dxa"/>
            <w:tcBorders>
              <w:top w:val="nil"/>
              <w:left w:val="nil"/>
              <w:bottom w:val="nil"/>
              <w:right w:val="single" w:sz="4" w:space="0" w:color="auto"/>
            </w:tcBorders>
            <w:shd w:val="clear" w:color="000000" w:fill="F2DCDB"/>
            <w:noWrap/>
          </w:tcPr>
          <w:p w14:paraId="649E5742" w14:textId="77777777" w:rsidR="006E3BD4" w:rsidRPr="00B061B2" w:rsidRDefault="006E3BD4" w:rsidP="00D82E2F">
            <w:pPr>
              <w:spacing w:after="0"/>
              <w:jc w:val="right"/>
              <w:rPr>
                <w:rFonts w:cs="Arial"/>
                <w:b/>
                <w:bCs/>
                <w:sz w:val="16"/>
                <w:szCs w:val="16"/>
              </w:rPr>
            </w:pPr>
            <w:r w:rsidRPr="00B061B2">
              <w:rPr>
                <w:sz w:val="16"/>
                <w:szCs w:val="16"/>
              </w:rPr>
              <w:t>31 834</w:t>
            </w:r>
          </w:p>
        </w:tc>
        <w:tc>
          <w:tcPr>
            <w:tcW w:w="853" w:type="dxa"/>
            <w:tcBorders>
              <w:top w:val="nil"/>
              <w:left w:val="nil"/>
              <w:bottom w:val="nil"/>
              <w:right w:val="single" w:sz="4" w:space="0" w:color="auto"/>
            </w:tcBorders>
            <w:shd w:val="clear" w:color="000000" w:fill="F2DCDB"/>
            <w:noWrap/>
          </w:tcPr>
          <w:p w14:paraId="29865BAA" w14:textId="77777777" w:rsidR="006E3BD4" w:rsidRPr="00B061B2" w:rsidRDefault="006E3BD4" w:rsidP="00D82E2F">
            <w:pPr>
              <w:spacing w:after="0"/>
              <w:jc w:val="right"/>
              <w:rPr>
                <w:rFonts w:cs="Arial"/>
                <w:b/>
                <w:bCs/>
                <w:color w:val="000000"/>
                <w:sz w:val="16"/>
                <w:szCs w:val="16"/>
              </w:rPr>
            </w:pPr>
            <w:r w:rsidRPr="00B061B2">
              <w:rPr>
                <w:sz w:val="16"/>
                <w:szCs w:val="16"/>
              </w:rPr>
              <w:t>36 512</w:t>
            </w:r>
          </w:p>
        </w:tc>
        <w:tc>
          <w:tcPr>
            <w:tcW w:w="900" w:type="dxa"/>
            <w:tcBorders>
              <w:top w:val="nil"/>
              <w:left w:val="nil"/>
              <w:bottom w:val="nil"/>
              <w:right w:val="nil"/>
            </w:tcBorders>
            <w:shd w:val="clear" w:color="000000" w:fill="F2DCDB"/>
            <w:noWrap/>
          </w:tcPr>
          <w:p w14:paraId="227756AF" w14:textId="3B5BB838" w:rsidR="006E3BD4" w:rsidRPr="00B061B2" w:rsidRDefault="006E3BD4" w:rsidP="00D82E2F">
            <w:pPr>
              <w:spacing w:after="0"/>
              <w:jc w:val="right"/>
              <w:rPr>
                <w:rFonts w:cs="Arial"/>
                <w:b/>
                <w:bCs/>
                <w:i/>
                <w:iCs/>
                <w:color w:val="000000"/>
                <w:sz w:val="16"/>
                <w:szCs w:val="16"/>
              </w:rPr>
            </w:pPr>
            <w:r w:rsidRPr="00B061B2">
              <w:rPr>
                <w:sz w:val="16"/>
                <w:szCs w:val="16"/>
              </w:rPr>
              <w:t>114,7</w:t>
            </w:r>
            <w:r w:rsidR="009E5D78">
              <w:rPr>
                <w:sz w:val="16"/>
                <w:szCs w:val="16"/>
              </w:rPr>
              <w:t xml:space="preserve"> </w:t>
            </w:r>
            <w:r w:rsidRPr="00B061B2">
              <w:rPr>
                <w:sz w:val="16"/>
                <w:szCs w:val="16"/>
              </w:rPr>
              <w:t>%</w:t>
            </w:r>
          </w:p>
        </w:tc>
      </w:tr>
      <w:tr w:rsidR="006E3BD4" w:rsidRPr="00B061B2" w14:paraId="6325AE9D" w14:textId="77777777" w:rsidTr="00D82E2F">
        <w:trPr>
          <w:gridAfter w:val="1"/>
          <w:wAfter w:w="66" w:type="dxa"/>
          <w:trHeight w:val="251"/>
        </w:trPr>
        <w:tc>
          <w:tcPr>
            <w:tcW w:w="3471" w:type="dxa"/>
            <w:tcBorders>
              <w:top w:val="nil"/>
              <w:left w:val="nil"/>
              <w:bottom w:val="nil"/>
              <w:right w:val="single" w:sz="4" w:space="0" w:color="auto"/>
            </w:tcBorders>
            <w:shd w:val="clear" w:color="auto" w:fill="auto"/>
            <w:noWrap/>
            <w:vAlign w:val="bottom"/>
            <w:hideMark/>
          </w:tcPr>
          <w:p w14:paraId="18C72764" w14:textId="77777777" w:rsidR="006E3BD4" w:rsidRPr="00B061B2" w:rsidRDefault="006E3BD4" w:rsidP="00D82E2F">
            <w:pPr>
              <w:spacing w:after="0" w:line="240" w:lineRule="auto"/>
              <w:rPr>
                <w:rFonts w:cs="Arial"/>
                <w:sz w:val="16"/>
                <w:szCs w:val="16"/>
              </w:rPr>
            </w:pPr>
            <w:r w:rsidRPr="00B061B2">
              <w:rPr>
                <w:rFonts w:cs="Arial"/>
                <w:sz w:val="16"/>
                <w:szCs w:val="16"/>
              </w:rPr>
              <w:t xml:space="preserve">  Léčiva a zdravotnický materiál</w:t>
            </w:r>
          </w:p>
        </w:tc>
        <w:tc>
          <w:tcPr>
            <w:tcW w:w="852" w:type="dxa"/>
            <w:tcBorders>
              <w:top w:val="nil"/>
              <w:left w:val="nil"/>
              <w:bottom w:val="nil"/>
              <w:right w:val="single" w:sz="4" w:space="0" w:color="auto"/>
            </w:tcBorders>
            <w:shd w:val="clear" w:color="auto" w:fill="auto"/>
            <w:noWrap/>
          </w:tcPr>
          <w:p w14:paraId="2B3EE05A" w14:textId="77777777" w:rsidR="006E3BD4" w:rsidRPr="00B061B2" w:rsidRDefault="006E3BD4" w:rsidP="00D82E2F">
            <w:pPr>
              <w:spacing w:after="0"/>
              <w:jc w:val="right"/>
              <w:rPr>
                <w:rFonts w:cs="Arial"/>
                <w:sz w:val="16"/>
                <w:szCs w:val="16"/>
              </w:rPr>
            </w:pPr>
            <w:r w:rsidRPr="00B061B2">
              <w:rPr>
                <w:sz w:val="16"/>
                <w:szCs w:val="16"/>
              </w:rPr>
              <w:t>21 380</w:t>
            </w:r>
          </w:p>
        </w:tc>
        <w:tc>
          <w:tcPr>
            <w:tcW w:w="852" w:type="dxa"/>
            <w:tcBorders>
              <w:top w:val="nil"/>
              <w:left w:val="nil"/>
              <w:bottom w:val="nil"/>
              <w:right w:val="single" w:sz="4" w:space="0" w:color="auto"/>
            </w:tcBorders>
            <w:shd w:val="clear" w:color="auto" w:fill="auto"/>
            <w:noWrap/>
          </w:tcPr>
          <w:p w14:paraId="263198F1" w14:textId="77777777" w:rsidR="006E3BD4" w:rsidRPr="00B061B2" w:rsidRDefault="006E3BD4" w:rsidP="00D82E2F">
            <w:pPr>
              <w:spacing w:after="0"/>
              <w:jc w:val="right"/>
              <w:rPr>
                <w:rFonts w:cs="Arial"/>
                <w:sz w:val="16"/>
                <w:szCs w:val="16"/>
              </w:rPr>
            </w:pPr>
            <w:r w:rsidRPr="00B061B2">
              <w:rPr>
                <w:sz w:val="16"/>
                <w:szCs w:val="16"/>
              </w:rPr>
              <w:t>23 467</w:t>
            </w:r>
          </w:p>
        </w:tc>
        <w:tc>
          <w:tcPr>
            <w:tcW w:w="852" w:type="dxa"/>
            <w:tcBorders>
              <w:top w:val="nil"/>
              <w:left w:val="nil"/>
              <w:bottom w:val="nil"/>
              <w:right w:val="single" w:sz="4" w:space="0" w:color="auto"/>
            </w:tcBorders>
            <w:shd w:val="clear" w:color="auto" w:fill="auto"/>
            <w:noWrap/>
          </w:tcPr>
          <w:p w14:paraId="57C50A86" w14:textId="77777777" w:rsidR="006E3BD4" w:rsidRPr="00B061B2" w:rsidRDefault="006E3BD4" w:rsidP="00D82E2F">
            <w:pPr>
              <w:spacing w:after="0"/>
              <w:jc w:val="right"/>
              <w:rPr>
                <w:rFonts w:cs="Arial"/>
                <w:sz w:val="16"/>
                <w:szCs w:val="16"/>
              </w:rPr>
            </w:pPr>
            <w:r w:rsidRPr="00B061B2">
              <w:rPr>
                <w:sz w:val="16"/>
                <w:szCs w:val="16"/>
              </w:rPr>
              <w:t>24 760</w:t>
            </w:r>
          </w:p>
        </w:tc>
        <w:tc>
          <w:tcPr>
            <w:tcW w:w="852" w:type="dxa"/>
            <w:tcBorders>
              <w:top w:val="nil"/>
              <w:left w:val="nil"/>
              <w:bottom w:val="nil"/>
              <w:right w:val="single" w:sz="4" w:space="0" w:color="auto"/>
            </w:tcBorders>
            <w:shd w:val="clear" w:color="auto" w:fill="auto"/>
            <w:noWrap/>
          </w:tcPr>
          <w:p w14:paraId="3D31A0A1" w14:textId="77777777" w:rsidR="006E3BD4" w:rsidRPr="00B061B2" w:rsidRDefault="006E3BD4" w:rsidP="00D82E2F">
            <w:pPr>
              <w:spacing w:after="0"/>
              <w:jc w:val="right"/>
              <w:rPr>
                <w:rFonts w:cs="Arial"/>
                <w:sz w:val="16"/>
                <w:szCs w:val="16"/>
              </w:rPr>
            </w:pPr>
            <w:r w:rsidRPr="00B061B2">
              <w:rPr>
                <w:sz w:val="16"/>
                <w:szCs w:val="16"/>
              </w:rPr>
              <w:t>26 012</w:t>
            </w:r>
          </w:p>
        </w:tc>
        <w:tc>
          <w:tcPr>
            <w:tcW w:w="852" w:type="dxa"/>
            <w:tcBorders>
              <w:top w:val="nil"/>
              <w:left w:val="nil"/>
              <w:bottom w:val="nil"/>
              <w:right w:val="single" w:sz="4" w:space="0" w:color="auto"/>
            </w:tcBorders>
            <w:shd w:val="clear" w:color="auto" w:fill="auto"/>
            <w:noWrap/>
          </w:tcPr>
          <w:p w14:paraId="33EC142F" w14:textId="77777777" w:rsidR="006E3BD4" w:rsidRPr="00B061B2" w:rsidRDefault="006E3BD4" w:rsidP="00D82E2F">
            <w:pPr>
              <w:spacing w:after="0"/>
              <w:jc w:val="right"/>
              <w:rPr>
                <w:rFonts w:cs="Arial"/>
                <w:sz w:val="16"/>
                <w:szCs w:val="16"/>
              </w:rPr>
            </w:pPr>
            <w:r w:rsidRPr="00B061B2">
              <w:rPr>
                <w:sz w:val="16"/>
                <w:szCs w:val="16"/>
              </w:rPr>
              <w:t>26 101</w:t>
            </w:r>
          </w:p>
        </w:tc>
        <w:tc>
          <w:tcPr>
            <w:tcW w:w="853" w:type="dxa"/>
            <w:tcBorders>
              <w:top w:val="nil"/>
              <w:left w:val="nil"/>
              <w:bottom w:val="nil"/>
              <w:right w:val="single" w:sz="4" w:space="0" w:color="auto"/>
            </w:tcBorders>
            <w:shd w:val="clear" w:color="auto" w:fill="auto"/>
            <w:noWrap/>
          </w:tcPr>
          <w:p w14:paraId="02CF24CC" w14:textId="77777777" w:rsidR="006E3BD4" w:rsidRPr="00B061B2" w:rsidRDefault="006E3BD4" w:rsidP="00D82E2F">
            <w:pPr>
              <w:spacing w:after="0"/>
              <w:jc w:val="right"/>
              <w:rPr>
                <w:rFonts w:cs="Arial"/>
                <w:color w:val="000000"/>
                <w:sz w:val="16"/>
                <w:szCs w:val="16"/>
              </w:rPr>
            </w:pPr>
            <w:r w:rsidRPr="00B061B2">
              <w:rPr>
                <w:sz w:val="16"/>
                <w:szCs w:val="16"/>
              </w:rPr>
              <w:t>30 191</w:t>
            </w:r>
          </w:p>
        </w:tc>
        <w:tc>
          <w:tcPr>
            <w:tcW w:w="900" w:type="dxa"/>
            <w:tcBorders>
              <w:top w:val="nil"/>
              <w:left w:val="nil"/>
              <w:bottom w:val="nil"/>
              <w:right w:val="nil"/>
            </w:tcBorders>
            <w:shd w:val="clear" w:color="auto" w:fill="auto"/>
            <w:noWrap/>
          </w:tcPr>
          <w:p w14:paraId="5FC351CA" w14:textId="506DB9AD" w:rsidR="006E3BD4" w:rsidRPr="00B061B2" w:rsidRDefault="006E3BD4" w:rsidP="00D82E2F">
            <w:pPr>
              <w:spacing w:after="0"/>
              <w:jc w:val="right"/>
              <w:rPr>
                <w:rFonts w:cs="Arial"/>
                <w:i/>
                <w:iCs/>
                <w:color w:val="000000"/>
                <w:sz w:val="16"/>
                <w:szCs w:val="16"/>
              </w:rPr>
            </w:pPr>
            <w:r w:rsidRPr="00B061B2">
              <w:rPr>
                <w:sz w:val="16"/>
                <w:szCs w:val="16"/>
              </w:rPr>
              <w:t>115,7</w:t>
            </w:r>
            <w:r w:rsidR="009E5D78">
              <w:rPr>
                <w:sz w:val="16"/>
                <w:szCs w:val="16"/>
              </w:rPr>
              <w:t xml:space="preserve"> </w:t>
            </w:r>
            <w:r w:rsidRPr="00B061B2">
              <w:rPr>
                <w:sz w:val="16"/>
                <w:szCs w:val="16"/>
              </w:rPr>
              <w:t>%</w:t>
            </w:r>
          </w:p>
        </w:tc>
      </w:tr>
      <w:tr w:rsidR="006E3BD4" w:rsidRPr="00B061B2" w14:paraId="3F38551C" w14:textId="77777777" w:rsidTr="00D82E2F">
        <w:trPr>
          <w:gridAfter w:val="1"/>
          <w:wAfter w:w="66" w:type="dxa"/>
          <w:trHeight w:val="251"/>
        </w:trPr>
        <w:tc>
          <w:tcPr>
            <w:tcW w:w="3471" w:type="dxa"/>
            <w:tcBorders>
              <w:top w:val="nil"/>
              <w:left w:val="nil"/>
              <w:bottom w:val="nil"/>
              <w:right w:val="single" w:sz="4" w:space="0" w:color="auto"/>
            </w:tcBorders>
            <w:shd w:val="clear" w:color="auto" w:fill="auto"/>
            <w:noWrap/>
            <w:vAlign w:val="bottom"/>
            <w:hideMark/>
          </w:tcPr>
          <w:p w14:paraId="37A8B406" w14:textId="77777777" w:rsidR="006E3BD4" w:rsidRPr="00B061B2" w:rsidRDefault="006E3BD4" w:rsidP="00D82E2F">
            <w:pPr>
              <w:spacing w:after="0" w:line="240" w:lineRule="auto"/>
              <w:rPr>
                <w:rFonts w:cs="Arial"/>
                <w:sz w:val="16"/>
                <w:szCs w:val="16"/>
              </w:rPr>
            </w:pPr>
            <w:r w:rsidRPr="00B061B2">
              <w:rPr>
                <w:rFonts w:cs="Arial"/>
                <w:sz w:val="16"/>
                <w:szCs w:val="16"/>
              </w:rPr>
              <w:t xml:space="preserve">     Léky na předpis</w:t>
            </w:r>
          </w:p>
        </w:tc>
        <w:tc>
          <w:tcPr>
            <w:tcW w:w="852" w:type="dxa"/>
            <w:tcBorders>
              <w:top w:val="nil"/>
              <w:left w:val="nil"/>
              <w:bottom w:val="nil"/>
              <w:right w:val="single" w:sz="4" w:space="0" w:color="auto"/>
            </w:tcBorders>
            <w:shd w:val="clear" w:color="auto" w:fill="auto"/>
            <w:noWrap/>
          </w:tcPr>
          <w:p w14:paraId="5E0F0EBD" w14:textId="77777777" w:rsidR="006E3BD4" w:rsidRPr="00B061B2" w:rsidRDefault="006E3BD4" w:rsidP="00D82E2F">
            <w:pPr>
              <w:spacing w:after="0"/>
              <w:jc w:val="right"/>
              <w:rPr>
                <w:rFonts w:cs="Arial"/>
                <w:sz w:val="16"/>
                <w:szCs w:val="16"/>
              </w:rPr>
            </w:pPr>
            <w:r w:rsidRPr="00B061B2">
              <w:rPr>
                <w:sz w:val="16"/>
                <w:szCs w:val="16"/>
              </w:rPr>
              <w:t>8 932</w:t>
            </w:r>
          </w:p>
        </w:tc>
        <w:tc>
          <w:tcPr>
            <w:tcW w:w="852" w:type="dxa"/>
            <w:tcBorders>
              <w:top w:val="nil"/>
              <w:left w:val="nil"/>
              <w:bottom w:val="nil"/>
              <w:right w:val="single" w:sz="4" w:space="0" w:color="auto"/>
            </w:tcBorders>
            <w:shd w:val="clear" w:color="auto" w:fill="auto"/>
            <w:noWrap/>
          </w:tcPr>
          <w:p w14:paraId="02B54A39" w14:textId="77777777" w:rsidR="006E3BD4" w:rsidRPr="00B061B2" w:rsidRDefault="006E3BD4" w:rsidP="00D82E2F">
            <w:pPr>
              <w:spacing w:after="0"/>
              <w:jc w:val="right"/>
              <w:rPr>
                <w:rFonts w:cs="Arial"/>
                <w:sz w:val="16"/>
                <w:szCs w:val="16"/>
              </w:rPr>
            </w:pPr>
            <w:r w:rsidRPr="00B061B2">
              <w:rPr>
                <w:sz w:val="16"/>
                <w:szCs w:val="16"/>
              </w:rPr>
              <w:t>10 089</w:t>
            </w:r>
          </w:p>
        </w:tc>
        <w:tc>
          <w:tcPr>
            <w:tcW w:w="852" w:type="dxa"/>
            <w:tcBorders>
              <w:top w:val="nil"/>
              <w:left w:val="nil"/>
              <w:bottom w:val="nil"/>
              <w:right w:val="single" w:sz="4" w:space="0" w:color="auto"/>
            </w:tcBorders>
            <w:shd w:val="clear" w:color="auto" w:fill="auto"/>
            <w:noWrap/>
          </w:tcPr>
          <w:p w14:paraId="7FED0CD9" w14:textId="77777777" w:rsidR="006E3BD4" w:rsidRPr="00B061B2" w:rsidRDefault="006E3BD4" w:rsidP="00D82E2F">
            <w:pPr>
              <w:spacing w:after="0"/>
              <w:jc w:val="right"/>
              <w:rPr>
                <w:rFonts w:cs="Arial"/>
                <w:sz w:val="16"/>
                <w:szCs w:val="16"/>
              </w:rPr>
            </w:pPr>
            <w:r w:rsidRPr="00B061B2">
              <w:rPr>
                <w:sz w:val="16"/>
                <w:szCs w:val="16"/>
              </w:rPr>
              <w:t>10 354</w:t>
            </w:r>
          </w:p>
        </w:tc>
        <w:tc>
          <w:tcPr>
            <w:tcW w:w="852" w:type="dxa"/>
            <w:tcBorders>
              <w:top w:val="nil"/>
              <w:left w:val="nil"/>
              <w:bottom w:val="nil"/>
              <w:right w:val="single" w:sz="4" w:space="0" w:color="auto"/>
            </w:tcBorders>
            <w:shd w:val="clear" w:color="auto" w:fill="auto"/>
            <w:noWrap/>
          </w:tcPr>
          <w:p w14:paraId="4412DE1D" w14:textId="77777777" w:rsidR="006E3BD4" w:rsidRPr="00B061B2" w:rsidRDefault="006E3BD4" w:rsidP="00D82E2F">
            <w:pPr>
              <w:spacing w:after="0"/>
              <w:jc w:val="right"/>
              <w:rPr>
                <w:rFonts w:cs="Arial"/>
                <w:sz w:val="16"/>
                <w:szCs w:val="16"/>
              </w:rPr>
            </w:pPr>
            <w:r w:rsidRPr="00B061B2">
              <w:rPr>
                <w:sz w:val="16"/>
                <w:szCs w:val="16"/>
              </w:rPr>
              <w:t>11 177</w:t>
            </w:r>
          </w:p>
        </w:tc>
        <w:tc>
          <w:tcPr>
            <w:tcW w:w="852" w:type="dxa"/>
            <w:tcBorders>
              <w:top w:val="nil"/>
              <w:left w:val="nil"/>
              <w:bottom w:val="nil"/>
              <w:right w:val="single" w:sz="4" w:space="0" w:color="auto"/>
            </w:tcBorders>
            <w:shd w:val="clear" w:color="auto" w:fill="auto"/>
            <w:noWrap/>
          </w:tcPr>
          <w:p w14:paraId="22DFE411" w14:textId="77777777" w:rsidR="006E3BD4" w:rsidRPr="00B061B2" w:rsidRDefault="006E3BD4" w:rsidP="00D82E2F">
            <w:pPr>
              <w:spacing w:after="0"/>
              <w:jc w:val="right"/>
              <w:rPr>
                <w:rFonts w:cs="Arial"/>
                <w:sz w:val="16"/>
                <w:szCs w:val="16"/>
              </w:rPr>
            </w:pPr>
            <w:r w:rsidRPr="00B061B2">
              <w:rPr>
                <w:sz w:val="16"/>
                <w:szCs w:val="16"/>
              </w:rPr>
              <w:t>11 095</w:t>
            </w:r>
          </w:p>
        </w:tc>
        <w:tc>
          <w:tcPr>
            <w:tcW w:w="853" w:type="dxa"/>
            <w:tcBorders>
              <w:top w:val="nil"/>
              <w:left w:val="nil"/>
              <w:bottom w:val="nil"/>
              <w:right w:val="single" w:sz="4" w:space="0" w:color="auto"/>
            </w:tcBorders>
            <w:shd w:val="clear" w:color="auto" w:fill="auto"/>
            <w:noWrap/>
          </w:tcPr>
          <w:p w14:paraId="023D1860" w14:textId="77777777" w:rsidR="006E3BD4" w:rsidRPr="00B061B2" w:rsidRDefault="006E3BD4" w:rsidP="00D82E2F">
            <w:pPr>
              <w:spacing w:after="0"/>
              <w:jc w:val="right"/>
              <w:rPr>
                <w:rFonts w:cs="Arial"/>
                <w:color w:val="000000"/>
                <w:sz w:val="16"/>
                <w:szCs w:val="16"/>
              </w:rPr>
            </w:pPr>
            <w:r w:rsidRPr="00B061B2">
              <w:rPr>
                <w:sz w:val="16"/>
                <w:szCs w:val="16"/>
              </w:rPr>
              <w:t>12 876</w:t>
            </w:r>
          </w:p>
        </w:tc>
        <w:tc>
          <w:tcPr>
            <w:tcW w:w="900" w:type="dxa"/>
            <w:tcBorders>
              <w:top w:val="nil"/>
              <w:left w:val="nil"/>
              <w:bottom w:val="nil"/>
              <w:right w:val="nil"/>
            </w:tcBorders>
            <w:shd w:val="clear" w:color="auto" w:fill="auto"/>
            <w:noWrap/>
          </w:tcPr>
          <w:p w14:paraId="7CDCD730" w14:textId="05AF2F3D" w:rsidR="006E3BD4" w:rsidRPr="00B061B2" w:rsidRDefault="006E3BD4" w:rsidP="00D82E2F">
            <w:pPr>
              <w:spacing w:after="0"/>
              <w:jc w:val="right"/>
              <w:rPr>
                <w:rFonts w:cs="Arial"/>
                <w:i/>
                <w:iCs/>
                <w:color w:val="000000"/>
                <w:sz w:val="16"/>
                <w:szCs w:val="16"/>
              </w:rPr>
            </w:pPr>
            <w:r w:rsidRPr="00B061B2">
              <w:rPr>
                <w:sz w:val="16"/>
                <w:szCs w:val="16"/>
              </w:rPr>
              <w:t>116,1</w:t>
            </w:r>
            <w:r w:rsidR="009E5D78">
              <w:rPr>
                <w:sz w:val="16"/>
                <w:szCs w:val="16"/>
              </w:rPr>
              <w:t xml:space="preserve"> </w:t>
            </w:r>
            <w:r w:rsidRPr="00B061B2">
              <w:rPr>
                <w:sz w:val="16"/>
                <w:szCs w:val="16"/>
              </w:rPr>
              <w:t>%</w:t>
            </w:r>
          </w:p>
        </w:tc>
      </w:tr>
      <w:tr w:rsidR="006E3BD4" w:rsidRPr="00B061B2" w14:paraId="5E1C5C84" w14:textId="77777777" w:rsidTr="00D82E2F">
        <w:trPr>
          <w:gridAfter w:val="1"/>
          <w:wAfter w:w="66" w:type="dxa"/>
          <w:trHeight w:val="251"/>
        </w:trPr>
        <w:tc>
          <w:tcPr>
            <w:tcW w:w="3471" w:type="dxa"/>
            <w:tcBorders>
              <w:top w:val="nil"/>
              <w:left w:val="nil"/>
              <w:bottom w:val="nil"/>
              <w:right w:val="single" w:sz="4" w:space="0" w:color="auto"/>
            </w:tcBorders>
            <w:shd w:val="clear" w:color="auto" w:fill="auto"/>
            <w:noWrap/>
            <w:vAlign w:val="bottom"/>
            <w:hideMark/>
          </w:tcPr>
          <w:p w14:paraId="6F25E9B6" w14:textId="77777777" w:rsidR="006E3BD4" w:rsidRPr="00B061B2" w:rsidRDefault="006E3BD4" w:rsidP="00D82E2F">
            <w:pPr>
              <w:spacing w:after="0" w:line="240" w:lineRule="auto"/>
              <w:rPr>
                <w:rFonts w:cs="Arial"/>
                <w:sz w:val="16"/>
                <w:szCs w:val="16"/>
              </w:rPr>
            </w:pPr>
            <w:r w:rsidRPr="00B061B2">
              <w:rPr>
                <w:rFonts w:cs="Arial"/>
                <w:sz w:val="16"/>
                <w:szCs w:val="16"/>
              </w:rPr>
              <w:t xml:space="preserve">     Volně prodejné léky a léčiva</w:t>
            </w:r>
          </w:p>
        </w:tc>
        <w:tc>
          <w:tcPr>
            <w:tcW w:w="852" w:type="dxa"/>
            <w:tcBorders>
              <w:top w:val="nil"/>
              <w:left w:val="nil"/>
              <w:bottom w:val="nil"/>
              <w:right w:val="single" w:sz="4" w:space="0" w:color="auto"/>
            </w:tcBorders>
            <w:shd w:val="clear" w:color="auto" w:fill="auto"/>
            <w:noWrap/>
          </w:tcPr>
          <w:p w14:paraId="1C83E374" w14:textId="77777777" w:rsidR="006E3BD4" w:rsidRPr="00B061B2" w:rsidRDefault="006E3BD4" w:rsidP="00D82E2F">
            <w:pPr>
              <w:spacing w:after="0"/>
              <w:jc w:val="right"/>
              <w:rPr>
                <w:rFonts w:cs="Arial"/>
                <w:sz w:val="16"/>
                <w:szCs w:val="16"/>
              </w:rPr>
            </w:pPr>
            <w:r w:rsidRPr="00B061B2">
              <w:rPr>
                <w:sz w:val="16"/>
                <w:szCs w:val="16"/>
              </w:rPr>
              <w:t>11 843</w:t>
            </w:r>
          </w:p>
        </w:tc>
        <w:tc>
          <w:tcPr>
            <w:tcW w:w="852" w:type="dxa"/>
            <w:tcBorders>
              <w:top w:val="nil"/>
              <w:left w:val="nil"/>
              <w:bottom w:val="nil"/>
              <w:right w:val="single" w:sz="4" w:space="0" w:color="auto"/>
            </w:tcBorders>
            <w:shd w:val="clear" w:color="auto" w:fill="auto"/>
            <w:noWrap/>
          </w:tcPr>
          <w:p w14:paraId="0AB9A832" w14:textId="77777777" w:rsidR="006E3BD4" w:rsidRPr="00B061B2" w:rsidRDefault="006E3BD4" w:rsidP="00D82E2F">
            <w:pPr>
              <w:spacing w:after="0"/>
              <w:jc w:val="right"/>
              <w:rPr>
                <w:rFonts w:cs="Arial"/>
                <w:sz w:val="16"/>
                <w:szCs w:val="16"/>
              </w:rPr>
            </w:pPr>
            <w:r w:rsidRPr="00B061B2">
              <w:rPr>
                <w:sz w:val="16"/>
                <w:szCs w:val="16"/>
              </w:rPr>
              <w:t>12 709</w:t>
            </w:r>
          </w:p>
        </w:tc>
        <w:tc>
          <w:tcPr>
            <w:tcW w:w="852" w:type="dxa"/>
            <w:tcBorders>
              <w:top w:val="nil"/>
              <w:left w:val="nil"/>
              <w:bottom w:val="nil"/>
              <w:right w:val="single" w:sz="4" w:space="0" w:color="auto"/>
            </w:tcBorders>
            <w:shd w:val="clear" w:color="auto" w:fill="auto"/>
            <w:noWrap/>
          </w:tcPr>
          <w:p w14:paraId="0F762B7B" w14:textId="77777777" w:rsidR="006E3BD4" w:rsidRPr="00B061B2" w:rsidRDefault="006E3BD4" w:rsidP="00D82E2F">
            <w:pPr>
              <w:spacing w:after="0"/>
              <w:jc w:val="right"/>
              <w:rPr>
                <w:rFonts w:cs="Arial"/>
                <w:sz w:val="16"/>
                <w:szCs w:val="16"/>
              </w:rPr>
            </w:pPr>
            <w:r w:rsidRPr="00B061B2">
              <w:rPr>
                <w:sz w:val="16"/>
                <w:szCs w:val="16"/>
              </w:rPr>
              <w:t>13 809</w:t>
            </w:r>
          </w:p>
        </w:tc>
        <w:tc>
          <w:tcPr>
            <w:tcW w:w="852" w:type="dxa"/>
            <w:tcBorders>
              <w:top w:val="nil"/>
              <w:left w:val="nil"/>
              <w:bottom w:val="nil"/>
              <w:right w:val="single" w:sz="4" w:space="0" w:color="auto"/>
            </w:tcBorders>
            <w:shd w:val="clear" w:color="auto" w:fill="auto"/>
            <w:noWrap/>
          </w:tcPr>
          <w:p w14:paraId="436ED2B1" w14:textId="77777777" w:rsidR="006E3BD4" w:rsidRPr="00B061B2" w:rsidRDefault="006E3BD4" w:rsidP="00D82E2F">
            <w:pPr>
              <w:spacing w:after="0"/>
              <w:jc w:val="right"/>
              <w:rPr>
                <w:rFonts w:cs="Arial"/>
                <w:sz w:val="16"/>
                <w:szCs w:val="16"/>
              </w:rPr>
            </w:pPr>
            <w:r w:rsidRPr="00B061B2">
              <w:rPr>
                <w:sz w:val="16"/>
                <w:szCs w:val="16"/>
              </w:rPr>
              <w:t>14 208</w:t>
            </w:r>
          </w:p>
        </w:tc>
        <w:tc>
          <w:tcPr>
            <w:tcW w:w="852" w:type="dxa"/>
            <w:tcBorders>
              <w:top w:val="nil"/>
              <w:left w:val="nil"/>
              <w:bottom w:val="nil"/>
              <w:right w:val="single" w:sz="4" w:space="0" w:color="auto"/>
            </w:tcBorders>
            <w:shd w:val="clear" w:color="auto" w:fill="auto"/>
            <w:noWrap/>
          </w:tcPr>
          <w:p w14:paraId="0D95B54F" w14:textId="77777777" w:rsidR="006E3BD4" w:rsidRPr="00B061B2" w:rsidRDefault="006E3BD4" w:rsidP="00D82E2F">
            <w:pPr>
              <w:spacing w:after="0"/>
              <w:jc w:val="right"/>
              <w:rPr>
                <w:rFonts w:cs="Arial"/>
                <w:sz w:val="16"/>
                <w:szCs w:val="16"/>
              </w:rPr>
            </w:pPr>
            <w:r w:rsidRPr="00B061B2">
              <w:rPr>
                <w:sz w:val="16"/>
                <w:szCs w:val="16"/>
              </w:rPr>
              <w:t>14 358</w:t>
            </w:r>
          </w:p>
        </w:tc>
        <w:tc>
          <w:tcPr>
            <w:tcW w:w="853" w:type="dxa"/>
            <w:tcBorders>
              <w:top w:val="nil"/>
              <w:left w:val="nil"/>
              <w:bottom w:val="nil"/>
              <w:right w:val="single" w:sz="4" w:space="0" w:color="auto"/>
            </w:tcBorders>
            <w:shd w:val="clear" w:color="auto" w:fill="auto"/>
            <w:noWrap/>
          </w:tcPr>
          <w:p w14:paraId="4359457B" w14:textId="77777777" w:rsidR="006E3BD4" w:rsidRPr="00B061B2" w:rsidRDefault="006E3BD4" w:rsidP="00D82E2F">
            <w:pPr>
              <w:spacing w:after="0"/>
              <w:jc w:val="right"/>
              <w:rPr>
                <w:rFonts w:cs="Arial"/>
                <w:color w:val="000000"/>
                <w:sz w:val="16"/>
                <w:szCs w:val="16"/>
              </w:rPr>
            </w:pPr>
            <w:r w:rsidRPr="00B061B2">
              <w:rPr>
                <w:sz w:val="16"/>
                <w:szCs w:val="16"/>
              </w:rPr>
              <w:t>16 547</w:t>
            </w:r>
          </w:p>
        </w:tc>
        <w:tc>
          <w:tcPr>
            <w:tcW w:w="900" w:type="dxa"/>
            <w:tcBorders>
              <w:top w:val="nil"/>
              <w:left w:val="nil"/>
              <w:bottom w:val="nil"/>
              <w:right w:val="nil"/>
            </w:tcBorders>
            <w:shd w:val="clear" w:color="auto" w:fill="auto"/>
            <w:noWrap/>
          </w:tcPr>
          <w:p w14:paraId="52CB58D9" w14:textId="6AC3A043" w:rsidR="006E3BD4" w:rsidRPr="00B061B2" w:rsidRDefault="006E3BD4" w:rsidP="00D82E2F">
            <w:pPr>
              <w:spacing w:after="0"/>
              <w:jc w:val="right"/>
              <w:rPr>
                <w:rFonts w:cs="Arial"/>
                <w:i/>
                <w:iCs/>
                <w:color w:val="000000"/>
                <w:sz w:val="16"/>
                <w:szCs w:val="16"/>
              </w:rPr>
            </w:pPr>
            <w:r w:rsidRPr="00B061B2">
              <w:rPr>
                <w:sz w:val="16"/>
                <w:szCs w:val="16"/>
              </w:rPr>
              <w:t>115,2</w:t>
            </w:r>
            <w:r w:rsidR="009E5D78">
              <w:rPr>
                <w:sz w:val="16"/>
                <w:szCs w:val="16"/>
              </w:rPr>
              <w:t xml:space="preserve"> </w:t>
            </w:r>
            <w:r w:rsidRPr="00B061B2">
              <w:rPr>
                <w:sz w:val="16"/>
                <w:szCs w:val="16"/>
              </w:rPr>
              <w:t>%</w:t>
            </w:r>
          </w:p>
        </w:tc>
      </w:tr>
      <w:tr w:rsidR="006E3BD4" w:rsidRPr="00B061B2" w14:paraId="2DE5106E" w14:textId="77777777" w:rsidTr="00D82E2F">
        <w:trPr>
          <w:gridAfter w:val="1"/>
          <w:wAfter w:w="66" w:type="dxa"/>
          <w:trHeight w:val="251"/>
        </w:trPr>
        <w:tc>
          <w:tcPr>
            <w:tcW w:w="3471" w:type="dxa"/>
            <w:tcBorders>
              <w:top w:val="nil"/>
              <w:left w:val="nil"/>
              <w:bottom w:val="nil"/>
              <w:right w:val="single" w:sz="4" w:space="0" w:color="auto"/>
            </w:tcBorders>
            <w:shd w:val="clear" w:color="auto" w:fill="auto"/>
            <w:noWrap/>
            <w:vAlign w:val="bottom"/>
            <w:hideMark/>
          </w:tcPr>
          <w:p w14:paraId="01160C13" w14:textId="77777777" w:rsidR="006E3BD4" w:rsidRPr="00B061B2" w:rsidRDefault="006E3BD4" w:rsidP="00D82E2F">
            <w:pPr>
              <w:spacing w:after="0" w:line="240" w:lineRule="auto"/>
              <w:rPr>
                <w:rFonts w:cs="Arial"/>
                <w:sz w:val="16"/>
                <w:szCs w:val="16"/>
              </w:rPr>
            </w:pPr>
            <w:r w:rsidRPr="00B061B2">
              <w:rPr>
                <w:rFonts w:cs="Arial"/>
                <w:sz w:val="16"/>
                <w:szCs w:val="16"/>
              </w:rPr>
              <w:t xml:space="preserve">     Ostatní zdravotnický materiál a výrobky</w:t>
            </w:r>
          </w:p>
        </w:tc>
        <w:tc>
          <w:tcPr>
            <w:tcW w:w="852" w:type="dxa"/>
            <w:tcBorders>
              <w:top w:val="nil"/>
              <w:left w:val="nil"/>
              <w:bottom w:val="nil"/>
              <w:right w:val="single" w:sz="4" w:space="0" w:color="auto"/>
            </w:tcBorders>
            <w:shd w:val="clear" w:color="auto" w:fill="auto"/>
            <w:noWrap/>
          </w:tcPr>
          <w:p w14:paraId="45D9D964" w14:textId="77777777" w:rsidR="006E3BD4" w:rsidRPr="00B061B2" w:rsidRDefault="006E3BD4" w:rsidP="00D82E2F">
            <w:pPr>
              <w:spacing w:after="0"/>
              <w:jc w:val="right"/>
              <w:rPr>
                <w:rFonts w:cs="Arial"/>
                <w:sz w:val="16"/>
                <w:szCs w:val="16"/>
              </w:rPr>
            </w:pPr>
            <w:r w:rsidRPr="00B061B2">
              <w:rPr>
                <w:sz w:val="16"/>
                <w:szCs w:val="16"/>
              </w:rPr>
              <w:t>605</w:t>
            </w:r>
          </w:p>
        </w:tc>
        <w:tc>
          <w:tcPr>
            <w:tcW w:w="852" w:type="dxa"/>
            <w:tcBorders>
              <w:top w:val="nil"/>
              <w:left w:val="nil"/>
              <w:bottom w:val="nil"/>
              <w:right w:val="single" w:sz="4" w:space="0" w:color="auto"/>
            </w:tcBorders>
            <w:shd w:val="clear" w:color="auto" w:fill="auto"/>
            <w:noWrap/>
          </w:tcPr>
          <w:p w14:paraId="5175BCC7" w14:textId="77777777" w:rsidR="006E3BD4" w:rsidRPr="00B061B2" w:rsidRDefault="006E3BD4" w:rsidP="00D82E2F">
            <w:pPr>
              <w:spacing w:after="0"/>
              <w:jc w:val="right"/>
              <w:rPr>
                <w:rFonts w:cs="Arial"/>
                <w:sz w:val="16"/>
                <w:szCs w:val="16"/>
              </w:rPr>
            </w:pPr>
            <w:r w:rsidRPr="00B061B2">
              <w:rPr>
                <w:sz w:val="16"/>
                <w:szCs w:val="16"/>
              </w:rPr>
              <w:t>669</w:t>
            </w:r>
          </w:p>
        </w:tc>
        <w:tc>
          <w:tcPr>
            <w:tcW w:w="852" w:type="dxa"/>
            <w:tcBorders>
              <w:top w:val="nil"/>
              <w:left w:val="nil"/>
              <w:bottom w:val="nil"/>
              <w:right w:val="single" w:sz="4" w:space="0" w:color="auto"/>
            </w:tcBorders>
            <w:shd w:val="clear" w:color="auto" w:fill="auto"/>
            <w:noWrap/>
          </w:tcPr>
          <w:p w14:paraId="2CD7EF5E" w14:textId="77777777" w:rsidR="006E3BD4" w:rsidRPr="00B061B2" w:rsidRDefault="006E3BD4" w:rsidP="00D82E2F">
            <w:pPr>
              <w:spacing w:after="0"/>
              <w:jc w:val="right"/>
              <w:rPr>
                <w:rFonts w:cs="Arial"/>
                <w:sz w:val="16"/>
                <w:szCs w:val="16"/>
              </w:rPr>
            </w:pPr>
            <w:r w:rsidRPr="00B061B2">
              <w:rPr>
                <w:sz w:val="16"/>
                <w:szCs w:val="16"/>
              </w:rPr>
              <w:t>597</w:t>
            </w:r>
          </w:p>
        </w:tc>
        <w:tc>
          <w:tcPr>
            <w:tcW w:w="852" w:type="dxa"/>
            <w:tcBorders>
              <w:top w:val="nil"/>
              <w:left w:val="nil"/>
              <w:bottom w:val="nil"/>
              <w:right w:val="single" w:sz="4" w:space="0" w:color="auto"/>
            </w:tcBorders>
            <w:shd w:val="clear" w:color="auto" w:fill="auto"/>
            <w:noWrap/>
          </w:tcPr>
          <w:p w14:paraId="7306B127" w14:textId="77777777" w:rsidR="006E3BD4" w:rsidRPr="00B061B2" w:rsidRDefault="006E3BD4" w:rsidP="00D82E2F">
            <w:pPr>
              <w:spacing w:after="0"/>
              <w:jc w:val="right"/>
              <w:rPr>
                <w:rFonts w:cs="Arial"/>
                <w:sz w:val="16"/>
                <w:szCs w:val="16"/>
              </w:rPr>
            </w:pPr>
            <w:r w:rsidRPr="00B061B2">
              <w:rPr>
                <w:sz w:val="16"/>
                <w:szCs w:val="16"/>
              </w:rPr>
              <w:t>627</w:t>
            </w:r>
          </w:p>
        </w:tc>
        <w:tc>
          <w:tcPr>
            <w:tcW w:w="852" w:type="dxa"/>
            <w:tcBorders>
              <w:top w:val="nil"/>
              <w:left w:val="nil"/>
              <w:bottom w:val="nil"/>
              <w:right w:val="single" w:sz="4" w:space="0" w:color="auto"/>
            </w:tcBorders>
            <w:shd w:val="clear" w:color="auto" w:fill="auto"/>
            <w:noWrap/>
          </w:tcPr>
          <w:p w14:paraId="62C7145C" w14:textId="77777777" w:rsidR="006E3BD4" w:rsidRPr="00B061B2" w:rsidRDefault="006E3BD4" w:rsidP="00D82E2F">
            <w:pPr>
              <w:spacing w:after="0"/>
              <w:jc w:val="right"/>
              <w:rPr>
                <w:rFonts w:cs="Arial"/>
                <w:sz w:val="16"/>
                <w:szCs w:val="16"/>
              </w:rPr>
            </w:pPr>
            <w:r w:rsidRPr="00B061B2">
              <w:rPr>
                <w:sz w:val="16"/>
                <w:szCs w:val="16"/>
              </w:rPr>
              <w:t>648</w:t>
            </w:r>
          </w:p>
        </w:tc>
        <w:tc>
          <w:tcPr>
            <w:tcW w:w="853" w:type="dxa"/>
            <w:tcBorders>
              <w:top w:val="nil"/>
              <w:left w:val="nil"/>
              <w:bottom w:val="nil"/>
              <w:right w:val="single" w:sz="4" w:space="0" w:color="auto"/>
            </w:tcBorders>
            <w:shd w:val="clear" w:color="auto" w:fill="auto"/>
            <w:noWrap/>
          </w:tcPr>
          <w:p w14:paraId="0A64FC8B" w14:textId="77777777" w:rsidR="006E3BD4" w:rsidRPr="00B061B2" w:rsidRDefault="006E3BD4" w:rsidP="00D82E2F">
            <w:pPr>
              <w:spacing w:after="0"/>
              <w:jc w:val="right"/>
              <w:rPr>
                <w:rFonts w:cs="Arial"/>
                <w:color w:val="000000"/>
                <w:sz w:val="16"/>
                <w:szCs w:val="16"/>
              </w:rPr>
            </w:pPr>
            <w:r w:rsidRPr="00B061B2">
              <w:rPr>
                <w:sz w:val="16"/>
                <w:szCs w:val="16"/>
              </w:rPr>
              <w:t>768</w:t>
            </w:r>
          </w:p>
        </w:tc>
        <w:tc>
          <w:tcPr>
            <w:tcW w:w="900" w:type="dxa"/>
            <w:tcBorders>
              <w:top w:val="nil"/>
              <w:left w:val="nil"/>
              <w:bottom w:val="nil"/>
              <w:right w:val="nil"/>
            </w:tcBorders>
            <w:shd w:val="clear" w:color="auto" w:fill="auto"/>
            <w:noWrap/>
          </w:tcPr>
          <w:p w14:paraId="5F392248" w14:textId="729C9B6C" w:rsidR="006E3BD4" w:rsidRPr="00B061B2" w:rsidRDefault="006E3BD4" w:rsidP="00D82E2F">
            <w:pPr>
              <w:spacing w:after="0"/>
              <w:jc w:val="right"/>
              <w:rPr>
                <w:rFonts w:cs="Arial"/>
                <w:i/>
                <w:iCs/>
                <w:color w:val="000000"/>
                <w:sz w:val="16"/>
                <w:szCs w:val="16"/>
              </w:rPr>
            </w:pPr>
            <w:r w:rsidRPr="00B061B2">
              <w:rPr>
                <w:sz w:val="16"/>
                <w:szCs w:val="16"/>
              </w:rPr>
              <w:t>118,5</w:t>
            </w:r>
            <w:r w:rsidR="009E5D78">
              <w:rPr>
                <w:sz w:val="16"/>
                <w:szCs w:val="16"/>
              </w:rPr>
              <w:t xml:space="preserve"> </w:t>
            </w:r>
            <w:r w:rsidRPr="00B061B2">
              <w:rPr>
                <w:sz w:val="16"/>
                <w:szCs w:val="16"/>
              </w:rPr>
              <w:t>%</w:t>
            </w:r>
          </w:p>
        </w:tc>
      </w:tr>
      <w:tr w:rsidR="006E3BD4" w:rsidRPr="00B061B2" w14:paraId="216FA908" w14:textId="77777777" w:rsidTr="00D82E2F">
        <w:trPr>
          <w:gridAfter w:val="1"/>
          <w:wAfter w:w="66" w:type="dxa"/>
          <w:trHeight w:val="251"/>
        </w:trPr>
        <w:tc>
          <w:tcPr>
            <w:tcW w:w="3471" w:type="dxa"/>
            <w:tcBorders>
              <w:top w:val="nil"/>
              <w:left w:val="nil"/>
              <w:bottom w:val="nil"/>
              <w:right w:val="single" w:sz="4" w:space="0" w:color="auto"/>
            </w:tcBorders>
            <w:shd w:val="clear" w:color="auto" w:fill="auto"/>
            <w:noWrap/>
            <w:vAlign w:val="bottom"/>
            <w:hideMark/>
          </w:tcPr>
          <w:p w14:paraId="47B4117F" w14:textId="77777777" w:rsidR="006E3BD4" w:rsidRPr="00B061B2" w:rsidRDefault="006E3BD4" w:rsidP="00D82E2F">
            <w:pPr>
              <w:spacing w:after="0" w:line="240" w:lineRule="auto"/>
              <w:rPr>
                <w:rFonts w:cs="Arial"/>
                <w:sz w:val="16"/>
                <w:szCs w:val="16"/>
              </w:rPr>
            </w:pPr>
            <w:r w:rsidRPr="00B061B2">
              <w:rPr>
                <w:rFonts w:cs="Arial"/>
                <w:sz w:val="16"/>
                <w:szCs w:val="16"/>
              </w:rPr>
              <w:t xml:space="preserve">  Terapeutické pomůcky </w:t>
            </w:r>
          </w:p>
        </w:tc>
        <w:tc>
          <w:tcPr>
            <w:tcW w:w="852" w:type="dxa"/>
            <w:tcBorders>
              <w:top w:val="nil"/>
              <w:left w:val="nil"/>
              <w:bottom w:val="nil"/>
              <w:right w:val="single" w:sz="4" w:space="0" w:color="auto"/>
            </w:tcBorders>
            <w:shd w:val="clear" w:color="auto" w:fill="auto"/>
            <w:noWrap/>
          </w:tcPr>
          <w:p w14:paraId="620FFE31" w14:textId="77777777" w:rsidR="006E3BD4" w:rsidRPr="00B061B2" w:rsidRDefault="006E3BD4" w:rsidP="00D82E2F">
            <w:pPr>
              <w:spacing w:after="0"/>
              <w:jc w:val="right"/>
              <w:rPr>
                <w:rFonts w:cs="Arial"/>
                <w:sz w:val="16"/>
                <w:szCs w:val="16"/>
              </w:rPr>
            </w:pPr>
            <w:r w:rsidRPr="00B061B2">
              <w:rPr>
                <w:sz w:val="16"/>
                <w:szCs w:val="16"/>
              </w:rPr>
              <w:t>5 735</w:t>
            </w:r>
          </w:p>
        </w:tc>
        <w:tc>
          <w:tcPr>
            <w:tcW w:w="852" w:type="dxa"/>
            <w:tcBorders>
              <w:top w:val="nil"/>
              <w:left w:val="nil"/>
              <w:bottom w:val="nil"/>
              <w:right w:val="single" w:sz="4" w:space="0" w:color="auto"/>
            </w:tcBorders>
            <w:shd w:val="clear" w:color="auto" w:fill="auto"/>
            <w:noWrap/>
          </w:tcPr>
          <w:p w14:paraId="1A977B77" w14:textId="77777777" w:rsidR="006E3BD4" w:rsidRPr="00B061B2" w:rsidRDefault="006E3BD4" w:rsidP="00D82E2F">
            <w:pPr>
              <w:spacing w:after="0"/>
              <w:jc w:val="right"/>
              <w:rPr>
                <w:rFonts w:cs="Arial"/>
                <w:sz w:val="16"/>
                <w:szCs w:val="16"/>
              </w:rPr>
            </w:pPr>
            <w:r w:rsidRPr="00B061B2">
              <w:rPr>
                <w:sz w:val="16"/>
                <w:szCs w:val="16"/>
              </w:rPr>
              <w:t>5 892</w:t>
            </w:r>
          </w:p>
        </w:tc>
        <w:tc>
          <w:tcPr>
            <w:tcW w:w="852" w:type="dxa"/>
            <w:tcBorders>
              <w:top w:val="nil"/>
              <w:left w:val="nil"/>
              <w:bottom w:val="nil"/>
              <w:right w:val="single" w:sz="4" w:space="0" w:color="auto"/>
            </w:tcBorders>
            <w:shd w:val="clear" w:color="auto" w:fill="auto"/>
            <w:noWrap/>
          </w:tcPr>
          <w:p w14:paraId="406839A8" w14:textId="77777777" w:rsidR="006E3BD4" w:rsidRPr="00B061B2" w:rsidRDefault="006E3BD4" w:rsidP="00D82E2F">
            <w:pPr>
              <w:spacing w:after="0"/>
              <w:jc w:val="right"/>
              <w:rPr>
                <w:rFonts w:cs="Arial"/>
                <w:sz w:val="16"/>
                <w:szCs w:val="16"/>
              </w:rPr>
            </w:pPr>
            <w:r w:rsidRPr="00B061B2">
              <w:rPr>
                <w:sz w:val="16"/>
                <w:szCs w:val="16"/>
              </w:rPr>
              <w:t>5 875</w:t>
            </w:r>
          </w:p>
        </w:tc>
        <w:tc>
          <w:tcPr>
            <w:tcW w:w="852" w:type="dxa"/>
            <w:tcBorders>
              <w:top w:val="nil"/>
              <w:left w:val="nil"/>
              <w:bottom w:val="nil"/>
              <w:right w:val="single" w:sz="4" w:space="0" w:color="auto"/>
            </w:tcBorders>
            <w:shd w:val="clear" w:color="auto" w:fill="auto"/>
            <w:noWrap/>
          </w:tcPr>
          <w:p w14:paraId="7978A90F" w14:textId="77777777" w:rsidR="006E3BD4" w:rsidRPr="00B061B2" w:rsidRDefault="006E3BD4" w:rsidP="00D82E2F">
            <w:pPr>
              <w:spacing w:after="0"/>
              <w:jc w:val="right"/>
              <w:rPr>
                <w:rFonts w:cs="Arial"/>
                <w:sz w:val="16"/>
                <w:szCs w:val="16"/>
              </w:rPr>
            </w:pPr>
            <w:r w:rsidRPr="00B061B2">
              <w:rPr>
                <w:sz w:val="16"/>
                <w:szCs w:val="16"/>
              </w:rPr>
              <w:t>5 532</w:t>
            </w:r>
          </w:p>
        </w:tc>
        <w:tc>
          <w:tcPr>
            <w:tcW w:w="852" w:type="dxa"/>
            <w:tcBorders>
              <w:top w:val="nil"/>
              <w:left w:val="nil"/>
              <w:bottom w:val="nil"/>
              <w:right w:val="single" w:sz="4" w:space="0" w:color="auto"/>
            </w:tcBorders>
            <w:shd w:val="clear" w:color="auto" w:fill="auto"/>
            <w:noWrap/>
          </w:tcPr>
          <w:p w14:paraId="24FAAC25" w14:textId="77777777" w:rsidR="006E3BD4" w:rsidRPr="00B061B2" w:rsidRDefault="006E3BD4" w:rsidP="00D82E2F">
            <w:pPr>
              <w:spacing w:after="0"/>
              <w:jc w:val="right"/>
              <w:rPr>
                <w:rFonts w:cs="Arial"/>
                <w:sz w:val="16"/>
                <w:szCs w:val="16"/>
              </w:rPr>
            </w:pPr>
            <w:r w:rsidRPr="00B061B2">
              <w:rPr>
                <w:sz w:val="16"/>
                <w:szCs w:val="16"/>
              </w:rPr>
              <w:t>5 733</w:t>
            </w:r>
          </w:p>
        </w:tc>
        <w:tc>
          <w:tcPr>
            <w:tcW w:w="853" w:type="dxa"/>
            <w:tcBorders>
              <w:top w:val="nil"/>
              <w:left w:val="nil"/>
              <w:bottom w:val="nil"/>
              <w:right w:val="single" w:sz="4" w:space="0" w:color="auto"/>
            </w:tcBorders>
            <w:shd w:val="clear" w:color="auto" w:fill="auto"/>
            <w:noWrap/>
          </w:tcPr>
          <w:p w14:paraId="3FAADF7C" w14:textId="77777777" w:rsidR="006E3BD4" w:rsidRPr="00B061B2" w:rsidRDefault="006E3BD4" w:rsidP="00D82E2F">
            <w:pPr>
              <w:spacing w:after="0"/>
              <w:jc w:val="right"/>
              <w:rPr>
                <w:rFonts w:cs="Arial"/>
                <w:color w:val="000000"/>
                <w:sz w:val="16"/>
                <w:szCs w:val="16"/>
              </w:rPr>
            </w:pPr>
            <w:r w:rsidRPr="00B061B2">
              <w:rPr>
                <w:sz w:val="16"/>
                <w:szCs w:val="16"/>
              </w:rPr>
              <w:t>6 321</w:t>
            </w:r>
          </w:p>
        </w:tc>
        <w:tc>
          <w:tcPr>
            <w:tcW w:w="900" w:type="dxa"/>
            <w:tcBorders>
              <w:top w:val="nil"/>
              <w:left w:val="nil"/>
              <w:bottom w:val="nil"/>
              <w:right w:val="nil"/>
            </w:tcBorders>
            <w:shd w:val="clear" w:color="auto" w:fill="auto"/>
            <w:noWrap/>
          </w:tcPr>
          <w:p w14:paraId="194C5BEF" w14:textId="4659E021" w:rsidR="006E3BD4" w:rsidRPr="00B061B2" w:rsidRDefault="006E3BD4" w:rsidP="00D82E2F">
            <w:pPr>
              <w:spacing w:after="0"/>
              <w:jc w:val="right"/>
              <w:rPr>
                <w:rFonts w:cs="Arial"/>
                <w:i/>
                <w:iCs/>
                <w:color w:val="000000"/>
                <w:sz w:val="16"/>
                <w:szCs w:val="16"/>
              </w:rPr>
            </w:pPr>
            <w:r w:rsidRPr="00B061B2">
              <w:rPr>
                <w:sz w:val="16"/>
                <w:szCs w:val="16"/>
              </w:rPr>
              <w:t>110,3</w:t>
            </w:r>
            <w:r w:rsidR="009E5D78">
              <w:rPr>
                <w:sz w:val="16"/>
                <w:szCs w:val="16"/>
              </w:rPr>
              <w:t xml:space="preserve"> </w:t>
            </w:r>
            <w:r w:rsidRPr="00B061B2">
              <w:rPr>
                <w:sz w:val="16"/>
                <w:szCs w:val="16"/>
              </w:rPr>
              <w:t>%</w:t>
            </w:r>
          </w:p>
        </w:tc>
      </w:tr>
      <w:tr w:rsidR="006E3BD4" w:rsidRPr="00B061B2" w14:paraId="41620509" w14:textId="77777777" w:rsidTr="00D82E2F">
        <w:trPr>
          <w:gridAfter w:val="1"/>
          <w:wAfter w:w="66" w:type="dxa"/>
          <w:trHeight w:val="251"/>
        </w:trPr>
        <w:tc>
          <w:tcPr>
            <w:tcW w:w="3471" w:type="dxa"/>
            <w:tcBorders>
              <w:top w:val="nil"/>
              <w:left w:val="nil"/>
              <w:bottom w:val="nil"/>
              <w:right w:val="single" w:sz="4" w:space="0" w:color="auto"/>
            </w:tcBorders>
            <w:shd w:val="clear" w:color="auto" w:fill="auto"/>
            <w:noWrap/>
            <w:vAlign w:val="bottom"/>
            <w:hideMark/>
          </w:tcPr>
          <w:p w14:paraId="53B45D24" w14:textId="77777777" w:rsidR="006E3BD4" w:rsidRPr="00B061B2" w:rsidRDefault="006E3BD4" w:rsidP="00D82E2F">
            <w:pPr>
              <w:spacing w:after="0" w:line="240" w:lineRule="auto"/>
              <w:rPr>
                <w:rFonts w:cs="Arial"/>
                <w:sz w:val="16"/>
                <w:szCs w:val="16"/>
              </w:rPr>
            </w:pPr>
            <w:r w:rsidRPr="00B061B2">
              <w:rPr>
                <w:rFonts w:cs="Arial"/>
                <w:sz w:val="16"/>
                <w:szCs w:val="16"/>
              </w:rPr>
              <w:t xml:space="preserve">     Brýle a další produkty oční optiky</w:t>
            </w:r>
          </w:p>
        </w:tc>
        <w:tc>
          <w:tcPr>
            <w:tcW w:w="852" w:type="dxa"/>
            <w:tcBorders>
              <w:top w:val="nil"/>
              <w:left w:val="nil"/>
              <w:bottom w:val="nil"/>
              <w:right w:val="single" w:sz="4" w:space="0" w:color="auto"/>
            </w:tcBorders>
            <w:shd w:val="clear" w:color="auto" w:fill="auto"/>
            <w:noWrap/>
          </w:tcPr>
          <w:p w14:paraId="4966019F" w14:textId="77777777" w:rsidR="006E3BD4" w:rsidRPr="00B061B2" w:rsidRDefault="006E3BD4" w:rsidP="00D82E2F">
            <w:pPr>
              <w:spacing w:after="0"/>
              <w:jc w:val="right"/>
              <w:rPr>
                <w:rFonts w:cs="Arial"/>
                <w:sz w:val="16"/>
                <w:szCs w:val="16"/>
              </w:rPr>
            </w:pPr>
            <w:r w:rsidRPr="00B061B2">
              <w:rPr>
                <w:sz w:val="16"/>
                <w:szCs w:val="16"/>
              </w:rPr>
              <w:t>3 740</w:t>
            </w:r>
          </w:p>
        </w:tc>
        <w:tc>
          <w:tcPr>
            <w:tcW w:w="852" w:type="dxa"/>
            <w:tcBorders>
              <w:top w:val="nil"/>
              <w:left w:val="nil"/>
              <w:bottom w:val="nil"/>
              <w:right w:val="single" w:sz="4" w:space="0" w:color="auto"/>
            </w:tcBorders>
            <w:shd w:val="clear" w:color="auto" w:fill="auto"/>
            <w:noWrap/>
          </w:tcPr>
          <w:p w14:paraId="69591EE7" w14:textId="77777777" w:rsidR="006E3BD4" w:rsidRPr="00B061B2" w:rsidRDefault="006E3BD4" w:rsidP="00D82E2F">
            <w:pPr>
              <w:spacing w:after="0"/>
              <w:jc w:val="right"/>
              <w:rPr>
                <w:rFonts w:cs="Arial"/>
                <w:sz w:val="16"/>
                <w:szCs w:val="16"/>
              </w:rPr>
            </w:pPr>
            <w:r w:rsidRPr="00B061B2">
              <w:rPr>
                <w:sz w:val="16"/>
                <w:szCs w:val="16"/>
              </w:rPr>
              <w:t>3 842</w:t>
            </w:r>
          </w:p>
        </w:tc>
        <w:tc>
          <w:tcPr>
            <w:tcW w:w="852" w:type="dxa"/>
            <w:tcBorders>
              <w:top w:val="nil"/>
              <w:left w:val="nil"/>
              <w:bottom w:val="nil"/>
              <w:right w:val="single" w:sz="4" w:space="0" w:color="auto"/>
            </w:tcBorders>
            <w:shd w:val="clear" w:color="auto" w:fill="auto"/>
            <w:noWrap/>
          </w:tcPr>
          <w:p w14:paraId="1B038493" w14:textId="77777777" w:rsidR="006E3BD4" w:rsidRPr="00B061B2" w:rsidRDefault="006E3BD4" w:rsidP="00D82E2F">
            <w:pPr>
              <w:spacing w:after="0"/>
              <w:jc w:val="right"/>
              <w:rPr>
                <w:rFonts w:cs="Arial"/>
                <w:sz w:val="16"/>
                <w:szCs w:val="16"/>
              </w:rPr>
            </w:pPr>
            <w:r w:rsidRPr="00B061B2">
              <w:rPr>
                <w:sz w:val="16"/>
                <w:szCs w:val="16"/>
              </w:rPr>
              <w:t>3 831</w:t>
            </w:r>
          </w:p>
        </w:tc>
        <w:tc>
          <w:tcPr>
            <w:tcW w:w="852" w:type="dxa"/>
            <w:tcBorders>
              <w:top w:val="nil"/>
              <w:left w:val="nil"/>
              <w:bottom w:val="nil"/>
              <w:right w:val="single" w:sz="4" w:space="0" w:color="auto"/>
            </w:tcBorders>
            <w:shd w:val="clear" w:color="auto" w:fill="auto"/>
            <w:noWrap/>
          </w:tcPr>
          <w:p w14:paraId="7101AA28" w14:textId="77777777" w:rsidR="006E3BD4" w:rsidRPr="00B061B2" w:rsidRDefault="006E3BD4" w:rsidP="00D82E2F">
            <w:pPr>
              <w:spacing w:after="0"/>
              <w:jc w:val="right"/>
              <w:rPr>
                <w:rFonts w:cs="Arial"/>
                <w:sz w:val="16"/>
                <w:szCs w:val="16"/>
              </w:rPr>
            </w:pPr>
            <w:r w:rsidRPr="00B061B2">
              <w:rPr>
                <w:sz w:val="16"/>
                <w:szCs w:val="16"/>
              </w:rPr>
              <w:t>3 608</w:t>
            </w:r>
          </w:p>
        </w:tc>
        <w:tc>
          <w:tcPr>
            <w:tcW w:w="852" w:type="dxa"/>
            <w:tcBorders>
              <w:top w:val="nil"/>
              <w:left w:val="nil"/>
              <w:bottom w:val="nil"/>
              <w:right w:val="single" w:sz="4" w:space="0" w:color="auto"/>
            </w:tcBorders>
            <w:shd w:val="clear" w:color="auto" w:fill="auto"/>
            <w:noWrap/>
          </w:tcPr>
          <w:p w14:paraId="67E9A78E" w14:textId="77777777" w:rsidR="006E3BD4" w:rsidRPr="00B061B2" w:rsidRDefault="006E3BD4" w:rsidP="00D82E2F">
            <w:pPr>
              <w:spacing w:after="0"/>
              <w:jc w:val="right"/>
              <w:rPr>
                <w:rFonts w:cs="Arial"/>
                <w:sz w:val="16"/>
                <w:szCs w:val="16"/>
              </w:rPr>
            </w:pPr>
            <w:r w:rsidRPr="00B061B2">
              <w:rPr>
                <w:sz w:val="16"/>
                <w:szCs w:val="16"/>
              </w:rPr>
              <w:t>3 739</w:t>
            </w:r>
          </w:p>
        </w:tc>
        <w:tc>
          <w:tcPr>
            <w:tcW w:w="853" w:type="dxa"/>
            <w:tcBorders>
              <w:top w:val="nil"/>
              <w:left w:val="nil"/>
              <w:bottom w:val="nil"/>
              <w:right w:val="single" w:sz="4" w:space="0" w:color="auto"/>
            </w:tcBorders>
            <w:shd w:val="clear" w:color="auto" w:fill="auto"/>
            <w:noWrap/>
          </w:tcPr>
          <w:p w14:paraId="09CDE980" w14:textId="77777777" w:rsidR="006E3BD4" w:rsidRPr="00B061B2" w:rsidRDefault="006E3BD4" w:rsidP="00D82E2F">
            <w:pPr>
              <w:spacing w:after="0"/>
              <w:jc w:val="right"/>
              <w:rPr>
                <w:rFonts w:cs="Arial"/>
                <w:color w:val="000000"/>
                <w:sz w:val="16"/>
                <w:szCs w:val="16"/>
              </w:rPr>
            </w:pPr>
            <w:r w:rsidRPr="00B061B2">
              <w:rPr>
                <w:sz w:val="16"/>
                <w:szCs w:val="16"/>
              </w:rPr>
              <w:t>4 122</w:t>
            </w:r>
          </w:p>
        </w:tc>
        <w:tc>
          <w:tcPr>
            <w:tcW w:w="900" w:type="dxa"/>
            <w:tcBorders>
              <w:top w:val="nil"/>
              <w:left w:val="nil"/>
              <w:bottom w:val="nil"/>
              <w:right w:val="nil"/>
            </w:tcBorders>
            <w:shd w:val="clear" w:color="auto" w:fill="auto"/>
            <w:noWrap/>
          </w:tcPr>
          <w:p w14:paraId="3B839117" w14:textId="0748BD7C" w:rsidR="006E3BD4" w:rsidRPr="00B061B2" w:rsidRDefault="006E3BD4" w:rsidP="00D82E2F">
            <w:pPr>
              <w:spacing w:after="0"/>
              <w:jc w:val="right"/>
              <w:rPr>
                <w:rFonts w:cs="Arial"/>
                <w:i/>
                <w:iCs/>
                <w:color w:val="000000"/>
                <w:sz w:val="16"/>
                <w:szCs w:val="16"/>
              </w:rPr>
            </w:pPr>
            <w:r w:rsidRPr="00B061B2">
              <w:rPr>
                <w:sz w:val="16"/>
                <w:szCs w:val="16"/>
              </w:rPr>
              <w:t>110,3</w:t>
            </w:r>
            <w:r w:rsidR="009E5D78">
              <w:rPr>
                <w:sz w:val="16"/>
                <w:szCs w:val="16"/>
              </w:rPr>
              <w:t xml:space="preserve"> </w:t>
            </w:r>
            <w:r w:rsidRPr="00B061B2">
              <w:rPr>
                <w:sz w:val="16"/>
                <w:szCs w:val="16"/>
              </w:rPr>
              <w:t>%</w:t>
            </w:r>
          </w:p>
        </w:tc>
      </w:tr>
      <w:tr w:rsidR="006E3BD4" w:rsidRPr="00B061B2" w14:paraId="3FF29297" w14:textId="77777777" w:rsidTr="00D82E2F">
        <w:trPr>
          <w:gridAfter w:val="1"/>
          <w:wAfter w:w="66" w:type="dxa"/>
          <w:trHeight w:val="251"/>
        </w:trPr>
        <w:tc>
          <w:tcPr>
            <w:tcW w:w="3471" w:type="dxa"/>
            <w:tcBorders>
              <w:top w:val="nil"/>
              <w:left w:val="nil"/>
              <w:bottom w:val="nil"/>
              <w:right w:val="single" w:sz="4" w:space="0" w:color="auto"/>
            </w:tcBorders>
            <w:shd w:val="clear" w:color="000000" w:fill="FFFFFF"/>
            <w:noWrap/>
            <w:vAlign w:val="bottom"/>
            <w:hideMark/>
          </w:tcPr>
          <w:p w14:paraId="6867F066" w14:textId="77777777" w:rsidR="006E3BD4" w:rsidRPr="00B061B2" w:rsidRDefault="006E3BD4" w:rsidP="00D82E2F">
            <w:pPr>
              <w:spacing w:after="0" w:line="240" w:lineRule="auto"/>
              <w:rPr>
                <w:rFonts w:cs="Arial"/>
                <w:sz w:val="16"/>
                <w:szCs w:val="16"/>
              </w:rPr>
            </w:pPr>
            <w:r w:rsidRPr="00B061B2">
              <w:rPr>
                <w:rFonts w:cs="Arial"/>
                <w:sz w:val="16"/>
                <w:szCs w:val="16"/>
              </w:rPr>
              <w:t xml:space="preserve">     Ortopedické a protetické pomůcky</w:t>
            </w:r>
          </w:p>
        </w:tc>
        <w:tc>
          <w:tcPr>
            <w:tcW w:w="852" w:type="dxa"/>
            <w:tcBorders>
              <w:top w:val="nil"/>
              <w:left w:val="nil"/>
              <w:bottom w:val="nil"/>
              <w:right w:val="single" w:sz="4" w:space="0" w:color="auto"/>
            </w:tcBorders>
            <w:shd w:val="clear" w:color="000000" w:fill="FFFFFF"/>
            <w:noWrap/>
          </w:tcPr>
          <w:p w14:paraId="767E79DA" w14:textId="77777777" w:rsidR="006E3BD4" w:rsidRPr="00B061B2" w:rsidRDefault="006E3BD4" w:rsidP="00D82E2F">
            <w:pPr>
              <w:spacing w:after="0"/>
              <w:jc w:val="right"/>
              <w:rPr>
                <w:rFonts w:cs="Arial"/>
                <w:sz w:val="16"/>
                <w:szCs w:val="16"/>
              </w:rPr>
            </w:pPr>
            <w:r w:rsidRPr="00B061B2">
              <w:rPr>
                <w:sz w:val="16"/>
                <w:szCs w:val="16"/>
              </w:rPr>
              <w:t>296</w:t>
            </w:r>
          </w:p>
        </w:tc>
        <w:tc>
          <w:tcPr>
            <w:tcW w:w="852" w:type="dxa"/>
            <w:tcBorders>
              <w:top w:val="nil"/>
              <w:left w:val="nil"/>
              <w:bottom w:val="nil"/>
              <w:right w:val="single" w:sz="4" w:space="0" w:color="auto"/>
            </w:tcBorders>
            <w:shd w:val="clear" w:color="000000" w:fill="FFFFFF"/>
            <w:noWrap/>
          </w:tcPr>
          <w:p w14:paraId="6D15A99D" w14:textId="77777777" w:rsidR="006E3BD4" w:rsidRPr="00B061B2" w:rsidRDefault="006E3BD4" w:rsidP="00D82E2F">
            <w:pPr>
              <w:spacing w:after="0"/>
              <w:jc w:val="right"/>
              <w:rPr>
                <w:rFonts w:cs="Arial"/>
                <w:sz w:val="16"/>
                <w:szCs w:val="16"/>
              </w:rPr>
            </w:pPr>
            <w:r w:rsidRPr="00B061B2">
              <w:rPr>
                <w:sz w:val="16"/>
                <w:szCs w:val="16"/>
              </w:rPr>
              <w:t>304</w:t>
            </w:r>
          </w:p>
        </w:tc>
        <w:tc>
          <w:tcPr>
            <w:tcW w:w="852" w:type="dxa"/>
            <w:tcBorders>
              <w:top w:val="nil"/>
              <w:left w:val="nil"/>
              <w:bottom w:val="nil"/>
              <w:right w:val="single" w:sz="4" w:space="0" w:color="auto"/>
            </w:tcBorders>
            <w:shd w:val="clear" w:color="000000" w:fill="FFFFFF"/>
            <w:noWrap/>
          </w:tcPr>
          <w:p w14:paraId="7318CAF7" w14:textId="77777777" w:rsidR="006E3BD4" w:rsidRPr="00B061B2" w:rsidRDefault="006E3BD4" w:rsidP="00D82E2F">
            <w:pPr>
              <w:spacing w:after="0"/>
              <w:jc w:val="right"/>
              <w:rPr>
                <w:rFonts w:cs="Arial"/>
                <w:sz w:val="16"/>
                <w:szCs w:val="16"/>
              </w:rPr>
            </w:pPr>
            <w:r w:rsidRPr="00B061B2">
              <w:rPr>
                <w:sz w:val="16"/>
                <w:szCs w:val="16"/>
              </w:rPr>
              <w:t>303</w:t>
            </w:r>
          </w:p>
        </w:tc>
        <w:tc>
          <w:tcPr>
            <w:tcW w:w="852" w:type="dxa"/>
            <w:tcBorders>
              <w:top w:val="nil"/>
              <w:left w:val="nil"/>
              <w:bottom w:val="nil"/>
              <w:right w:val="single" w:sz="4" w:space="0" w:color="auto"/>
            </w:tcBorders>
            <w:shd w:val="clear" w:color="000000" w:fill="FFFFFF"/>
            <w:noWrap/>
          </w:tcPr>
          <w:p w14:paraId="192F6B55" w14:textId="77777777" w:rsidR="006E3BD4" w:rsidRPr="00B061B2" w:rsidRDefault="006E3BD4" w:rsidP="00D82E2F">
            <w:pPr>
              <w:spacing w:after="0"/>
              <w:jc w:val="right"/>
              <w:rPr>
                <w:rFonts w:cs="Arial"/>
                <w:sz w:val="16"/>
                <w:szCs w:val="16"/>
              </w:rPr>
            </w:pPr>
            <w:r w:rsidRPr="00B061B2">
              <w:rPr>
                <w:sz w:val="16"/>
                <w:szCs w:val="16"/>
              </w:rPr>
              <w:t>286</w:t>
            </w:r>
          </w:p>
        </w:tc>
        <w:tc>
          <w:tcPr>
            <w:tcW w:w="852" w:type="dxa"/>
            <w:tcBorders>
              <w:top w:val="nil"/>
              <w:left w:val="nil"/>
              <w:bottom w:val="nil"/>
              <w:right w:val="single" w:sz="4" w:space="0" w:color="auto"/>
            </w:tcBorders>
            <w:shd w:val="clear" w:color="000000" w:fill="FFFFFF"/>
            <w:noWrap/>
          </w:tcPr>
          <w:p w14:paraId="4B354A42" w14:textId="77777777" w:rsidR="006E3BD4" w:rsidRPr="00B061B2" w:rsidRDefault="006E3BD4" w:rsidP="00D82E2F">
            <w:pPr>
              <w:spacing w:after="0"/>
              <w:jc w:val="right"/>
              <w:rPr>
                <w:rFonts w:cs="Arial"/>
                <w:sz w:val="16"/>
                <w:szCs w:val="16"/>
              </w:rPr>
            </w:pPr>
            <w:r w:rsidRPr="00B061B2">
              <w:rPr>
                <w:sz w:val="16"/>
                <w:szCs w:val="16"/>
              </w:rPr>
              <w:t>296</w:t>
            </w:r>
          </w:p>
        </w:tc>
        <w:tc>
          <w:tcPr>
            <w:tcW w:w="853" w:type="dxa"/>
            <w:tcBorders>
              <w:top w:val="nil"/>
              <w:left w:val="nil"/>
              <w:bottom w:val="nil"/>
              <w:right w:val="single" w:sz="4" w:space="0" w:color="auto"/>
            </w:tcBorders>
            <w:shd w:val="clear" w:color="000000" w:fill="FFFFFF"/>
            <w:noWrap/>
          </w:tcPr>
          <w:p w14:paraId="566EB086" w14:textId="77777777" w:rsidR="006E3BD4" w:rsidRPr="00B061B2" w:rsidRDefault="006E3BD4" w:rsidP="00D82E2F">
            <w:pPr>
              <w:spacing w:after="0"/>
              <w:jc w:val="right"/>
              <w:rPr>
                <w:rFonts w:cs="Arial"/>
                <w:color w:val="000000"/>
                <w:sz w:val="16"/>
                <w:szCs w:val="16"/>
              </w:rPr>
            </w:pPr>
            <w:r w:rsidRPr="00B061B2">
              <w:rPr>
                <w:sz w:val="16"/>
                <w:szCs w:val="16"/>
              </w:rPr>
              <w:t>326</w:t>
            </w:r>
          </w:p>
        </w:tc>
        <w:tc>
          <w:tcPr>
            <w:tcW w:w="900" w:type="dxa"/>
            <w:tcBorders>
              <w:top w:val="nil"/>
              <w:left w:val="nil"/>
              <w:bottom w:val="nil"/>
              <w:right w:val="nil"/>
            </w:tcBorders>
            <w:shd w:val="clear" w:color="000000" w:fill="FFFFFF"/>
            <w:noWrap/>
          </w:tcPr>
          <w:p w14:paraId="6F76E9C1" w14:textId="514A45D6" w:rsidR="006E3BD4" w:rsidRPr="00B061B2" w:rsidRDefault="006E3BD4" w:rsidP="00D82E2F">
            <w:pPr>
              <w:spacing w:after="0"/>
              <w:jc w:val="right"/>
              <w:rPr>
                <w:rFonts w:cs="Arial"/>
                <w:i/>
                <w:iCs/>
                <w:color w:val="000000"/>
                <w:sz w:val="16"/>
                <w:szCs w:val="16"/>
              </w:rPr>
            </w:pPr>
            <w:r w:rsidRPr="00B061B2">
              <w:rPr>
                <w:sz w:val="16"/>
                <w:szCs w:val="16"/>
              </w:rPr>
              <w:t>110,3</w:t>
            </w:r>
            <w:r w:rsidR="009E5D78">
              <w:rPr>
                <w:sz w:val="16"/>
                <w:szCs w:val="16"/>
              </w:rPr>
              <w:t xml:space="preserve"> </w:t>
            </w:r>
            <w:r w:rsidRPr="00B061B2">
              <w:rPr>
                <w:sz w:val="16"/>
                <w:szCs w:val="16"/>
              </w:rPr>
              <w:t>%</w:t>
            </w:r>
          </w:p>
        </w:tc>
      </w:tr>
      <w:tr w:rsidR="006E3BD4" w:rsidRPr="00B061B2" w14:paraId="5C113837" w14:textId="77777777" w:rsidTr="00D82E2F">
        <w:trPr>
          <w:gridAfter w:val="1"/>
          <w:wAfter w:w="66" w:type="dxa"/>
          <w:trHeight w:val="265"/>
        </w:trPr>
        <w:tc>
          <w:tcPr>
            <w:tcW w:w="3471" w:type="dxa"/>
            <w:tcBorders>
              <w:top w:val="nil"/>
              <w:left w:val="nil"/>
              <w:bottom w:val="single" w:sz="8" w:space="0" w:color="auto"/>
              <w:right w:val="single" w:sz="4" w:space="0" w:color="auto"/>
            </w:tcBorders>
            <w:shd w:val="clear" w:color="auto" w:fill="auto"/>
            <w:noWrap/>
            <w:vAlign w:val="bottom"/>
            <w:hideMark/>
          </w:tcPr>
          <w:p w14:paraId="57EE7FE6" w14:textId="77777777" w:rsidR="006E3BD4" w:rsidRPr="00B061B2" w:rsidRDefault="006E3BD4" w:rsidP="00D82E2F">
            <w:pPr>
              <w:spacing w:after="0" w:line="240" w:lineRule="auto"/>
              <w:rPr>
                <w:rFonts w:cs="Arial"/>
                <w:sz w:val="16"/>
                <w:szCs w:val="16"/>
              </w:rPr>
            </w:pPr>
            <w:r w:rsidRPr="00B061B2">
              <w:rPr>
                <w:rFonts w:cs="Arial"/>
                <w:sz w:val="16"/>
                <w:szCs w:val="16"/>
              </w:rPr>
              <w:t xml:space="preserve">     Ostatní terapeutické pomůcky a vybavení</w:t>
            </w:r>
          </w:p>
        </w:tc>
        <w:tc>
          <w:tcPr>
            <w:tcW w:w="852" w:type="dxa"/>
            <w:tcBorders>
              <w:top w:val="nil"/>
              <w:left w:val="nil"/>
              <w:bottom w:val="single" w:sz="8" w:space="0" w:color="auto"/>
              <w:right w:val="single" w:sz="4" w:space="0" w:color="auto"/>
            </w:tcBorders>
            <w:shd w:val="clear" w:color="auto" w:fill="auto"/>
            <w:noWrap/>
          </w:tcPr>
          <w:p w14:paraId="73AD7A9C" w14:textId="77777777" w:rsidR="006E3BD4" w:rsidRPr="00B061B2" w:rsidRDefault="006E3BD4" w:rsidP="00D82E2F">
            <w:pPr>
              <w:spacing w:after="0"/>
              <w:jc w:val="right"/>
              <w:rPr>
                <w:rFonts w:cs="Arial"/>
                <w:sz w:val="16"/>
                <w:szCs w:val="16"/>
              </w:rPr>
            </w:pPr>
            <w:r w:rsidRPr="00B061B2">
              <w:rPr>
                <w:sz w:val="16"/>
                <w:szCs w:val="16"/>
              </w:rPr>
              <w:t>1 699</w:t>
            </w:r>
          </w:p>
        </w:tc>
        <w:tc>
          <w:tcPr>
            <w:tcW w:w="852" w:type="dxa"/>
            <w:tcBorders>
              <w:top w:val="nil"/>
              <w:left w:val="nil"/>
              <w:bottom w:val="single" w:sz="8" w:space="0" w:color="auto"/>
              <w:right w:val="single" w:sz="4" w:space="0" w:color="auto"/>
            </w:tcBorders>
            <w:shd w:val="clear" w:color="auto" w:fill="auto"/>
            <w:noWrap/>
          </w:tcPr>
          <w:p w14:paraId="6145ADA1" w14:textId="77777777" w:rsidR="006E3BD4" w:rsidRPr="00B061B2" w:rsidRDefault="006E3BD4" w:rsidP="00D82E2F">
            <w:pPr>
              <w:spacing w:after="0"/>
              <w:jc w:val="right"/>
              <w:rPr>
                <w:rFonts w:cs="Arial"/>
                <w:sz w:val="16"/>
                <w:szCs w:val="16"/>
              </w:rPr>
            </w:pPr>
            <w:r w:rsidRPr="00B061B2">
              <w:rPr>
                <w:sz w:val="16"/>
                <w:szCs w:val="16"/>
              </w:rPr>
              <w:t>1 745</w:t>
            </w:r>
          </w:p>
        </w:tc>
        <w:tc>
          <w:tcPr>
            <w:tcW w:w="852" w:type="dxa"/>
            <w:tcBorders>
              <w:top w:val="nil"/>
              <w:left w:val="nil"/>
              <w:bottom w:val="single" w:sz="8" w:space="0" w:color="auto"/>
              <w:right w:val="single" w:sz="4" w:space="0" w:color="auto"/>
            </w:tcBorders>
            <w:shd w:val="clear" w:color="auto" w:fill="auto"/>
            <w:noWrap/>
          </w:tcPr>
          <w:p w14:paraId="4922D62D" w14:textId="77777777" w:rsidR="006E3BD4" w:rsidRPr="00B061B2" w:rsidRDefault="006E3BD4" w:rsidP="00D82E2F">
            <w:pPr>
              <w:spacing w:after="0"/>
              <w:jc w:val="right"/>
              <w:rPr>
                <w:rFonts w:cs="Arial"/>
                <w:sz w:val="16"/>
                <w:szCs w:val="16"/>
              </w:rPr>
            </w:pPr>
            <w:r w:rsidRPr="00B061B2">
              <w:rPr>
                <w:sz w:val="16"/>
                <w:szCs w:val="16"/>
              </w:rPr>
              <w:t>1 740</w:t>
            </w:r>
          </w:p>
        </w:tc>
        <w:tc>
          <w:tcPr>
            <w:tcW w:w="852" w:type="dxa"/>
            <w:tcBorders>
              <w:top w:val="nil"/>
              <w:left w:val="nil"/>
              <w:bottom w:val="single" w:sz="8" w:space="0" w:color="auto"/>
              <w:right w:val="single" w:sz="4" w:space="0" w:color="auto"/>
            </w:tcBorders>
            <w:shd w:val="clear" w:color="auto" w:fill="auto"/>
            <w:noWrap/>
          </w:tcPr>
          <w:p w14:paraId="587F4A46" w14:textId="77777777" w:rsidR="006E3BD4" w:rsidRPr="00B061B2" w:rsidRDefault="006E3BD4" w:rsidP="00D82E2F">
            <w:pPr>
              <w:spacing w:after="0"/>
              <w:jc w:val="right"/>
              <w:rPr>
                <w:rFonts w:cs="Arial"/>
                <w:sz w:val="16"/>
                <w:szCs w:val="16"/>
              </w:rPr>
            </w:pPr>
            <w:r w:rsidRPr="00B061B2">
              <w:rPr>
                <w:sz w:val="16"/>
                <w:szCs w:val="16"/>
              </w:rPr>
              <w:t>1 639</w:t>
            </w:r>
          </w:p>
        </w:tc>
        <w:tc>
          <w:tcPr>
            <w:tcW w:w="852" w:type="dxa"/>
            <w:tcBorders>
              <w:top w:val="nil"/>
              <w:left w:val="nil"/>
              <w:bottom w:val="single" w:sz="8" w:space="0" w:color="auto"/>
              <w:right w:val="single" w:sz="4" w:space="0" w:color="auto"/>
            </w:tcBorders>
            <w:shd w:val="clear" w:color="auto" w:fill="auto"/>
            <w:noWrap/>
          </w:tcPr>
          <w:p w14:paraId="265135AD" w14:textId="77777777" w:rsidR="006E3BD4" w:rsidRPr="00B061B2" w:rsidRDefault="006E3BD4" w:rsidP="00D82E2F">
            <w:pPr>
              <w:spacing w:after="0"/>
              <w:jc w:val="right"/>
              <w:rPr>
                <w:rFonts w:cs="Arial"/>
                <w:sz w:val="16"/>
                <w:szCs w:val="16"/>
              </w:rPr>
            </w:pPr>
            <w:r w:rsidRPr="00B061B2">
              <w:rPr>
                <w:sz w:val="16"/>
                <w:szCs w:val="16"/>
              </w:rPr>
              <w:t>1 698</w:t>
            </w:r>
          </w:p>
        </w:tc>
        <w:tc>
          <w:tcPr>
            <w:tcW w:w="853" w:type="dxa"/>
            <w:tcBorders>
              <w:top w:val="nil"/>
              <w:left w:val="nil"/>
              <w:bottom w:val="single" w:sz="8" w:space="0" w:color="auto"/>
              <w:right w:val="single" w:sz="4" w:space="0" w:color="auto"/>
            </w:tcBorders>
            <w:shd w:val="clear" w:color="auto" w:fill="auto"/>
            <w:noWrap/>
          </w:tcPr>
          <w:p w14:paraId="1484E3F3" w14:textId="77777777" w:rsidR="006E3BD4" w:rsidRPr="00B061B2" w:rsidRDefault="006E3BD4" w:rsidP="00D82E2F">
            <w:pPr>
              <w:spacing w:after="0"/>
              <w:jc w:val="right"/>
              <w:rPr>
                <w:rFonts w:cs="Arial"/>
                <w:color w:val="000000"/>
                <w:sz w:val="16"/>
                <w:szCs w:val="16"/>
              </w:rPr>
            </w:pPr>
            <w:r w:rsidRPr="00B061B2">
              <w:rPr>
                <w:sz w:val="16"/>
                <w:szCs w:val="16"/>
              </w:rPr>
              <w:t>1 873</w:t>
            </w:r>
          </w:p>
        </w:tc>
        <w:tc>
          <w:tcPr>
            <w:tcW w:w="900" w:type="dxa"/>
            <w:tcBorders>
              <w:top w:val="nil"/>
              <w:left w:val="nil"/>
              <w:bottom w:val="single" w:sz="8" w:space="0" w:color="auto"/>
              <w:right w:val="nil"/>
            </w:tcBorders>
            <w:shd w:val="clear" w:color="auto" w:fill="auto"/>
            <w:noWrap/>
          </w:tcPr>
          <w:p w14:paraId="49299A4C" w14:textId="38ECB7CF" w:rsidR="006E3BD4" w:rsidRPr="00B061B2" w:rsidRDefault="006E3BD4" w:rsidP="00D82E2F">
            <w:pPr>
              <w:spacing w:after="0"/>
              <w:jc w:val="right"/>
              <w:rPr>
                <w:rFonts w:cs="Arial"/>
                <w:i/>
                <w:iCs/>
                <w:color w:val="000000"/>
                <w:sz w:val="16"/>
                <w:szCs w:val="16"/>
              </w:rPr>
            </w:pPr>
            <w:r w:rsidRPr="00B061B2">
              <w:rPr>
                <w:sz w:val="16"/>
                <w:szCs w:val="16"/>
              </w:rPr>
              <w:t>110,3</w:t>
            </w:r>
            <w:r w:rsidR="009E5D78">
              <w:rPr>
                <w:sz w:val="16"/>
                <w:szCs w:val="16"/>
              </w:rPr>
              <w:t xml:space="preserve"> </w:t>
            </w:r>
            <w:r w:rsidRPr="00B061B2">
              <w:rPr>
                <w:sz w:val="16"/>
                <w:szCs w:val="16"/>
              </w:rPr>
              <w:t>%</w:t>
            </w:r>
          </w:p>
        </w:tc>
      </w:tr>
      <w:tr w:rsidR="006E3BD4" w:rsidRPr="00B061B2" w14:paraId="75543B73" w14:textId="77777777" w:rsidTr="00D82E2F">
        <w:trPr>
          <w:gridAfter w:val="1"/>
          <w:wAfter w:w="66" w:type="dxa"/>
          <w:trHeight w:val="265"/>
        </w:trPr>
        <w:tc>
          <w:tcPr>
            <w:tcW w:w="3471" w:type="dxa"/>
            <w:tcBorders>
              <w:top w:val="nil"/>
              <w:left w:val="nil"/>
              <w:bottom w:val="single" w:sz="8" w:space="0" w:color="auto"/>
              <w:right w:val="single" w:sz="4" w:space="0" w:color="auto"/>
            </w:tcBorders>
            <w:shd w:val="clear" w:color="000000" w:fill="F2DCDB"/>
            <w:noWrap/>
            <w:vAlign w:val="bottom"/>
            <w:hideMark/>
          </w:tcPr>
          <w:p w14:paraId="1BA67152" w14:textId="77777777" w:rsidR="006E3BD4" w:rsidRPr="00B061B2" w:rsidRDefault="006E3BD4" w:rsidP="00D82E2F">
            <w:pPr>
              <w:spacing w:after="0" w:line="240" w:lineRule="auto"/>
              <w:rPr>
                <w:rFonts w:cs="Arial"/>
                <w:b/>
                <w:bCs/>
                <w:sz w:val="16"/>
                <w:szCs w:val="16"/>
              </w:rPr>
            </w:pPr>
            <w:r w:rsidRPr="00B061B2">
              <w:rPr>
                <w:rFonts w:cs="Arial"/>
                <w:b/>
                <w:bCs/>
                <w:sz w:val="16"/>
                <w:szCs w:val="16"/>
              </w:rPr>
              <w:t>Zdravotní péče celkem</w:t>
            </w:r>
          </w:p>
        </w:tc>
        <w:tc>
          <w:tcPr>
            <w:tcW w:w="852" w:type="dxa"/>
            <w:tcBorders>
              <w:top w:val="nil"/>
              <w:left w:val="nil"/>
              <w:bottom w:val="single" w:sz="8" w:space="0" w:color="auto"/>
              <w:right w:val="single" w:sz="4" w:space="0" w:color="auto"/>
            </w:tcBorders>
            <w:shd w:val="clear" w:color="000000" w:fill="F2DCDB"/>
            <w:noWrap/>
          </w:tcPr>
          <w:p w14:paraId="5B561A5F" w14:textId="77777777" w:rsidR="006E3BD4" w:rsidRPr="00B061B2" w:rsidRDefault="006E3BD4" w:rsidP="00D82E2F">
            <w:pPr>
              <w:spacing w:after="0"/>
              <w:jc w:val="right"/>
              <w:rPr>
                <w:rFonts w:cs="Arial"/>
                <w:b/>
                <w:bCs/>
                <w:sz w:val="16"/>
                <w:szCs w:val="16"/>
              </w:rPr>
            </w:pPr>
            <w:r w:rsidRPr="00B061B2">
              <w:rPr>
                <w:sz w:val="16"/>
                <w:szCs w:val="16"/>
              </w:rPr>
              <w:t>43 105</w:t>
            </w:r>
          </w:p>
        </w:tc>
        <w:tc>
          <w:tcPr>
            <w:tcW w:w="852" w:type="dxa"/>
            <w:tcBorders>
              <w:top w:val="nil"/>
              <w:left w:val="nil"/>
              <w:bottom w:val="single" w:sz="8" w:space="0" w:color="auto"/>
              <w:right w:val="single" w:sz="4" w:space="0" w:color="auto"/>
            </w:tcBorders>
            <w:shd w:val="clear" w:color="000000" w:fill="F2DCDB"/>
            <w:noWrap/>
          </w:tcPr>
          <w:p w14:paraId="113EA893" w14:textId="77777777" w:rsidR="006E3BD4" w:rsidRPr="00B061B2" w:rsidRDefault="006E3BD4" w:rsidP="00D82E2F">
            <w:pPr>
              <w:spacing w:after="0"/>
              <w:jc w:val="right"/>
              <w:rPr>
                <w:rFonts w:cs="Arial"/>
                <w:b/>
                <w:bCs/>
                <w:sz w:val="16"/>
                <w:szCs w:val="16"/>
              </w:rPr>
            </w:pPr>
            <w:r w:rsidRPr="00B061B2">
              <w:rPr>
                <w:sz w:val="16"/>
                <w:szCs w:val="16"/>
              </w:rPr>
              <w:t>50 634</w:t>
            </w:r>
          </w:p>
        </w:tc>
        <w:tc>
          <w:tcPr>
            <w:tcW w:w="852" w:type="dxa"/>
            <w:tcBorders>
              <w:top w:val="nil"/>
              <w:left w:val="nil"/>
              <w:bottom w:val="single" w:sz="8" w:space="0" w:color="auto"/>
              <w:right w:val="single" w:sz="4" w:space="0" w:color="auto"/>
            </w:tcBorders>
            <w:shd w:val="clear" w:color="000000" w:fill="F2DCDB"/>
            <w:noWrap/>
          </w:tcPr>
          <w:p w14:paraId="2BD5BEC2" w14:textId="77777777" w:rsidR="006E3BD4" w:rsidRPr="00B061B2" w:rsidRDefault="006E3BD4" w:rsidP="00D82E2F">
            <w:pPr>
              <w:spacing w:after="0"/>
              <w:jc w:val="right"/>
              <w:rPr>
                <w:rFonts w:cs="Arial"/>
                <w:b/>
                <w:bCs/>
                <w:sz w:val="16"/>
                <w:szCs w:val="16"/>
              </w:rPr>
            </w:pPr>
            <w:r w:rsidRPr="00B061B2">
              <w:rPr>
                <w:sz w:val="16"/>
                <w:szCs w:val="16"/>
              </w:rPr>
              <w:t>52 954</w:t>
            </w:r>
          </w:p>
        </w:tc>
        <w:tc>
          <w:tcPr>
            <w:tcW w:w="852" w:type="dxa"/>
            <w:tcBorders>
              <w:top w:val="nil"/>
              <w:left w:val="nil"/>
              <w:bottom w:val="single" w:sz="8" w:space="0" w:color="auto"/>
              <w:right w:val="single" w:sz="4" w:space="0" w:color="auto"/>
            </w:tcBorders>
            <w:shd w:val="clear" w:color="000000" w:fill="F2DCDB"/>
            <w:noWrap/>
          </w:tcPr>
          <w:p w14:paraId="4203EA86" w14:textId="77777777" w:rsidR="006E3BD4" w:rsidRPr="00B061B2" w:rsidRDefault="006E3BD4" w:rsidP="00D82E2F">
            <w:pPr>
              <w:spacing w:after="0"/>
              <w:jc w:val="right"/>
              <w:rPr>
                <w:rFonts w:cs="Arial"/>
                <w:b/>
                <w:bCs/>
                <w:sz w:val="16"/>
                <w:szCs w:val="16"/>
              </w:rPr>
            </w:pPr>
            <w:r w:rsidRPr="00B061B2">
              <w:rPr>
                <w:sz w:val="16"/>
                <w:szCs w:val="16"/>
              </w:rPr>
              <w:t>54 870</w:t>
            </w:r>
          </w:p>
        </w:tc>
        <w:tc>
          <w:tcPr>
            <w:tcW w:w="852" w:type="dxa"/>
            <w:tcBorders>
              <w:top w:val="nil"/>
              <w:left w:val="nil"/>
              <w:bottom w:val="single" w:sz="8" w:space="0" w:color="auto"/>
              <w:right w:val="single" w:sz="4" w:space="0" w:color="auto"/>
            </w:tcBorders>
            <w:shd w:val="clear" w:color="000000" w:fill="F2DCDB"/>
            <w:noWrap/>
          </w:tcPr>
          <w:p w14:paraId="2B48EC8D" w14:textId="77777777" w:rsidR="006E3BD4" w:rsidRPr="00B061B2" w:rsidRDefault="006E3BD4" w:rsidP="00D82E2F">
            <w:pPr>
              <w:spacing w:after="0"/>
              <w:jc w:val="right"/>
              <w:rPr>
                <w:rFonts w:cs="Arial"/>
                <w:b/>
                <w:bCs/>
                <w:sz w:val="16"/>
                <w:szCs w:val="16"/>
              </w:rPr>
            </w:pPr>
            <w:r w:rsidRPr="00B061B2">
              <w:rPr>
                <w:sz w:val="16"/>
                <w:szCs w:val="16"/>
              </w:rPr>
              <w:t>57 344</w:t>
            </w:r>
          </w:p>
        </w:tc>
        <w:tc>
          <w:tcPr>
            <w:tcW w:w="853" w:type="dxa"/>
            <w:tcBorders>
              <w:top w:val="nil"/>
              <w:left w:val="nil"/>
              <w:bottom w:val="single" w:sz="8" w:space="0" w:color="auto"/>
              <w:right w:val="single" w:sz="4" w:space="0" w:color="auto"/>
            </w:tcBorders>
            <w:shd w:val="clear" w:color="000000" w:fill="F2DCDB"/>
            <w:noWrap/>
          </w:tcPr>
          <w:p w14:paraId="27A796D8" w14:textId="77777777" w:rsidR="006E3BD4" w:rsidRPr="00B061B2" w:rsidRDefault="006E3BD4" w:rsidP="00D82E2F">
            <w:pPr>
              <w:spacing w:after="0"/>
              <w:jc w:val="right"/>
              <w:rPr>
                <w:rFonts w:cs="Arial"/>
                <w:b/>
                <w:bCs/>
                <w:color w:val="000000"/>
                <w:sz w:val="16"/>
                <w:szCs w:val="16"/>
              </w:rPr>
            </w:pPr>
            <w:r w:rsidRPr="00B061B2">
              <w:rPr>
                <w:sz w:val="16"/>
                <w:szCs w:val="16"/>
              </w:rPr>
              <w:t>63 732</w:t>
            </w:r>
          </w:p>
        </w:tc>
        <w:tc>
          <w:tcPr>
            <w:tcW w:w="900" w:type="dxa"/>
            <w:tcBorders>
              <w:top w:val="nil"/>
              <w:left w:val="nil"/>
              <w:bottom w:val="single" w:sz="8" w:space="0" w:color="auto"/>
              <w:right w:val="nil"/>
            </w:tcBorders>
            <w:shd w:val="clear" w:color="000000" w:fill="F2DCDB"/>
            <w:noWrap/>
          </w:tcPr>
          <w:p w14:paraId="6352AA18" w14:textId="461918AC" w:rsidR="006E3BD4" w:rsidRPr="00B061B2" w:rsidRDefault="006E3BD4" w:rsidP="00D82E2F">
            <w:pPr>
              <w:spacing w:after="0"/>
              <w:jc w:val="right"/>
              <w:rPr>
                <w:rFonts w:cs="Arial"/>
                <w:i/>
                <w:iCs/>
                <w:color w:val="000000"/>
                <w:sz w:val="16"/>
                <w:szCs w:val="16"/>
              </w:rPr>
            </w:pPr>
            <w:r w:rsidRPr="00B061B2">
              <w:rPr>
                <w:sz w:val="16"/>
                <w:szCs w:val="16"/>
              </w:rPr>
              <w:t>111,1</w:t>
            </w:r>
            <w:r w:rsidR="009E5D78">
              <w:rPr>
                <w:sz w:val="16"/>
                <w:szCs w:val="16"/>
              </w:rPr>
              <w:t xml:space="preserve"> </w:t>
            </w:r>
            <w:r w:rsidRPr="00B061B2">
              <w:rPr>
                <w:sz w:val="16"/>
                <w:szCs w:val="16"/>
              </w:rPr>
              <w:t>%</w:t>
            </w:r>
          </w:p>
        </w:tc>
      </w:tr>
    </w:tbl>
    <w:p w14:paraId="3B7997B9" w14:textId="77777777" w:rsidR="006E3BD4" w:rsidRPr="00237DD8" w:rsidRDefault="006E3BD4" w:rsidP="00F24A08">
      <w:pPr>
        <w:spacing w:before="120" w:after="120" w:line="240" w:lineRule="auto"/>
        <w:ind w:firstLine="706"/>
        <w:rPr>
          <w:b/>
          <w:bCs/>
          <w:i/>
          <w:sz w:val="16"/>
          <w:szCs w:val="16"/>
        </w:rPr>
      </w:pPr>
      <w:r w:rsidRPr="00B061B2">
        <w:rPr>
          <w:b/>
          <w:bCs/>
          <w:i/>
          <w:sz w:val="16"/>
          <w:szCs w:val="16"/>
        </w:rPr>
        <w:t xml:space="preserve">                                                                                                              Zdroj: ČSÚ 2021, Zdravotnické účty ČR 2010</w:t>
      </w:r>
      <w:r w:rsidRPr="00B061B2">
        <w:rPr>
          <w:sz w:val="16"/>
          <w:szCs w:val="16"/>
        </w:rPr>
        <w:t>–</w:t>
      </w:r>
      <w:r w:rsidRPr="00B061B2">
        <w:rPr>
          <w:b/>
          <w:bCs/>
          <w:i/>
          <w:sz w:val="16"/>
          <w:szCs w:val="16"/>
        </w:rPr>
        <w:t>2019</w:t>
      </w:r>
    </w:p>
    <w:p w14:paraId="42BE723E" w14:textId="77777777" w:rsidR="006E3BD4" w:rsidRDefault="006E3BD4" w:rsidP="00F24A08">
      <w:pPr>
        <w:spacing w:after="120"/>
      </w:pPr>
    </w:p>
    <w:p w14:paraId="1F318CCB" w14:textId="75D23E70" w:rsidR="006E3BD4" w:rsidRPr="00B061B2" w:rsidRDefault="006E3BD4" w:rsidP="00F24A08">
      <w:pPr>
        <w:keepNext/>
        <w:spacing w:after="120"/>
        <w:jc w:val="both"/>
        <w:rPr>
          <w:szCs w:val="17"/>
        </w:rPr>
      </w:pPr>
      <w:r w:rsidRPr="00991A9E">
        <w:rPr>
          <w:rFonts w:cs="Arial"/>
          <w:color w:val="000000"/>
          <w:szCs w:val="20"/>
        </w:rPr>
        <w:lastRenderedPageBreak/>
        <w:t>Uvedené výdaje zahrnují přímé náklady domácností na zdravotní péči</w:t>
      </w:r>
      <w:r>
        <w:rPr>
          <w:rFonts w:cs="Arial"/>
          <w:color w:val="000000"/>
          <w:szCs w:val="20"/>
        </w:rPr>
        <w:t>.</w:t>
      </w:r>
      <w:r w:rsidRPr="00991A9E" w:rsidDel="002E41B3">
        <w:rPr>
          <w:rFonts w:cs="Arial"/>
          <w:color w:val="000000"/>
          <w:szCs w:val="20"/>
        </w:rPr>
        <w:t xml:space="preserve"> </w:t>
      </w:r>
      <w:r>
        <w:rPr>
          <w:rFonts w:cs="Arial"/>
          <w:color w:val="000000"/>
          <w:szCs w:val="20"/>
        </w:rPr>
        <w:t>L</w:t>
      </w:r>
      <w:r w:rsidRPr="00991A9E">
        <w:rPr>
          <w:rFonts w:cs="Arial"/>
          <w:szCs w:val="20"/>
        </w:rPr>
        <w:t>idé</w:t>
      </w:r>
      <w:r>
        <w:rPr>
          <w:rFonts w:cs="Arial"/>
          <w:szCs w:val="20"/>
        </w:rPr>
        <w:t> </w:t>
      </w:r>
      <w:r w:rsidRPr="00991A9E">
        <w:rPr>
          <w:rFonts w:cs="Arial"/>
          <w:szCs w:val="20"/>
        </w:rPr>
        <w:t>platí z vlastní kapsy především léky, ať už se jedná o doplatky za medikamenty na předpis nebo volně prodejné léky a ostatní léčiva. Z</w:t>
      </w:r>
      <w:r>
        <w:rPr>
          <w:rFonts w:cs="Arial"/>
          <w:szCs w:val="20"/>
        </w:rPr>
        <w:t> </w:t>
      </w:r>
      <w:r w:rsidRPr="00991A9E">
        <w:rPr>
          <w:rFonts w:cs="Arial"/>
          <w:szCs w:val="20"/>
        </w:rPr>
        <w:t>rozpočtu</w:t>
      </w:r>
      <w:r>
        <w:rPr>
          <w:rFonts w:cs="Arial"/>
          <w:szCs w:val="20"/>
        </w:rPr>
        <w:t xml:space="preserve"> domácností</w:t>
      </w:r>
      <w:r w:rsidRPr="00991A9E">
        <w:rPr>
          <w:rFonts w:cs="Arial"/>
          <w:szCs w:val="20"/>
        </w:rPr>
        <w:t xml:space="preserve"> jsou hrazeny i příplatky u stomatologů, regulační</w:t>
      </w:r>
      <w:r>
        <w:rPr>
          <w:rFonts w:cs="Arial"/>
          <w:szCs w:val="20"/>
        </w:rPr>
        <w:t> </w:t>
      </w:r>
      <w:r w:rsidRPr="00991A9E">
        <w:rPr>
          <w:rFonts w:cs="Arial"/>
          <w:szCs w:val="20"/>
        </w:rPr>
        <w:t xml:space="preserve">poplatky za pohotovostní služby a poplatky za různá potvrzení nebo vstupní vyšetření do zaměstnání </w:t>
      </w:r>
      <w:r w:rsidR="005B66E0">
        <w:rPr>
          <w:rFonts w:cs="Arial"/>
          <w:szCs w:val="20"/>
        </w:rPr>
        <w:t>u praktického lékaře, platby za </w:t>
      </w:r>
      <w:r w:rsidRPr="00991A9E">
        <w:rPr>
          <w:rFonts w:cs="Arial"/>
          <w:szCs w:val="20"/>
        </w:rPr>
        <w:t>nadstandardní výkony, materiál a služby</w:t>
      </w:r>
      <w:r>
        <w:rPr>
          <w:rFonts w:cs="Arial"/>
          <w:szCs w:val="20"/>
        </w:rPr>
        <w:t>. V </w:t>
      </w:r>
      <w:r w:rsidRPr="00991A9E">
        <w:rPr>
          <w:rFonts w:cs="Arial"/>
          <w:szCs w:val="20"/>
        </w:rPr>
        <w:t xml:space="preserve">neposlední řadě </w:t>
      </w:r>
      <w:r>
        <w:rPr>
          <w:rFonts w:cs="Arial"/>
          <w:szCs w:val="20"/>
        </w:rPr>
        <w:t xml:space="preserve">se do této skupiny výkonů hrazených z rozpočtů domácností patří </w:t>
      </w:r>
      <w:r w:rsidRPr="00991A9E">
        <w:rPr>
          <w:rFonts w:cs="Arial"/>
          <w:szCs w:val="20"/>
        </w:rPr>
        <w:t>kosmetické operace, služby dentálních hygienistek, nutričních terapeutů</w:t>
      </w:r>
      <w:r>
        <w:rPr>
          <w:rFonts w:cs="Arial"/>
          <w:szCs w:val="20"/>
        </w:rPr>
        <w:t>, fyzioterapeutů</w:t>
      </w:r>
      <w:r w:rsidRPr="00991A9E">
        <w:rPr>
          <w:rFonts w:cs="Arial"/>
          <w:szCs w:val="20"/>
        </w:rPr>
        <w:t xml:space="preserve"> a další služby nehrazené z veřejného zdravotního pojištění.</w:t>
      </w:r>
      <w:r>
        <w:rPr>
          <w:rFonts w:cs="Arial"/>
          <w:szCs w:val="20"/>
        </w:rPr>
        <w:t xml:space="preserve"> Ve výdajích domácností naopak nejsou zahrnuty</w:t>
      </w:r>
      <w:r w:rsidRPr="00FD497D">
        <w:rPr>
          <w:rFonts w:cs="Arial"/>
          <w:b/>
          <w:color w:val="000000"/>
          <w:szCs w:val="20"/>
        </w:rPr>
        <w:t xml:space="preserve"> platby, které jsou zpětně propláceny</w:t>
      </w:r>
      <w:r w:rsidRPr="00991A9E">
        <w:rPr>
          <w:rFonts w:cs="Arial"/>
          <w:color w:val="000000"/>
          <w:szCs w:val="20"/>
        </w:rPr>
        <w:t xml:space="preserve"> (např. refundace od zdravotních pojišťoven při úhradě naléhavé zdravotní péče v zahraničí</w:t>
      </w:r>
      <w:r>
        <w:rPr>
          <w:rFonts w:cs="Arial"/>
          <w:color w:val="000000"/>
          <w:szCs w:val="20"/>
        </w:rPr>
        <w:t xml:space="preserve"> nebo zpětné vracení doplatků za léky při překročení ochranného limitu</w:t>
      </w:r>
      <w:r w:rsidRPr="00991A9E">
        <w:rPr>
          <w:rFonts w:cs="Arial"/>
          <w:color w:val="000000"/>
          <w:szCs w:val="20"/>
        </w:rPr>
        <w:t xml:space="preserve">). </w:t>
      </w:r>
    </w:p>
    <w:p w14:paraId="4AF2FA2C" w14:textId="77777777" w:rsidR="006E3BD4" w:rsidRPr="00B061B2" w:rsidRDefault="006E3BD4" w:rsidP="006E3BD4">
      <w:pPr>
        <w:keepNext/>
        <w:jc w:val="both"/>
        <w:rPr>
          <w:rFonts w:cs="Arial"/>
          <w:szCs w:val="20"/>
        </w:rPr>
      </w:pPr>
      <w:r w:rsidRPr="00B061B2">
        <w:rPr>
          <w:rFonts w:cs="Arial"/>
          <w:szCs w:val="20"/>
        </w:rPr>
        <w:t>Přehlednější strukturu výdajů domácností podle druhů zdravotní péče v roce 2019 dokládá následující graf.</w:t>
      </w:r>
    </w:p>
    <w:p w14:paraId="66744D30" w14:textId="70E2C851" w:rsidR="006E3BD4" w:rsidRPr="00EE1B89" w:rsidRDefault="006E3BD4" w:rsidP="00EE1B89">
      <w:pPr>
        <w:spacing w:before="240" w:after="120" w:line="240" w:lineRule="auto"/>
        <w:rPr>
          <w:b/>
          <w:sz w:val="18"/>
          <w:szCs w:val="18"/>
        </w:rPr>
      </w:pPr>
      <w:r w:rsidRPr="00EE1B89">
        <w:rPr>
          <w:b/>
          <w:sz w:val="18"/>
          <w:szCs w:val="18"/>
        </w:rPr>
        <w:t>Graf č. 3.</w:t>
      </w:r>
      <w:r w:rsidR="00F65C87">
        <w:rPr>
          <w:b/>
          <w:sz w:val="18"/>
          <w:szCs w:val="18"/>
        </w:rPr>
        <w:t>2.</w:t>
      </w:r>
      <w:r w:rsidRPr="00EE1B89">
        <w:rPr>
          <w:b/>
          <w:sz w:val="18"/>
          <w:szCs w:val="18"/>
        </w:rPr>
        <w:t xml:space="preserve"> Výdaje domácností v Česku na zdravotní péči, 2019 (v mil. Kč a v %)</w:t>
      </w:r>
    </w:p>
    <w:p w14:paraId="16C21729" w14:textId="77777777" w:rsidR="006E3BD4" w:rsidRPr="00B061B2" w:rsidRDefault="006E3BD4" w:rsidP="00EE1B89">
      <w:pPr>
        <w:keepNext/>
        <w:spacing w:before="240" w:after="120"/>
        <w:jc w:val="both"/>
        <w:rPr>
          <w:rFonts w:cs="Arial"/>
          <w:b/>
          <w:sz w:val="18"/>
          <w:szCs w:val="18"/>
        </w:rPr>
      </w:pPr>
      <w:r>
        <w:rPr>
          <w:noProof/>
        </w:rPr>
        <w:drawing>
          <wp:inline distT="0" distB="0" distL="0" distR="0" wp14:anchorId="69A03490" wp14:editId="420D6F26">
            <wp:extent cx="6111240" cy="3749040"/>
            <wp:effectExtent l="0" t="0" r="3810" b="381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EFF48E0" w14:textId="77777777" w:rsidR="006E3BD4" w:rsidRDefault="006E3BD4" w:rsidP="00EE1B89">
      <w:pPr>
        <w:spacing w:before="120" w:line="240" w:lineRule="auto"/>
        <w:jc w:val="right"/>
        <w:rPr>
          <w:b/>
          <w:bCs/>
          <w:i/>
          <w:sz w:val="16"/>
          <w:szCs w:val="16"/>
        </w:rPr>
      </w:pPr>
      <w:r w:rsidRPr="00991A9E">
        <w:rPr>
          <w:b/>
          <w:bCs/>
          <w:i/>
          <w:sz w:val="16"/>
          <w:szCs w:val="16"/>
        </w:rPr>
        <w:t>Zdroj: ČSÚ 20</w:t>
      </w:r>
      <w:r>
        <w:rPr>
          <w:b/>
          <w:bCs/>
          <w:i/>
          <w:sz w:val="16"/>
          <w:szCs w:val="16"/>
        </w:rPr>
        <w:t>21</w:t>
      </w:r>
      <w:r w:rsidRPr="00991A9E">
        <w:rPr>
          <w:b/>
          <w:bCs/>
          <w:i/>
          <w:sz w:val="16"/>
          <w:szCs w:val="16"/>
        </w:rPr>
        <w:t xml:space="preserve"> </w:t>
      </w:r>
      <w:r>
        <w:rPr>
          <w:b/>
          <w:bCs/>
          <w:i/>
          <w:sz w:val="16"/>
          <w:szCs w:val="16"/>
        </w:rPr>
        <w:t>Zdravotnické účty ČR 2010</w:t>
      </w:r>
      <w:r>
        <w:rPr>
          <w:sz w:val="16"/>
          <w:szCs w:val="16"/>
        </w:rPr>
        <w:t>–</w:t>
      </w:r>
      <w:r>
        <w:rPr>
          <w:b/>
          <w:bCs/>
          <w:i/>
          <w:sz w:val="16"/>
          <w:szCs w:val="16"/>
        </w:rPr>
        <w:t>2019</w:t>
      </w:r>
      <w:r w:rsidRPr="00991A9E">
        <w:rPr>
          <w:b/>
          <w:bCs/>
          <w:i/>
          <w:sz w:val="16"/>
          <w:szCs w:val="16"/>
        </w:rPr>
        <w:t xml:space="preserve"> </w:t>
      </w:r>
    </w:p>
    <w:p w14:paraId="129B9012" w14:textId="77777777" w:rsidR="006E3BD4" w:rsidRDefault="006E3BD4" w:rsidP="00EE1B89">
      <w:pPr>
        <w:spacing w:before="240"/>
        <w:rPr>
          <w:rFonts w:eastAsia="MS Gothic"/>
          <w:b/>
          <w:i/>
        </w:rPr>
      </w:pPr>
      <w:r w:rsidRPr="00A83C24">
        <w:rPr>
          <w:rFonts w:eastAsia="MS Gothic"/>
          <w:b/>
          <w:i/>
        </w:rPr>
        <w:t>Léky tvoří dlouhodobě největší část výdajů domácností na zdravotní péči</w:t>
      </w:r>
    </w:p>
    <w:p w14:paraId="74F2BC15" w14:textId="00BC833C" w:rsidR="006E3BD4" w:rsidRPr="006707DD" w:rsidRDefault="006E3BD4" w:rsidP="006E3BD4">
      <w:pPr>
        <w:spacing w:before="200"/>
        <w:jc w:val="both"/>
        <w:rPr>
          <w:rFonts w:eastAsia="MS Gothic"/>
        </w:rPr>
      </w:pPr>
      <w:r w:rsidRPr="005074CF">
        <w:rPr>
          <w:rFonts w:eastAsia="MS Gothic"/>
        </w:rPr>
        <w:t xml:space="preserve">Největší část finančních prostředků na zdravotní péči vydávají domácnosti každoročně </w:t>
      </w:r>
      <w:r w:rsidRPr="00CC6A28">
        <w:rPr>
          <w:rFonts w:eastAsia="MS Gothic"/>
          <w:b/>
        </w:rPr>
        <w:t>na léčiva a ostatní zdravotnické výrobky</w:t>
      </w:r>
      <w:r w:rsidRPr="005074CF">
        <w:rPr>
          <w:rFonts w:eastAsia="MS Gothic"/>
        </w:rPr>
        <w:t xml:space="preserve"> (</w:t>
      </w:r>
      <w:r>
        <w:rPr>
          <w:rFonts w:eastAsia="MS Gothic"/>
        </w:rPr>
        <w:t xml:space="preserve">36,5 mld. Kč </w:t>
      </w:r>
      <w:r w:rsidRPr="005074CF">
        <w:rPr>
          <w:rFonts w:eastAsia="MS Gothic"/>
        </w:rPr>
        <w:t>v roce 201</w:t>
      </w:r>
      <w:r>
        <w:rPr>
          <w:rFonts w:eastAsia="MS Gothic"/>
        </w:rPr>
        <w:t>9</w:t>
      </w:r>
      <w:r w:rsidRPr="005074CF">
        <w:rPr>
          <w:rFonts w:eastAsia="MS Gothic"/>
        </w:rPr>
        <w:t>)</w:t>
      </w:r>
      <w:r>
        <w:rPr>
          <w:rFonts w:eastAsia="MS Gothic"/>
        </w:rPr>
        <w:t xml:space="preserve">. Čtyři pětiny z této kategorie tvoří náklady na léky </w:t>
      </w:r>
      <w:r w:rsidRPr="005074CF">
        <w:rPr>
          <w:rFonts w:eastAsia="MS Gothic"/>
        </w:rPr>
        <w:t>n</w:t>
      </w:r>
      <w:r>
        <w:rPr>
          <w:rFonts w:eastAsia="MS Gothic"/>
        </w:rPr>
        <w:t>a předpis i volně prodejné léky</w:t>
      </w:r>
      <w:r w:rsidRPr="005074CF">
        <w:rPr>
          <w:rFonts w:eastAsia="MS Gothic"/>
        </w:rPr>
        <w:t xml:space="preserve">. </w:t>
      </w:r>
      <w:r>
        <w:rPr>
          <w:rFonts w:eastAsia="MS Gothic"/>
        </w:rPr>
        <w:t>Zbývající podíl výdajů</w:t>
      </w:r>
      <w:r w:rsidRPr="005074CF">
        <w:rPr>
          <w:rFonts w:eastAsia="MS Gothic"/>
        </w:rPr>
        <w:t xml:space="preserve"> směřuje na terapeutické pomůcky a vybavení (brýle, naslouchadla, ortopedické pomůcky, berle, invalidní vozíky, pomůcky pro diabetiky apod.). V porovnání s rokem 201</w:t>
      </w:r>
      <w:r>
        <w:rPr>
          <w:rFonts w:eastAsia="MS Gothic"/>
        </w:rPr>
        <w:t>8</w:t>
      </w:r>
      <w:r w:rsidRPr="005074CF">
        <w:rPr>
          <w:rFonts w:eastAsia="MS Gothic"/>
        </w:rPr>
        <w:t xml:space="preserve"> se výdaje domácností na terapeutické pomůcky </w:t>
      </w:r>
      <w:r>
        <w:rPr>
          <w:rFonts w:eastAsia="MS Gothic"/>
        </w:rPr>
        <w:t>zvýšily o 10 %</w:t>
      </w:r>
      <w:r w:rsidRPr="007A198B">
        <w:rPr>
          <w:rFonts w:eastAsia="MS Gothic"/>
          <w:color w:val="FF0000"/>
        </w:rPr>
        <w:t xml:space="preserve">. </w:t>
      </w:r>
      <w:r w:rsidRPr="009E37E5">
        <w:rPr>
          <w:rFonts w:eastAsia="MS Gothic"/>
        </w:rPr>
        <w:t xml:space="preserve">Částka ve výši 36,5 mld. Kč (viz </w:t>
      </w:r>
      <w:r w:rsidR="00F65C87">
        <w:rPr>
          <w:rFonts w:eastAsia="MS Gothic"/>
        </w:rPr>
        <w:t>kapitola</w:t>
      </w:r>
      <w:r w:rsidRPr="009E37E5">
        <w:rPr>
          <w:rFonts w:eastAsia="MS Gothic"/>
        </w:rPr>
        <w:t xml:space="preserve"> č. 5), kterou zaplatily domácnosti v roce 2019 za léčiva a zdravotnické výrobky, tvořila </w:t>
      </w:r>
      <w:r w:rsidR="006707DD" w:rsidRPr="006707DD">
        <w:rPr>
          <w:rFonts w:eastAsia="MS Gothic"/>
          <w:b/>
        </w:rPr>
        <w:t>7,6</w:t>
      </w:r>
      <w:r w:rsidRPr="006707DD">
        <w:rPr>
          <w:rFonts w:eastAsia="MS Gothic"/>
          <w:b/>
        </w:rPr>
        <w:t xml:space="preserve"> % z celkových výdajů na zdravotní péči</w:t>
      </w:r>
      <w:r w:rsidRPr="006707DD">
        <w:rPr>
          <w:rFonts w:eastAsia="MS Gothic"/>
        </w:rPr>
        <w:t>.</w:t>
      </w:r>
    </w:p>
    <w:p w14:paraId="1F265EA7" w14:textId="77777777" w:rsidR="006E3BD4" w:rsidRDefault="006E3BD4" w:rsidP="006E3BD4">
      <w:pPr>
        <w:spacing w:line="240" w:lineRule="auto"/>
        <w:jc w:val="both"/>
        <w:rPr>
          <w:rFonts w:cs="Arial"/>
          <w:b/>
          <w:bCs/>
          <w:sz w:val="18"/>
          <w:szCs w:val="18"/>
        </w:rPr>
      </w:pPr>
    </w:p>
    <w:p w14:paraId="1E09EB3C" w14:textId="77777777" w:rsidR="006E3BD4" w:rsidRDefault="006E3BD4" w:rsidP="006E3BD4"/>
    <w:p w14:paraId="7D9229F8" w14:textId="77777777" w:rsidR="006E3BD4" w:rsidRDefault="006E3BD4" w:rsidP="006E3BD4"/>
    <w:p w14:paraId="6B6112BE" w14:textId="51941886" w:rsidR="006E3BD4" w:rsidRPr="00EE1B89" w:rsidRDefault="006E3BD4" w:rsidP="00EE1B89">
      <w:pPr>
        <w:spacing w:after="120" w:line="240" w:lineRule="auto"/>
        <w:jc w:val="both"/>
        <w:rPr>
          <w:rFonts w:cs="Arial"/>
          <w:b/>
          <w:bCs/>
          <w:sz w:val="18"/>
          <w:szCs w:val="18"/>
        </w:rPr>
      </w:pPr>
      <w:r w:rsidRPr="00EE1B89">
        <w:rPr>
          <w:rFonts w:cs="Arial"/>
          <w:b/>
          <w:bCs/>
          <w:sz w:val="18"/>
          <w:szCs w:val="18"/>
        </w:rPr>
        <w:lastRenderedPageBreak/>
        <w:t>Graf č. 3.</w:t>
      </w:r>
      <w:r w:rsidR="00F65C87">
        <w:rPr>
          <w:rFonts w:cs="Arial"/>
          <w:b/>
          <w:bCs/>
          <w:sz w:val="18"/>
          <w:szCs w:val="18"/>
        </w:rPr>
        <w:t>3.</w:t>
      </w:r>
      <w:r w:rsidRPr="00EE1B89">
        <w:rPr>
          <w:rFonts w:cs="Arial"/>
          <w:b/>
          <w:bCs/>
          <w:sz w:val="18"/>
          <w:szCs w:val="18"/>
        </w:rPr>
        <w:t xml:space="preserve"> Výdaje domácností na léky a ostatní zdravotnické výrobky, 2010</w:t>
      </w:r>
      <w:r w:rsidRPr="00EE1B89">
        <w:rPr>
          <w:rFonts w:cs="Arial"/>
          <w:b/>
          <w:sz w:val="18"/>
          <w:szCs w:val="18"/>
        </w:rPr>
        <w:t>–</w:t>
      </w:r>
      <w:r w:rsidRPr="00EE1B89">
        <w:rPr>
          <w:rFonts w:cs="Arial"/>
          <w:b/>
          <w:bCs/>
          <w:sz w:val="18"/>
          <w:szCs w:val="18"/>
        </w:rPr>
        <w:t>2019 (mil. Kč)</w:t>
      </w:r>
    </w:p>
    <w:p w14:paraId="0618E269" w14:textId="77777777" w:rsidR="006E3BD4" w:rsidRPr="00480CAA" w:rsidRDefault="006E3BD4" w:rsidP="00EE1B89">
      <w:pPr>
        <w:spacing w:before="120" w:line="240" w:lineRule="auto"/>
        <w:jc w:val="center"/>
        <w:rPr>
          <w:rFonts w:cs="Arial"/>
          <w:b/>
          <w:bCs/>
          <w:color w:val="000000"/>
          <w:sz w:val="18"/>
          <w:szCs w:val="18"/>
        </w:rPr>
      </w:pPr>
      <w:r>
        <w:rPr>
          <w:noProof/>
        </w:rPr>
        <w:drawing>
          <wp:inline distT="0" distB="0" distL="0" distR="0" wp14:anchorId="186DE1CB" wp14:editId="4A7BEC2E">
            <wp:extent cx="6096000" cy="3474720"/>
            <wp:effectExtent l="0" t="0" r="0" b="1143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3B29277" w14:textId="77777777" w:rsidR="006E3BD4" w:rsidRDefault="006E3BD4" w:rsidP="00EE1B89">
      <w:pPr>
        <w:spacing w:before="120"/>
        <w:jc w:val="right"/>
        <w:rPr>
          <w:b/>
          <w:bCs/>
          <w:i/>
          <w:sz w:val="16"/>
          <w:szCs w:val="16"/>
        </w:rPr>
      </w:pPr>
      <w:r w:rsidRPr="00FE09DF">
        <w:rPr>
          <w:rFonts w:eastAsia="MS Gothic"/>
          <w:b/>
          <w:i/>
          <w:sz w:val="16"/>
          <w:szCs w:val="16"/>
        </w:rPr>
        <w:t>Zd</w:t>
      </w:r>
      <w:r w:rsidRPr="00FE09DF">
        <w:rPr>
          <w:b/>
          <w:bCs/>
          <w:i/>
          <w:sz w:val="16"/>
          <w:szCs w:val="16"/>
        </w:rPr>
        <w:t>roj: ČSÚ</w:t>
      </w:r>
      <w:r w:rsidRPr="00991A9E">
        <w:rPr>
          <w:b/>
          <w:bCs/>
          <w:i/>
          <w:sz w:val="16"/>
          <w:szCs w:val="16"/>
        </w:rPr>
        <w:t xml:space="preserve"> 20</w:t>
      </w:r>
      <w:r>
        <w:rPr>
          <w:b/>
          <w:bCs/>
          <w:i/>
          <w:sz w:val="16"/>
          <w:szCs w:val="16"/>
        </w:rPr>
        <w:t>21</w:t>
      </w:r>
      <w:r w:rsidRPr="00991A9E">
        <w:rPr>
          <w:b/>
          <w:bCs/>
          <w:i/>
          <w:sz w:val="16"/>
          <w:szCs w:val="16"/>
        </w:rPr>
        <w:t xml:space="preserve">, </w:t>
      </w:r>
      <w:r>
        <w:rPr>
          <w:b/>
          <w:bCs/>
          <w:i/>
          <w:sz w:val="16"/>
          <w:szCs w:val="16"/>
        </w:rPr>
        <w:t>Zdravotnické účty ČR 2010</w:t>
      </w:r>
      <w:r>
        <w:rPr>
          <w:sz w:val="16"/>
          <w:szCs w:val="16"/>
        </w:rPr>
        <w:t>–</w:t>
      </w:r>
      <w:r>
        <w:rPr>
          <w:b/>
          <w:bCs/>
          <w:i/>
          <w:sz w:val="16"/>
          <w:szCs w:val="16"/>
        </w:rPr>
        <w:t>2019</w:t>
      </w:r>
    </w:p>
    <w:p w14:paraId="74A99B2C" w14:textId="77777777" w:rsidR="006E3BD4" w:rsidRPr="00991A9E" w:rsidRDefault="006E3BD4" w:rsidP="00EE1B89">
      <w:pPr>
        <w:jc w:val="both"/>
        <w:rPr>
          <w:szCs w:val="17"/>
        </w:rPr>
      </w:pPr>
      <w:r>
        <w:rPr>
          <w:szCs w:val="17"/>
        </w:rPr>
        <w:t xml:space="preserve">Výdaje domácností </w:t>
      </w:r>
      <w:r w:rsidRPr="00AF3C35">
        <w:rPr>
          <w:b/>
          <w:szCs w:val="17"/>
        </w:rPr>
        <w:t>na volně prodejné léky</w:t>
      </w:r>
      <w:r>
        <w:rPr>
          <w:szCs w:val="17"/>
        </w:rPr>
        <w:t xml:space="preserve"> od roku 2013 každoročně rostou. </w:t>
      </w:r>
      <w:r w:rsidRPr="00991A9E">
        <w:rPr>
          <w:szCs w:val="17"/>
        </w:rPr>
        <w:t xml:space="preserve">V meziročním srovnání </w:t>
      </w:r>
      <w:r>
        <w:rPr>
          <w:szCs w:val="17"/>
        </w:rPr>
        <w:t>došlo mezi roky 2018 a 2019 k prudkému nárůstu (o více než 2 mil. Kč) výdajů za volně prodejné léky. Uvedená částka za nákup léků bez předpisu tvoří více než čtvrtinu celkových výdajů českých domácnosti na zdravotní péči.</w:t>
      </w:r>
    </w:p>
    <w:p w14:paraId="29B2CCD0" w14:textId="726F703F" w:rsidR="006E3BD4" w:rsidRDefault="006E3BD4" w:rsidP="006E3BD4">
      <w:pPr>
        <w:jc w:val="both"/>
        <w:rPr>
          <w:szCs w:val="17"/>
        </w:rPr>
      </w:pPr>
      <w:r w:rsidRPr="00AF3C35">
        <w:rPr>
          <w:szCs w:val="17"/>
        </w:rPr>
        <w:t xml:space="preserve">Obdobný vývoj výdajů domácností byl zaznamenán i u </w:t>
      </w:r>
      <w:r>
        <w:rPr>
          <w:b/>
          <w:szCs w:val="17"/>
        </w:rPr>
        <w:t xml:space="preserve">léků na předpis. </w:t>
      </w:r>
      <w:r w:rsidRPr="00FD6226">
        <w:rPr>
          <w:szCs w:val="17"/>
        </w:rPr>
        <w:t>V</w:t>
      </w:r>
      <w:r>
        <w:rPr>
          <w:szCs w:val="17"/>
        </w:rPr>
        <w:t> roce 2019 na ně doplácely české domácnosti o 1,8 mld. Kč více než v roce 2018 a jejich finanční hodnota se pohybovala na úrovni bezmála 13 mld. Kč, což je nejvíce ve sledovaném období. Za posledních deset let tak lidé na</w:t>
      </w:r>
      <w:r w:rsidR="005B66E0">
        <w:rPr>
          <w:szCs w:val="17"/>
        </w:rPr>
        <w:t xml:space="preserve"> doplatky za léky na </w:t>
      </w:r>
      <w:r>
        <w:rPr>
          <w:szCs w:val="17"/>
        </w:rPr>
        <w:t>předpis vydali z vlastních kapes přes 102 mld. Kč.</w:t>
      </w:r>
    </w:p>
    <w:p w14:paraId="4B681BB5" w14:textId="77777777" w:rsidR="006E3BD4" w:rsidRDefault="006E3BD4" w:rsidP="006E3BD4">
      <w:pPr>
        <w:jc w:val="both"/>
      </w:pPr>
      <w:r w:rsidRPr="000D7449">
        <w:rPr>
          <w:b/>
        </w:rPr>
        <w:t>Průměrný Čech</w:t>
      </w:r>
      <w:r>
        <w:t xml:space="preserve"> utratil v roce 2019 za zdravotní péči 5 973 Kč, z toho za léky na předpis 1 207 Kč, 1 551 Kč za volně prodejné medikamenty a 592 Kč za zdravotnické pomůcky.</w:t>
      </w:r>
    </w:p>
    <w:p w14:paraId="73FBC7EA" w14:textId="1C859185" w:rsidR="006E3BD4" w:rsidRPr="00B061B2" w:rsidRDefault="006E3BD4" w:rsidP="006E3BD4">
      <w:pPr>
        <w:jc w:val="both"/>
        <w:rPr>
          <w:rFonts w:cs="Arial"/>
          <w:i/>
          <w:szCs w:val="20"/>
        </w:rPr>
      </w:pPr>
      <w:r w:rsidRPr="006A3028">
        <w:rPr>
          <w:rFonts w:cs="Arial"/>
          <w:i/>
          <w:szCs w:val="20"/>
        </w:rPr>
        <w:t>Zdravotní pojišťovny vrací pojištěnci nebo jeho zákonnému zástupci přeplatky doplatků za léky do 60 kalendářních dnů po uplynutí čtvrtletí, ve kterém byl limit překročen. Od 1. ledna 2018 jsou tyto roční ochranné limity stanoveny na 1</w:t>
      </w:r>
      <w:r w:rsidR="00F74CDC">
        <w:rPr>
          <w:rFonts w:cs="Arial"/>
          <w:i/>
          <w:szCs w:val="20"/>
        </w:rPr>
        <w:t xml:space="preserve"> </w:t>
      </w:r>
      <w:r w:rsidRPr="006A3028">
        <w:rPr>
          <w:rFonts w:cs="Arial"/>
          <w:i/>
          <w:szCs w:val="20"/>
        </w:rPr>
        <w:t>000,- Kč u dětí mladších 18 let a u pojištěnců ve věku nad 65 let, na 500,- Kč u pojištěnců nad 70 let</w:t>
      </w:r>
      <w:r w:rsidR="00F74CDC">
        <w:rPr>
          <w:rFonts w:cs="Arial"/>
          <w:i/>
          <w:szCs w:val="20"/>
        </w:rPr>
        <w:t xml:space="preserve"> a</w:t>
      </w:r>
      <w:r w:rsidRPr="006A3028">
        <w:rPr>
          <w:rFonts w:cs="Arial"/>
          <w:i/>
          <w:szCs w:val="20"/>
        </w:rPr>
        <w:t xml:space="preserve"> u ostatních pojištěnců </w:t>
      </w:r>
      <w:r w:rsidR="00F74CDC">
        <w:rPr>
          <w:rFonts w:cs="Arial"/>
          <w:i/>
          <w:szCs w:val="20"/>
        </w:rPr>
        <w:t xml:space="preserve">na </w:t>
      </w:r>
      <w:r w:rsidRPr="006A3028">
        <w:rPr>
          <w:rFonts w:cs="Arial"/>
          <w:i/>
          <w:szCs w:val="20"/>
        </w:rPr>
        <w:t>5</w:t>
      </w:r>
      <w:r w:rsidR="00F74CDC">
        <w:rPr>
          <w:rFonts w:cs="Arial"/>
          <w:i/>
          <w:szCs w:val="20"/>
        </w:rPr>
        <w:t xml:space="preserve"> </w:t>
      </w:r>
      <w:r w:rsidRPr="006A3028">
        <w:rPr>
          <w:rFonts w:cs="Arial"/>
          <w:i/>
          <w:szCs w:val="20"/>
        </w:rPr>
        <w:t>000,- Kč.</w:t>
      </w:r>
    </w:p>
    <w:p w14:paraId="1D31620F" w14:textId="77777777" w:rsidR="006E3BD4" w:rsidRPr="007949E3" w:rsidRDefault="006E3BD4" w:rsidP="006E3BD4">
      <w:pPr>
        <w:rPr>
          <w:rFonts w:eastAsia="MS Gothic"/>
          <w:b/>
          <w:i/>
        </w:rPr>
      </w:pPr>
      <w:r w:rsidRPr="006707DD">
        <w:rPr>
          <w:rFonts w:eastAsia="MS Gothic"/>
          <w:b/>
          <w:i/>
        </w:rPr>
        <w:t xml:space="preserve">Téměř pětinu z celkových  výdajů na zdravotní péči </w:t>
      </w:r>
      <w:r w:rsidRPr="00781083">
        <w:rPr>
          <w:rFonts w:eastAsia="MS Gothic"/>
          <w:b/>
          <w:i/>
        </w:rPr>
        <w:t>zaplatí domácnosti za stomatologick</w:t>
      </w:r>
      <w:r>
        <w:rPr>
          <w:rFonts w:eastAsia="MS Gothic"/>
          <w:b/>
          <w:i/>
        </w:rPr>
        <w:t>á</w:t>
      </w:r>
      <w:r w:rsidRPr="00781083">
        <w:rPr>
          <w:rFonts w:eastAsia="MS Gothic"/>
          <w:b/>
          <w:i/>
        </w:rPr>
        <w:t xml:space="preserve"> ošetření  </w:t>
      </w:r>
    </w:p>
    <w:p w14:paraId="0A8B8B48" w14:textId="752B28D6" w:rsidR="006E3BD4" w:rsidRDefault="006E3BD4" w:rsidP="00EE1B89">
      <w:pPr>
        <w:spacing w:before="240" w:after="120"/>
        <w:jc w:val="both"/>
        <w:rPr>
          <w:rFonts w:cs="Arial"/>
          <w:b/>
          <w:bCs/>
          <w:sz w:val="18"/>
          <w:szCs w:val="18"/>
        </w:rPr>
      </w:pPr>
      <w:r w:rsidRPr="00991A9E">
        <w:rPr>
          <w:szCs w:val="20"/>
        </w:rPr>
        <w:t xml:space="preserve">Výdaje domácností na </w:t>
      </w:r>
      <w:r w:rsidRPr="00991A9E">
        <w:rPr>
          <w:b/>
          <w:szCs w:val="20"/>
        </w:rPr>
        <w:t>stomatologickou ambulantní péči</w:t>
      </w:r>
      <w:r>
        <w:rPr>
          <w:b/>
          <w:szCs w:val="20"/>
        </w:rPr>
        <w:t xml:space="preserve"> </w:t>
      </w:r>
      <w:r>
        <w:rPr>
          <w:szCs w:val="20"/>
        </w:rPr>
        <w:t>v roce 2019</w:t>
      </w:r>
      <w:r w:rsidRPr="00305056">
        <w:rPr>
          <w:szCs w:val="20"/>
        </w:rPr>
        <w:t xml:space="preserve"> dosáhly částky </w:t>
      </w:r>
      <w:r w:rsidR="005B66E0">
        <w:rPr>
          <w:szCs w:val="20"/>
        </w:rPr>
        <w:t>téměř 11 mld. Kč, což </w:t>
      </w:r>
      <w:r>
        <w:rPr>
          <w:szCs w:val="20"/>
        </w:rPr>
        <w:t>je o více než 3 mld. Kč</w:t>
      </w:r>
      <w:r w:rsidRPr="00305056">
        <w:rPr>
          <w:szCs w:val="20"/>
        </w:rPr>
        <w:t xml:space="preserve"> </w:t>
      </w:r>
      <w:r>
        <w:rPr>
          <w:szCs w:val="20"/>
        </w:rPr>
        <w:t xml:space="preserve">vyšší částka než před deseti lety. Meziroční nárůst nákladů, které domácnosti vynaložily na stomatologickou péči, činil 5,4 %. Celkově lidé vydali v období </w:t>
      </w:r>
      <w:r>
        <w:rPr>
          <w:szCs w:val="17"/>
        </w:rPr>
        <w:t>2010</w:t>
      </w:r>
      <w:r>
        <w:rPr>
          <w:rFonts w:eastAsia="Calibri" w:cs="Arial"/>
          <w:szCs w:val="20"/>
          <w:lang w:eastAsia="en-US"/>
        </w:rPr>
        <w:t>–2</w:t>
      </w:r>
      <w:r>
        <w:rPr>
          <w:szCs w:val="17"/>
        </w:rPr>
        <w:t xml:space="preserve">019 </w:t>
      </w:r>
      <w:r>
        <w:rPr>
          <w:szCs w:val="20"/>
        </w:rPr>
        <w:t xml:space="preserve">na stomatologická ošetření nad rámec veřejného zdravotního pojištění téměř 92 mld. Kč. U </w:t>
      </w:r>
      <w:r w:rsidRPr="00991A9E">
        <w:rPr>
          <w:szCs w:val="20"/>
        </w:rPr>
        <w:t>stomatologů, kteří spolupracují se zdravotními pojišťovnami</w:t>
      </w:r>
      <w:r>
        <w:rPr>
          <w:szCs w:val="20"/>
        </w:rPr>
        <w:t>,</w:t>
      </w:r>
      <w:r w:rsidRPr="00991A9E">
        <w:rPr>
          <w:szCs w:val="20"/>
        </w:rPr>
        <w:t xml:space="preserve"> </w:t>
      </w:r>
      <w:r>
        <w:rPr>
          <w:szCs w:val="20"/>
        </w:rPr>
        <w:t>si často pacienti připlácí za pojišťovnou nehrazené</w:t>
      </w:r>
      <w:r w:rsidRPr="00991A9E">
        <w:rPr>
          <w:szCs w:val="20"/>
        </w:rPr>
        <w:t xml:space="preserve"> lékařské úkony a materiály</w:t>
      </w:r>
      <w:r>
        <w:rPr>
          <w:szCs w:val="20"/>
        </w:rPr>
        <w:t xml:space="preserve"> nebo například rovnátka</w:t>
      </w:r>
      <w:r w:rsidRPr="00991A9E">
        <w:rPr>
          <w:szCs w:val="20"/>
        </w:rPr>
        <w:t>. Pokud zubař nemá uzavřenou smlouvu se zdravo</w:t>
      </w:r>
      <w:r>
        <w:rPr>
          <w:szCs w:val="20"/>
        </w:rPr>
        <w:t>tními pojišťovnami, jsou veškerá ošetření hrazena pacientem</w:t>
      </w:r>
      <w:r w:rsidRPr="00991A9E">
        <w:rPr>
          <w:szCs w:val="20"/>
        </w:rPr>
        <w:t xml:space="preserve"> dle ceníku příslušného pracoviště. </w:t>
      </w:r>
      <w:r>
        <w:rPr>
          <w:szCs w:val="20"/>
        </w:rPr>
        <w:t xml:space="preserve">V roce 2019 doplatil v průměru </w:t>
      </w:r>
      <w:r>
        <w:rPr>
          <w:b/>
          <w:szCs w:val="20"/>
        </w:rPr>
        <w:t>každý</w:t>
      </w:r>
      <w:r w:rsidRPr="003E0F7B">
        <w:rPr>
          <w:b/>
          <w:szCs w:val="20"/>
        </w:rPr>
        <w:t xml:space="preserve"> obyvatel</w:t>
      </w:r>
      <w:r>
        <w:rPr>
          <w:szCs w:val="20"/>
        </w:rPr>
        <w:t xml:space="preserve"> České </w:t>
      </w:r>
      <w:r>
        <w:rPr>
          <w:szCs w:val="20"/>
        </w:rPr>
        <w:lastRenderedPageBreak/>
        <w:t xml:space="preserve">republiky z vlastní kapsy na stomatologický zákrok </w:t>
      </w:r>
      <w:r>
        <w:rPr>
          <w:b/>
          <w:szCs w:val="20"/>
        </w:rPr>
        <w:t>1 018</w:t>
      </w:r>
      <w:r w:rsidRPr="00326154">
        <w:rPr>
          <w:b/>
          <w:szCs w:val="20"/>
        </w:rPr>
        <w:t xml:space="preserve"> Kč</w:t>
      </w:r>
      <w:r>
        <w:rPr>
          <w:b/>
          <w:szCs w:val="20"/>
        </w:rPr>
        <w:t xml:space="preserve">, </w:t>
      </w:r>
      <w:r w:rsidRPr="00C802A0">
        <w:rPr>
          <w:szCs w:val="20"/>
        </w:rPr>
        <w:t>v roce 2010 t</w:t>
      </w:r>
      <w:r w:rsidR="005B66E0">
        <w:rPr>
          <w:szCs w:val="20"/>
        </w:rPr>
        <w:t>o bylo téměř o 300 Kč méně (730 </w:t>
      </w:r>
      <w:r w:rsidRPr="00C802A0">
        <w:rPr>
          <w:szCs w:val="20"/>
        </w:rPr>
        <w:t>Kč).</w:t>
      </w:r>
    </w:p>
    <w:p w14:paraId="266AF49E" w14:textId="18E8D8ED" w:rsidR="006E3BD4" w:rsidRPr="00973578" w:rsidRDefault="006E3BD4" w:rsidP="00EE1B89">
      <w:pPr>
        <w:spacing w:before="240" w:after="120" w:line="240" w:lineRule="auto"/>
        <w:rPr>
          <w:rFonts w:cs="Arial"/>
          <w:b/>
          <w:bCs/>
          <w:sz w:val="18"/>
          <w:szCs w:val="18"/>
        </w:rPr>
      </w:pPr>
      <w:r w:rsidRPr="00973578">
        <w:rPr>
          <w:rFonts w:cs="Arial"/>
          <w:b/>
          <w:bCs/>
          <w:sz w:val="18"/>
          <w:szCs w:val="18"/>
        </w:rPr>
        <w:t>Graf č. 3.</w:t>
      </w:r>
      <w:r w:rsidR="00F65C87">
        <w:rPr>
          <w:rFonts w:cs="Arial"/>
          <w:b/>
          <w:bCs/>
          <w:sz w:val="18"/>
          <w:szCs w:val="18"/>
        </w:rPr>
        <w:t>4.</w:t>
      </w:r>
      <w:r w:rsidRPr="00973578">
        <w:rPr>
          <w:rFonts w:cs="Arial"/>
          <w:b/>
          <w:bCs/>
          <w:sz w:val="18"/>
          <w:szCs w:val="18"/>
        </w:rPr>
        <w:t xml:space="preserve">  Výdaje domácností na ambulantní péči v Česku, 2010 - 2019 (mil. Kč)</w:t>
      </w:r>
    </w:p>
    <w:p w14:paraId="7037125C" w14:textId="77777777" w:rsidR="006E3BD4" w:rsidRPr="00CE689B" w:rsidRDefault="006E3BD4" w:rsidP="00EE1B89">
      <w:pPr>
        <w:spacing w:after="120" w:line="240" w:lineRule="auto"/>
        <w:rPr>
          <w:rFonts w:cs="Arial"/>
          <w:b/>
          <w:bCs/>
          <w:color w:val="000000"/>
          <w:sz w:val="18"/>
          <w:szCs w:val="18"/>
        </w:rPr>
      </w:pPr>
      <w:r>
        <w:rPr>
          <w:noProof/>
        </w:rPr>
        <w:drawing>
          <wp:inline distT="0" distB="0" distL="0" distR="0" wp14:anchorId="0F208CD6" wp14:editId="6EC7A556">
            <wp:extent cx="5920740" cy="3489960"/>
            <wp:effectExtent l="0" t="0" r="3810" b="1524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BC83FC6" w14:textId="77777777" w:rsidR="006E3BD4" w:rsidRDefault="006E3BD4" w:rsidP="00EE1B89">
      <w:pPr>
        <w:spacing w:before="120" w:after="120" w:line="240" w:lineRule="auto"/>
        <w:jc w:val="right"/>
        <w:rPr>
          <w:b/>
          <w:bCs/>
          <w:i/>
          <w:sz w:val="16"/>
          <w:szCs w:val="16"/>
        </w:rPr>
      </w:pPr>
      <w:r w:rsidRPr="00FE09DF">
        <w:rPr>
          <w:rFonts w:eastAsia="MS Gothic"/>
          <w:b/>
          <w:i/>
          <w:sz w:val="16"/>
          <w:szCs w:val="16"/>
        </w:rPr>
        <w:t>Zd</w:t>
      </w:r>
      <w:r w:rsidRPr="00FE09DF">
        <w:rPr>
          <w:b/>
          <w:bCs/>
          <w:i/>
          <w:sz w:val="16"/>
          <w:szCs w:val="16"/>
        </w:rPr>
        <w:t>roj: ČSÚ</w:t>
      </w:r>
      <w:r w:rsidRPr="00991A9E">
        <w:rPr>
          <w:b/>
          <w:bCs/>
          <w:i/>
          <w:sz w:val="16"/>
          <w:szCs w:val="16"/>
        </w:rPr>
        <w:t xml:space="preserve"> 20</w:t>
      </w:r>
      <w:r>
        <w:rPr>
          <w:b/>
          <w:bCs/>
          <w:i/>
          <w:sz w:val="16"/>
          <w:szCs w:val="16"/>
        </w:rPr>
        <w:t>21</w:t>
      </w:r>
      <w:r w:rsidRPr="00991A9E">
        <w:rPr>
          <w:b/>
          <w:bCs/>
          <w:i/>
          <w:sz w:val="16"/>
          <w:szCs w:val="16"/>
        </w:rPr>
        <w:t xml:space="preserve">, </w:t>
      </w:r>
      <w:r>
        <w:rPr>
          <w:b/>
          <w:bCs/>
          <w:i/>
          <w:sz w:val="16"/>
          <w:szCs w:val="16"/>
        </w:rPr>
        <w:t>Zdravotnické účty ČR 2010</w:t>
      </w:r>
      <w:r>
        <w:rPr>
          <w:sz w:val="16"/>
          <w:szCs w:val="16"/>
        </w:rPr>
        <w:t>–</w:t>
      </w:r>
      <w:r>
        <w:rPr>
          <w:b/>
          <w:bCs/>
          <w:i/>
          <w:sz w:val="16"/>
          <w:szCs w:val="16"/>
        </w:rPr>
        <w:t>2019</w:t>
      </w:r>
      <w:r w:rsidRPr="00991A9E">
        <w:rPr>
          <w:b/>
          <w:bCs/>
          <w:i/>
          <w:sz w:val="16"/>
          <w:szCs w:val="16"/>
        </w:rPr>
        <w:t xml:space="preserve"> </w:t>
      </w:r>
    </w:p>
    <w:p w14:paraId="1C433538" w14:textId="0BB4F1D5" w:rsidR="006E3BD4" w:rsidRPr="00326154" w:rsidRDefault="006E3BD4" w:rsidP="00EE1B89">
      <w:pPr>
        <w:spacing w:before="240" w:after="120"/>
        <w:jc w:val="both"/>
        <w:rPr>
          <w:rFonts w:eastAsia="MS Gothic"/>
        </w:rPr>
      </w:pPr>
      <w:r>
        <w:rPr>
          <w:rFonts w:eastAsia="MS Gothic"/>
        </w:rPr>
        <w:t>Z</w:t>
      </w:r>
      <w:r w:rsidRPr="00326154">
        <w:rPr>
          <w:rFonts w:eastAsia="MS Gothic"/>
        </w:rPr>
        <w:t xml:space="preserve">a </w:t>
      </w:r>
      <w:r w:rsidRPr="004C2C61">
        <w:rPr>
          <w:rFonts w:eastAsia="MS Gothic"/>
          <w:b/>
        </w:rPr>
        <w:t>ambulantní zdravotní péči</w:t>
      </w:r>
      <w:r>
        <w:rPr>
          <w:rFonts w:eastAsia="MS Gothic"/>
        </w:rPr>
        <w:t xml:space="preserve">, </w:t>
      </w:r>
      <w:r w:rsidRPr="00326154">
        <w:rPr>
          <w:rFonts w:eastAsia="MS Gothic"/>
        </w:rPr>
        <w:t xml:space="preserve">včetně </w:t>
      </w:r>
      <w:r>
        <w:rPr>
          <w:rFonts w:eastAsia="MS Gothic"/>
        </w:rPr>
        <w:t>stomatologické a rehabilitační, utratily domácnosti v roce 2019</w:t>
      </w:r>
      <w:r w:rsidRPr="00326154">
        <w:rPr>
          <w:rFonts w:eastAsia="MS Gothic"/>
        </w:rPr>
        <w:t xml:space="preserve"> </w:t>
      </w:r>
      <w:r>
        <w:rPr>
          <w:rFonts w:eastAsia="MS Gothic"/>
        </w:rPr>
        <w:t xml:space="preserve">celkovou </w:t>
      </w:r>
      <w:r w:rsidRPr="00326154">
        <w:rPr>
          <w:rFonts w:eastAsia="MS Gothic"/>
        </w:rPr>
        <w:t>částku</w:t>
      </w:r>
      <w:r>
        <w:rPr>
          <w:rFonts w:eastAsia="MS Gothic"/>
        </w:rPr>
        <w:t xml:space="preserve"> 21,2 </w:t>
      </w:r>
      <w:r w:rsidRPr="00326154">
        <w:rPr>
          <w:rFonts w:eastAsia="MS Gothic"/>
        </w:rPr>
        <w:t xml:space="preserve">miliard Kč, což </w:t>
      </w:r>
      <w:r>
        <w:rPr>
          <w:rFonts w:eastAsia="MS Gothic"/>
        </w:rPr>
        <w:t xml:space="preserve">představuje třetinu </w:t>
      </w:r>
      <w:r w:rsidRPr="00197F65">
        <w:rPr>
          <w:rFonts w:eastAsia="MS Gothic"/>
        </w:rPr>
        <w:t>z celkových výdajů domácností na zdravotní péči</w:t>
      </w:r>
      <w:r w:rsidRPr="00326154">
        <w:rPr>
          <w:rFonts w:eastAsia="MS Gothic"/>
        </w:rPr>
        <w:t>. V porovnání s rokem 2010 vzro</w:t>
      </w:r>
      <w:r>
        <w:rPr>
          <w:rFonts w:eastAsia="MS Gothic"/>
        </w:rPr>
        <w:t xml:space="preserve">stly výdaje o 47 %. S výjimkou výdajů na stomatologickou péči, je vývoj výdajů domácností na ambulantní péči (viz graf </w:t>
      </w:r>
      <w:proofErr w:type="gramStart"/>
      <w:r>
        <w:rPr>
          <w:rFonts w:eastAsia="MS Gothic"/>
        </w:rPr>
        <w:t>3</w:t>
      </w:r>
      <w:r w:rsidR="00F65C87">
        <w:rPr>
          <w:rFonts w:eastAsia="MS Gothic"/>
        </w:rPr>
        <w:t>.4.</w:t>
      </w:r>
      <w:r>
        <w:rPr>
          <w:rFonts w:eastAsia="MS Gothic"/>
        </w:rPr>
        <w:t>) v čase</w:t>
      </w:r>
      <w:proofErr w:type="gramEnd"/>
      <w:r>
        <w:rPr>
          <w:rFonts w:eastAsia="MS Gothic"/>
        </w:rPr>
        <w:t xml:space="preserve"> poměrně stabilní. Dál</w:t>
      </w:r>
      <w:r w:rsidR="005B66E0">
        <w:rPr>
          <w:rFonts w:eastAsia="MS Gothic"/>
        </w:rPr>
        <w:t>e je zde velmi dobře patrné, že </w:t>
      </w:r>
      <w:r>
        <w:rPr>
          <w:rFonts w:eastAsia="MS Gothic"/>
        </w:rPr>
        <w:t xml:space="preserve">výdaje na stomatologickou ambulantní péči jsou v porovnání s dalšími zdaleka nejvyšší a dokonce součet výdajů na všeobecnou, specializovanou a rehabilitační ambulantní nedosahuje výší výdajů na péči stomatologickou. </w:t>
      </w:r>
    </w:p>
    <w:p w14:paraId="595D7837" w14:textId="43D29A33" w:rsidR="006E3BD4" w:rsidRDefault="006E3BD4" w:rsidP="00EE1B89">
      <w:pPr>
        <w:spacing w:before="240"/>
        <w:jc w:val="both"/>
        <w:rPr>
          <w:szCs w:val="20"/>
        </w:rPr>
      </w:pPr>
      <w:r w:rsidRPr="00F72FD8">
        <w:rPr>
          <w:szCs w:val="17"/>
        </w:rPr>
        <w:t xml:space="preserve">Výdaje domácností </w:t>
      </w:r>
      <w:r w:rsidRPr="00991A9E">
        <w:rPr>
          <w:b/>
          <w:szCs w:val="17"/>
        </w:rPr>
        <w:t>na specializovanou ambulantní péči</w:t>
      </w:r>
      <w:r>
        <w:rPr>
          <w:b/>
          <w:szCs w:val="17"/>
        </w:rPr>
        <w:t xml:space="preserve"> </w:t>
      </w:r>
      <w:r w:rsidRPr="00F72FD8">
        <w:rPr>
          <w:szCs w:val="17"/>
        </w:rPr>
        <w:t>činily v roce 2019 4,3 mld</w:t>
      </w:r>
      <w:r w:rsidRPr="00F72FD8">
        <w:rPr>
          <w:b/>
          <w:szCs w:val="17"/>
        </w:rPr>
        <w:t xml:space="preserve">. </w:t>
      </w:r>
      <w:r w:rsidRPr="00F72FD8">
        <w:rPr>
          <w:szCs w:val="17"/>
        </w:rPr>
        <w:t>Kč</w:t>
      </w:r>
      <w:r>
        <w:rPr>
          <w:b/>
          <w:szCs w:val="17"/>
        </w:rPr>
        <w:t xml:space="preserve">, </w:t>
      </w:r>
      <w:r w:rsidRPr="00213109">
        <w:rPr>
          <w:szCs w:val="17"/>
        </w:rPr>
        <w:t>meziročně tak vzrostly o 3,2 %.</w:t>
      </w:r>
      <w:r>
        <w:rPr>
          <w:b/>
          <w:szCs w:val="17"/>
        </w:rPr>
        <w:t xml:space="preserve"> </w:t>
      </w:r>
      <w:r w:rsidRPr="00F72FD8">
        <w:rPr>
          <w:szCs w:val="17"/>
        </w:rPr>
        <w:t>Tento druh péče zahrnuje</w:t>
      </w:r>
      <w:r w:rsidRPr="00991A9E">
        <w:rPr>
          <w:szCs w:val="17"/>
        </w:rPr>
        <w:t xml:space="preserve"> ši</w:t>
      </w:r>
      <w:r>
        <w:rPr>
          <w:szCs w:val="17"/>
        </w:rPr>
        <w:t>rokou škálu nejrůznějších úhrad - od balíčků nadstandardní péče obvyklých například u gynekologů, služeb</w:t>
      </w:r>
      <w:r w:rsidRPr="00991A9E">
        <w:rPr>
          <w:szCs w:val="17"/>
        </w:rPr>
        <w:t xml:space="preserve"> nutričních terapeutů, </w:t>
      </w:r>
      <w:r>
        <w:rPr>
          <w:szCs w:val="17"/>
        </w:rPr>
        <w:t>přes cent</w:t>
      </w:r>
      <w:r w:rsidRPr="00991A9E">
        <w:rPr>
          <w:szCs w:val="17"/>
        </w:rPr>
        <w:t>r</w:t>
      </w:r>
      <w:r>
        <w:rPr>
          <w:szCs w:val="17"/>
        </w:rPr>
        <w:t>a léčby obezity po cent</w:t>
      </w:r>
      <w:r w:rsidRPr="00991A9E">
        <w:rPr>
          <w:szCs w:val="17"/>
        </w:rPr>
        <w:t>r</w:t>
      </w:r>
      <w:r>
        <w:rPr>
          <w:szCs w:val="17"/>
        </w:rPr>
        <w:t>a</w:t>
      </w:r>
      <w:r w:rsidRPr="00991A9E">
        <w:rPr>
          <w:szCs w:val="17"/>
        </w:rPr>
        <w:t xml:space="preserve"> asistované </w:t>
      </w:r>
      <w:r>
        <w:rPr>
          <w:szCs w:val="17"/>
        </w:rPr>
        <w:t xml:space="preserve">reprodukce. Spadají sem rovněž </w:t>
      </w:r>
      <w:r w:rsidRPr="00991A9E">
        <w:rPr>
          <w:szCs w:val="17"/>
        </w:rPr>
        <w:t>dermatologické</w:t>
      </w:r>
      <w:r>
        <w:rPr>
          <w:szCs w:val="17"/>
        </w:rPr>
        <w:t xml:space="preserve"> </w:t>
      </w:r>
      <w:r w:rsidRPr="00991A9E">
        <w:rPr>
          <w:szCs w:val="17"/>
        </w:rPr>
        <w:t xml:space="preserve">zákroky nehrazené ze zdravotního pojištění, </w:t>
      </w:r>
      <w:r>
        <w:rPr>
          <w:szCs w:val="17"/>
        </w:rPr>
        <w:t>či kosmetické operace. Také do výdajů</w:t>
      </w:r>
      <w:r w:rsidRPr="00991A9E">
        <w:rPr>
          <w:szCs w:val="17"/>
        </w:rPr>
        <w:t xml:space="preserve"> na </w:t>
      </w:r>
      <w:r w:rsidRPr="00991A9E">
        <w:rPr>
          <w:b/>
          <w:szCs w:val="17"/>
        </w:rPr>
        <w:t>všeobecnou ambulantní léčebnou péči</w:t>
      </w:r>
      <w:r w:rsidRPr="00991A9E">
        <w:rPr>
          <w:szCs w:val="17"/>
        </w:rPr>
        <w:t xml:space="preserve"> (zejména péče </w:t>
      </w:r>
      <w:r w:rsidR="005B66E0">
        <w:rPr>
          <w:szCs w:val="20"/>
        </w:rPr>
        <w:t>praktických lékařů pro </w:t>
      </w:r>
      <w:r w:rsidRPr="00991A9E">
        <w:rPr>
          <w:szCs w:val="20"/>
        </w:rPr>
        <w:t xml:space="preserve">dospělé a pro děti a dorost) </w:t>
      </w:r>
      <w:r>
        <w:rPr>
          <w:szCs w:val="20"/>
        </w:rPr>
        <w:t xml:space="preserve">se </w:t>
      </w:r>
      <w:r w:rsidRPr="00991A9E">
        <w:rPr>
          <w:szCs w:val="20"/>
        </w:rPr>
        <w:t xml:space="preserve">meziročně </w:t>
      </w:r>
      <w:r>
        <w:rPr>
          <w:szCs w:val="20"/>
        </w:rPr>
        <w:t>nepromítly žádné výrazné z</w:t>
      </w:r>
      <w:r w:rsidR="005B66E0">
        <w:rPr>
          <w:szCs w:val="20"/>
        </w:rPr>
        <w:t>měny a jejich úroveň zůstává na </w:t>
      </w:r>
      <w:r>
        <w:rPr>
          <w:szCs w:val="20"/>
        </w:rPr>
        <w:t xml:space="preserve">hranici </w:t>
      </w:r>
      <w:r>
        <w:rPr>
          <w:b/>
          <w:szCs w:val="20"/>
        </w:rPr>
        <w:t>2</w:t>
      </w:r>
      <w:r w:rsidRPr="0015185E">
        <w:rPr>
          <w:b/>
          <w:szCs w:val="20"/>
        </w:rPr>
        <w:t xml:space="preserve"> mld. Kč</w:t>
      </w:r>
      <w:r>
        <w:rPr>
          <w:b/>
          <w:szCs w:val="20"/>
        </w:rPr>
        <w:t xml:space="preserve"> </w:t>
      </w:r>
      <w:r w:rsidRPr="00EF7DF3">
        <w:rPr>
          <w:szCs w:val="20"/>
        </w:rPr>
        <w:t xml:space="preserve">taktéž </w:t>
      </w:r>
      <w:r w:rsidRPr="00213109">
        <w:rPr>
          <w:szCs w:val="20"/>
        </w:rPr>
        <w:t>s meziročním nárůstem 3,2</w:t>
      </w:r>
      <w:r>
        <w:rPr>
          <w:szCs w:val="20"/>
        </w:rPr>
        <w:t> </w:t>
      </w:r>
      <w:r w:rsidRPr="00213109">
        <w:rPr>
          <w:szCs w:val="20"/>
        </w:rPr>
        <w:t>%.</w:t>
      </w:r>
      <w:r>
        <w:rPr>
          <w:szCs w:val="20"/>
        </w:rPr>
        <w:t xml:space="preserve"> </w:t>
      </w:r>
      <w:r w:rsidRPr="00991A9E">
        <w:rPr>
          <w:szCs w:val="20"/>
        </w:rPr>
        <w:t xml:space="preserve">U všeobecné ambulantní péče </w:t>
      </w:r>
      <w:r>
        <w:rPr>
          <w:szCs w:val="20"/>
        </w:rPr>
        <w:t>se jedná</w:t>
      </w:r>
      <w:r w:rsidRPr="00991A9E">
        <w:rPr>
          <w:szCs w:val="20"/>
        </w:rPr>
        <w:t>, mi</w:t>
      </w:r>
      <w:r w:rsidR="005B66E0">
        <w:rPr>
          <w:szCs w:val="20"/>
        </w:rPr>
        <w:t>mo jiné, o </w:t>
      </w:r>
      <w:r w:rsidRPr="00991A9E">
        <w:rPr>
          <w:szCs w:val="20"/>
        </w:rPr>
        <w:t>výdaje na různá očkování</w:t>
      </w:r>
      <w:r>
        <w:rPr>
          <w:szCs w:val="20"/>
        </w:rPr>
        <w:t xml:space="preserve">, vyšetření a potvrzení o zdravotním stavu k úrazovému pojištění, k řidičskému, zbrojnímu či zdravotnímu průkazu a v neposlední řadě </w:t>
      </w:r>
      <w:r w:rsidRPr="00991A9E">
        <w:rPr>
          <w:szCs w:val="20"/>
        </w:rPr>
        <w:t xml:space="preserve">preventivní vyšetření nehrazená </w:t>
      </w:r>
      <w:r>
        <w:rPr>
          <w:szCs w:val="20"/>
        </w:rPr>
        <w:t>z veřejného</w:t>
      </w:r>
      <w:r w:rsidRPr="00991A9E">
        <w:rPr>
          <w:szCs w:val="20"/>
        </w:rPr>
        <w:t xml:space="preserve"> zdravotního pojištění. </w:t>
      </w:r>
    </w:p>
    <w:p w14:paraId="71D9ABC5" w14:textId="77777777" w:rsidR="006E3BD4" w:rsidRPr="002711BF" w:rsidRDefault="006E3BD4" w:rsidP="006E3BD4">
      <w:pPr>
        <w:jc w:val="both"/>
        <w:rPr>
          <w:b/>
          <w:i/>
          <w:szCs w:val="20"/>
        </w:rPr>
      </w:pPr>
      <w:r w:rsidRPr="002711BF">
        <w:rPr>
          <w:b/>
          <w:i/>
          <w:szCs w:val="20"/>
        </w:rPr>
        <w:t>Na lůžkovou rehabilitační péči</w:t>
      </w:r>
      <w:r>
        <w:rPr>
          <w:b/>
          <w:i/>
          <w:szCs w:val="20"/>
        </w:rPr>
        <w:t>, včetně lázeňské, si lidé v roce 2019 připlatili téměř 4,5</w:t>
      </w:r>
      <w:r w:rsidRPr="002711BF">
        <w:rPr>
          <w:b/>
          <w:i/>
          <w:szCs w:val="20"/>
        </w:rPr>
        <w:t xml:space="preserve"> miliardy korun</w:t>
      </w:r>
    </w:p>
    <w:p w14:paraId="469FA3F2" w14:textId="77777777" w:rsidR="006E3BD4" w:rsidRPr="000A0B54" w:rsidRDefault="006E3BD4" w:rsidP="006E3BD4">
      <w:pPr>
        <w:jc w:val="both"/>
        <w:rPr>
          <w:szCs w:val="20"/>
        </w:rPr>
      </w:pPr>
      <w:r w:rsidRPr="00A4618B">
        <w:rPr>
          <w:szCs w:val="20"/>
        </w:rPr>
        <w:t>V roce 201</w:t>
      </w:r>
      <w:r>
        <w:rPr>
          <w:szCs w:val="20"/>
        </w:rPr>
        <w:t>9</w:t>
      </w:r>
      <w:r w:rsidRPr="00A4618B">
        <w:rPr>
          <w:szCs w:val="20"/>
        </w:rPr>
        <w:t xml:space="preserve"> zaplatily české domácnosti </w:t>
      </w:r>
      <w:r>
        <w:rPr>
          <w:szCs w:val="20"/>
        </w:rPr>
        <w:t xml:space="preserve">kompletně </w:t>
      </w:r>
      <w:r w:rsidRPr="00A4618B">
        <w:rPr>
          <w:szCs w:val="20"/>
        </w:rPr>
        <w:t xml:space="preserve">za </w:t>
      </w:r>
      <w:r w:rsidRPr="00A4618B">
        <w:rPr>
          <w:b/>
          <w:szCs w:val="20"/>
        </w:rPr>
        <w:t>rehabilitační péči</w:t>
      </w:r>
      <w:r w:rsidRPr="00A4618B">
        <w:rPr>
          <w:szCs w:val="20"/>
        </w:rPr>
        <w:t xml:space="preserve"> </w:t>
      </w:r>
      <w:r>
        <w:rPr>
          <w:szCs w:val="20"/>
        </w:rPr>
        <w:t>6,3 mld. Kč, z toho téměř 4,5 mld. Kč připadalo na lůžkovou rehabilitační péči, zbylých 1,8 mld. Kč pak na rehabilitační péči ambulantní. V</w:t>
      </w:r>
      <w:r w:rsidRPr="00A4618B">
        <w:rPr>
          <w:szCs w:val="20"/>
        </w:rPr>
        <w:t xml:space="preserve">ýdaje </w:t>
      </w:r>
      <w:r>
        <w:rPr>
          <w:szCs w:val="20"/>
        </w:rPr>
        <w:t xml:space="preserve">za oba druhy rehabilitační péče </w:t>
      </w:r>
      <w:r w:rsidRPr="00A4618B">
        <w:rPr>
          <w:szCs w:val="20"/>
        </w:rPr>
        <w:t>se tak podílely</w:t>
      </w:r>
      <w:r>
        <w:rPr>
          <w:szCs w:val="20"/>
        </w:rPr>
        <w:t xml:space="preserve"> téměř jednou </w:t>
      </w:r>
      <w:r w:rsidRPr="00197F65">
        <w:rPr>
          <w:szCs w:val="20"/>
        </w:rPr>
        <w:t>desetinou na celkových přímých výdajích domácností na zdravotní péči.</w:t>
      </w:r>
      <w:r w:rsidRPr="006707DD">
        <w:rPr>
          <w:color w:val="FF0000"/>
          <w:szCs w:val="20"/>
        </w:rPr>
        <w:t xml:space="preserve"> </w:t>
      </w:r>
      <w:r>
        <w:rPr>
          <w:szCs w:val="20"/>
        </w:rPr>
        <w:t xml:space="preserve">V období </w:t>
      </w:r>
      <w:r>
        <w:rPr>
          <w:szCs w:val="17"/>
        </w:rPr>
        <w:t>2010</w:t>
      </w:r>
      <w:r>
        <w:rPr>
          <w:rFonts w:eastAsia="Calibri" w:cs="Arial"/>
          <w:szCs w:val="20"/>
          <w:lang w:eastAsia="en-US"/>
        </w:rPr>
        <w:t>–2</w:t>
      </w:r>
      <w:r>
        <w:rPr>
          <w:szCs w:val="17"/>
        </w:rPr>
        <w:t xml:space="preserve">019 </w:t>
      </w:r>
      <w:r w:rsidRPr="00A4618B">
        <w:rPr>
          <w:szCs w:val="20"/>
        </w:rPr>
        <w:t xml:space="preserve">zaplatily české domácnosti za </w:t>
      </w:r>
      <w:r w:rsidRPr="00A4618B">
        <w:rPr>
          <w:b/>
          <w:szCs w:val="20"/>
        </w:rPr>
        <w:t>lůžkovou rehabilitační (</w:t>
      </w:r>
      <w:r>
        <w:rPr>
          <w:b/>
          <w:szCs w:val="20"/>
        </w:rPr>
        <w:t xml:space="preserve">včetně </w:t>
      </w:r>
      <w:r w:rsidRPr="00A4618B">
        <w:rPr>
          <w:b/>
          <w:szCs w:val="20"/>
        </w:rPr>
        <w:t>lázeňsk</w:t>
      </w:r>
      <w:r>
        <w:rPr>
          <w:b/>
          <w:szCs w:val="20"/>
        </w:rPr>
        <w:t>é</w:t>
      </w:r>
      <w:r w:rsidRPr="00A4618B">
        <w:rPr>
          <w:b/>
          <w:szCs w:val="20"/>
        </w:rPr>
        <w:t>) péči</w:t>
      </w:r>
      <w:r w:rsidRPr="00A4618B">
        <w:rPr>
          <w:szCs w:val="20"/>
        </w:rPr>
        <w:t xml:space="preserve"> celkem </w:t>
      </w:r>
      <w:r>
        <w:rPr>
          <w:szCs w:val="20"/>
        </w:rPr>
        <w:t>více než 28 mld. Kč.</w:t>
      </w:r>
      <w:r w:rsidRPr="00A4618B">
        <w:rPr>
          <w:szCs w:val="20"/>
        </w:rPr>
        <w:t xml:space="preserve"> </w:t>
      </w:r>
      <w:r>
        <w:rPr>
          <w:szCs w:val="20"/>
        </w:rPr>
        <w:t xml:space="preserve">Výdaje na tento druh péče se navíc za posledních deset </w:t>
      </w:r>
      <w:r>
        <w:rPr>
          <w:szCs w:val="20"/>
        </w:rPr>
        <w:lastRenderedPageBreak/>
        <w:t>let</w:t>
      </w:r>
      <w:r>
        <w:rPr>
          <w:i/>
          <w:szCs w:val="20"/>
        </w:rPr>
        <w:t xml:space="preserve"> </w:t>
      </w:r>
      <w:r>
        <w:rPr>
          <w:szCs w:val="20"/>
        </w:rPr>
        <w:t>zvýšily čtyř</w:t>
      </w:r>
      <w:r w:rsidRPr="00101F61">
        <w:rPr>
          <w:szCs w:val="20"/>
        </w:rPr>
        <w:t>násobně</w:t>
      </w:r>
      <w:r>
        <w:rPr>
          <w:i/>
          <w:szCs w:val="20"/>
        </w:rPr>
        <w:t xml:space="preserve">. </w:t>
      </w:r>
      <w:r>
        <w:rPr>
          <w:szCs w:val="20"/>
        </w:rPr>
        <w:t>Nárůst výdajů</w:t>
      </w:r>
      <w:r w:rsidRPr="000A0B54">
        <w:rPr>
          <w:szCs w:val="20"/>
        </w:rPr>
        <w:t xml:space="preserve"> za </w:t>
      </w:r>
      <w:r w:rsidRPr="000A0B54">
        <w:rPr>
          <w:b/>
          <w:szCs w:val="20"/>
        </w:rPr>
        <w:t>ambulantní rehabilitační péči</w:t>
      </w:r>
      <w:r w:rsidRPr="000A0B54">
        <w:rPr>
          <w:szCs w:val="20"/>
        </w:rPr>
        <w:t xml:space="preserve"> </w:t>
      </w:r>
      <w:r>
        <w:rPr>
          <w:szCs w:val="20"/>
        </w:rPr>
        <w:t xml:space="preserve">od roku 2010 nebyl tak výrazný, nicméně i zde se dostáváme v roce 2019 na více než dvojnásobné hodnoty v porovnání s rokem 2010. </w:t>
      </w:r>
    </w:p>
    <w:p w14:paraId="75614CA8" w14:textId="77777777" w:rsidR="006E3BD4" w:rsidRPr="004C2C61" w:rsidRDefault="006E3BD4" w:rsidP="006E3BD4">
      <w:pPr>
        <w:jc w:val="both"/>
        <w:rPr>
          <w:rFonts w:cs="Arial"/>
          <w:szCs w:val="20"/>
        </w:rPr>
      </w:pPr>
      <w:r w:rsidRPr="004C2C61">
        <w:rPr>
          <w:rFonts w:cs="Arial"/>
          <w:szCs w:val="20"/>
        </w:rPr>
        <w:t xml:space="preserve">Pro úplnost přidáváme ještě informaci, která se týká výdajů na </w:t>
      </w:r>
      <w:r w:rsidRPr="004C2C61">
        <w:rPr>
          <w:rFonts w:cs="Arial"/>
          <w:b/>
          <w:szCs w:val="20"/>
        </w:rPr>
        <w:t>lůžkovou léčebnou péči</w:t>
      </w:r>
      <w:r>
        <w:rPr>
          <w:rFonts w:cs="Arial"/>
          <w:szCs w:val="20"/>
        </w:rPr>
        <w:t>. V roce 2019 byl v </w:t>
      </w:r>
      <w:r w:rsidRPr="004C2C61">
        <w:rPr>
          <w:rFonts w:cs="Arial"/>
          <w:szCs w:val="20"/>
        </w:rPr>
        <w:t xml:space="preserve">porovnání s předchozím rokem zaznamenán jejich </w:t>
      </w:r>
      <w:r>
        <w:rPr>
          <w:rFonts w:cs="Arial"/>
          <w:szCs w:val="20"/>
        </w:rPr>
        <w:t>7</w:t>
      </w:r>
      <w:r w:rsidRPr="004C2C61">
        <w:rPr>
          <w:rFonts w:cs="Arial"/>
          <w:szCs w:val="20"/>
        </w:rPr>
        <w:t>% nárůst</w:t>
      </w:r>
      <w:r>
        <w:rPr>
          <w:rFonts w:cs="Arial"/>
          <w:szCs w:val="20"/>
        </w:rPr>
        <w:t>. C</w:t>
      </w:r>
      <w:r w:rsidRPr="004C2C61">
        <w:rPr>
          <w:rFonts w:cs="Arial"/>
          <w:szCs w:val="20"/>
        </w:rPr>
        <w:t>elková výše výdajů domácností na t</w:t>
      </w:r>
      <w:r>
        <w:rPr>
          <w:rFonts w:cs="Arial"/>
          <w:szCs w:val="20"/>
        </w:rPr>
        <w:t xml:space="preserve">ento druh zdravotní péče je poměrně nízká a činila 1,4 mld. Kč. </w:t>
      </w:r>
    </w:p>
    <w:p w14:paraId="30C6CFC1" w14:textId="77777777" w:rsidR="006E3BD4" w:rsidRPr="006A3028" w:rsidRDefault="006E3BD4" w:rsidP="006E3BD4">
      <w:pPr>
        <w:rPr>
          <w:rFonts w:eastAsia="MS Gothic"/>
          <w:b/>
          <w:i/>
        </w:rPr>
      </w:pPr>
      <w:r w:rsidRPr="006A3028">
        <w:rPr>
          <w:rFonts w:eastAsia="MS Gothic"/>
          <w:b/>
          <w:i/>
        </w:rPr>
        <w:t>Domácnosti uhradí každoročně zhruba 200 miliónů Kč za regulační poplatek za návštěvu pohotovosti</w:t>
      </w:r>
    </w:p>
    <w:p w14:paraId="561CE95E" w14:textId="0A1920BE" w:rsidR="006E3BD4" w:rsidRPr="006A3028" w:rsidRDefault="006E3BD4" w:rsidP="006E3BD4">
      <w:pPr>
        <w:jc w:val="both"/>
        <w:rPr>
          <w:rFonts w:cs="Arial"/>
          <w:szCs w:val="20"/>
        </w:rPr>
      </w:pPr>
      <w:r w:rsidRPr="006A3028">
        <w:rPr>
          <w:rFonts w:cs="Arial"/>
          <w:szCs w:val="20"/>
        </w:rPr>
        <w:t>V souladu se zákonem č.</w:t>
      </w:r>
      <w:r>
        <w:rPr>
          <w:rFonts w:cs="Arial"/>
          <w:szCs w:val="20"/>
        </w:rPr>
        <w:t xml:space="preserve"> </w:t>
      </w:r>
      <w:r w:rsidRPr="006A3028">
        <w:rPr>
          <w:rFonts w:cs="Arial"/>
          <w:szCs w:val="20"/>
        </w:rPr>
        <w:t>261/2007 Sb., o stabilizaci veřejných rozpočtů, kterým byl mimo jiné změněn zákon č.</w:t>
      </w:r>
      <w:r>
        <w:rPr>
          <w:rFonts w:cs="Arial"/>
          <w:szCs w:val="20"/>
        </w:rPr>
        <w:t xml:space="preserve"> </w:t>
      </w:r>
      <w:r w:rsidRPr="006A3028">
        <w:rPr>
          <w:rFonts w:cs="Arial"/>
          <w:szCs w:val="20"/>
        </w:rPr>
        <w:t xml:space="preserve">48/1997 Sb., o veřejném zdravotním pojištění, začali pacienti od počátku roku 2008 hradit zdravotnickým zařízením </w:t>
      </w:r>
      <w:r w:rsidRPr="006A3028">
        <w:rPr>
          <w:rFonts w:cs="Arial"/>
          <w:b/>
          <w:szCs w:val="20"/>
        </w:rPr>
        <w:t>čtyři druhy regulačních poplatků – za návštěvu lékaře v běžných am</w:t>
      </w:r>
      <w:r w:rsidR="005B66E0">
        <w:rPr>
          <w:rFonts w:cs="Arial"/>
          <w:b/>
          <w:szCs w:val="20"/>
        </w:rPr>
        <w:t>bulancích i </w:t>
      </w:r>
      <w:r>
        <w:rPr>
          <w:rFonts w:cs="Arial"/>
          <w:b/>
          <w:szCs w:val="20"/>
        </w:rPr>
        <w:t>na </w:t>
      </w:r>
      <w:r w:rsidRPr="006A3028">
        <w:rPr>
          <w:rFonts w:cs="Arial"/>
          <w:b/>
          <w:szCs w:val="20"/>
        </w:rPr>
        <w:t>pohotovosti, za hospitalizaci</w:t>
      </w:r>
      <w:r w:rsidRPr="006A3028">
        <w:rPr>
          <w:rFonts w:cs="Arial"/>
          <w:szCs w:val="20"/>
        </w:rPr>
        <w:t xml:space="preserve"> </w:t>
      </w:r>
      <w:r w:rsidRPr="006A3028">
        <w:rPr>
          <w:rFonts w:cs="Arial"/>
          <w:b/>
          <w:szCs w:val="20"/>
        </w:rPr>
        <w:t>v nemocnici, ústavním či lázeňském zařízení a za recept</w:t>
      </w:r>
      <w:r>
        <w:rPr>
          <w:rFonts w:cs="Arial"/>
          <w:szCs w:val="20"/>
        </w:rPr>
        <w:t>.</w:t>
      </w:r>
      <w:r w:rsidRPr="006A3028">
        <w:rPr>
          <w:rFonts w:cs="Arial"/>
          <w:szCs w:val="20"/>
        </w:rPr>
        <w:t xml:space="preserve"> </w:t>
      </w:r>
    </w:p>
    <w:p w14:paraId="2E319537" w14:textId="77777777" w:rsidR="006E3BD4" w:rsidRPr="00F862BC" w:rsidRDefault="006E3BD4" w:rsidP="006E3BD4">
      <w:pPr>
        <w:jc w:val="both"/>
        <w:rPr>
          <w:rFonts w:cs="Arial"/>
          <w:szCs w:val="20"/>
        </w:rPr>
      </w:pPr>
      <w:r w:rsidRPr="006A3028">
        <w:rPr>
          <w:rFonts w:cs="Arial"/>
          <w:szCs w:val="20"/>
        </w:rPr>
        <w:t>V průběhu uplynulých let došlo u jednotlivých regulačních poplatků k legislativním změnám nebo byly postupně úplně zrušeny. V platnosti nadále zůstává pouze devadesátikorunový regulační poplatek za využití lékařské a zubní pohotovosti.</w:t>
      </w:r>
    </w:p>
    <w:p w14:paraId="3F361F32" w14:textId="397844E7" w:rsidR="006E3BD4" w:rsidRDefault="006E3BD4" w:rsidP="003A75AD">
      <w:pPr>
        <w:keepNext/>
        <w:spacing w:before="240" w:after="120"/>
        <w:jc w:val="both"/>
        <w:rPr>
          <w:rFonts w:cs="Arial"/>
          <w:b/>
          <w:i/>
          <w:sz w:val="18"/>
          <w:szCs w:val="18"/>
        </w:rPr>
      </w:pPr>
      <w:r w:rsidRPr="00F67325">
        <w:rPr>
          <w:rFonts w:cs="Arial"/>
          <w:b/>
          <w:i/>
          <w:sz w:val="18"/>
          <w:szCs w:val="18"/>
        </w:rPr>
        <w:t>Graf č. 3.</w:t>
      </w:r>
      <w:r w:rsidR="00F65C87">
        <w:rPr>
          <w:rFonts w:cs="Arial"/>
          <w:b/>
          <w:i/>
          <w:sz w:val="18"/>
          <w:szCs w:val="18"/>
        </w:rPr>
        <w:t>5.</w:t>
      </w:r>
      <w:r w:rsidRPr="00F67325">
        <w:rPr>
          <w:rFonts w:cs="Arial"/>
          <w:b/>
          <w:i/>
          <w:sz w:val="18"/>
          <w:szCs w:val="18"/>
        </w:rPr>
        <w:t xml:space="preserve"> Výdaje domácností v Česku na regulační poplatky, 20</w:t>
      </w:r>
      <w:r>
        <w:rPr>
          <w:rFonts w:cs="Arial"/>
          <w:b/>
          <w:i/>
          <w:sz w:val="18"/>
          <w:szCs w:val="18"/>
        </w:rPr>
        <w:t>10</w:t>
      </w:r>
      <w:r w:rsidRPr="00F67325">
        <w:rPr>
          <w:rFonts w:eastAsia="Calibri" w:cs="Arial"/>
          <w:b/>
          <w:i/>
          <w:sz w:val="18"/>
          <w:szCs w:val="18"/>
          <w:lang w:eastAsia="en-US"/>
        </w:rPr>
        <w:t>–2</w:t>
      </w:r>
      <w:r w:rsidRPr="00F67325">
        <w:rPr>
          <w:b/>
          <w:i/>
          <w:sz w:val="18"/>
          <w:szCs w:val="18"/>
        </w:rPr>
        <w:t>019</w:t>
      </w:r>
      <w:r w:rsidRPr="00F67325">
        <w:rPr>
          <w:rFonts w:cs="Arial"/>
          <w:b/>
          <w:i/>
          <w:sz w:val="18"/>
          <w:szCs w:val="18"/>
        </w:rPr>
        <w:t xml:space="preserve"> (mil. Kč) </w:t>
      </w:r>
    </w:p>
    <w:p w14:paraId="1A578E31" w14:textId="77777777" w:rsidR="006E3BD4" w:rsidRPr="00F67325" w:rsidRDefault="006E3BD4" w:rsidP="003A75AD">
      <w:pPr>
        <w:keepNext/>
        <w:spacing w:before="240" w:after="120"/>
        <w:jc w:val="both"/>
        <w:rPr>
          <w:rFonts w:cs="Arial"/>
          <w:b/>
          <w:i/>
          <w:sz w:val="18"/>
          <w:szCs w:val="18"/>
        </w:rPr>
      </w:pPr>
      <w:r w:rsidRPr="00816459">
        <w:rPr>
          <w:noProof/>
          <w:sz w:val="16"/>
          <w:szCs w:val="16"/>
        </w:rPr>
        <w:drawing>
          <wp:inline distT="0" distB="0" distL="0" distR="0" wp14:anchorId="7C1ECBE6" wp14:editId="448139E7">
            <wp:extent cx="6120130" cy="2687955"/>
            <wp:effectExtent l="0" t="0" r="13970" b="17145"/>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BF6BD27" w14:textId="77777777" w:rsidR="006E3BD4" w:rsidRDefault="006E3BD4" w:rsidP="003A75AD">
      <w:pPr>
        <w:jc w:val="right"/>
        <w:rPr>
          <w:b/>
          <w:bCs/>
          <w:i/>
          <w:sz w:val="16"/>
          <w:szCs w:val="16"/>
        </w:rPr>
      </w:pPr>
      <w:r w:rsidRPr="00F67325">
        <w:rPr>
          <w:rFonts w:eastAsia="MS Gothic"/>
          <w:b/>
          <w:i/>
          <w:sz w:val="16"/>
          <w:szCs w:val="16"/>
        </w:rPr>
        <w:t>Zd</w:t>
      </w:r>
      <w:r w:rsidRPr="00F67325">
        <w:rPr>
          <w:b/>
          <w:bCs/>
          <w:i/>
          <w:sz w:val="16"/>
          <w:szCs w:val="16"/>
        </w:rPr>
        <w:t>roj: ČSÚ 2021, Zdravotnické účty ČR 2010</w:t>
      </w:r>
      <w:r w:rsidRPr="00F67325">
        <w:rPr>
          <w:sz w:val="16"/>
          <w:szCs w:val="16"/>
        </w:rPr>
        <w:t>–</w:t>
      </w:r>
      <w:r w:rsidRPr="00F67325">
        <w:rPr>
          <w:b/>
          <w:bCs/>
          <w:i/>
          <w:sz w:val="16"/>
          <w:szCs w:val="16"/>
        </w:rPr>
        <w:t>2019</w:t>
      </w:r>
    </w:p>
    <w:p w14:paraId="33C3425B" w14:textId="77777777" w:rsidR="006E3BD4" w:rsidRPr="00545A8A" w:rsidRDefault="006E3BD4" w:rsidP="003A75AD">
      <w:pPr>
        <w:jc w:val="both"/>
        <w:rPr>
          <w:szCs w:val="17"/>
        </w:rPr>
      </w:pPr>
      <w:r w:rsidRPr="00816459">
        <w:t>Jak ukazuje výše uvedený graf, regulační poplatky přinášely do zdravotnického systému až do roku 2013 více než 5 mld. Kč ročně. Po zrušení povinnosti pacientů hradit regulační poplatek ve výši 100 Kč na den za pobyt v lůžkových zařízeních se tato částka snížila zhruba na 4 mld. Kč. V </w:t>
      </w:r>
      <w:r w:rsidRPr="00545A8A">
        <w:t>letech 2015</w:t>
      </w:r>
      <w:r w:rsidRPr="00545A8A">
        <w:rPr>
          <w:rFonts w:eastAsia="Calibri" w:cs="Arial"/>
          <w:szCs w:val="20"/>
          <w:lang w:eastAsia="en-US"/>
        </w:rPr>
        <w:t>–</w:t>
      </w:r>
      <w:r w:rsidRPr="00545A8A">
        <w:t>2019 zaplatili lidé za využití pohotovostních služeb zhruba 200 mil. Kč ročně.</w:t>
      </w:r>
      <w:r w:rsidRPr="00545A8A">
        <w:rPr>
          <w:szCs w:val="17"/>
        </w:rPr>
        <w:t xml:space="preserve"> </w:t>
      </w:r>
    </w:p>
    <w:p w14:paraId="64D577F2" w14:textId="1D788C31" w:rsidR="00104630" w:rsidRPr="00545A8A" w:rsidRDefault="006E3BD4" w:rsidP="006E3BD4">
      <w:pPr>
        <w:jc w:val="both"/>
        <w:rPr>
          <w:szCs w:val="17"/>
        </w:rPr>
      </w:pPr>
      <w:r>
        <w:rPr>
          <w:szCs w:val="17"/>
        </w:rPr>
        <w:t>Z údajů o výši regulačních poplatků za pohotovost, lze zjistit</w:t>
      </w:r>
      <w:r w:rsidRPr="00545A8A">
        <w:rPr>
          <w:szCs w:val="17"/>
        </w:rPr>
        <w:t xml:space="preserve">, jaké příčiny pacienty na pohotovost nejčastěji přivedly. </w:t>
      </w:r>
      <w:r>
        <w:rPr>
          <w:szCs w:val="17"/>
        </w:rPr>
        <w:t>V roce 2019 m</w:t>
      </w:r>
      <w:r w:rsidRPr="00545A8A">
        <w:rPr>
          <w:szCs w:val="17"/>
        </w:rPr>
        <w:t>ezi nejčastější diagnózy, se kterými lidé pohotovostní službu vyhledáva</w:t>
      </w:r>
      <w:r>
        <w:rPr>
          <w:szCs w:val="17"/>
        </w:rPr>
        <w:t>li</w:t>
      </w:r>
      <w:r w:rsidRPr="00545A8A">
        <w:rPr>
          <w:szCs w:val="17"/>
        </w:rPr>
        <w:t>, patř</w:t>
      </w:r>
      <w:r>
        <w:rPr>
          <w:szCs w:val="17"/>
        </w:rPr>
        <w:t>ila</w:t>
      </w:r>
      <w:r w:rsidRPr="00545A8A">
        <w:rPr>
          <w:szCs w:val="17"/>
        </w:rPr>
        <w:t xml:space="preserve"> </w:t>
      </w:r>
      <w:r w:rsidRPr="00545A8A">
        <w:rPr>
          <w:b/>
          <w:szCs w:val="17"/>
        </w:rPr>
        <w:t>poranění, otravy a popáleniny</w:t>
      </w:r>
      <w:r w:rsidRPr="00545A8A">
        <w:rPr>
          <w:szCs w:val="17"/>
        </w:rPr>
        <w:t xml:space="preserve"> (28 %), nemoci</w:t>
      </w:r>
      <w:r w:rsidRPr="00545A8A">
        <w:rPr>
          <w:b/>
          <w:szCs w:val="17"/>
        </w:rPr>
        <w:t xml:space="preserve"> dýchacích cest</w:t>
      </w:r>
      <w:r w:rsidRPr="00545A8A">
        <w:rPr>
          <w:szCs w:val="17"/>
        </w:rPr>
        <w:t xml:space="preserve"> (</w:t>
      </w:r>
      <w:r>
        <w:rPr>
          <w:szCs w:val="17"/>
        </w:rPr>
        <w:t>12 %</w:t>
      </w:r>
      <w:r w:rsidRPr="00545A8A">
        <w:rPr>
          <w:szCs w:val="17"/>
        </w:rPr>
        <w:t xml:space="preserve">) a onemocnění </w:t>
      </w:r>
      <w:r w:rsidRPr="00545A8A">
        <w:rPr>
          <w:b/>
          <w:szCs w:val="17"/>
        </w:rPr>
        <w:t>trávicí soustavy</w:t>
      </w:r>
      <w:r w:rsidRPr="00545A8A">
        <w:rPr>
          <w:szCs w:val="17"/>
        </w:rPr>
        <w:t xml:space="preserve"> (</w:t>
      </w:r>
      <w:r>
        <w:rPr>
          <w:szCs w:val="17"/>
        </w:rPr>
        <w:t>11 </w:t>
      </w:r>
      <w:r w:rsidRPr="00545A8A">
        <w:rPr>
          <w:szCs w:val="17"/>
        </w:rPr>
        <w:t>%)</w:t>
      </w:r>
      <w:r>
        <w:rPr>
          <w:szCs w:val="17"/>
        </w:rPr>
        <w:t xml:space="preserve">. Nejvíce pak za regulační poplatky zaplatily rodiče nejmenších dětí </w:t>
      </w:r>
      <w:r w:rsidR="005B66E0">
        <w:rPr>
          <w:szCs w:val="17"/>
        </w:rPr>
        <w:t>ve věku 0-4 roky (necelých 12 % </w:t>
      </w:r>
      <w:r>
        <w:rPr>
          <w:szCs w:val="17"/>
        </w:rPr>
        <w:t>z celkové</w:t>
      </w:r>
      <w:r w:rsidR="00EE1B89">
        <w:rPr>
          <w:szCs w:val="17"/>
        </w:rPr>
        <w:t>ho objemu regulačních poplatků)</w:t>
      </w:r>
      <w:bookmarkStart w:id="1" w:name="_GoBack"/>
      <w:bookmarkEnd w:id="1"/>
    </w:p>
    <w:p w14:paraId="6C67656A" w14:textId="77777777" w:rsidR="006E3BD4" w:rsidRPr="009E13AA" w:rsidRDefault="006E3BD4" w:rsidP="006E3BD4">
      <w:pPr>
        <w:pStyle w:val="Box1"/>
      </w:pPr>
      <w:r w:rsidRPr="009E13AA">
        <w:t>Kdo a kdy neplatí za pohotovost</w:t>
      </w:r>
    </w:p>
    <w:p w14:paraId="55AA7FEE" w14:textId="77777777" w:rsidR="006E3BD4" w:rsidRPr="009E13AA" w:rsidRDefault="006E3BD4" w:rsidP="006E3BD4">
      <w:pPr>
        <w:pStyle w:val="Box1"/>
      </w:pPr>
      <w:r w:rsidRPr="009E13AA">
        <w:t xml:space="preserve">Pokud v rámci pohotovostní služby ošetřující lékař shledá, že stav pacienta vyžaduje hospitalizaci, regulační poplatek se neplatí. Regulační poplatek za pohotovost neplatí ani pojištěnci v dětských domovech pro děti do tří let, ve školských zařízeních pro výkon ústavní či ochranné výchovy a v </w:t>
      </w:r>
      <w:r w:rsidRPr="009E13AA">
        <w:lastRenderedPageBreak/>
        <w:t xml:space="preserve">domovech pro osoby se zdravotním postižením. Dále je neplatí také pojištěnci svěření rozhodnutím soudu do pěstounské péče, poručnické péče nebo do péče jiné osoby podle občanského zákoníku. </w:t>
      </w:r>
    </w:p>
    <w:p w14:paraId="08FAA102" w14:textId="77777777" w:rsidR="006E3BD4" w:rsidRPr="009E13AA" w:rsidRDefault="006E3BD4" w:rsidP="006E3BD4">
      <w:pPr>
        <w:pStyle w:val="Box1"/>
      </w:pPr>
      <w:r w:rsidRPr="009E13AA">
        <w:t xml:space="preserve">Regulační poplatek </w:t>
      </w:r>
      <w:r>
        <w:t xml:space="preserve">dále </w:t>
      </w:r>
      <w:r w:rsidRPr="009E13AA">
        <w:t>nehradí</w:t>
      </w:r>
      <w:r>
        <w:t xml:space="preserve"> </w:t>
      </w:r>
      <w:r w:rsidRPr="009E13AA">
        <w:t>pacienti z domovů pro seniory, domovů se zvláštním režimem nebo v lůžkových zdravotnických zařízeních, pokud jim po úhradě ubytování a stravy zbude méně než 800 korun měsíčně, případně žádný příjem nemají. Osvobozeni od poplatku jsou také ti, kdo se prokážou dokladem o dávce v hmotné nouzi, který není starší než 30 dnů. Na návštěvní službu, tedy přivolání lékaře do domácnosti, se regulační poplatek jako za pohotovost nevztahuje.</w:t>
      </w:r>
    </w:p>
    <w:p w14:paraId="11FF9183" w14:textId="77777777" w:rsidR="006E3BD4" w:rsidRDefault="006E3BD4" w:rsidP="00A16413"/>
    <w:sectPr w:rsidR="006E3BD4" w:rsidSect="006E3BD4">
      <w:headerReference w:type="even" r:id="rId13"/>
      <w:headerReference w:type="default" r:id="rId14"/>
      <w:footerReference w:type="even" r:id="rId15"/>
      <w:footerReference w:type="default" r:id="rId16"/>
      <w:pgSz w:w="11906" w:h="16838" w:code="9"/>
      <w:pgMar w:top="1134" w:right="1134" w:bottom="1418" w:left="1134" w:header="680" w:footer="680" w:gutter="0"/>
      <w:pgNumType w:start="3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AC8D2" w14:textId="77777777" w:rsidR="00AE45E0" w:rsidRDefault="00AE45E0" w:rsidP="00E71A58">
      <w:r>
        <w:separator/>
      </w:r>
    </w:p>
  </w:endnote>
  <w:endnote w:type="continuationSeparator" w:id="0">
    <w:p w14:paraId="1DB7D0A3" w14:textId="77777777" w:rsidR="00AE45E0" w:rsidRDefault="00AE45E0"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53A21" w14:textId="5DE7FB9D" w:rsidR="007661E9" w:rsidRPr="00932443" w:rsidRDefault="00016992" w:rsidP="00A418BC">
    <w:pPr>
      <w:pStyle w:val="Zpat"/>
      <w:rPr>
        <w:szCs w:val="16"/>
      </w:rPr>
    </w:pPr>
    <w:r>
      <w:rPr>
        <w:szCs w:val="16"/>
        <w:lang w:eastAsia="cs-CZ"/>
      </w:rPr>
      <w:drawing>
        <wp:anchor distT="0" distB="0" distL="114300" distR="114300" simplePos="0" relativeHeight="251658240" behindDoc="0" locked="0" layoutInCell="1" allowOverlap="1" wp14:anchorId="4879F6D2" wp14:editId="09FEBEAB">
          <wp:simplePos x="0" y="0"/>
          <wp:positionH relativeFrom="column">
            <wp:align>right</wp:align>
          </wp:positionH>
          <wp:positionV relativeFrom="paragraph">
            <wp:posOffset>-64770</wp:posOffset>
          </wp:positionV>
          <wp:extent cx="428625" cy="201295"/>
          <wp:effectExtent l="0" t="0" r="3175" b="1905"/>
          <wp:wrapNone/>
          <wp:docPr id="11" name="Picture 11"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5647BF" w:rsidRPr="00932443">
      <w:rPr>
        <w:szCs w:val="16"/>
      </w:rPr>
      <w:fldChar w:fldCharType="begin"/>
    </w:r>
    <w:r w:rsidR="005647BF" w:rsidRPr="00932443">
      <w:rPr>
        <w:szCs w:val="16"/>
      </w:rPr>
      <w:instrText>PAGE   \* MERGEFORMAT</w:instrText>
    </w:r>
    <w:r w:rsidR="005647BF" w:rsidRPr="00932443">
      <w:rPr>
        <w:szCs w:val="16"/>
      </w:rPr>
      <w:fldChar w:fldCharType="separate"/>
    </w:r>
    <w:r w:rsidR="005B66E0">
      <w:rPr>
        <w:szCs w:val="16"/>
      </w:rPr>
      <w:t>44</w:t>
    </w:r>
    <w:r w:rsidR="005647BF" w:rsidRPr="00932443">
      <w:rPr>
        <w:szCs w:val="16"/>
      </w:rPr>
      <w:fldChar w:fldCharType="end"/>
    </w:r>
    <w:r w:rsidR="005647BF" w:rsidRPr="00932443">
      <w:rPr>
        <w:szCs w:val="16"/>
      </w:rPr>
      <w:tab/>
    </w:r>
    <w:r w:rsidR="006E3BD4">
      <w:rPr>
        <w:szCs w:val="16"/>
      </w:rPr>
      <w:t>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5DDAC" w14:textId="0134B0DB" w:rsidR="00B80EC6" w:rsidRPr="00932443" w:rsidRDefault="00016992" w:rsidP="00A418BC">
    <w:pPr>
      <w:pStyle w:val="Zpat"/>
      <w:rPr>
        <w:szCs w:val="16"/>
      </w:rPr>
    </w:pPr>
    <w:r>
      <w:rPr>
        <w:szCs w:val="16"/>
        <w:lang w:eastAsia="cs-CZ"/>
      </w:rPr>
      <w:drawing>
        <wp:anchor distT="0" distB="0" distL="114300" distR="114300" simplePos="0" relativeHeight="251657216" behindDoc="0" locked="0" layoutInCell="1" allowOverlap="1" wp14:anchorId="0CE55A93" wp14:editId="55D07292">
          <wp:simplePos x="0" y="0"/>
          <wp:positionH relativeFrom="column">
            <wp:align>left</wp:align>
          </wp:positionH>
          <wp:positionV relativeFrom="paragraph">
            <wp:posOffset>-122555</wp:posOffset>
          </wp:positionV>
          <wp:extent cx="510540" cy="272415"/>
          <wp:effectExtent l="0" t="0" r="0" b="6985"/>
          <wp:wrapNone/>
          <wp:docPr id="10" name="Picture 10"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5647BF" w:rsidRPr="00932443">
      <w:rPr>
        <w:szCs w:val="16"/>
      </w:rPr>
      <w:tab/>
    </w:r>
    <w:r w:rsidR="006E3BD4">
      <w:rPr>
        <w:rStyle w:val="ZpatChar"/>
        <w:szCs w:val="16"/>
      </w:rPr>
      <w:t>2021</w:t>
    </w:r>
    <w:r w:rsidR="005647BF" w:rsidRPr="00932443">
      <w:rPr>
        <w:szCs w:val="16"/>
      </w:rPr>
      <w:tab/>
    </w:r>
    <w:r w:rsidR="005647BF" w:rsidRPr="00932443">
      <w:rPr>
        <w:rStyle w:val="ZpatChar"/>
        <w:szCs w:val="16"/>
      </w:rPr>
      <w:fldChar w:fldCharType="begin"/>
    </w:r>
    <w:r w:rsidR="005647BF" w:rsidRPr="00932443">
      <w:rPr>
        <w:rStyle w:val="ZpatChar"/>
        <w:szCs w:val="16"/>
      </w:rPr>
      <w:instrText>PAGE   \* MERGEFORMAT</w:instrText>
    </w:r>
    <w:r w:rsidR="005647BF" w:rsidRPr="00932443">
      <w:rPr>
        <w:rStyle w:val="ZpatChar"/>
        <w:szCs w:val="16"/>
      </w:rPr>
      <w:fldChar w:fldCharType="separate"/>
    </w:r>
    <w:r w:rsidR="005B66E0">
      <w:rPr>
        <w:rStyle w:val="ZpatChar"/>
        <w:szCs w:val="16"/>
      </w:rPr>
      <w:t>43</w:t>
    </w:r>
    <w:r w:rsidR="005647BF"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CCF37" w14:textId="77777777" w:rsidR="00AE45E0" w:rsidRDefault="00AE45E0" w:rsidP="00E71A58">
      <w:r>
        <w:separator/>
      </w:r>
    </w:p>
  </w:footnote>
  <w:footnote w:type="continuationSeparator" w:id="0">
    <w:p w14:paraId="3A04FE70" w14:textId="77777777" w:rsidR="00AE45E0" w:rsidRDefault="00AE45E0"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BD682" w14:textId="77777777" w:rsidR="00515C74" w:rsidRPr="006E3BD4" w:rsidRDefault="006E3BD4" w:rsidP="006E3BD4">
    <w:pPr>
      <w:pStyle w:val="Zhlav"/>
      <w:rPr>
        <w:lang w:val="en-US"/>
      </w:rPr>
    </w:pPr>
    <w:proofErr w:type="spellStart"/>
    <w:r>
      <w:rPr>
        <w:lang w:val="en-US"/>
      </w:rPr>
      <w:t>Výsledky</w:t>
    </w:r>
    <w:proofErr w:type="spellEnd"/>
    <w:r>
      <w:rPr>
        <w:lang w:val="en-US"/>
      </w:rPr>
      <w:t xml:space="preserve"> </w:t>
    </w:r>
    <w:proofErr w:type="spellStart"/>
    <w:r>
      <w:rPr>
        <w:lang w:val="en-US"/>
      </w:rPr>
      <w:t>zdravotnických</w:t>
    </w:r>
    <w:proofErr w:type="spellEnd"/>
    <w:r>
      <w:rPr>
        <w:lang w:val="en-US"/>
      </w:rPr>
      <w:t xml:space="preserve"> </w:t>
    </w:r>
    <w:proofErr w:type="spellStart"/>
    <w:r>
      <w:rPr>
        <w:lang w:val="en-US"/>
      </w:rPr>
      <w:t>účtů</w:t>
    </w:r>
    <w:proofErr w:type="spellEnd"/>
    <w:r>
      <w:rPr>
        <w:lang w:val="en-US"/>
      </w:rPr>
      <w:t xml:space="preserve"> ČR 2010-2019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0CAC8" w14:textId="77777777" w:rsidR="00B5752E" w:rsidRPr="006E3BD4" w:rsidRDefault="006E3BD4" w:rsidP="006E3BD4">
    <w:pPr>
      <w:pStyle w:val="Zhlav"/>
      <w:rPr>
        <w:lang w:val="en-US"/>
      </w:rPr>
    </w:pPr>
    <w:proofErr w:type="spellStart"/>
    <w:r>
      <w:rPr>
        <w:lang w:val="en-US"/>
      </w:rPr>
      <w:t>Výsledky</w:t>
    </w:r>
    <w:proofErr w:type="spellEnd"/>
    <w:r>
      <w:rPr>
        <w:lang w:val="en-US"/>
      </w:rPr>
      <w:t xml:space="preserve"> </w:t>
    </w:r>
    <w:proofErr w:type="spellStart"/>
    <w:r>
      <w:rPr>
        <w:lang w:val="en-US"/>
      </w:rPr>
      <w:t>zdravotnických</w:t>
    </w:r>
    <w:proofErr w:type="spellEnd"/>
    <w:r>
      <w:rPr>
        <w:lang w:val="en-US"/>
      </w:rPr>
      <w:t xml:space="preserve"> </w:t>
    </w:r>
    <w:proofErr w:type="spellStart"/>
    <w:r>
      <w:rPr>
        <w:lang w:val="en-US"/>
      </w:rPr>
      <w:t>účtů</w:t>
    </w:r>
    <w:proofErr w:type="spellEnd"/>
    <w:r>
      <w:rPr>
        <w:lang w:val="en-US"/>
      </w:rPr>
      <w:t xml:space="preserve"> ČR 2010-2019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95pt;height:9.9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BD4"/>
    <w:rsid w:val="0000209D"/>
    <w:rsid w:val="00004D5A"/>
    <w:rsid w:val="000056D5"/>
    <w:rsid w:val="0000767A"/>
    <w:rsid w:val="00010702"/>
    <w:rsid w:val="00016992"/>
    <w:rsid w:val="000234D6"/>
    <w:rsid w:val="00023D29"/>
    <w:rsid w:val="00026389"/>
    <w:rsid w:val="00031AE0"/>
    <w:rsid w:val="000322EF"/>
    <w:rsid w:val="00033FCD"/>
    <w:rsid w:val="00041CEC"/>
    <w:rsid w:val="0004694F"/>
    <w:rsid w:val="000522E4"/>
    <w:rsid w:val="000610E1"/>
    <w:rsid w:val="00062EC5"/>
    <w:rsid w:val="00062F22"/>
    <w:rsid w:val="000712B3"/>
    <w:rsid w:val="0008263E"/>
    <w:rsid w:val="00082C19"/>
    <w:rsid w:val="00085395"/>
    <w:rsid w:val="00087634"/>
    <w:rsid w:val="00087F2B"/>
    <w:rsid w:val="000974D1"/>
    <w:rsid w:val="0009799E"/>
    <w:rsid w:val="000A1183"/>
    <w:rsid w:val="000A256D"/>
    <w:rsid w:val="000A3A2C"/>
    <w:rsid w:val="000B134E"/>
    <w:rsid w:val="000B30FA"/>
    <w:rsid w:val="000C3408"/>
    <w:rsid w:val="000C6AFD"/>
    <w:rsid w:val="000D5637"/>
    <w:rsid w:val="000E6FBD"/>
    <w:rsid w:val="00100F5C"/>
    <w:rsid w:val="0010437D"/>
    <w:rsid w:val="00104630"/>
    <w:rsid w:val="00104C4C"/>
    <w:rsid w:val="0012192F"/>
    <w:rsid w:val="00125D69"/>
    <w:rsid w:val="001405FA"/>
    <w:rsid w:val="001425C3"/>
    <w:rsid w:val="0016256B"/>
    <w:rsid w:val="00163793"/>
    <w:rsid w:val="001706D6"/>
    <w:rsid w:val="001714F2"/>
    <w:rsid w:val="00184B08"/>
    <w:rsid w:val="00185010"/>
    <w:rsid w:val="00197F65"/>
    <w:rsid w:val="001A552F"/>
    <w:rsid w:val="001B2CA9"/>
    <w:rsid w:val="001B3110"/>
    <w:rsid w:val="001B4729"/>
    <w:rsid w:val="001B6C09"/>
    <w:rsid w:val="001C05CD"/>
    <w:rsid w:val="001D68B2"/>
    <w:rsid w:val="001F4597"/>
    <w:rsid w:val="002118B9"/>
    <w:rsid w:val="00217C5B"/>
    <w:rsid w:val="0022139E"/>
    <w:rsid w:val="002252E0"/>
    <w:rsid w:val="002255F6"/>
    <w:rsid w:val="00227850"/>
    <w:rsid w:val="00227A53"/>
    <w:rsid w:val="00230C6E"/>
    <w:rsid w:val="00236443"/>
    <w:rsid w:val="002436BA"/>
    <w:rsid w:val="00244A15"/>
    <w:rsid w:val="00247319"/>
    <w:rsid w:val="0024799E"/>
    <w:rsid w:val="00253C0F"/>
    <w:rsid w:val="00271465"/>
    <w:rsid w:val="00282E76"/>
    <w:rsid w:val="00285412"/>
    <w:rsid w:val="002A00BE"/>
    <w:rsid w:val="002A16D4"/>
    <w:rsid w:val="002A230C"/>
    <w:rsid w:val="002C43BD"/>
    <w:rsid w:val="002D0E59"/>
    <w:rsid w:val="002E02A1"/>
    <w:rsid w:val="002E4E4C"/>
    <w:rsid w:val="00304771"/>
    <w:rsid w:val="003052D4"/>
    <w:rsid w:val="00306C5B"/>
    <w:rsid w:val="003209D6"/>
    <w:rsid w:val="00321924"/>
    <w:rsid w:val="0032656E"/>
    <w:rsid w:val="00332190"/>
    <w:rsid w:val="00332EE4"/>
    <w:rsid w:val="00344668"/>
    <w:rsid w:val="003462D9"/>
    <w:rsid w:val="00360C86"/>
    <w:rsid w:val="003657F3"/>
    <w:rsid w:val="003818DC"/>
    <w:rsid w:val="00384327"/>
    <w:rsid w:val="00385D98"/>
    <w:rsid w:val="003A2B4D"/>
    <w:rsid w:val="003A478C"/>
    <w:rsid w:val="003A5525"/>
    <w:rsid w:val="003A6B38"/>
    <w:rsid w:val="003A75AD"/>
    <w:rsid w:val="003B5A32"/>
    <w:rsid w:val="003C3490"/>
    <w:rsid w:val="003D6920"/>
    <w:rsid w:val="003E4AF4"/>
    <w:rsid w:val="003E4C91"/>
    <w:rsid w:val="003F313C"/>
    <w:rsid w:val="003F4B2C"/>
    <w:rsid w:val="003F551C"/>
    <w:rsid w:val="003F7D23"/>
    <w:rsid w:val="00407C13"/>
    <w:rsid w:val="00410638"/>
    <w:rsid w:val="00432A58"/>
    <w:rsid w:val="00434617"/>
    <w:rsid w:val="00440900"/>
    <w:rsid w:val="004441A0"/>
    <w:rsid w:val="00460FB3"/>
    <w:rsid w:val="00476240"/>
    <w:rsid w:val="00476439"/>
    <w:rsid w:val="0047735C"/>
    <w:rsid w:val="004776BC"/>
    <w:rsid w:val="0048139F"/>
    <w:rsid w:val="00481E40"/>
    <w:rsid w:val="00484ECE"/>
    <w:rsid w:val="004900FF"/>
    <w:rsid w:val="004915CB"/>
    <w:rsid w:val="004924DC"/>
    <w:rsid w:val="004953C5"/>
    <w:rsid w:val="004A14E4"/>
    <w:rsid w:val="004A3212"/>
    <w:rsid w:val="004A61C5"/>
    <w:rsid w:val="004A77DF"/>
    <w:rsid w:val="004B1417"/>
    <w:rsid w:val="004B55B7"/>
    <w:rsid w:val="004B6468"/>
    <w:rsid w:val="004C384C"/>
    <w:rsid w:val="004C3867"/>
    <w:rsid w:val="004C4CD0"/>
    <w:rsid w:val="004C70DC"/>
    <w:rsid w:val="004D0211"/>
    <w:rsid w:val="004D0794"/>
    <w:rsid w:val="004F06F5"/>
    <w:rsid w:val="004F33A0"/>
    <w:rsid w:val="00500A8A"/>
    <w:rsid w:val="005108C0"/>
    <w:rsid w:val="00511873"/>
    <w:rsid w:val="00512A2F"/>
    <w:rsid w:val="00513B7E"/>
    <w:rsid w:val="00515C74"/>
    <w:rsid w:val="0052007E"/>
    <w:rsid w:val="0052337A"/>
    <w:rsid w:val="00525137"/>
    <w:rsid w:val="005251DD"/>
    <w:rsid w:val="00532CE7"/>
    <w:rsid w:val="0053324C"/>
    <w:rsid w:val="00534A28"/>
    <w:rsid w:val="00541508"/>
    <w:rsid w:val="0055599F"/>
    <w:rsid w:val="00556D68"/>
    <w:rsid w:val="005647BF"/>
    <w:rsid w:val="0057364B"/>
    <w:rsid w:val="00574773"/>
    <w:rsid w:val="00583FFD"/>
    <w:rsid w:val="005911BE"/>
    <w:rsid w:val="00593152"/>
    <w:rsid w:val="005A10F2"/>
    <w:rsid w:val="005A18C6"/>
    <w:rsid w:val="005A21E0"/>
    <w:rsid w:val="005A28FF"/>
    <w:rsid w:val="005A3DF8"/>
    <w:rsid w:val="005A5549"/>
    <w:rsid w:val="005B121D"/>
    <w:rsid w:val="005B66E0"/>
    <w:rsid w:val="005C06ED"/>
    <w:rsid w:val="005D5802"/>
    <w:rsid w:val="005D7890"/>
    <w:rsid w:val="005E7C78"/>
    <w:rsid w:val="005F3EB1"/>
    <w:rsid w:val="005F5469"/>
    <w:rsid w:val="00604307"/>
    <w:rsid w:val="0060487F"/>
    <w:rsid w:val="00604EAD"/>
    <w:rsid w:val="006104FB"/>
    <w:rsid w:val="00612A2F"/>
    <w:rsid w:val="00616E05"/>
    <w:rsid w:val="00624093"/>
    <w:rsid w:val="006404A7"/>
    <w:rsid w:val="006451E4"/>
    <w:rsid w:val="00645B33"/>
    <w:rsid w:val="006516CB"/>
    <w:rsid w:val="00657E87"/>
    <w:rsid w:val="00662D82"/>
    <w:rsid w:val="00664803"/>
    <w:rsid w:val="00665BA4"/>
    <w:rsid w:val="00667AF2"/>
    <w:rsid w:val="006707DD"/>
    <w:rsid w:val="006710C9"/>
    <w:rsid w:val="00674D89"/>
    <w:rsid w:val="00675E37"/>
    <w:rsid w:val="0068174E"/>
    <w:rsid w:val="00681DCE"/>
    <w:rsid w:val="0068260E"/>
    <w:rsid w:val="00695BEF"/>
    <w:rsid w:val="006977F6"/>
    <w:rsid w:val="00697A13"/>
    <w:rsid w:val="006A109C"/>
    <w:rsid w:val="006B344A"/>
    <w:rsid w:val="006B78D8"/>
    <w:rsid w:val="006C113F"/>
    <w:rsid w:val="006C123E"/>
    <w:rsid w:val="006C56D4"/>
    <w:rsid w:val="006C6924"/>
    <w:rsid w:val="006C7CA6"/>
    <w:rsid w:val="006D3E8A"/>
    <w:rsid w:val="006D61F6"/>
    <w:rsid w:val="006E279A"/>
    <w:rsid w:val="006E313B"/>
    <w:rsid w:val="006E3BD4"/>
    <w:rsid w:val="006F5416"/>
    <w:rsid w:val="006F7137"/>
    <w:rsid w:val="00706AD4"/>
    <w:rsid w:val="007140BE"/>
    <w:rsid w:val="007211F5"/>
    <w:rsid w:val="00725BB5"/>
    <w:rsid w:val="00730AE8"/>
    <w:rsid w:val="00741493"/>
    <w:rsid w:val="00752180"/>
    <w:rsid w:val="00755202"/>
    <w:rsid w:val="00755D3A"/>
    <w:rsid w:val="007578D3"/>
    <w:rsid w:val="007609C6"/>
    <w:rsid w:val="0076175D"/>
    <w:rsid w:val="0076521E"/>
    <w:rsid w:val="007661E9"/>
    <w:rsid w:val="00776169"/>
    <w:rsid w:val="00776527"/>
    <w:rsid w:val="00780EF1"/>
    <w:rsid w:val="00790764"/>
    <w:rsid w:val="0079453C"/>
    <w:rsid w:val="00794677"/>
    <w:rsid w:val="007B6689"/>
    <w:rsid w:val="007D40DF"/>
    <w:rsid w:val="007E7E61"/>
    <w:rsid w:val="007F0845"/>
    <w:rsid w:val="00807C82"/>
    <w:rsid w:val="00816905"/>
    <w:rsid w:val="00821FF6"/>
    <w:rsid w:val="00825C4D"/>
    <w:rsid w:val="0083143E"/>
    <w:rsid w:val="00831CDE"/>
    <w:rsid w:val="00834304"/>
    <w:rsid w:val="00834FAA"/>
    <w:rsid w:val="00836086"/>
    <w:rsid w:val="0084708F"/>
    <w:rsid w:val="008477C8"/>
    <w:rsid w:val="0085114D"/>
    <w:rsid w:val="00852217"/>
    <w:rsid w:val="00855408"/>
    <w:rsid w:val="00856D65"/>
    <w:rsid w:val="00861B41"/>
    <w:rsid w:val="00863434"/>
    <w:rsid w:val="00863663"/>
    <w:rsid w:val="00865E4C"/>
    <w:rsid w:val="008701E4"/>
    <w:rsid w:val="00875A32"/>
    <w:rsid w:val="00876086"/>
    <w:rsid w:val="008873D4"/>
    <w:rsid w:val="00893E85"/>
    <w:rsid w:val="00894031"/>
    <w:rsid w:val="0089712A"/>
    <w:rsid w:val="008B7C02"/>
    <w:rsid w:val="008B7D2B"/>
    <w:rsid w:val="008C0049"/>
    <w:rsid w:val="008C0E88"/>
    <w:rsid w:val="008D1E6A"/>
    <w:rsid w:val="008D2A16"/>
    <w:rsid w:val="008E2C57"/>
    <w:rsid w:val="008E31FF"/>
    <w:rsid w:val="008E6F06"/>
    <w:rsid w:val="008F029B"/>
    <w:rsid w:val="008F3FC9"/>
    <w:rsid w:val="008F585B"/>
    <w:rsid w:val="009003A8"/>
    <w:rsid w:val="00900CCC"/>
    <w:rsid w:val="00902500"/>
    <w:rsid w:val="00902EFF"/>
    <w:rsid w:val="00906401"/>
    <w:rsid w:val="0091155E"/>
    <w:rsid w:val="00912A92"/>
    <w:rsid w:val="0091728D"/>
    <w:rsid w:val="0092180B"/>
    <w:rsid w:val="00921F14"/>
    <w:rsid w:val="00924AC8"/>
    <w:rsid w:val="0092597A"/>
    <w:rsid w:val="00932443"/>
    <w:rsid w:val="00937AE2"/>
    <w:rsid w:val="0094427A"/>
    <w:rsid w:val="00974923"/>
    <w:rsid w:val="00980D3D"/>
    <w:rsid w:val="00987A30"/>
    <w:rsid w:val="00992CF3"/>
    <w:rsid w:val="009968D6"/>
    <w:rsid w:val="009A1CAB"/>
    <w:rsid w:val="009A60D1"/>
    <w:rsid w:val="009B6FD3"/>
    <w:rsid w:val="009C1750"/>
    <w:rsid w:val="009C2E29"/>
    <w:rsid w:val="009C554B"/>
    <w:rsid w:val="009C719E"/>
    <w:rsid w:val="009D3ACD"/>
    <w:rsid w:val="009E5273"/>
    <w:rsid w:val="009E5D78"/>
    <w:rsid w:val="009E5DDB"/>
    <w:rsid w:val="009F4CA7"/>
    <w:rsid w:val="00A10D66"/>
    <w:rsid w:val="00A14114"/>
    <w:rsid w:val="00A16413"/>
    <w:rsid w:val="00A23E43"/>
    <w:rsid w:val="00A30F65"/>
    <w:rsid w:val="00A418BC"/>
    <w:rsid w:val="00A46DE0"/>
    <w:rsid w:val="00A50D73"/>
    <w:rsid w:val="00A52CAD"/>
    <w:rsid w:val="00A53FC7"/>
    <w:rsid w:val="00A62CE1"/>
    <w:rsid w:val="00A6741E"/>
    <w:rsid w:val="00A75E40"/>
    <w:rsid w:val="00A77D1D"/>
    <w:rsid w:val="00A857C0"/>
    <w:rsid w:val="00AA2996"/>
    <w:rsid w:val="00AA52BF"/>
    <w:rsid w:val="00AA559A"/>
    <w:rsid w:val="00AB2AF1"/>
    <w:rsid w:val="00AD306C"/>
    <w:rsid w:val="00AE09B3"/>
    <w:rsid w:val="00AE1A83"/>
    <w:rsid w:val="00AE45E0"/>
    <w:rsid w:val="00B00913"/>
    <w:rsid w:val="00B01593"/>
    <w:rsid w:val="00B10A4D"/>
    <w:rsid w:val="00B17E71"/>
    <w:rsid w:val="00B17FDE"/>
    <w:rsid w:val="00B2379C"/>
    <w:rsid w:val="00B243D1"/>
    <w:rsid w:val="00B2687D"/>
    <w:rsid w:val="00B32DDB"/>
    <w:rsid w:val="00B34528"/>
    <w:rsid w:val="00B402FC"/>
    <w:rsid w:val="00B46604"/>
    <w:rsid w:val="00B530CD"/>
    <w:rsid w:val="00B55F5E"/>
    <w:rsid w:val="00B5752E"/>
    <w:rsid w:val="00B63A11"/>
    <w:rsid w:val="00B64C24"/>
    <w:rsid w:val="00B6608F"/>
    <w:rsid w:val="00B679FB"/>
    <w:rsid w:val="00B76D1E"/>
    <w:rsid w:val="00B80EC6"/>
    <w:rsid w:val="00B92D1D"/>
    <w:rsid w:val="00B938C5"/>
    <w:rsid w:val="00B95940"/>
    <w:rsid w:val="00BB46F3"/>
    <w:rsid w:val="00BB4CB1"/>
    <w:rsid w:val="00BB4F98"/>
    <w:rsid w:val="00BC7154"/>
    <w:rsid w:val="00BD366B"/>
    <w:rsid w:val="00BD6D50"/>
    <w:rsid w:val="00BE18B9"/>
    <w:rsid w:val="00BE2495"/>
    <w:rsid w:val="00BF1578"/>
    <w:rsid w:val="00C21F94"/>
    <w:rsid w:val="00C27913"/>
    <w:rsid w:val="00C27ECC"/>
    <w:rsid w:val="00C33B68"/>
    <w:rsid w:val="00C36A79"/>
    <w:rsid w:val="00C405D4"/>
    <w:rsid w:val="00C4513B"/>
    <w:rsid w:val="00C54697"/>
    <w:rsid w:val="00C73885"/>
    <w:rsid w:val="00C747B1"/>
    <w:rsid w:val="00C82191"/>
    <w:rsid w:val="00C90CF4"/>
    <w:rsid w:val="00C92EB6"/>
    <w:rsid w:val="00C93389"/>
    <w:rsid w:val="00CB4930"/>
    <w:rsid w:val="00CC2E7D"/>
    <w:rsid w:val="00CD10A5"/>
    <w:rsid w:val="00CD2076"/>
    <w:rsid w:val="00CE670B"/>
    <w:rsid w:val="00CF51EC"/>
    <w:rsid w:val="00CF73AE"/>
    <w:rsid w:val="00D040DD"/>
    <w:rsid w:val="00D13986"/>
    <w:rsid w:val="00D235B7"/>
    <w:rsid w:val="00D25F28"/>
    <w:rsid w:val="00D27973"/>
    <w:rsid w:val="00D50F46"/>
    <w:rsid w:val="00D66223"/>
    <w:rsid w:val="00D8084C"/>
    <w:rsid w:val="00DA7C0C"/>
    <w:rsid w:val="00DB2EC8"/>
    <w:rsid w:val="00DC5B3B"/>
    <w:rsid w:val="00DD129F"/>
    <w:rsid w:val="00DF42FF"/>
    <w:rsid w:val="00E01C0E"/>
    <w:rsid w:val="00E03F9A"/>
    <w:rsid w:val="00E04694"/>
    <w:rsid w:val="00E12B1E"/>
    <w:rsid w:val="00E17262"/>
    <w:rsid w:val="00E23F28"/>
    <w:rsid w:val="00E253A2"/>
    <w:rsid w:val="00E3309D"/>
    <w:rsid w:val="00E50156"/>
    <w:rsid w:val="00E53470"/>
    <w:rsid w:val="00E539F6"/>
    <w:rsid w:val="00E6519D"/>
    <w:rsid w:val="00E67696"/>
    <w:rsid w:val="00E71A58"/>
    <w:rsid w:val="00E72A7A"/>
    <w:rsid w:val="00E75C94"/>
    <w:rsid w:val="00E93820"/>
    <w:rsid w:val="00EA0C68"/>
    <w:rsid w:val="00EA32BC"/>
    <w:rsid w:val="00EB4511"/>
    <w:rsid w:val="00EC03D7"/>
    <w:rsid w:val="00ED62C6"/>
    <w:rsid w:val="00ED64C1"/>
    <w:rsid w:val="00EE1B89"/>
    <w:rsid w:val="00EE3446"/>
    <w:rsid w:val="00EE3E78"/>
    <w:rsid w:val="00EE4B1B"/>
    <w:rsid w:val="00EF150D"/>
    <w:rsid w:val="00EF1F5A"/>
    <w:rsid w:val="00EF47BF"/>
    <w:rsid w:val="00F04811"/>
    <w:rsid w:val="00F0488C"/>
    <w:rsid w:val="00F05F5E"/>
    <w:rsid w:val="00F10F11"/>
    <w:rsid w:val="00F15AAA"/>
    <w:rsid w:val="00F15BEF"/>
    <w:rsid w:val="00F24407"/>
    <w:rsid w:val="00F24A08"/>
    <w:rsid w:val="00F24FAA"/>
    <w:rsid w:val="00F3364D"/>
    <w:rsid w:val="00F437CC"/>
    <w:rsid w:val="00F47067"/>
    <w:rsid w:val="00F525EB"/>
    <w:rsid w:val="00F63DDE"/>
    <w:rsid w:val="00F63FB7"/>
    <w:rsid w:val="00F649D2"/>
    <w:rsid w:val="00F65C87"/>
    <w:rsid w:val="00F6602B"/>
    <w:rsid w:val="00F7260E"/>
    <w:rsid w:val="00F73A0C"/>
    <w:rsid w:val="00F74CDC"/>
    <w:rsid w:val="00F756DB"/>
    <w:rsid w:val="00F85066"/>
    <w:rsid w:val="00FA5D4D"/>
    <w:rsid w:val="00FB0EE2"/>
    <w:rsid w:val="00FB542E"/>
    <w:rsid w:val="00FC0E5F"/>
    <w:rsid w:val="00FC1A95"/>
    <w:rsid w:val="00FC56DE"/>
    <w:rsid w:val="00FC684B"/>
    <w:rsid w:val="00FD3265"/>
    <w:rsid w:val="00FE2F78"/>
    <w:rsid w:val="00FF7B9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FEE6DA8"/>
  <w15:docId w15:val="{DB2E9203-DE79-4DE0-8CAA-8FAE5DC0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3BD4"/>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4900FF"/>
    <w:pPr>
      <w:keepNext/>
      <w:keepLines/>
      <w:spacing w:after="100" w:line="288" w:lineRule="auto"/>
      <w:contextualSpacing/>
      <w:outlineLvl w:val="0"/>
    </w:pPr>
    <w:rPr>
      <w:rFonts w:ascii="Arial" w:eastAsia="MS Gothic" w:hAnsi="Arial"/>
      <w:b/>
      <w:bCs/>
      <w:color w:val="C00000"/>
      <w:sz w:val="32"/>
      <w:szCs w:val="28"/>
      <w:lang w:eastAsia="cs-CZ"/>
    </w:rPr>
  </w:style>
  <w:style w:type="paragraph" w:styleId="Nadpis2">
    <w:name w:val="heading 2"/>
    <w:next w:val="Normln"/>
    <w:link w:val="Nadpis2Char"/>
    <w:uiPriority w:val="9"/>
    <w:qFormat/>
    <w:rsid w:val="004900FF"/>
    <w:pPr>
      <w:keepNext/>
      <w:keepLines/>
      <w:spacing w:line="288" w:lineRule="auto"/>
      <w:outlineLvl w:val="1"/>
    </w:pPr>
    <w:rPr>
      <w:rFonts w:ascii="Arial" w:eastAsia="MS Gothic" w:hAnsi="Arial"/>
      <w:b/>
      <w:bCs/>
      <w:color w:val="BC091B"/>
      <w:sz w:val="28"/>
      <w:szCs w:val="26"/>
      <w:lang w:eastAsia="cs-CZ"/>
    </w:rPr>
  </w:style>
  <w:style w:type="paragraph" w:styleId="Nadpis3">
    <w:name w:val="heading 3"/>
    <w:next w:val="Normln"/>
    <w:link w:val="Nadpis3Char"/>
    <w:uiPriority w:val="9"/>
    <w:qFormat/>
    <w:rsid w:val="00282E76"/>
    <w:pPr>
      <w:keepNext/>
      <w:keepLines/>
      <w:spacing w:after="100" w:line="288" w:lineRule="auto"/>
      <w:outlineLvl w:val="2"/>
    </w:pPr>
    <w:rPr>
      <w:rFonts w:ascii="Arial" w:eastAsia="MS Gothic" w:hAnsi="Arial"/>
      <w:b/>
      <w:bCs/>
      <w:color w:val="BC091B"/>
      <w:sz w:val="24"/>
      <w:szCs w:val="24"/>
      <w:lang w:eastAsia="cs-CZ"/>
    </w:rPr>
  </w:style>
  <w:style w:type="paragraph" w:styleId="Nadpis4">
    <w:name w:val="heading 4"/>
    <w:next w:val="Normln"/>
    <w:link w:val="Nadpis4Char"/>
    <w:uiPriority w:val="9"/>
    <w:qFormat/>
    <w:rsid w:val="004900FF"/>
    <w:pPr>
      <w:keepNext/>
      <w:keepLines/>
      <w:spacing w:line="288" w:lineRule="auto"/>
      <w:outlineLvl w:val="3"/>
    </w:pPr>
    <w:rPr>
      <w:rFonts w:ascii="Arial" w:eastAsia="MS Gothic" w:hAnsi="Arial"/>
      <w:b/>
      <w:bCs/>
      <w:iCs/>
      <w:color w:val="BC091B"/>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900FF"/>
    <w:rPr>
      <w:rFonts w:ascii="Arial" w:eastAsia="MS Gothic" w:hAnsi="Arial"/>
      <w:b/>
      <w:bCs/>
      <w:color w:val="C00000"/>
      <w:sz w:val="32"/>
      <w:szCs w:val="28"/>
    </w:rPr>
  </w:style>
  <w:style w:type="character" w:customStyle="1" w:styleId="Nadpis2Char">
    <w:name w:val="Nadpis 2 Char"/>
    <w:link w:val="Nadpis2"/>
    <w:uiPriority w:val="9"/>
    <w:rsid w:val="004900FF"/>
    <w:rPr>
      <w:rFonts w:ascii="Arial" w:eastAsia="MS Gothic" w:hAnsi="Arial"/>
      <w:b/>
      <w:bCs/>
      <w:color w:val="BC091B"/>
      <w:sz w:val="28"/>
      <w:szCs w:val="26"/>
    </w:rPr>
  </w:style>
  <w:style w:type="character" w:customStyle="1" w:styleId="Nadpis3Char">
    <w:name w:val="Nadpis 3 Char"/>
    <w:link w:val="Nadpis3"/>
    <w:uiPriority w:val="9"/>
    <w:rsid w:val="00282E76"/>
    <w:rPr>
      <w:rFonts w:ascii="Arial" w:eastAsia="MS Gothic" w:hAnsi="Arial"/>
      <w:b/>
      <w:bCs/>
      <w:color w:val="BC091B"/>
      <w:sz w:val="24"/>
      <w:szCs w:val="24"/>
      <w:lang w:eastAsia="cs-CZ"/>
    </w:rPr>
  </w:style>
  <w:style w:type="character" w:customStyle="1" w:styleId="Nadpis4Char">
    <w:name w:val="Nadpis 4 Char"/>
    <w:link w:val="Nadpis4"/>
    <w:uiPriority w:val="9"/>
    <w:rsid w:val="004900FF"/>
    <w:rPr>
      <w:rFonts w:ascii="Arial" w:eastAsia="MS Gothic" w:hAnsi="Arial"/>
      <w:b/>
      <w:bCs/>
      <w:iCs/>
      <w:color w:val="BC091B"/>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4900FF"/>
    <w:pPr>
      <w:spacing w:after="80" w:line="288" w:lineRule="auto"/>
    </w:pPr>
    <w:rPr>
      <w:rFonts w:ascii="Arial" w:eastAsia="Times New Roman" w:hAnsi="Arial"/>
      <w:b/>
      <w:color w:val="BC091B"/>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4900FF"/>
    <w:pPr>
      <w:shd w:val="clear" w:color="auto" w:fill="F5DADD"/>
      <w:spacing w:before="240" w:after="240" w:line="288" w:lineRule="auto"/>
      <w:ind w:left="709"/>
      <w:contextualSpacing/>
    </w:pPr>
    <w:rPr>
      <w:rFonts w:ascii="Arial" w:hAnsi="Arial" w:cs="Arial"/>
      <w:lang w:eastAsia="cs-CZ"/>
    </w:rPr>
  </w:style>
  <w:style w:type="paragraph" w:customStyle="1" w:styleId="Box2">
    <w:name w:val="Box 2"/>
    <w:qFormat/>
    <w:rsid w:val="004900FF"/>
    <w:pPr>
      <w:spacing w:before="240" w:after="240" w:line="288" w:lineRule="auto"/>
      <w:ind w:left="709"/>
      <w:contextualSpacing/>
    </w:pPr>
    <w:rPr>
      <w:rFonts w:ascii="Arial" w:hAnsi="Arial" w:cs="Arial"/>
      <w:color w:val="BC091B"/>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4900FF"/>
    <w:pPr>
      <w:spacing w:line="288" w:lineRule="auto"/>
    </w:pPr>
    <w:rPr>
      <w:rFonts w:ascii="Arial" w:eastAsia="Times New Roman" w:hAnsi="Arial"/>
      <w:b/>
      <w:bCs/>
      <w:caps/>
      <w:color w:val="BC091B"/>
      <w:kern w:val="28"/>
      <w:sz w:val="56"/>
      <w:szCs w:val="32"/>
      <w:lang w:eastAsia="cs-CZ"/>
    </w:rPr>
  </w:style>
  <w:style w:type="character" w:customStyle="1" w:styleId="NzevChar">
    <w:name w:val="Název Char"/>
    <w:link w:val="Nzev"/>
    <w:uiPriority w:val="10"/>
    <w:rsid w:val="004900FF"/>
    <w:rPr>
      <w:rFonts w:ascii="Arial" w:eastAsia="Times New Roman" w:hAnsi="Arial"/>
      <w:b/>
      <w:bCs/>
      <w:caps/>
      <w:color w:val="BC091B"/>
      <w:kern w:val="28"/>
      <w:sz w:val="56"/>
      <w:szCs w:val="32"/>
    </w:rPr>
  </w:style>
  <w:style w:type="paragraph" w:styleId="Podnadpis">
    <w:name w:val="Subtitle"/>
    <w:link w:val="PodnadpisChar"/>
    <w:uiPriority w:val="11"/>
    <w:qFormat/>
    <w:rsid w:val="004900FF"/>
    <w:pPr>
      <w:spacing w:line="288" w:lineRule="auto"/>
    </w:pPr>
    <w:rPr>
      <w:rFonts w:ascii="Arial" w:eastAsia="Times New Roman" w:hAnsi="Arial" w:cs="Arial"/>
      <w:b/>
      <w:color w:val="BC091B"/>
      <w:sz w:val="28"/>
      <w:szCs w:val="24"/>
      <w:lang w:eastAsia="cs-CZ"/>
    </w:rPr>
  </w:style>
  <w:style w:type="character" w:customStyle="1" w:styleId="PodnadpisChar">
    <w:name w:val="Podnadpis Char"/>
    <w:link w:val="Podnadpis"/>
    <w:uiPriority w:val="11"/>
    <w:rsid w:val="004900FF"/>
    <w:rPr>
      <w:rFonts w:ascii="Arial" w:eastAsia="Times New Roman" w:hAnsi="Arial" w:cs="Arial"/>
      <w:b/>
      <w:color w:val="BC091B"/>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styleId="Odkaznakoment">
    <w:name w:val="annotation reference"/>
    <w:basedOn w:val="Standardnpsmoodstavce"/>
    <w:uiPriority w:val="99"/>
    <w:semiHidden/>
    <w:unhideWhenUsed/>
    <w:rsid w:val="004953C5"/>
    <w:rPr>
      <w:sz w:val="16"/>
      <w:szCs w:val="16"/>
    </w:rPr>
  </w:style>
  <w:style w:type="paragraph" w:styleId="Textkomente">
    <w:name w:val="annotation text"/>
    <w:basedOn w:val="Normln"/>
    <w:link w:val="TextkomenteChar"/>
    <w:uiPriority w:val="99"/>
    <w:semiHidden/>
    <w:unhideWhenUsed/>
    <w:rsid w:val="004953C5"/>
    <w:pPr>
      <w:spacing w:line="240" w:lineRule="auto"/>
    </w:pPr>
    <w:rPr>
      <w:szCs w:val="20"/>
    </w:rPr>
  </w:style>
  <w:style w:type="character" w:customStyle="1" w:styleId="TextkomenteChar">
    <w:name w:val="Text komentáře Char"/>
    <w:basedOn w:val="Standardnpsmoodstavce"/>
    <w:link w:val="Textkomente"/>
    <w:uiPriority w:val="99"/>
    <w:semiHidden/>
    <w:rsid w:val="004953C5"/>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4953C5"/>
    <w:rPr>
      <w:b/>
      <w:bCs/>
    </w:rPr>
  </w:style>
  <w:style w:type="character" w:customStyle="1" w:styleId="PedmtkomenteChar">
    <w:name w:val="Předmět komentáře Char"/>
    <w:basedOn w:val="TextkomenteChar"/>
    <w:link w:val="Pedmtkomente"/>
    <w:uiPriority w:val="99"/>
    <w:semiHidden/>
    <w:rsid w:val="004953C5"/>
    <w:rPr>
      <w:rFonts w:ascii="Arial" w:eastAsia="Times New Roman" w:hAnsi="Arial"/>
      <w:b/>
      <w:bCs/>
      <w:lang w:eastAsia="cs-CZ"/>
    </w:rPr>
  </w:style>
  <w:style w:type="paragraph" w:styleId="Revize">
    <w:name w:val="Revision"/>
    <w:hidden/>
    <w:uiPriority w:val="99"/>
    <w:semiHidden/>
    <w:rsid w:val="00900CCC"/>
    <w:rPr>
      <w:rFonts w:ascii="Arial" w:eastAsia="Times New Roman" w:hAnsi="Arial"/>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hykysova23070\Documents\ved\kontroly\zdravotnictv&#237;\2021_1\Publikace%20bar%20CZ_lide%20a%20spolecnost_2017-08-14.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ABFS2\DATA\DATA\ZPRAC\TECHNOL\oddeleni_6301\1_Zdravotnictv&#237;\SHA%20zdravotnick&#233;%20&#250;&#269;ty\ANAL&#221;ZA%20SHA%202010-2019\dom&#225;cnosti_pb_graf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D:\Romy_pr&#225;ce\dom&#225;cnosti_pb.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D:\Romy_pr&#225;ce\dom&#225;cnosti_pb.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oleObject" Target="file:///D:\Romy_pr&#225;ce\dom&#225;cnosti_pb.xlsx"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oleObject" Target="file:///\\ABFS2\DATA\DATA\ZPRAC\TECHNOL\oddeleni_6301\1_Zdravotnictv&#237;\SHA%20zdravotnick&#233;%20&#250;&#269;ty\ANAL&#221;ZA%20SHA%202010-2019\dom&#225;cnosti_pb_graf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108705161854764E-2"/>
          <c:y val="8.3750000000000005E-2"/>
          <c:w val="0.81101859142607169"/>
          <c:h val="0.70294728783902016"/>
        </c:manualLayout>
      </c:layout>
      <c:barChart>
        <c:barDir val="col"/>
        <c:grouping val="clustered"/>
        <c:varyColors val="0"/>
        <c:ser>
          <c:idx val="0"/>
          <c:order val="0"/>
          <c:tx>
            <c:strRef>
              <c:f>'Graf. č.3.1.'!$A$5</c:f>
              <c:strCache>
                <c:ptCount val="1"/>
                <c:pt idx="0">
                  <c:v>absolutně v mld. Kč</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 č.3.1.'!$B$4:$K$4</c:f>
              <c:strCache>
                <c:ptCount val="10"/>
                <c:pt idx="0">
                  <c:v>2010</c:v>
                </c:pt>
                <c:pt idx="1">
                  <c:v>2011</c:v>
                </c:pt>
                <c:pt idx="2">
                  <c:v>2012</c:v>
                </c:pt>
                <c:pt idx="3">
                  <c:v>2013</c:v>
                </c:pt>
                <c:pt idx="4">
                  <c:v>2014</c:v>
                </c:pt>
                <c:pt idx="5">
                  <c:v>2015</c:v>
                </c:pt>
                <c:pt idx="6">
                  <c:v>2016</c:v>
                </c:pt>
                <c:pt idx="7">
                  <c:v>2017</c:v>
                </c:pt>
                <c:pt idx="8">
                  <c:v>2018</c:v>
                </c:pt>
                <c:pt idx="9">
                  <c:v>2019</c:v>
                </c:pt>
              </c:strCache>
            </c:strRef>
          </c:cat>
          <c:val>
            <c:numRef>
              <c:f>'Graf. č.3.1.'!$B$5:$K$5</c:f>
              <c:numCache>
                <c:formatCode>0.0</c:formatCode>
                <c:ptCount val="10"/>
                <c:pt idx="0">
                  <c:v>43.104999999999997</c:v>
                </c:pt>
                <c:pt idx="1">
                  <c:v>44.485999999999997</c:v>
                </c:pt>
                <c:pt idx="2">
                  <c:v>45.164000000000001</c:v>
                </c:pt>
                <c:pt idx="3">
                  <c:v>45.356999999999999</c:v>
                </c:pt>
                <c:pt idx="4">
                  <c:v>48.183999999999997</c:v>
                </c:pt>
                <c:pt idx="5">
                  <c:v>50.634</c:v>
                </c:pt>
                <c:pt idx="6">
                  <c:v>52.954000000000001</c:v>
                </c:pt>
                <c:pt idx="7">
                  <c:v>54.87</c:v>
                </c:pt>
                <c:pt idx="8" formatCode="General">
                  <c:v>57.3</c:v>
                </c:pt>
                <c:pt idx="9">
                  <c:v>63.731999999999999</c:v>
                </c:pt>
              </c:numCache>
            </c:numRef>
          </c:val>
          <c:extLst>
            <c:ext xmlns:c16="http://schemas.microsoft.com/office/drawing/2014/chart" uri="{C3380CC4-5D6E-409C-BE32-E72D297353CC}">
              <c16:uniqueId val="{00000000-928E-4774-A4FC-CD9A0D28604B}"/>
            </c:ext>
          </c:extLst>
        </c:ser>
        <c:dLbls>
          <c:showLegendKey val="0"/>
          <c:showVal val="0"/>
          <c:showCatName val="0"/>
          <c:showSerName val="0"/>
          <c:showPercent val="0"/>
          <c:showBubbleSize val="0"/>
        </c:dLbls>
        <c:gapWidth val="30"/>
        <c:overlap val="30"/>
        <c:axId val="1418798016"/>
        <c:axId val="1418799680"/>
      </c:barChart>
      <c:lineChart>
        <c:grouping val="standard"/>
        <c:varyColors val="0"/>
        <c:ser>
          <c:idx val="1"/>
          <c:order val="1"/>
          <c:tx>
            <c:strRef>
              <c:f>'Graf. č.3.1.'!$A$6</c:f>
              <c:strCache>
                <c:ptCount val="1"/>
                <c:pt idx="0">
                  <c:v>% z běžných výdajů na zdravotní péči</c:v>
                </c:pt>
              </c:strCache>
            </c:strRef>
          </c:tx>
          <c:spPr>
            <a:ln w="28575" cap="rnd">
              <a:solidFill>
                <a:srgbClr val="C00000"/>
              </a:solidFill>
              <a:round/>
            </a:ln>
            <a:effectLst/>
          </c:spPr>
          <c:marker>
            <c:symbol val="diamond"/>
            <c:size val="7"/>
            <c:spPr>
              <a:solidFill>
                <a:srgbClr val="C00000"/>
              </a:solidFill>
              <a:ln w="9525">
                <a:solidFill>
                  <a:srgbClr val="C00000"/>
                </a:solidFill>
              </a:ln>
              <a:effectLst/>
            </c:spPr>
          </c:marker>
          <c:dLbls>
            <c:dLbl>
              <c:idx val="5"/>
              <c:layout>
                <c:manualLayout>
                  <c:x val="-5.1923665791776027E-2"/>
                  <c:y val="4.401611256926219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28E-4774-A4FC-CD9A0D28604B}"/>
                </c:ext>
              </c:extLst>
            </c:dLbl>
            <c:dLbl>
              <c:idx val="6"/>
              <c:layout>
                <c:manualLayout>
                  <c:x val="-5.4701443569553906E-2"/>
                  <c:y val="5.327537182852143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28E-4774-A4FC-CD9A0D28604B}"/>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 č.3.1.'!$B$4:$K$4</c:f>
              <c:strCache>
                <c:ptCount val="10"/>
                <c:pt idx="0">
                  <c:v>2010</c:v>
                </c:pt>
                <c:pt idx="1">
                  <c:v>2011</c:v>
                </c:pt>
                <c:pt idx="2">
                  <c:v>2012</c:v>
                </c:pt>
                <c:pt idx="3">
                  <c:v>2013</c:v>
                </c:pt>
                <c:pt idx="4">
                  <c:v>2014</c:v>
                </c:pt>
                <c:pt idx="5">
                  <c:v>2015</c:v>
                </c:pt>
                <c:pt idx="6">
                  <c:v>2016</c:v>
                </c:pt>
                <c:pt idx="7">
                  <c:v>2017</c:v>
                </c:pt>
                <c:pt idx="8">
                  <c:v>2018</c:v>
                </c:pt>
                <c:pt idx="9">
                  <c:v>2019</c:v>
                </c:pt>
              </c:strCache>
            </c:strRef>
          </c:cat>
          <c:val>
            <c:numRef>
              <c:f>'Graf. č.3.1.'!$B$6:$K$6</c:f>
              <c:numCache>
                <c:formatCode>0.0%</c:formatCode>
                <c:ptCount val="10"/>
                <c:pt idx="0">
                  <c:v>0.1288685991724666</c:v>
                </c:pt>
                <c:pt idx="1">
                  <c:v>0.13140622323047929</c:v>
                </c:pt>
                <c:pt idx="2">
                  <c:v>0.1317356885759455</c:v>
                </c:pt>
                <c:pt idx="3">
                  <c:v>0.13085813532133911</c:v>
                </c:pt>
                <c:pt idx="4">
                  <c:v>0.13750199758007442</c:v>
                </c:pt>
                <c:pt idx="5">
                  <c:v>0.14331080392623036</c:v>
                </c:pt>
                <c:pt idx="6">
                  <c:v>0.14572383085754539</c:v>
                </c:pt>
                <c:pt idx="7">
                  <c:v>0.14134211902412888</c:v>
                </c:pt>
                <c:pt idx="8">
                  <c:v>0.1319911545194877</c:v>
                </c:pt>
                <c:pt idx="9">
                  <c:v>0.13340757424789207</c:v>
                </c:pt>
              </c:numCache>
            </c:numRef>
          </c:val>
          <c:smooth val="0"/>
          <c:extLst>
            <c:ext xmlns:c16="http://schemas.microsoft.com/office/drawing/2014/chart" uri="{C3380CC4-5D6E-409C-BE32-E72D297353CC}">
              <c16:uniqueId val="{00000003-928E-4774-A4FC-CD9A0D28604B}"/>
            </c:ext>
          </c:extLst>
        </c:ser>
        <c:dLbls>
          <c:showLegendKey val="0"/>
          <c:showVal val="0"/>
          <c:showCatName val="0"/>
          <c:showSerName val="0"/>
          <c:showPercent val="0"/>
          <c:showBubbleSize val="0"/>
        </c:dLbls>
        <c:marker val="1"/>
        <c:smooth val="0"/>
        <c:axId val="1418787200"/>
        <c:axId val="1418790112"/>
      </c:lineChart>
      <c:catAx>
        <c:axId val="1418798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418799680"/>
        <c:crosses val="autoZero"/>
        <c:auto val="1"/>
        <c:lblAlgn val="ctr"/>
        <c:lblOffset val="100"/>
        <c:noMultiLvlLbl val="0"/>
      </c:catAx>
      <c:valAx>
        <c:axId val="1418799680"/>
        <c:scaling>
          <c:orientation val="minMax"/>
          <c:max val="8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418798016"/>
        <c:crosses val="autoZero"/>
        <c:crossBetween val="between"/>
      </c:valAx>
      <c:valAx>
        <c:axId val="1418790112"/>
        <c:scaling>
          <c:orientation val="minMax"/>
          <c:min val="0"/>
        </c:scaling>
        <c:delete val="0"/>
        <c:axPos val="r"/>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418787200"/>
        <c:crosses val="max"/>
        <c:crossBetween val="between"/>
      </c:valAx>
      <c:catAx>
        <c:axId val="1418787200"/>
        <c:scaling>
          <c:orientation val="minMax"/>
        </c:scaling>
        <c:delete val="1"/>
        <c:axPos val="b"/>
        <c:numFmt formatCode="General" sourceLinked="1"/>
        <c:majorTickMark val="none"/>
        <c:minorTickMark val="none"/>
        <c:tickLblPos val="nextTo"/>
        <c:crossAx val="1418790112"/>
        <c:crosses val="autoZero"/>
        <c:auto val="1"/>
        <c:lblAlgn val="ctr"/>
        <c:lblOffset val="100"/>
        <c:noMultiLvlLbl val="0"/>
      </c:catAx>
      <c:spPr>
        <a:noFill/>
        <a:ln>
          <a:solidFill>
            <a:schemeClr val="bg1">
              <a:lumMod val="75000"/>
            </a:schemeClr>
          </a:solidFill>
        </a:ln>
        <a:effectLst/>
      </c:spPr>
    </c:plotArea>
    <c:legend>
      <c:legendPos val="b"/>
      <c:layout>
        <c:manualLayout>
          <c:xMode val="edge"/>
          <c:yMode val="edge"/>
          <c:x val="7.9317366579177609E-2"/>
          <c:y val="0.88946704578594338"/>
          <c:w val="0.8469206036745407"/>
          <c:h val="7.812554680664918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solidFill>
        <a:schemeClr val="bg1">
          <a:lumMod val="7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217374343358585"/>
          <c:y val="0.10821666384780662"/>
          <c:w val="0.69736661705165637"/>
          <c:h val="0.76893407417151638"/>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11D-4FA9-98A1-7B8924ED360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11D-4FA9-98A1-7B8924ED360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11D-4FA9-98A1-7B8924ED360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11D-4FA9-98A1-7B8924ED360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11D-4FA9-98A1-7B8924ED3608}"/>
              </c:ext>
            </c:extLst>
          </c:dPt>
          <c:dLbls>
            <c:dLbl>
              <c:idx val="0"/>
              <c:layout>
                <c:manualLayout>
                  <c:x val="5.1953449709060531E-2"/>
                  <c:y val="1.3550135501355014E-2"/>
                </c:manualLayout>
              </c:layout>
              <c:spPr>
                <a:noFill/>
                <a:ln>
                  <a:noFill/>
                </a:ln>
                <a:effectLst/>
              </c:spPr>
              <c:txPr>
                <a:bodyPr rot="0" spcFirstLastPara="1" vertOverflow="ellipsis" horzOverflow="clip" vert="horz" wrap="square" lIns="38100" tIns="19050" rIns="38100" bIns="19050" anchor="ctr" anchorCtr="1">
                  <a:no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15:layout/>
                </c:ext>
                <c:ext xmlns:c16="http://schemas.microsoft.com/office/drawing/2014/chart" uri="{C3380CC4-5D6E-409C-BE32-E72D297353CC}">
                  <c16:uniqueId val="{00000001-911D-4FA9-98A1-7B8924ED3608}"/>
                </c:ext>
              </c:extLst>
            </c:dLbl>
            <c:dLbl>
              <c:idx val="1"/>
              <c:layout>
                <c:manualLayout>
                  <c:x val="3.117206982543641E-2"/>
                  <c:y val="-3.3875338753387536E-3"/>
                </c:manualLayout>
              </c:layout>
              <c:spPr>
                <a:noFill/>
                <a:ln>
                  <a:noFill/>
                </a:ln>
                <a:effectLst/>
              </c:spPr>
              <c:txPr>
                <a:bodyPr rot="0" spcFirstLastPara="1" vertOverflow="ellipsis" horzOverflow="clip" vert="horz" wrap="square" lIns="38100" tIns="19050" rIns="38100" bIns="19050" anchor="ctr" anchorCtr="1">
                  <a:no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15:layout/>
                </c:ext>
                <c:ext xmlns:c16="http://schemas.microsoft.com/office/drawing/2014/chart" uri="{C3380CC4-5D6E-409C-BE32-E72D297353CC}">
                  <c16:uniqueId val="{00000003-911D-4FA9-98A1-7B8924ED3608}"/>
                </c:ext>
              </c:extLst>
            </c:dLbl>
            <c:dLbl>
              <c:idx val="2"/>
              <c:layout>
                <c:manualLayout>
                  <c:x val="2.7015793848711403E-2"/>
                  <c:y val="0"/>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5-911D-4FA9-98A1-7B8924ED3608}"/>
                </c:ext>
              </c:extLst>
            </c:dLbl>
            <c:dLbl>
              <c:idx val="3"/>
              <c:layout>
                <c:manualLayout>
                  <c:x val="-0.27919816600231701"/>
                  <c:y val="-4.3341762157780303E-3"/>
                </c:manualLayout>
              </c:layout>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4486200588562793"/>
                      <c:h val="0.1219651839462788"/>
                    </c:manualLayout>
                  </c15:layout>
                </c:ext>
                <c:ext xmlns:c16="http://schemas.microsoft.com/office/drawing/2014/chart" uri="{C3380CC4-5D6E-409C-BE32-E72D297353CC}">
                  <c16:uniqueId val="{00000007-911D-4FA9-98A1-7B8924ED3608}"/>
                </c:ext>
              </c:extLst>
            </c:dLbl>
            <c:dLbl>
              <c:idx val="4"/>
              <c:layout>
                <c:manualLayout>
                  <c:x val="-1.8703241895261857E-2"/>
                  <c:y val="-6.4363143631436318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9-911D-4FA9-98A1-7B8924ED3608}"/>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outEnd"/>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 (2)'!$K$18:$K$22</c:f>
              <c:strCache>
                <c:ptCount val="5"/>
                <c:pt idx="0">
                  <c:v>Ambulantní péče (bez stomatologické)</c:v>
                </c:pt>
                <c:pt idx="1">
                  <c:v>Stomatologická ambulantní péče</c:v>
                </c:pt>
                <c:pt idx="2">
                  <c:v>Lůžková péče (léčebná, rehabilitační, dlouhodobá)</c:v>
                </c:pt>
                <c:pt idx="3">
                  <c:v>Terapeutické pomůcky</c:v>
                </c:pt>
                <c:pt idx="4">
                  <c:v>Léčiva a zdravotnický materiál</c:v>
                </c:pt>
              </c:strCache>
            </c:strRef>
          </c:cat>
          <c:val>
            <c:numRef>
              <c:f>'List1 (2)'!$L$18:$L$22</c:f>
              <c:numCache>
                <c:formatCode>#,##0</c:formatCode>
                <c:ptCount val="5"/>
                <c:pt idx="0">
                  <c:v>10378.101200687364</c:v>
                </c:pt>
                <c:pt idx="1">
                  <c:v>10857.898800715066</c:v>
                </c:pt>
                <c:pt idx="2">
                  <c:v>5984.0000017654183</c:v>
                </c:pt>
                <c:pt idx="3">
                  <c:v>6321.0000000000009</c:v>
                </c:pt>
                <c:pt idx="4">
                  <c:v>30191</c:v>
                </c:pt>
              </c:numCache>
            </c:numRef>
          </c:val>
          <c:extLst>
            <c:ext xmlns:c16="http://schemas.microsoft.com/office/drawing/2014/chart" uri="{C3380CC4-5D6E-409C-BE32-E72D297353CC}">
              <c16:uniqueId val="{0000000A-911D-4FA9-98A1-7B8924ED3608}"/>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385384475401556E-2"/>
          <c:y val="5.4166666666666696E-2"/>
          <c:w val="0.90334586506047321"/>
          <c:h val="0.67722775528971291"/>
        </c:manualLayout>
      </c:layout>
      <c:lineChart>
        <c:grouping val="standard"/>
        <c:varyColors val="0"/>
        <c:ser>
          <c:idx val="4"/>
          <c:order val="0"/>
          <c:tx>
            <c:strRef>
              <c:f>grafy!$A$64</c:f>
              <c:strCache>
                <c:ptCount val="1"/>
                <c:pt idx="0">
                  <c:v>Léky na předpis</c:v>
                </c:pt>
              </c:strCache>
            </c:strRef>
          </c:tx>
          <c:spPr>
            <a:ln>
              <a:solidFill>
                <a:srgbClr val="92D050"/>
              </a:solidFill>
            </a:ln>
          </c:spPr>
          <c:marker>
            <c:symbol val="diamond"/>
            <c:size val="7"/>
            <c:spPr>
              <a:solidFill>
                <a:srgbClr val="92D050"/>
              </a:solidFill>
              <a:ln>
                <a:noFill/>
              </a:ln>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grafy!$B$63:$K$63</c:f>
              <c:numCache>
                <c:formatCode>0</c:formatCode>
                <c:ptCount val="10"/>
                <c:pt idx="0" formatCode="General">
                  <c:v>2010</c:v>
                </c:pt>
                <c:pt idx="1">
                  <c:v>2011</c:v>
                </c:pt>
                <c:pt idx="2" formatCode="General">
                  <c:v>2012</c:v>
                </c:pt>
                <c:pt idx="3" formatCode="General">
                  <c:v>2013</c:v>
                </c:pt>
                <c:pt idx="4" formatCode="General">
                  <c:v>2014</c:v>
                </c:pt>
                <c:pt idx="5" formatCode="General">
                  <c:v>2015</c:v>
                </c:pt>
                <c:pt idx="6" formatCode="General">
                  <c:v>2016</c:v>
                </c:pt>
                <c:pt idx="7" formatCode="General">
                  <c:v>2017</c:v>
                </c:pt>
                <c:pt idx="8" formatCode="General">
                  <c:v>2018</c:v>
                </c:pt>
                <c:pt idx="9">
                  <c:v>2019</c:v>
                </c:pt>
              </c:numCache>
            </c:numRef>
          </c:cat>
          <c:val>
            <c:numRef>
              <c:f>grafy!$B$64:$K$64</c:f>
              <c:numCache>
                <c:formatCode>#,##0</c:formatCode>
                <c:ptCount val="10"/>
                <c:pt idx="0">
                  <c:v>8932</c:v>
                </c:pt>
                <c:pt idx="1">
                  <c:v>9439</c:v>
                </c:pt>
                <c:pt idx="2">
                  <c:v>9394</c:v>
                </c:pt>
                <c:pt idx="3">
                  <c:v>9293</c:v>
                </c:pt>
                <c:pt idx="4">
                  <c:v>9496</c:v>
                </c:pt>
                <c:pt idx="5">
                  <c:v>10089</c:v>
                </c:pt>
                <c:pt idx="6">
                  <c:v>10354</c:v>
                </c:pt>
                <c:pt idx="7">
                  <c:v>11177</c:v>
                </c:pt>
                <c:pt idx="8">
                  <c:v>11095</c:v>
                </c:pt>
                <c:pt idx="9">
                  <c:v>12876</c:v>
                </c:pt>
              </c:numCache>
            </c:numRef>
          </c:val>
          <c:smooth val="0"/>
          <c:extLst>
            <c:ext xmlns:c16="http://schemas.microsoft.com/office/drawing/2014/chart" uri="{C3380CC4-5D6E-409C-BE32-E72D297353CC}">
              <c16:uniqueId val="{00000000-F9BD-412E-A735-5EA642E54313}"/>
            </c:ext>
          </c:extLst>
        </c:ser>
        <c:ser>
          <c:idx val="5"/>
          <c:order val="1"/>
          <c:tx>
            <c:strRef>
              <c:f>grafy!$A$65</c:f>
              <c:strCache>
                <c:ptCount val="1"/>
                <c:pt idx="0">
                  <c:v>Volně prodejné léky</c:v>
                </c:pt>
              </c:strCache>
            </c:strRef>
          </c:tx>
          <c:spPr>
            <a:ln>
              <a:solidFill>
                <a:srgbClr val="5B9BD5"/>
              </a:solidFill>
            </a:ln>
          </c:spPr>
          <c:marker>
            <c:symbol val="diamond"/>
            <c:size val="8"/>
            <c:spPr>
              <a:solidFill>
                <a:srgbClr val="5B9BD5"/>
              </a:solidFill>
              <a:ln>
                <a:solidFill>
                  <a:srgbClr val="5B9BD5"/>
                </a:solidFill>
              </a:ln>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grafy!$B$63:$K$63</c:f>
              <c:numCache>
                <c:formatCode>0</c:formatCode>
                <c:ptCount val="10"/>
                <c:pt idx="0" formatCode="General">
                  <c:v>2010</c:v>
                </c:pt>
                <c:pt idx="1">
                  <c:v>2011</c:v>
                </c:pt>
                <c:pt idx="2" formatCode="General">
                  <c:v>2012</c:v>
                </c:pt>
                <c:pt idx="3" formatCode="General">
                  <c:v>2013</c:v>
                </c:pt>
                <c:pt idx="4" formatCode="General">
                  <c:v>2014</c:v>
                </c:pt>
                <c:pt idx="5" formatCode="General">
                  <c:v>2015</c:v>
                </c:pt>
                <c:pt idx="6" formatCode="General">
                  <c:v>2016</c:v>
                </c:pt>
                <c:pt idx="7" formatCode="General">
                  <c:v>2017</c:v>
                </c:pt>
                <c:pt idx="8" formatCode="General">
                  <c:v>2018</c:v>
                </c:pt>
                <c:pt idx="9">
                  <c:v>2019</c:v>
                </c:pt>
              </c:numCache>
            </c:numRef>
          </c:cat>
          <c:val>
            <c:numRef>
              <c:f>grafy!$B$65:$K$65</c:f>
              <c:numCache>
                <c:formatCode>#,##0</c:formatCode>
                <c:ptCount val="10"/>
                <c:pt idx="0">
                  <c:v>11843</c:v>
                </c:pt>
                <c:pt idx="1">
                  <c:v>12262</c:v>
                </c:pt>
                <c:pt idx="2">
                  <c:v>12088</c:v>
                </c:pt>
                <c:pt idx="3">
                  <c:v>11189</c:v>
                </c:pt>
                <c:pt idx="4">
                  <c:v>12140</c:v>
                </c:pt>
                <c:pt idx="5">
                  <c:v>12709</c:v>
                </c:pt>
                <c:pt idx="6">
                  <c:v>13809</c:v>
                </c:pt>
                <c:pt idx="7">
                  <c:v>14208</c:v>
                </c:pt>
                <c:pt idx="8">
                  <c:v>14358</c:v>
                </c:pt>
                <c:pt idx="9">
                  <c:v>16547</c:v>
                </c:pt>
              </c:numCache>
            </c:numRef>
          </c:val>
          <c:smooth val="0"/>
          <c:extLst>
            <c:ext xmlns:c16="http://schemas.microsoft.com/office/drawing/2014/chart" uri="{C3380CC4-5D6E-409C-BE32-E72D297353CC}">
              <c16:uniqueId val="{00000001-F9BD-412E-A735-5EA642E54313}"/>
            </c:ext>
          </c:extLst>
        </c:ser>
        <c:ser>
          <c:idx val="6"/>
          <c:order val="2"/>
          <c:tx>
            <c:strRef>
              <c:f>grafy!$A$66</c:f>
              <c:strCache>
                <c:ptCount val="1"/>
                <c:pt idx="0">
                  <c:v>Ostatní zdravotnický materiál a výrobky</c:v>
                </c:pt>
              </c:strCache>
            </c:strRef>
          </c:tx>
          <c:spPr>
            <a:ln>
              <a:solidFill>
                <a:srgbClr val="FFC000"/>
              </a:solidFill>
            </a:ln>
          </c:spPr>
          <c:marker>
            <c:symbol val="diamond"/>
            <c:size val="7"/>
            <c:spPr>
              <a:solidFill>
                <a:srgbClr val="FFC000"/>
              </a:solidFill>
              <a:ln>
                <a:noFill/>
              </a:ln>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grafy!$B$63:$K$63</c:f>
              <c:numCache>
                <c:formatCode>0</c:formatCode>
                <c:ptCount val="10"/>
                <c:pt idx="0" formatCode="General">
                  <c:v>2010</c:v>
                </c:pt>
                <c:pt idx="1">
                  <c:v>2011</c:v>
                </c:pt>
                <c:pt idx="2" formatCode="General">
                  <c:v>2012</c:v>
                </c:pt>
                <c:pt idx="3" formatCode="General">
                  <c:v>2013</c:v>
                </c:pt>
                <c:pt idx="4" formatCode="General">
                  <c:v>2014</c:v>
                </c:pt>
                <c:pt idx="5" formatCode="General">
                  <c:v>2015</c:v>
                </c:pt>
                <c:pt idx="6" formatCode="General">
                  <c:v>2016</c:v>
                </c:pt>
                <c:pt idx="7" formatCode="General">
                  <c:v>2017</c:v>
                </c:pt>
                <c:pt idx="8" formatCode="General">
                  <c:v>2018</c:v>
                </c:pt>
                <c:pt idx="9">
                  <c:v>2019</c:v>
                </c:pt>
              </c:numCache>
            </c:numRef>
          </c:cat>
          <c:val>
            <c:numRef>
              <c:f>grafy!$B$66:$K$66</c:f>
              <c:numCache>
                <c:formatCode>#,##0</c:formatCode>
                <c:ptCount val="10"/>
                <c:pt idx="0">
                  <c:v>605</c:v>
                </c:pt>
                <c:pt idx="1">
                  <c:v>648</c:v>
                </c:pt>
                <c:pt idx="2">
                  <c:v>681</c:v>
                </c:pt>
                <c:pt idx="3">
                  <c:v>618</c:v>
                </c:pt>
                <c:pt idx="4">
                  <c:v>628</c:v>
                </c:pt>
                <c:pt idx="5">
                  <c:v>669</c:v>
                </c:pt>
                <c:pt idx="6">
                  <c:v>597</c:v>
                </c:pt>
                <c:pt idx="7">
                  <c:v>627</c:v>
                </c:pt>
                <c:pt idx="8">
                  <c:v>648</c:v>
                </c:pt>
                <c:pt idx="9">
                  <c:v>768</c:v>
                </c:pt>
              </c:numCache>
            </c:numRef>
          </c:val>
          <c:smooth val="0"/>
          <c:extLst>
            <c:ext xmlns:c16="http://schemas.microsoft.com/office/drawing/2014/chart" uri="{C3380CC4-5D6E-409C-BE32-E72D297353CC}">
              <c16:uniqueId val="{00000002-F9BD-412E-A735-5EA642E54313}"/>
            </c:ext>
          </c:extLst>
        </c:ser>
        <c:ser>
          <c:idx val="7"/>
          <c:order val="3"/>
          <c:tx>
            <c:strRef>
              <c:f>grafy!$A$67</c:f>
              <c:strCache>
                <c:ptCount val="1"/>
                <c:pt idx="0">
                  <c:v> Terapeutické pomůcky </c:v>
                </c:pt>
              </c:strCache>
            </c:strRef>
          </c:tx>
          <c:spPr>
            <a:ln>
              <a:solidFill>
                <a:srgbClr val="C00000"/>
              </a:solidFill>
            </a:ln>
          </c:spPr>
          <c:marker>
            <c:symbol val="diamond"/>
            <c:size val="7"/>
            <c:spPr>
              <a:solidFill>
                <a:srgbClr val="C00000"/>
              </a:solidFill>
              <a:ln>
                <a:noFill/>
              </a:ln>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grafy!$B$63:$K$63</c:f>
              <c:numCache>
                <c:formatCode>0</c:formatCode>
                <c:ptCount val="10"/>
                <c:pt idx="0" formatCode="General">
                  <c:v>2010</c:v>
                </c:pt>
                <c:pt idx="1">
                  <c:v>2011</c:v>
                </c:pt>
                <c:pt idx="2" formatCode="General">
                  <c:v>2012</c:v>
                </c:pt>
                <c:pt idx="3" formatCode="General">
                  <c:v>2013</c:v>
                </c:pt>
                <c:pt idx="4" formatCode="General">
                  <c:v>2014</c:v>
                </c:pt>
                <c:pt idx="5" formatCode="General">
                  <c:v>2015</c:v>
                </c:pt>
                <c:pt idx="6" formatCode="General">
                  <c:v>2016</c:v>
                </c:pt>
                <c:pt idx="7" formatCode="General">
                  <c:v>2017</c:v>
                </c:pt>
                <c:pt idx="8" formatCode="General">
                  <c:v>2018</c:v>
                </c:pt>
                <c:pt idx="9">
                  <c:v>2019</c:v>
                </c:pt>
              </c:numCache>
            </c:numRef>
          </c:cat>
          <c:val>
            <c:numRef>
              <c:f>grafy!$B$67:$K$67</c:f>
              <c:numCache>
                <c:formatCode>#,##0</c:formatCode>
                <c:ptCount val="10"/>
                <c:pt idx="0">
                  <c:v>5735</c:v>
                </c:pt>
                <c:pt idx="1">
                  <c:v>5742</c:v>
                </c:pt>
                <c:pt idx="2">
                  <c:v>5561</c:v>
                </c:pt>
                <c:pt idx="3">
                  <c:v>5547</c:v>
                </c:pt>
                <c:pt idx="4">
                  <c:v>5604</c:v>
                </c:pt>
                <c:pt idx="5">
                  <c:v>5892</c:v>
                </c:pt>
                <c:pt idx="6">
                  <c:v>5875</c:v>
                </c:pt>
                <c:pt idx="7">
                  <c:v>5532</c:v>
                </c:pt>
                <c:pt idx="8">
                  <c:v>5733.0000000000009</c:v>
                </c:pt>
                <c:pt idx="9">
                  <c:v>6321.0000000000009</c:v>
                </c:pt>
              </c:numCache>
            </c:numRef>
          </c:val>
          <c:smooth val="0"/>
          <c:extLst>
            <c:ext xmlns:c16="http://schemas.microsoft.com/office/drawing/2014/chart" uri="{C3380CC4-5D6E-409C-BE32-E72D297353CC}">
              <c16:uniqueId val="{00000003-F9BD-412E-A735-5EA642E54313}"/>
            </c:ext>
          </c:extLst>
        </c:ser>
        <c:dLbls>
          <c:showLegendKey val="0"/>
          <c:showVal val="0"/>
          <c:showCatName val="0"/>
          <c:showSerName val="0"/>
          <c:showPercent val="0"/>
          <c:showBubbleSize val="0"/>
        </c:dLbls>
        <c:marker val="1"/>
        <c:smooth val="0"/>
        <c:axId val="111355392"/>
        <c:axId val="111356928"/>
      </c:lineChart>
      <c:catAx>
        <c:axId val="111355392"/>
        <c:scaling>
          <c:orientation val="minMax"/>
        </c:scaling>
        <c:delete val="0"/>
        <c:axPos val="b"/>
        <c:numFmt formatCode="General" sourceLinked="1"/>
        <c:majorTickMark val="out"/>
        <c:minorTickMark val="none"/>
        <c:tickLblPos val="nextTo"/>
        <c:spPr>
          <a:ln>
            <a:solidFill>
              <a:schemeClr val="bg1">
                <a:lumMod val="85000"/>
              </a:schemeClr>
            </a:solidFill>
          </a:ln>
        </c:spPr>
        <c:crossAx val="111356928"/>
        <c:crosses val="autoZero"/>
        <c:auto val="1"/>
        <c:lblAlgn val="ctr"/>
        <c:lblOffset val="100"/>
        <c:noMultiLvlLbl val="0"/>
      </c:catAx>
      <c:valAx>
        <c:axId val="111356928"/>
        <c:scaling>
          <c:orientation val="minMax"/>
        </c:scaling>
        <c:delete val="0"/>
        <c:axPos val="l"/>
        <c:majorGridlines>
          <c:spPr>
            <a:ln>
              <a:solidFill>
                <a:schemeClr val="bg1">
                  <a:lumMod val="85000"/>
                </a:schemeClr>
              </a:solidFill>
              <a:prstDash val="dash"/>
            </a:ln>
          </c:spPr>
        </c:majorGridlines>
        <c:numFmt formatCode="#,##0" sourceLinked="1"/>
        <c:majorTickMark val="out"/>
        <c:minorTickMark val="none"/>
        <c:tickLblPos val="nextTo"/>
        <c:spPr>
          <a:ln>
            <a:solidFill>
              <a:schemeClr val="bg1">
                <a:lumMod val="85000"/>
              </a:schemeClr>
            </a:solidFill>
          </a:ln>
        </c:spPr>
        <c:crossAx val="111355392"/>
        <c:crosses val="autoZero"/>
        <c:crossBetween val="between"/>
        <c:majorUnit val="3000"/>
      </c:valAx>
      <c:spPr>
        <a:ln>
          <a:solidFill>
            <a:sysClr val="window" lastClr="FFFFFF">
              <a:lumMod val="85000"/>
            </a:sysClr>
          </a:solidFill>
        </a:ln>
      </c:spPr>
    </c:plotArea>
    <c:legend>
      <c:legendPos val="b"/>
      <c:layout>
        <c:manualLayout>
          <c:xMode val="edge"/>
          <c:yMode val="edge"/>
          <c:x val="3.0016088990229395E-2"/>
          <c:y val="0.834428361004528"/>
          <c:w val="0.92583508252266855"/>
          <c:h val="0.140571487455523"/>
        </c:manualLayout>
      </c:layout>
      <c:overlay val="0"/>
    </c:legend>
    <c:plotVisOnly val="1"/>
    <c:dispBlanksAs val="gap"/>
    <c:showDLblsOverMax val="0"/>
  </c:chart>
  <c:spPr>
    <a:ln>
      <a:solidFill>
        <a:schemeClr val="bg1">
          <a:lumMod val="85000"/>
        </a:schemeClr>
      </a:solidFill>
    </a:ln>
  </c:spPr>
  <c:txPr>
    <a:bodyPr/>
    <a:lstStyle/>
    <a:p>
      <a:pPr>
        <a:defRPr sz="800">
          <a:latin typeface="Arial" panose="020B0604020202020204" pitchFamily="34" charset="0"/>
          <a:cs typeface="Arial" panose="020B0604020202020204" pitchFamily="34" charset="0"/>
        </a:defRPr>
      </a:pPr>
      <a:endParaRPr lang="cs-CZ"/>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3938135301047522E-2"/>
          <c:y val="4.5881126173096975E-2"/>
          <c:w val="0.90323555218598295"/>
          <c:h val="0.7686159397139799"/>
        </c:manualLayout>
      </c:layout>
      <c:lineChart>
        <c:grouping val="standard"/>
        <c:varyColors val="0"/>
        <c:ser>
          <c:idx val="4"/>
          <c:order val="0"/>
          <c:tx>
            <c:strRef>
              <c:f>grafy!$A$51</c:f>
              <c:strCache>
                <c:ptCount val="1"/>
                <c:pt idx="0">
                  <c:v>Všeobecná ambulantní léčebná péče</c:v>
                </c:pt>
              </c:strCache>
            </c:strRef>
          </c:tx>
          <c:spPr>
            <a:ln>
              <a:solidFill>
                <a:srgbClr val="D96D75"/>
              </a:solidFill>
            </a:ln>
          </c:spPr>
          <c:marker>
            <c:symbol val="diamond"/>
            <c:size val="7"/>
            <c:spPr>
              <a:solidFill>
                <a:srgbClr val="C00000"/>
              </a:solidFill>
              <a:ln>
                <a:noFill/>
              </a:ln>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grafy!$B$50:$K$50</c:f>
              <c:numCache>
                <c:formatCode>0</c:formatCode>
                <c:ptCount val="10"/>
                <c:pt idx="0" formatCode="General">
                  <c:v>2010</c:v>
                </c:pt>
                <c:pt idx="1">
                  <c:v>2011</c:v>
                </c:pt>
                <c:pt idx="2" formatCode="General">
                  <c:v>2012</c:v>
                </c:pt>
                <c:pt idx="3" formatCode="General">
                  <c:v>2013</c:v>
                </c:pt>
                <c:pt idx="4" formatCode="General">
                  <c:v>2014</c:v>
                </c:pt>
                <c:pt idx="5" formatCode="General">
                  <c:v>2015</c:v>
                </c:pt>
                <c:pt idx="6" formatCode="General">
                  <c:v>2016</c:v>
                </c:pt>
                <c:pt idx="7" formatCode="General">
                  <c:v>2017</c:v>
                </c:pt>
                <c:pt idx="8" formatCode="General">
                  <c:v>2018</c:v>
                </c:pt>
                <c:pt idx="9">
                  <c:v>2019</c:v>
                </c:pt>
              </c:numCache>
            </c:numRef>
          </c:cat>
          <c:val>
            <c:numRef>
              <c:f>grafy!$B$51:$K$51</c:f>
              <c:numCache>
                <c:formatCode>#,##0</c:formatCode>
                <c:ptCount val="10"/>
                <c:pt idx="0">
                  <c:v>1728.5933053453316</c:v>
                </c:pt>
                <c:pt idx="1">
                  <c:v>1457.0685498979408</c:v>
                </c:pt>
                <c:pt idx="2">
                  <c:v>1654.0876606244062</c:v>
                </c:pt>
                <c:pt idx="3">
                  <c:v>1820.5563396242997</c:v>
                </c:pt>
                <c:pt idx="4">
                  <c:v>1863.8880744201515</c:v>
                </c:pt>
                <c:pt idx="5">
                  <c:v>1915.6367648957737</c:v>
                </c:pt>
                <c:pt idx="6">
                  <c:v>1981.4137148376792</c:v>
                </c:pt>
                <c:pt idx="7">
                  <c:v>1925.9241551710481</c:v>
                </c:pt>
                <c:pt idx="8">
                  <c:v>2112.6558756222389</c:v>
                </c:pt>
                <c:pt idx="9">
                  <c:v>2180.9267383581505</c:v>
                </c:pt>
              </c:numCache>
            </c:numRef>
          </c:val>
          <c:smooth val="0"/>
          <c:extLst>
            <c:ext xmlns:c16="http://schemas.microsoft.com/office/drawing/2014/chart" uri="{C3380CC4-5D6E-409C-BE32-E72D297353CC}">
              <c16:uniqueId val="{00000000-DDAF-411A-A2C7-531AA7FBD480}"/>
            </c:ext>
          </c:extLst>
        </c:ser>
        <c:ser>
          <c:idx val="5"/>
          <c:order val="1"/>
          <c:tx>
            <c:strRef>
              <c:f>grafy!$A$52</c:f>
              <c:strCache>
                <c:ptCount val="1"/>
                <c:pt idx="0">
                  <c:v>Stomatologická ambulantní léčebná péče</c:v>
                </c:pt>
              </c:strCache>
            </c:strRef>
          </c:tx>
          <c:spPr>
            <a:ln>
              <a:solidFill>
                <a:srgbClr val="187BB8"/>
              </a:solidFill>
            </a:ln>
          </c:spPr>
          <c:marker>
            <c:symbol val="diamond"/>
            <c:size val="8"/>
            <c:spPr>
              <a:solidFill>
                <a:srgbClr val="5B9BD5"/>
              </a:solidFill>
              <a:ln>
                <a:solidFill>
                  <a:srgbClr val="5B9BD5"/>
                </a:solidFill>
              </a:ln>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grafy!$B$50:$K$50</c:f>
              <c:numCache>
                <c:formatCode>0</c:formatCode>
                <c:ptCount val="10"/>
                <c:pt idx="0" formatCode="General">
                  <c:v>2010</c:v>
                </c:pt>
                <c:pt idx="1">
                  <c:v>2011</c:v>
                </c:pt>
                <c:pt idx="2" formatCode="General">
                  <c:v>2012</c:v>
                </c:pt>
                <c:pt idx="3" formatCode="General">
                  <c:v>2013</c:v>
                </c:pt>
                <c:pt idx="4" formatCode="General">
                  <c:v>2014</c:v>
                </c:pt>
                <c:pt idx="5" formatCode="General">
                  <c:v>2015</c:v>
                </c:pt>
                <c:pt idx="6" formatCode="General">
                  <c:v>2016</c:v>
                </c:pt>
                <c:pt idx="7" formatCode="General">
                  <c:v>2017</c:v>
                </c:pt>
                <c:pt idx="8" formatCode="General">
                  <c:v>2018</c:v>
                </c:pt>
                <c:pt idx="9">
                  <c:v>2019</c:v>
                </c:pt>
              </c:numCache>
            </c:numRef>
          </c:cat>
          <c:val>
            <c:numRef>
              <c:f>grafy!$B$52:$K$52</c:f>
              <c:numCache>
                <c:formatCode>#,##0</c:formatCode>
                <c:ptCount val="10"/>
                <c:pt idx="0">
                  <c:v>7682.5731632311372</c:v>
                </c:pt>
                <c:pt idx="1">
                  <c:v>8260.9503994485658</c:v>
                </c:pt>
                <c:pt idx="2">
                  <c:v>7534.2128411369549</c:v>
                </c:pt>
                <c:pt idx="3">
                  <c:v>8410.7668662344131</c:v>
                </c:pt>
                <c:pt idx="4">
                  <c:v>9134.2818652766437</c:v>
                </c:pt>
                <c:pt idx="5">
                  <c:v>9591.645101542892</c:v>
                </c:pt>
                <c:pt idx="6">
                  <c:v>9957.088733182527</c:v>
                </c:pt>
                <c:pt idx="7">
                  <c:v>10251.904058150045</c:v>
                </c:pt>
                <c:pt idx="8">
                  <c:v>10298.907543231275</c:v>
                </c:pt>
                <c:pt idx="9">
                  <c:v>10857.898800715066</c:v>
                </c:pt>
              </c:numCache>
            </c:numRef>
          </c:val>
          <c:smooth val="0"/>
          <c:extLst>
            <c:ext xmlns:c16="http://schemas.microsoft.com/office/drawing/2014/chart" uri="{C3380CC4-5D6E-409C-BE32-E72D297353CC}">
              <c16:uniqueId val="{00000001-DDAF-411A-A2C7-531AA7FBD480}"/>
            </c:ext>
          </c:extLst>
        </c:ser>
        <c:ser>
          <c:idx val="6"/>
          <c:order val="2"/>
          <c:tx>
            <c:strRef>
              <c:f>grafy!$A$53</c:f>
              <c:strCache>
                <c:ptCount val="1"/>
                <c:pt idx="0">
                  <c:v>Specializovaná ambulantní léčebná péče</c:v>
                </c:pt>
              </c:strCache>
            </c:strRef>
          </c:tx>
          <c:spPr>
            <a:ln>
              <a:solidFill>
                <a:srgbClr val="92D050"/>
              </a:solidFill>
            </a:ln>
          </c:spPr>
          <c:marker>
            <c:symbol val="diamond"/>
            <c:size val="7"/>
            <c:spPr>
              <a:solidFill>
                <a:srgbClr val="92D050"/>
              </a:solidFill>
              <a:ln>
                <a:noFill/>
              </a:ln>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grafy!$B$50:$K$50</c:f>
              <c:numCache>
                <c:formatCode>0</c:formatCode>
                <c:ptCount val="10"/>
                <c:pt idx="0" formatCode="General">
                  <c:v>2010</c:v>
                </c:pt>
                <c:pt idx="1">
                  <c:v>2011</c:v>
                </c:pt>
                <c:pt idx="2" formatCode="General">
                  <c:v>2012</c:v>
                </c:pt>
                <c:pt idx="3" formatCode="General">
                  <c:v>2013</c:v>
                </c:pt>
                <c:pt idx="4" formatCode="General">
                  <c:v>2014</c:v>
                </c:pt>
                <c:pt idx="5" formatCode="General">
                  <c:v>2015</c:v>
                </c:pt>
                <c:pt idx="6" formatCode="General">
                  <c:v>2016</c:v>
                </c:pt>
                <c:pt idx="7" formatCode="General">
                  <c:v>2017</c:v>
                </c:pt>
                <c:pt idx="8" formatCode="General">
                  <c:v>2018</c:v>
                </c:pt>
                <c:pt idx="9">
                  <c:v>2019</c:v>
                </c:pt>
              </c:numCache>
            </c:numRef>
          </c:cat>
          <c:val>
            <c:numRef>
              <c:f>grafy!$B$53:$K$53</c:f>
              <c:numCache>
                <c:formatCode>#,##0</c:formatCode>
                <c:ptCount val="10"/>
                <c:pt idx="0">
                  <c:v>3436.8335314235314</c:v>
                </c:pt>
                <c:pt idx="1">
                  <c:v>2896.9810506534873</c:v>
                </c:pt>
                <c:pt idx="2">
                  <c:v>3288.6994982386391</c:v>
                </c:pt>
                <c:pt idx="3">
                  <c:v>3619.6767941412836</c:v>
                </c:pt>
                <c:pt idx="4">
                  <c:v>3705.8300603032089</c:v>
                </c:pt>
                <c:pt idx="5">
                  <c:v>3808.7181335613345</c:v>
                </c:pt>
                <c:pt idx="6">
                  <c:v>3939.4975519797954</c:v>
                </c:pt>
                <c:pt idx="7">
                  <c:v>3829.1717866789136</c:v>
                </c:pt>
                <c:pt idx="8">
                  <c:v>4200.4365811464841</c:v>
                </c:pt>
                <c:pt idx="9">
                  <c:v>4336.1744609267835</c:v>
                </c:pt>
              </c:numCache>
            </c:numRef>
          </c:val>
          <c:smooth val="0"/>
          <c:extLst>
            <c:ext xmlns:c16="http://schemas.microsoft.com/office/drawing/2014/chart" uri="{C3380CC4-5D6E-409C-BE32-E72D297353CC}">
              <c16:uniqueId val="{00000002-DDAF-411A-A2C7-531AA7FBD480}"/>
            </c:ext>
          </c:extLst>
        </c:ser>
        <c:ser>
          <c:idx val="7"/>
          <c:order val="3"/>
          <c:tx>
            <c:strRef>
              <c:f>grafy!$A$54</c:f>
              <c:strCache>
                <c:ptCount val="1"/>
                <c:pt idx="0">
                  <c:v>Ambulantní rehabilitační péče</c:v>
                </c:pt>
              </c:strCache>
            </c:strRef>
          </c:tx>
          <c:spPr>
            <a:ln>
              <a:solidFill>
                <a:srgbClr val="FFC000"/>
              </a:solidFill>
            </a:ln>
          </c:spPr>
          <c:marker>
            <c:symbol val="diamond"/>
            <c:size val="7"/>
            <c:spPr>
              <a:solidFill>
                <a:srgbClr val="FFC000"/>
              </a:solidFill>
              <a:ln>
                <a:noFill/>
              </a:ln>
            </c:spPr>
          </c:marker>
          <c:dLbls>
            <c:dLbl>
              <c:idx val="0"/>
              <c:layout>
                <c:manualLayout>
                  <c:x val="-3.4695494144313041E-2"/>
                  <c:y val="2.764759481484028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9C6-4810-9B78-8E94AAAA89FA}"/>
                </c:ext>
              </c:extLst>
            </c:dLbl>
            <c:dLbl>
              <c:idx val="1"/>
              <c:layout>
                <c:manualLayout>
                  <c:x val="-3.4695494144313083E-2"/>
                  <c:y val="2.400858462561162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F9C6-4810-9B78-8E94AAAA89FA}"/>
                </c:ext>
              </c:extLst>
            </c:dLbl>
            <c:dLbl>
              <c:idx val="2"/>
              <c:layout>
                <c:manualLayout>
                  <c:x val="-3.4695494144313083E-2"/>
                  <c:y val="2.764759481484015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F9C6-4810-9B78-8E94AAAA89FA}"/>
                </c:ext>
              </c:extLst>
            </c:dLbl>
            <c:dLbl>
              <c:idx val="3"/>
              <c:layout>
                <c:manualLayout>
                  <c:x val="-3.2550491999310899E-2"/>
                  <c:y val="3.492561519329734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F9C6-4810-9B78-8E94AAAA89FA}"/>
                </c:ext>
              </c:extLst>
            </c:dLbl>
            <c:dLbl>
              <c:idx val="4"/>
              <c:layout>
                <c:manualLayout>
                  <c:x val="-3.4695494144313041E-2"/>
                  <c:y val="3.128660500406867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F9C6-4810-9B78-8E94AAAA89FA}"/>
                </c:ext>
              </c:extLst>
            </c:dLbl>
            <c:dLbl>
              <c:idx val="5"/>
              <c:layout>
                <c:manualLayout>
                  <c:x val="-4.1854396578806109E-2"/>
                  <c:y val="3.492561519329721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F9C6-4810-9B78-8E94AAAA89FA}"/>
                </c:ext>
              </c:extLst>
            </c:dLbl>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grafy!$B$50:$K$50</c:f>
              <c:numCache>
                <c:formatCode>0</c:formatCode>
                <c:ptCount val="10"/>
                <c:pt idx="0" formatCode="General">
                  <c:v>2010</c:v>
                </c:pt>
                <c:pt idx="1">
                  <c:v>2011</c:v>
                </c:pt>
                <c:pt idx="2" formatCode="General">
                  <c:v>2012</c:v>
                </c:pt>
                <c:pt idx="3" formatCode="General">
                  <c:v>2013</c:v>
                </c:pt>
                <c:pt idx="4" formatCode="General">
                  <c:v>2014</c:v>
                </c:pt>
                <c:pt idx="5" formatCode="General">
                  <c:v>2015</c:v>
                </c:pt>
                <c:pt idx="6" formatCode="General">
                  <c:v>2016</c:v>
                </c:pt>
                <c:pt idx="7" formatCode="General">
                  <c:v>2017</c:v>
                </c:pt>
                <c:pt idx="8" formatCode="General">
                  <c:v>2018</c:v>
                </c:pt>
                <c:pt idx="9">
                  <c:v>2019</c:v>
                </c:pt>
              </c:numCache>
            </c:numRef>
          </c:cat>
          <c:val>
            <c:numRef>
              <c:f>grafy!$B$54:$K$54</c:f>
              <c:numCache>
                <c:formatCode>#,##0</c:formatCode>
                <c:ptCount val="10"/>
                <c:pt idx="0">
                  <c:v>743.73952995930949</c:v>
                </c:pt>
                <c:pt idx="1">
                  <c:v>769.07828997054162</c:v>
                </c:pt>
                <c:pt idx="2">
                  <c:v>808.4941388769023</c:v>
                </c:pt>
                <c:pt idx="3">
                  <c:v>877.00263816652932</c:v>
                </c:pt>
                <c:pt idx="4">
                  <c:v>929.55710337501046</c:v>
                </c:pt>
                <c:pt idx="5">
                  <c:v>1038.4199241640076</c:v>
                </c:pt>
                <c:pt idx="6">
                  <c:v>1134.1441286508825</c:v>
                </c:pt>
                <c:pt idx="7">
                  <c:v>1107.866896046643</c:v>
                </c:pt>
                <c:pt idx="8">
                  <c:v>1539.0950525340909</c:v>
                </c:pt>
                <c:pt idx="9">
                  <c:v>1811.7213408030866</c:v>
                </c:pt>
              </c:numCache>
            </c:numRef>
          </c:val>
          <c:smooth val="0"/>
          <c:extLst>
            <c:ext xmlns:c16="http://schemas.microsoft.com/office/drawing/2014/chart" uri="{C3380CC4-5D6E-409C-BE32-E72D297353CC}">
              <c16:uniqueId val="{00000003-DDAF-411A-A2C7-531AA7FBD480}"/>
            </c:ext>
          </c:extLst>
        </c:ser>
        <c:dLbls>
          <c:showLegendKey val="0"/>
          <c:showVal val="0"/>
          <c:showCatName val="0"/>
          <c:showSerName val="0"/>
          <c:showPercent val="0"/>
          <c:showBubbleSize val="0"/>
        </c:dLbls>
        <c:marker val="1"/>
        <c:smooth val="0"/>
        <c:axId val="105604608"/>
        <c:axId val="105606144"/>
      </c:lineChart>
      <c:catAx>
        <c:axId val="105604608"/>
        <c:scaling>
          <c:orientation val="minMax"/>
        </c:scaling>
        <c:delete val="0"/>
        <c:axPos val="b"/>
        <c:numFmt formatCode="General" sourceLinked="1"/>
        <c:majorTickMark val="out"/>
        <c:minorTickMark val="none"/>
        <c:tickLblPos val="nextTo"/>
        <c:spPr>
          <a:ln>
            <a:solidFill>
              <a:schemeClr val="bg1">
                <a:lumMod val="85000"/>
              </a:schemeClr>
            </a:solidFill>
          </a:ln>
        </c:spPr>
        <c:crossAx val="105606144"/>
        <c:crosses val="autoZero"/>
        <c:auto val="1"/>
        <c:lblAlgn val="ctr"/>
        <c:lblOffset val="100"/>
        <c:noMultiLvlLbl val="0"/>
      </c:catAx>
      <c:valAx>
        <c:axId val="105606144"/>
        <c:scaling>
          <c:orientation val="minMax"/>
        </c:scaling>
        <c:delete val="0"/>
        <c:axPos val="l"/>
        <c:majorGridlines>
          <c:spPr>
            <a:ln>
              <a:solidFill>
                <a:schemeClr val="bg1">
                  <a:lumMod val="85000"/>
                </a:schemeClr>
              </a:solidFill>
              <a:prstDash val="dash"/>
            </a:ln>
          </c:spPr>
        </c:majorGridlines>
        <c:numFmt formatCode="#,##0" sourceLinked="1"/>
        <c:majorTickMark val="out"/>
        <c:minorTickMark val="none"/>
        <c:tickLblPos val="nextTo"/>
        <c:spPr>
          <a:ln>
            <a:solidFill>
              <a:schemeClr val="bg1">
                <a:lumMod val="85000"/>
              </a:schemeClr>
            </a:solidFill>
          </a:ln>
        </c:spPr>
        <c:crossAx val="105604608"/>
        <c:crosses val="autoZero"/>
        <c:crossBetween val="between"/>
        <c:majorUnit val="3000"/>
      </c:valAx>
      <c:spPr>
        <a:ln>
          <a:solidFill>
            <a:sysClr val="window" lastClr="FFFFFF">
              <a:lumMod val="85000"/>
            </a:sysClr>
          </a:solidFill>
        </a:ln>
      </c:spPr>
    </c:plotArea>
    <c:legend>
      <c:legendPos val="b"/>
      <c:layout>
        <c:manualLayout>
          <c:xMode val="edge"/>
          <c:yMode val="edge"/>
          <c:x val="6.1443139279721171E-2"/>
          <c:y val="0.89119751439184669"/>
          <c:w val="0.88956443735672286"/>
          <c:h val="8.9709406849203546E-2"/>
        </c:manualLayout>
      </c:layout>
      <c:overlay val="0"/>
    </c:legend>
    <c:plotVisOnly val="1"/>
    <c:dispBlanksAs val="gap"/>
    <c:showDLblsOverMax val="0"/>
  </c:chart>
  <c:spPr>
    <a:ln>
      <a:solidFill>
        <a:schemeClr val="bg1">
          <a:lumMod val="85000"/>
        </a:schemeClr>
      </a:solidFill>
    </a:ln>
  </c:spPr>
  <c:txPr>
    <a:bodyPr/>
    <a:lstStyle/>
    <a:p>
      <a:pPr>
        <a:defRPr sz="800">
          <a:latin typeface="Arial" panose="020B0604020202020204" pitchFamily="34" charset="0"/>
          <a:cs typeface="Arial" panose="020B0604020202020204" pitchFamily="34" charset="0"/>
        </a:defRPr>
      </a:pPr>
      <a:endParaRPr lang="cs-CZ"/>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9289675343905037E-2"/>
          <c:y val="5.8714826344381361E-2"/>
          <c:w val="0.85559793872810197"/>
          <c:h val="0.75250717206860773"/>
        </c:manualLayout>
      </c:layout>
      <c:barChart>
        <c:barDir val="col"/>
        <c:grouping val="stacked"/>
        <c:varyColors val="0"/>
        <c:ser>
          <c:idx val="0"/>
          <c:order val="0"/>
          <c:tx>
            <c:strRef>
              <c:f>'Graf č.3.5.'!$A$3</c:f>
              <c:strCache>
                <c:ptCount val="1"/>
                <c:pt idx="0">
                  <c:v>Poplatky za recept</c:v>
                </c:pt>
              </c:strCache>
            </c:strRef>
          </c:tx>
          <c:spPr>
            <a:solidFill>
              <a:srgbClr val="D96D75"/>
            </a:solidFill>
            <a:ln>
              <a:solidFill>
                <a:schemeClr val="bg1">
                  <a:lumMod val="75000"/>
                </a:schemeClr>
              </a:solidFill>
            </a:ln>
          </c:spPr>
          <c:invertIfNegative val="0"/>
          <c:dLbls>
            <c:dLbl>
              <c:idx val="5"/>
              <c:delete val="1"/>
              <c:extLst>
                <c:ext xmlns:c15="http://schemas.microsoft.com/office/drawing/2012/chart" uri="{CE6537A1-D6FC-4f65-9D91-7224C49458BB}"/>
                <c:ext xmlns:c16="http://schemas.microsoft.com/office/drawing/2014/chart" uri="{C3380CC4-5D6E-409C-BE32-E72D297353CC}">
                  <c16:uniqueId val="{00000000-C1D4-416F-968D-DA6F948BEAB7}"/>
                </c:ext>
              </c:extLst>
            </c:dLbl>
            <c:dLbl>
              <c:idx val="6"/>
              <c:delete val="1"/>
              <c:extLst>
                <c:ext xmlns:c15="http://schemas.microsoft.com/office/drawing/2012/chart" uri="{CE6537A1-D6FC-4f65-9D91-7224C49458BB}"/>
                <c:ext xmlns:c16="http://schemas.microsoft.com/office/drawing/2014/chart" uri="{C3380CC4-5D6E-409C-BE32-E72D297353CC}">
                  <c16:uniqueId val="{00000001-C1D4-416F-968D-DA6F948BEAB7}"/>
                </c:ext>
              </c:extLst>
            </c:dLbl>
            <c:dLbl>
              <c:idx val="7"/>
              <c:delete val="1"/>
              <c:extLst>
                <c:ext xmlns:c15="http://schemas.microsoft.com/office/drawing/2012/chart" uri="{CE6537A1-D6FC-4f65-9D91-7224C49458BB}"/>
                <c:ext xmlns:c16="http://schemas.microsoft.com/office/drawing/2014/chart" uri="{C3380CC4-5D6E-409C-BE32-E72D297353CC}">
                  <c16:uniqueId val="{00000002-C1D4-416F-968D-DA6F948BEAB7}"/>
                </c:ext>
              </c:extLst>
            </c:dLbl>
            <c:dLbl>
              <c:idx val="8"/>
              <c:delete val="1"/>
              <c:extLst>
                <c:ext xmlns:c15="http://schemas.microsoft.com/office/drawing/2012/chart" uri="{CE6537A1-D6FC-4f65-9D91-7224C49458BB}"/>
                <c:ext xmlns:c16="http://schemas.microsoft.com/office/drawing/2014/chart" uri="{C3380CC4-5D6E-409C-BE32-E72D297353CC}">
                  <c16:uniqueId val="{00000003-C1D4-416F-968D-DA6F948BEAB7}"/>
                </c:ext>
              </c:extLst>
            </c:dLbl>
            <c:dLbl>
              <c:idx val="9"/>
              <c:delete val="1"/>
              <c:extLst>
                <c:ext xmlns:c15="http://schemas.microsoft.com/office/drawing/2012/chart" uri="{CE6537A1-D6FC-4f65-9D91-7224C49458BB}"/>
                <c:ext xmlns:c16="http://schemas.microsoft.com/office/drawing/2014/chart" uri="{C3380CC4-5D6E-409C-BE32-E72D297353CC}">
                  <c16:uniqueId val="{00000004-C1D4-416F-968D-DA6F948BEAB7}"/>
                </c:ext>
              </c:extLst>
            </c:dLbl>
            <c:spPr>
              <a:noFill/>
              <a:ln>
                <a:noFill/>
              </a:ln>
              <a:effectLst/>
            </c:spPr>
            <c:txPr>
              <a:bodyPr wrap="square" lIns="38100" tIns="19050" rIns="38100" bIns="19050" anchor="ctr">
                <a:spAutoFit/>
              </a:bodyPr>
              <a:lstStyle/>
              <a:p>
                <a:pPr>
                  <a:defRPr sz="800">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'Graf č.3.5.'!$D$2:$M$2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'Graf č.3.5.'!$D$3:$M$3</c:f>
              <c:numCache>
                <c:formatCode>#,##0</c:formatCode>
                <c:ptCount val="10"/>
                <c:pt idx="0">
                  <c:v>2657</c:v>
                </c:pt>
                <c:pt idx="1">
                  <c:v>2458</c:v>
                </c:pt>
                <c:pt idx="2">
                  <c:v>1858</c:v>
                </c:pt>
                <c:pt idx="3">
                  <c:v>2058</c:v>
                </c:pt>
                <c:pt idx="4">
                  <c:v>2256</c:v>
                </c:pt>
                <c:pt idx="5">
                  <c:v>0</c:v>
                </c:pt>
                <c:pt idx="6">
                  <c:v>0</c:v>
                </c:pt>
                <c:pt idx="7" formatCode="General">
                  <c:v>0</c:v>
                </c:pt>
                <c:pt idx="8">
                  <c:v>0</c:v>
                </c:pt>
                <c:pt idx="9">
                  <c:v>0</c:v>
                </c:pt>
              </c:numCache>
            </c:numRef>
          </c:val>
          <c:extLst>
            <c:ext xmlns:c16="http://schemas.microsoft.com/office/drawing/2014/chart" uri="{C3380CC4-5D6E-409C-BE32-E72D297353CC}">
              <c16:uniqueId val="{00000005-C1D4-416F-968D-DA6F948BEAB7}"/>
            </c:ext>
          </c:extLst>
        </c:ser>
        <c:ser>
          <c:idx val="2"/>
          <c:order val="1"/>
          <c:tx>
            <c:strRef>
              <c:f>'Graf č.3.5.'!$A$4</c:f>
              <c:strCache>
                <c:ptCount val="1"/>
                <c:pt idx="0">
                  <c:v>Poplatky za návštěvu lékaře</c:v>
                </c:pt>
              </c:strCache>
            </c:strRef>
          </c:tx>
          <c:spPr>
            <a:solidFill>
              <a:srgbClr val="187BB8"/>
            </a:solidFill>
            <a:ln>
              <a:solidFill>
                <a:schemeClr val="bg1">
                  <a:lumMod val="75000"/>
                </a:schemeClr>
              </a:solidFill>
            </a:ln>
          </c:spPr>
          <c:invertIfNegative val="0"/>
          <c:dLbls>
            <c:dLbl>
              <c:idx val="0"/>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C1D4-416F-968D-DA6F948BEAB7}"/>
                </c:ext>
              </c:extLst>
            </c:dLbl>
            <c:dLbl>
              <c:idx val="1"/>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C1D4-416F-968D-DA6F948BEAB7}"/>
                </c:ext>
              </c:extLst>
            </c:dLbl>
            <c:dLbl>
              <c:idx val="2"/>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C1D4-416F-968D-DA6F948BEAB7}"/>
                </c:ext>
              </c:extLst>
            </c:dLbl>
            <c:dLbl>
              <c:idx val="3"/>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C1D4-416F-968D-DA6F948BEAB7}"/>
                </c:ext>
              </c:extLst>
            </c:dLbl>
            <c:dLbl>
              <c:idx val="4"/>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C1D4-416F-968D-DA6F948BEAB7}"/>
                </c:ext>
              </c:extLst>
            </c:dLbl>
            <c:spPr>
              <a:noFill/>
              <a:ln>
                <a:noFill/>
              </a:ln>
              <a:effectLst/>
            </c:spPr>
            <c:txPr>
              <a:bodyPr wrap="square" lIns="38100" tIns="19050" rIns="38100" bIns="19050" anchor="ctr">
                <a:spAutoFit/>
              </a:bodyPr>
              <a:lstStyle/>
              <a:p>
                <a:pPr>
                  <a:defRPr sz="800">
                    <a:latin typeface="Arial" panose="020B0604020202020204" pitchFamily="34" charset="0"/>
                    <a:cs typeface="Arial" panose="020B0604020202020204" pitchFamily="34" charset="0"/>
                  </a:defRPr>
                </a:pPr>
                <a:endParaRPr lang="cs-CZ"/>
              </a:p>
            </c:txPr>
            <c:showLegendKey val="0"/>
            <c:showVal val="0"/>
            <c:showCatName val="0"/>
            <c:showSerName val="0"/>
            <c:showPercent val="0"/>
            <c:showBubbleSize val="0"/>
            <c:extLst>
              <c:ext xmlns:c15="http://schemas.microsoft.com/office/drawing/2012/chart" uri="{CE6537A1-D6FC-4f65-9D91-7224C49458BB}">
                <c15:showLeaderLines val="1"/>
              </c:ext>
            </c:extLst>
          </c:dLbls>
          <c:cat>
            <c:numRef>
              <c:f>'Graf č.3.5.'!$D$2:$M$2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'Graf č.3.5.'!$D$4:$M$4</c:f>
              <c:numCache>
                <c:formatCode>#,##0</c:formatCode>
                <c:ptCount val="10"/>
                <c:pt idx="0">
                  <c:v>1530</c:v>
                </c:pt>
                <c:pt idx="1">
                  <c:v>1374</c:v>
                </c:pt>
                <c:pt idx="2">
                  <c:v>1474</c:v>
                </c:pt>
                <c:pt idx="3">
                  <c:v>1505</c:v>
                </c:pt>
                <c:pt idx="4">
                  <c:v>1502</c:v>
                </c:pt>
                <c:pt idx="5">
                  <c:v>0</c:v>
                </c:pt>
                <c:pt idx="6">
                  <c:v>0</c:v>
                </c:pt>
                <c:pt idx="7" formatCode="General">
                  <c:v>0</c:v>
                </c:pt>
                <c:pt idx="8">
                  <c:v>0</c:v>
                </c:pt>
                <c:pt idx="9">
                  <c:v>0</c:v>
                </c:pt>
              </c:numCache>
            </c:numRef>
          </c:val>
          <c:extLst>
            <c:ext xmlns:c16="http://schemas.microsoft.com/office/drawing/2014/chart" uri="{C3380CC4-5D6E-409C-BE32-E72D297353CC}">
              <c16:uniqueId val="{0000000B-C1D4-416F-968D-DA6F948BEAB7}"/>
            </c:ext>
          </c:extLst>
        </c:ser>
        <c:ser>
          <c:idx val="3"/>
          <c:order val="2"/>
          <c:tx>
            <c:strRef>
              <c:f>'Graf č.3.5.'!$A$5</c:f>
              <c:strCache>
                <c:ptCount val="1"/>
                <c:pt idx="0">
                  <c:v>Poplatky za hospitalizaci</c:v>
                </c:pt>
              </c:strCache>
            </c:strRef>
          </c:tx>
          <c:spPr>
            <a:solidFill>
              <a:srgbClr val="9EB709"/>
            </a:solidFill>
            <a:ln>
              <a:solidFill>
                <a:schemeClr val="bg1">
                  <a:lumMod val="75000"/>
                </a:schemeClr>
              </a:solidFill>
            </a:ln>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C-C1D4-416F-968D-DA6F948BEAB7}"/>
                </c:ext>
              </c:extLst>
            </c:dLbl>
            <c:dLbl>
              <c:idx val="5"/>
              <c:delete val="1"/>
              <c:extLst>
                <c:ext xmlns:c15="http://schemas.microsoft.com/office/drawing/2012/chart" uri="{CE6537A1-D6FC-4f65-9D91-7224C49458BB}"/>
                <c:ext xmlns:c16="http://schemas.microsoft.com/office/drawing/2014/chart" uri="{C3380CC4-5D6E-409C-BE32-E72D297353CC}">
                  <c16:uniqueId val="{0000000D-C1D4-416F-968D-DA6F948BEAB7}"/>
                </c:ext>
              </c:extLst>
            </c:dLbl>
            <c:dLbl>
              <c:idx val="6"/>
              <c:delete val="1"/>
              <c:extLst>
                <c:ext xmlns:c15="http://schemas.microsoft.com/office/drawing/2012/chart" uri="{CE6537A1-D6FC-4f65-9D91-7224C49458BB}"/>
                <c:ext xmlns:c16="http://schemas.microsoft.com/office/drawing/2014/chart" uri="{C3380CC4-5D6E-409C-BE32-E72D297353CC}">
                  <c16:uniqueId val="{0000000E-C1D4-416F-968D-DA6F948BEAB7}"/>
                </c:ext>
              </c:extLst>
            </c:dLbl>
            <c:dLbl>
              <c:idx val="7"/>
              <c:delete val="1"/>
              <c:extLst>
                <c:ext xmlns:c15="http://schemas.microsoft.com/office/drawing/2012/chart" uri="{CE6537A1-D6FC-4f65-9D91-7224C49458BB}"/>
                <c:ext xmlns:c16="http://schemas.microsoft.com/office/drawing/2014/chart" uri="{C3380CC4-5D6E-409C-BE32-E72D297353CC}">
                  <c16:uniqueId val="{0000000F-C1D4-416F-968D-DA6F948BEAB7}"/>
                </c:ext>
              </c:extLst>
            </c:dLbl>
            <c:dLbl>
              <c:idx val="8"/>
              <c:delete val="1"/>
              <c:extLst>
                <c:ext xmlns:c15="http://schemas.microsoft.com/office/drawing/2012/chart" uri="{CE6537A1-D6FC-4f65-9D91-7224C49458BB}"/>
                <c:ext xmlns:c16="http://schemas.microsoft.com/office/drawing/2014/chart" uri="{C3380CC4-5D6E-409C-BE32-E72D297353CC}">
                  <c16:uniqueId val="{00000010-C1D4-416F-968D-DA6F948BEAB7}"/>
                </c:ext>
              </c:extLst>
            </c:dLbl>
            <c:dLbl>
              <c:idx val="9"/>
              <c:delete val="1"/>
              <c:extLst>
                <c:ext xmlns:c15="http://schemas.microsoft.com/office/drawing/2012/chart" uri="{CE6537A1-D6FC-4f65-9D91-7224C49458BB}"/>
                <c:ext xmlns:c16="http://schemas.microsoft.com/office/drawing/2014/chart" uri="{C3380CC4-5D6E-409C-BE32-E72D297353CC}">
                  <c16:uniqueId val="{00000011-C1D4-416F-968D-DA6F948BEAB7}"/>
                </c:ext>
              </c:extLst>
            </c:dLbl>
            <c:spPr>
              <a:noFill/>
              <a:ln>
                <a:noFill/>
              </a:ln>
              <a:effectLst/>
            </c:spPr>
            <c:txPr>
              <a:bodyPr wrap="square" lIns="38100" tIns="19050" rIns="38100" bIns="19050" anchor="ctr">
                <a:spAutoFit/>
              </a:bodyPr>
              <a:lstStyle/>
              <a:p>
                <a:pPr>
                  <a:defRPr sz="800">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'Graf č.3.5.'!$D$2:$M$2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'Graf č.3.5.'!$D$5:$M$5</c:f>
              <c:numCache>
                <c:formatCode>#,##0</c:formatCode>
                <c:ptCount val="10"/>
                <c:pt idx="0">
                  <c:v>1243</c:v>
                </c:pt>
                <c:pt idx="1">
                  <c:v>1242</c:v>
                </c:pt>
                <c:pt idx="2">
                  <c:v>1824</c:v>
                </c:pt>
                <c:pt idx="3">
                  <c:v>1744</c:v>
                </c:pt>
                <c:pt idx="4" formatCode="General">
                  <c:v>0</c:v>
                </c:pt>
                <c:pt idx="5" formatCode="General">
                  <c:v>0</c:v>
                </c:pt>
                <c:pt idx="6" formatCode="General">
                  <c:v>0</c:v>
                </c:pt>
                <c:pt idx="7" formatCode="General">
                  <c:v>0</c:v>
                </c:pt>
                <c:pt idx="8" formatCode="General">
                  <c:v>0</c:v>
                </c:pt>
                <c:pt idx="9" formatCode="General">
                  <c:v>0</c:v>
                </c:pt>
              </c:numCache>
            </c:numRef>
          </c:val>
          <c:extLst>
            <c:ext xmlns:c16="http://schemas.microsoft.com/office/drawing/2014/chart" uri="{C3380CC4-5D6E-409C-BE32-E72D297353CC}">
              <c16:uniqueId val="{00000012-C1D4-416F-968D-DA6F948BEAB7}"/>
            </c:ext>
          </c:extLst>
        </c:ser>
        <c:ser>
          <c:idx val="1"/>
          <c:order val="3"/>
          <c:tx>
            <c:strRef>
              <c:f>'Graf č.3.5.'!$A$6</c:f>
              <c:strCache>
                <c:ptCount val="1"/>
                <c:pt idx="0">
                  <c:v>Poplatky za pohotovost</c:v>
                </c:pt>
              </c:strCache>
            </c:strRef>
          </c:tx>
          <c:spPr>
            <a:solidFill>
              <a:srgbClr val="FFC000"/>
            </a:solidFill>
            <a:ln>
              <a:solidFill>
                <a:schemeClr val="bg1">
                  <a:lumMod val="75000"/>
                </a:schemeClr>
              </a:solidFill>
            </a:ln>
          </c:spPr>
          <c:invertIfNegative val="0"/>
          <c:dPt>
            <c:idx val="7"/>
            <c:invertIfNegative val="0"/>
            <c:bubble3D val="0"/>
            <c:spPr>
              <a:solidFill>
                <a:srgbClr val="FFC000"/>
              </a:solidFill>
              <a:ln>
                <a:solidFill>
                  <a:srgbClr val="BFBFBF"/>
                </a:solidFill>
              </a:ln>
            </c:spPr>
            <c:extLst>
              <c:ext xmlns:c16="http://schemas.microsoft.com/office/drawing/2014/chart" uri="{C3380CC4-5D6E-409C-BE32-E72D297353CC}">
                <c16:uniqueId val="{00000014-C1D4-416F-968D-DA6F948BEAB7}"/>
              </c:ext>
            </c:extLst>
          </c:dPt>
          <c:cat>
            <c:numRef>
              <c:f>'Graf č.3.5.'!$D$2:$M$2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'Graf č.3.5.'!$D$6:$M$6</c:f>
              <c:numCache>
                <c:formatCode>General</c:formatCode>
                <c:ptCount val="10"/>
                <c:pt idx="0">
                  <c:v>191</c:v>
                </c:pt>
                <c:pt idx="1">
                  <c:v>180</c:v>
                </c:pt>
                <c:pt idx="2">
                  <c:v>179</c:v>
                </c:pt>
                <c:pt idx="3">
                  <c:v>182</c:v>
                </c:pt>
                <c:pt idx="4">
                  <c:v>187</c:v>
                </c:pt>
                <c:pt idx="5">
                  <c:v>192</c:v>
                </c:pt>
                <c:pt idx="6">
                  <c:v>198</c:v>
                </c:pt>
                <c:pt idx="7">
                  <c:v>200</c:v>
                </c:pt>
                <c:pt idx="8">
                  <c:v>207</c:v>
                </c:pt>
                <c:pt idx="9" formatCode="0">
                  <c:v>199.94723999999999</c:v>
                </c:pt>
              </c:numCache>
            </c:numRef>
          </c:val>
          <c:extLst>
            <c:ext xmlns:c16="http://schemas.microsoft.com/office/drawing/2014/chart" uri="{C3380CC4-5D6E-409C-BE32-E72D297353CC}">
              <c16:uniqueId val="{00000015-C1D4-416F-968D-DA6F948BEAB7}"/>
            </c:ext>
          </c:extLst>
        </c:ser>
        <c:dLbls>
          <c:showLegendKey val="0"/>
          <c:showVal val="0"/>
          <c:showCatName val="0"/>
          <c:showSerName val="0"/>
          <c:showPercent val="0"/>
          <c:showBubbleSize val="0"/>
        </c:dLbls>
        <c:gapWidth val="90"/>
        <c:overlap val="100"/>
        <c:axId val="136592384"/>
        <c:axId val="137812736"/>
      </c:barChart>
      <c:lineChart>
        <c:grouping val="standard"/>
        <c:varyColors val="0"/>
        <c:ser>
          <c:idx val="4"/>
          <c:order val="4"/>
          <c:tx>
            <c:strRef>
              <c:f>'Graf č.3.5.'!$A$7</c:f>
              <c:strCache>
                <c:ptCount val="1"/>
                <c:pt idx="0">
                  <c:v>Celkem</c:v>
                </c:pt>
              </c:strCache>
            </c:strRef>
          </c:tx>
          <c:spPr>
            <a:ln>
              <a:noFill/>
            </a:ln>
          </c:spPr>
          <c:marker>
            <c:symbol val="none"/>
          </c:marker>
          <c:dLbls>
            <c:dLbl>
              <c:idx val="0"/>
              <c:layout>
                <c:manualLayout>
                  <c:x val="-2.8558189220819919E-2"/>
                  <c:y val="-2.500269941084259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C1D4-416F-968D-DA6F948BEAB7}"/>
                </c:ext>
              </c:extLst>
            </c:dLbl>
            <c:dLbl>
              <c:idx val="1"/>
              <c:layout>
                <c:manualLayout>
                  <c:x val="-2.4020994692467226E-2"/>
                  <c:y val="-3.393625451206083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C1D4-416F-968D-DA6F948BEAB7}"/>
                </c:ext>
              </c:extLst>
            </c:dLbl>
            <c:dLbl>
              <c:idx val="2"/>
              <c:layout>
                <c:manualLayout>
                  <c:x val="-2.9200756218154218E-2"/>
                  <c:y val="-2.500305112561035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C1D4-416F-968D-DA6F948BEAB7}"/>
                </c:ext>
              </c:extLst>
            </c:dLbl>
            <c:dLbl>
              <c:idx val="3"/>
              <c:layout>
                <c:manualLayout>
                  <c:x val="-2.443663658847579E-2"/>
                  <c:y val="-2.500269941084260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9-C1D4-416F-968D-DA6F948BEAB7}"/>
                </c:ext>
              </c:extLst>
            </c:dLbl>
            <c:dLbl>
              <c:idx val="4"/>
              <c:layout>
                <c:manualLayout>
                  <c:x val="-2.6959468398891167E-2"/>
                  <c:y val="-3.39362545120608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C1D4-416F-968D-DA6F948BEAB7}"/>
                </c:ext>
              </c:extLst>
            </c:dLbl>
            <c:spPr>
              <a:noFill/>
              <a:ln>
                <a:noFill/>
              </a:ln>
              <a:effectLst/>
            </c:spPr>
            <c:txPr>
              <a:bodyPr/>
              <a:lstStyle/>
              <a:p>
                <a:pPr>
                  <a:defRPr sz="800" b="0">
                    <a:solidFill>
                      <a:sysClr val="windowText" lastClr="000000"/>
                    </a:solidFill>
                    <a:latin typeface="Arial" panose="020B0604020202020204" pitchFamily="34" charset="0"/>
                    <a:cs typeface="Arial" panose="020B0604020202020204" pitchFamily="34" charset="0"/>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'Graf č.3.5.'!$D$2:$M$2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'Graf č.3.5.'!$D$7:$M$7</c:f>
              <c:numCache>
                <c:formatCode>#,##0</c:formatCode>
                <c:ptCount val="10"/>
                <c:pt idx="0">
                  <c:v>5621</c:v>
                </c:pt>
                <c:pt idx="1">
                  <c:v>5254</c:v>
                </c:pt>
                <c:pt idx="2">
                  <c:v>5335</c:v>
                </c:pt>
                <c:pt idx="3">
                  <c:v>5489</c:v>
                </c:pt>
                <c:pt idx="4">
                  <c:v>3945</c:v>
                </c:pt>
                <c:pt idx="5">
                  <c:v>192</c:v>
                </c:pt>
                <c:pt idx="6">
                  <c:v>198</c:v>
                </c:pt>
                <c:pt idx="7" formatCode="General">
                  <c:v>200</c:v>
                </c:pt>
                <c:pt idx="8">
                  <c:v>207</c:v>
                </c:pt>
                <c:pt idx="9">
                  <c:v>199.94723999999999</c:v>
                </c:pt>
              </c:numCache>
            </c:numRef>
          </c:val>
          <c:smooth val="0"/>
          <c:extLst>
            <c:ext xmlns:c16="http://schemas.microsoft.com/office/drawing/2014/chart" uri="{C3380CC4-5D6E-409C-BE32-E72D297353CC}">
              <c16:uniqueId val="{0000001B-C1D4-416F-968D-DA6F948BEAB7}"/>
            </c:ext>
          </c:extLst>
        </c:ser>
        <c:dLbls>
          <c:showLegendKey val="0"/>
          <c:showVal val="0"/>
          <c:showCatName val="0"/>
          <c:showSerName val="0"/>
          <c:showPercent val="0"/>
          <c:showBubbleSize val="0"/>
        </c:dLbls>
        <c:marker val="1"/>
        <c:smooth val="0"/>
        <c:axId val="136592384"/>
        <c:axId val="137812736"/>
      </c:lineChart>
      <c:catAx>
        <c:axId val="136592384"/>
        <c:scaling>
          <c:orientation val="minMax"/>
        </c:scaling>
        <c:delete val="0"/>
        <c:axPos val="b"/>
        <c:numFmt formatCode="General" sourceLinked="1"/>
        <c:majorTickMark val="out"/>
        <c:minorTickMark val="none"/>
        <c:tickLblPos val="nextTo"/>
        <c:spPr>
          <a:ln>
            <a:solidFill>
              <a:schemeClr val="bg1">
                <a:lumMod val="75000"/>
              </a:schemeClr>
            </a:solidFill>
          </a:ln>
        </c:spPr>
        <c:txPr>
          <a:bodyPr/>
          <a:lstStyle/>
          <a:p>
            <a:pPr>
              <a:defRPr sz="800">
                <a:latin typeface="Arial" panose="020B0604020202020204" pitchFamily="34" charset="0"/>
                <a:cs typeface="Arial" panose="020B0604020202020204" pitchFamily="34" charset="0"/>
              </a:defRPr>
            </a:pPr>
            <a:endParaRPr lang="cs-CZ"/>
          </a:p>
        </c:txPr>
        <c:crossAx val="137812736"/>
        <c:crosses val="autoZero"/>
        <c:auto val="1"/>
        <c:lblAlgn val="ctr"/>
        <c:lblOffset val="100"/>
        <c:noMultiLvlLbl val="0"/>
      </c:catAx>
      <c:valAx>
        <c:axId val="137812736"/>
        <c:scaling>
          <c:orientation val="minMax"/>
          <c:max val="6000"/>
        </c:scaling>
        <c:delete val="0"/>
        <c:axPos val="l"/>
        <c:majorGridlines>
          <c:spPr>
            <a:ln>
              <a:solidFill>
                <a:schemeClr val="bg1">
                  <a:lumMod val="85000"/>
                </a:schemeClr>
              </a:solidFill>
              <a:prstDash val="dash"/>
            </a:ln>
          </c:spPr>
        </c:majorGridlines>
        <c:numFmt formatCode="#,##0" sourceLinked="0"/>
        <c:majorTickMark val="out"/>
        <c:minorTickMark val="none"/>
        <c:tickLblPos val="nextTo"/>
        <c:spPr>
          <a:ln>
            <a:solidFill>
              <a:schemeClr val="bg1">
                <a:lumMod val="85000"/>
              </a:schemeClr>
            </a:solidFill>
          </a:ln>
        </c:spPr>
        <c:txPr>
          <a:bodyPr/>
          <a:lstStyle/>
          <a:p>
            <a:pPr>
              <a:defRPr sz="800">
                <a:latin typeface="Arial" panose="020B0604020202020204" pitchFamily="34" charset="0"/>
                <a:cs typeface="Arial" panose="020B0604020202020204" pitchFamily="34" charset="0"/>
              </a:defRPr>
            </a:pPr>
            <a:endParaRPr lang="cs-CZ"/>
          </a:p>
        </c:txPr>
        <c:crossAx val="136592384"/>
        <c:crosses val="autoZero"/>
        <c:crossBetween val="between"/>
        <c:majorUnit val="1000"/>
      </c:valAx>
      <c:spPr>
        <a:ln>
          <a:solidFill>
            <a:schemeClr val="bg1">
              <a:lumMod val="85000"/>
            </a:schemeClr>
          </a:solidFill>
        </a:ln>
      </c:spPr>
    </c:plotArea>
    <c:legend>
      <c:legendPos val="b"/>
      <c:legendEntry>
        <c:idx val="4"/>
        <c:delete val="1"/>
      </c:legendEntry>
      <c:layout>
        <c:manualLayout>
          <c:xMode val="edge"/>
          <c:yMode val="edge"/>
          <c:x val="5.0000045020101476E-2"/>
          <c:y val="0.9068873840967947"/>
          <c:w val="0.92973118497409091"/>
          <c:h val="6.6311950599550584E-2"/>
        </c:manualLayout>
      </c:layout>
      <c:overlay val="0"/>
      <c:txPr>
        <a:bodyPr/>
        <a:lstStyle/>
        <a:p>
          <a:pPr>
            <a:defRPr sz="800">
              <a:latin typeface="Arial" panose="020B0604020202020204" pitchFamily="34" charset="0"/>
              <a:cs typeface="Arial" panose="020B0604020202020204" pitchFamily="34" charset="0"/>
            </a:defRPr>
          </a:pPr>
          <a:endParaRPr lang="cs-CZ"/>
        </a:p>
      </c:txPr>
    </c:legend>
    <c:plotVisOnly val="1"/>
    <c:dispBlanksAs val="gap"/>
    <c:showDLblsOverMax val="0"/>
  </c:chart>
  <c:spPr>
    <a:ln>
      <a:solidFill>
        <a:schemeClr val="bg1">
          <a:lumMod val="85000"/>
        </a:schemeClr>
      </a:solid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92184-08EC-4676-980F-AA617E8DC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 CZ_lide a spolecnost_2017-08-14.dotx</Template>
  <TotalTime>53</TotalTime>
  <Pages>7</Pages>
  <Words>2205</Words>
  <Characters>13013</Characters>
  <Application>Microsoft Office Word</Application>
  <DocSecurity>0</DocSecurity>
  <Lines>108</Lines>
  <Paragraphs>30</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Manager/>
  <Company>CSU</Company>
  <LinksUpToDate>false</LinksUpToDate>
  <CharactersWithSpaces>15188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cermakova38818</dc:creator>
  <cp:keywords/>
  <dc:description/>
  <cp:lastModifiedBy>cermakova38818</cp:lastModifiedBy>
  <cp:revision>5</cp:revision>
  <cp:lastPrinted>2014-07-17T14:07:00Z</cp:lastPrinted>
  <dcterms:created xsi:type="dcterms:W3CDTF">2021-03-25T13:41:00Z</dcterms:created>
  <dcterms:modified xsi:type="dcterms:W3CDTF">2021-03-26T08:11:00Z</dcterms:modified>
  <cp:category/>
</cp:coreProperties>
</file>