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FB" w:rsidRPr="00EF53CB" w:rsidRDefault="001F62FB" w:rsidP="007F5FDD">
      <w:pPr>
        <w:pStyle w:val="Zkladntext"/>
        <w:numPr>
          <w:ilvl w:val="0"/>
          <w:numId w:val="5"/>
        </w:numPr>
        <w:spacing w:line="276" w:lineRule="auto"/>
        <w:ind w:left="426" w:hanging="426"/>
        <w:rPr>
          <w:rFonts w:ascii="Arial" w:hAnsi="Arial"/>
          <w:b/>
          <w:szCs w:val="24"/>
        </w:rPr>
      </w:pPr>
      <w:r w:rsidRPr="00EF53CB">
        <w:rPr>
          <w:rFonts w:ascii="Arial" w:hAnsi="Arial"/>
          <w:b/>
          <w:szCs w:val="24"/>
        </w:rPr>
        <w:t xml:space="preserve">Základní rozdělení věřících podle způsobu deklarace víry </w:t>
      </w:r>
      <w:r w:rsidR="00CC0E06">
        <w:rPr>
          <w:rFonts w:ascii="Arial" w:hAnsi="Arial"/>
          <w:b/>
          <w:szCs w:val="24"/>
        </w:rPr>
        <w:t>k 26. 3. 2011 a </w:t>
      </w:r>
      <w:r w:rsidR="00EF0CC2" w:rsidRPr="00EF53CB">
        <w:rPr>
          <w:rFonts w:ascii="Arial" w:hAnsi="Arial"/>
          <w:b/>
          <w:szCs w:val="24"/>
        </w:rPr>
        <w:t>hlavní</w:t>
      </w:r>
      <w:r w:rsidR="00B13272" w:rsidRPr="00EF53CB">
        <w:rPr>
          <w:rFonts w:ascii="Arial" w:hAnsi="Arial"/>
          <w:b/>
          <w:szCs w:val="24"/>
        </w:rPr>
        <w:t xml:space="preserve"> charakteristiky </w:t>
      </w:r>
      <w:r w:rsidR="00EF0CC2" w:rsidRPr="00EF53CB">
        <w:rPr>
          <w:rFonts w:ascii="Arial" w:hAnsi="Arial"/>
          <w:b/>
          <w:szCs w:val="24"/>
        </w:rPr>
        <w:t>věřících</w:t>
      </w:r>
    </w:p>
    <w:p w:rsidR="001F62FB" w:rsidRPr="0000293A" w:rsidRDefault="001F62FB" w:rsidP="001F62FB">
      <w:pPr>
        <w:pStyle w:val="Zkladntext"/>
        <w:spacing w:line="276" w:lineRule="auto"/>
        <w:ind w:left="720"/>
        <w:rPr>
          <w:rFonts w:ascii="Arial" w:hAnsi="Arial"/>
          <w:sz w:val="20"/>
        </w:rPr>
      </w:pPr>
    </w:p>
    <w:p w:rsidR="00132320" w:rsidRDefault="001F62FB" w:rsidP="007A013A">
      <w:pPr>
        <w:pStyle w:val="Zkladntext"/>
        <w:spacing w:line="276" w:lineRule="auto"/>
        <w:jc w:val="both"/>
        <w:rPr>
          <w:rFonts w:ascii="Arial" w:hAnsi="Arial"/>
          <w:sz w:val="20"/>
        </w:rPr>
      </w:pPr>
      <w:r w:rsidRPr="0000293A">
        <w:rPr>
          <w:rFonts w:ascii="Arial" w:hAnsi="Arial"/>
          <w:sz w:val="20"/>
        </w:rPr>
        <w:t xml:space="preserve">K náboženské víře se </w:t>
      </w:r>
      <w:r>
        <w:rPr>
          <w:rFonts w:ascii="Arial" w:hAnsi="Arial"/>
          <w:sz w:val="20"/>
        </w:rPr>
        <w:t>při sčítání</w:t>
      </w:r>
      <w:r w:rsidRPr="0000293A">
        <w:rPr>
          <w:rFonts w:ascii="Arial" w:hAnsi="Arial"/>
          <w:sz w:val="20"/>
        </w:rPr>
        <w:t xml:space="preserve"> 2011 přihlásilo celkem 2 168 952 osob, což byla pouhá pětina obyvatel. </w:t>
      </w:r>
      <w:r w:rsidR="007A013A">
        <w:rPr>
          <w:rFonts w:ascii="Arial" w:hAnsi="Arial"/>
          <w:sz w:val="20"/>
        </w:rPr>
        <w:t>T</w:t>
      </w:r>
      <w:r w:rsidRPr="0000293A">
        <w:rPr>
          <w:rFonts w:ascii="Arial" w:hAnsi="Arial"/>
          <w:sz w:val="20"/>
        </w:rPr>
        <w:t xml:space="preserve">éměř 1,5 milionu osob uvedlo </w:t>
      </w:r>
      <w:r w:rsidR="007A013A">
        <w:rPr>
          <w:rFonts w:ascii="Arial" w:hAnsi="Arial"/>
          <w:sz w:val="20"/>
        </w:rPr>
        <w:t xml:space="preserve">i slovní zápis </w:t>
      </w:r>
      <w:r w:rsidRPr="0000293A">
        <w:rPr>
          <w:rFonts w:ascii="Arial" w:hAnsi="Arial"/>
          <w:sz w:val="20"/>
        </w:rPr>
        <w:t>konkrétní církv</w:t>
      </w:r>
      <w:r w:rsidR="007A013A">
        <w:rPr>
          <w:rFonts w:ascii="Arial" w:hAnsi="Arial"/>
          <w:sz w:val="20"/>
        </w:rPr>
        <w:t>e</w:t>
      </w:r>
      <w:r w:rsidRPr="0000293A">
        <w:rPr>
          <w:rFonts w:ascii="Arial" w:hAnsi="Arial"/>
          <w:sz w:val="20"/>
        </w:rPr>
        <w:t>, nábožensk</w:t>
      </w:r>
      <w:r w:rsidR="007A013A">
        <w:rPr>
          <w:rFonts w:ascii="Arial" w:hAnsi="Arial"/>
          <w:sz w:val="20"/>
        </w:rPr>
        <w:t>é</w:t>
      </w:r>
      <w:r w:rsidRPr="0000293A">
        <w:rPr>
          <w:rFonts w:ascii="Arial" w:hAnsi="Arial"/>
          <w:sz w:val="20"/>
        </w:rPr>
        <w:t xml:space="preserve"> společnost</w:t>
      </w:r>
      <w:r w:rsidR="007A013A">
        <w:rPr>
          <w:rFonts w:ascii="Arial" w:hAnsi="Arial"/>
          <w:sz w:val="20"/>
        </w:rPr>
        <w:t>i</w:t>
      </w:r>
      <w:r w:rsidRPr="0000293A">
        <w:rPr>
          <w:rFonts w:ascii="Arial" w:hAnsi="Arial"/>
          <w:sz w:val="20"/>
        </w:rPr>
        <w:t xml:space="preserve"> nebo nábožensk</w:t>
      </w:r>
      <w:r w:rsidR="007A013A">
        <w:rPr>
          <w:rFonts w:ascii="Arial" w:hAnsi="Arial"/>
          <w:sz w:val="20"/>
        </w:rPr>
        <w:t>ého</w:t>
      </w:r>
      <w:r w:rsidRPr="0000293A">
        <w:rPr>
          <w:rFonts w:ascii="Arial" w:hAnsi="Arial"/>
          <w:sz w:val="20"/>
        </w:rPr>
        <w:t xml:space="preserve"> směr</w:t>
      </w:r>
      <w:r w:rsidR="007A013A">
        <w:rPr>
          <w:rFonts w:ascii="Arial" w:hAnsi="Arial"/>
          <w:sz w:val="20"/>
        </w:rPr>
        <w:t xml:space="preserve">u. V tomto počtu byly zahrnuty i osoby, které uvedly slovní zápis obecný </w:t>
      </w:r>
      <w:r w:rsidR="00A95326">
        <w:rPr>
          <w:rFonts w:ascii="Arial" w:hAnsi="Arial"/>
          <w:sz w:val="20"/>
        </w:rPr>
        <w:t>-</w:t>
      </w:r>
      <w:r w:rsidR="007A013A">
        <w:rPr>
          <w:rFonts w:ascii="Arial" w:hAnsi="Arial"/>
          <w:sz w:val="20"/>
        </w:rPr>
        <w:t xml:space="preserve"> např. „katolík“, „evangelík“, „křesťan“</w:t>
      </w:r>
      <w:r w:rsidR="004F753D">
        <w:rPr>
          <w:rFonts w:ascii="Arial" w:hAnsi="Arial"/>
          <w:sz w:val="20"/>
        </w:rPr>
        <w:t xml:space="preserve"> a osoby, </w:t>
      </w:r>
      <w:r w:rsidR="00132320">
        <w:rPr>
          <w:rFonts w:ascii="Arial" w:hAnsi="Arial"/>
          <w:sz w:val="20"/>
        </w:rPr>
        <w:t>jejichž zápisu</w:t>
      </w:r>
      <w:r w:rsidR="004F753D">
        <w:rPr>
          <w:rFonts w:ascii="Arial" w:hAnsi="Arial"/>
          <w:sz w:val="20"/>
        </w:rPr>
        <w:t xml:space="preserve"> </w:t>
      </w:r>
      <w:r w:rsidR="00132320">
        <w:rPr>
          <w:rFonts w:ascii="Arial" w:hAnsi="Arial"/>
          <w:sz w:val="20"/>
        </w:rPr>
        <w:t xml:space="preserve">nebylo </w:t>
      </w:r>
      <w:r w:rsidR="004F753D">
        <w:rPr>
          <w:rFonts w:ascii="Arial" w:hAnsi="Arial"/>
          <w:sz w:val="20"/>
        </w:rPr>
        <w:t>možné</w:t>
      </w:r>
      <w:r w:rsidR="007A013A">
        <w:rPr>
          <w:rFonts w:ascii="Arial" w:hAnsi="Arial"/>
          <w:sz w:val="20"/>
        </w:rPr>
        <w:t xml:space="preserve"> </w:t>
      </w:r>
      <w:r w:rsidR="004F753D">
        <w:rPr>
          <w:rFonts w:ascii="Arial" w:hAnsi="Arial"/>
          <w:sz w:val="20"/>
        </w:rPr>
        <w:t xml:space="preserve">přiřadit samostatný kód z číselníku a byly zahrnuty do skupiny označené jako „jiné“. </w:t>
      </w:r>
      <w:r w:rsidR="00132320">
        <w:rPr>
          <w:rFonts w:ascii="Arial" w:hAnsi="Arial"/>
          <w:sz w:val="20"/>
        </w:rPr>
        <w:t>O</w:t>
      </w:r>
      <w:r w:rsidR="007A013A">
        <w:rPr>
          <w:rFonts w:ascii="Arial" w:hAnsi="Arial"/>
          <w:sz w:val="20"/>
        </w:rPr>
        <w:t>becných zápisů bylo téměř 92 tisíc</w:t>
      </w:r>
      <w:r w:rsidR="004F753D">
        <w:rPr>
          <w:rFonts w:ascii="Arial" w:hAnsi="Arial"/>
          <w:sz w:val="20"/>
        </w:rPr>
        <w:t xml:space="preserve"> a </w:t>
      </w:r>
      <w:r w:rsidR="00132320">
        <w:rPr>
          <w:rFonts w:ascii="Arial" w:hAnsi="Arial"/>
          <w:sz w:val="20"/>
        </w:rPr>
        <w:t xml:space="preserve">zhruba dalších </w:t>
      </w:r>
      <w:r w:rsidR="004F753D">
        <w:rPr>
          <w:rFonts w:ascii="Arial" w:hAnsi="Arial"/>
          <w:sz w:val="20"/>
        </w:rPr>
        <w:t>5</w:t>
      </w:r>
      <w:r w:rsidR="00132320">
        <w:rPr>
          <w:rFonts w:ascii="Arial" w:hAnsi="Arial"/>
          <w:sz w:val="20"/>
        </w:rPr>
        <w:t>3</w:t>
      </w:r>
      <w:r w:rsidR="004F753D">
        <w:rPr>
          <w:rFonts w:ascii="Arial" w:hAnsi="Arial"/>
          <w:sz w:val="20"/>
        </w:rPr>
        <w:t xml:space="preserve"> tisíc osob </w:t>
      </w:r>
      <w:r w:rsidR="00132320">
        <w:rPr>
          <w:rFonts w:ascii="Arial" w:hAnsi="Arial"/>
          <w:sz w:val="20"/>
        </w:rPr>
        <w:t>bylo zahrnuto do</w:t>
      </w:r>
      <w:r w:rsidR="004F123A">
        <w:rPr>
          <w:rFonts w:ascii="Arial" w:hAnsi="Arial"/>
          <w:sz w:val="20"/>
        </w:rPr>
        <w:t xml:space="preserve"> kategorie „jiné“</w:t>
      </w:r>
      <w:r w:rsidR="007A013A">
        <w:rPr>
          <w:rFonts w:ascii="Arial" w:hAnsi="Arial"/>
          <w:sz w:val="20"/>
        </w:rPr>
        <w:t xml:space="preserve">. </w:t>
      </w:r>
    </w:p>
    <w:p w:rsidR="001B088B" w:rsidRDefault="001B088B" w:rsidP="00D62D52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D62D52" w:rsidRPr="0000293A" w:rsidRDefault="00132320" w:rsidP="00D62D52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Více než</w:t>
      </w:r>
      <w:r w:rsidR="001F62FB" w:rsidRPr="0000293A">
        <w:rPr>
          <w:rFonts w:ascii="Arial" w:hAnsi="Arial"/>
          <w:sz w:val="20"/>
        </w:rPr>
        <w:t xml:space="preserve"> 700 tisíc osob </w:t>
      </w:r>
      <w:r w:rsidR="007A013A">
        <w:rPr>
          <w:rFonts w:ascii="Arial" w:hAnsi="Arial"/>
          <w:sz w:val="20"/>
        </w:rPr>
        <w:t>se přihlásilo</w:t>
      </w:r>
      <w:r w:rsidR="001F62FB" w:rsidRPr="0000293A">
        <w:rPr>
          <w:rFonts w:ascii="Arial" w:hAnsi="Arial"/>
          <w:sz w:val="20"/>
        </w:rPr>
        <w:t xml:space="preserve"> k víře bez vazby na církev</w:t>
      </w:r>
      <w:r w:rsidR="007A013A">
        <w:rPr>
          <w:rFonts w:ascii="Arial" w:hAnsi="Arial"/>
          <w:sz w:val="20"/>
        </w:rPr>
        <w:t>, tzn. přímo na sčítacím formuláři zvolily „věřící - nehlásící se k žádné církvi ani náboženské společnosti“ bez dalších podrobností</w:t>
      </w:r>
      <w:r w:rsidR="001F62FB" w:rsidRPr="0000293A">
        <w:rPr>
          <w:rFonts w:ascii="Arial" w:hAnsi="Arial"/>
          <w:sz w:val="20"/>
        </w:rPr>
        <w:t>.</w:t>
      </w:r>
      <w:r w:rsidR="00D62D52">
        <w:rPr>
          <w:rFonts w:ascii="Arial" w:hAnsi="Arial"/>
          <w:sz w:val="20"/>
        </w:rPr>
        <w:t xml:space="preserve"> R</w:t>
      </w:r>
      <w:r w:rsidR="00D62D52" w:rsidRPr="00FD715A">
        <w:rPr>
          <w:rFonts w:ascii="Arial" w:hAnsi="Arial"/>
          <w:sz w:val="20"/>
        </w:rPr>
        <w:t xml:space="preserve">elace mezi věřícími hlásícími se k církvi a věřícími bez vazby na církev byla </w:t>
      </w:r>
      <w:r w:rsidR="00D62D52">
        <w:rPr>
          <w:rFonts w:ascii="Arial" w:hAnsi="Arial"/>
          <w:sz w:val="20"/>
        </w:rPr>
        <w:t>v celorepublikovém úhrnu</w:t>
      </w:r>
      <w:r w:rsidR="00D62D52" w:rsidRPr="00FD715A">
        <w:rPr>
          <w:rFonts w:ascii="Arial" w:hAnsi="Arial"/>
          <w:sz w:val="20"/>
        </w:rPr>
        <w:t xml:space="preserve"> 2:1, neplatilo to </w:t>
      </w:r>
      <w:r w:rsidR="00D62D52">
        <w:rPr>
          <w:rFonts w:ascii="Arial" w:hAnsi="Arial"/>
          <w:sz w:val="20"/>
        </w:rPr>
        <w:t xml:space="preserve">ale </w:t>
      </w:r>
      <w:r w:rsidR="00D62D52" w:rsidRPr="00FD715A">
        <w:rPr>
          <w:rFonts w:ascii="Arial" w:hAnsi="Arial"/>
          <w:sz w:val="20"/>
        </w:rPr>
        <w:t xml:space="preserve">obecně ve všech územních celcích. </w:t>
      </w:r>
      <w:r w:rsidR="00082E8A">
        <w:rPr>
          <w:rFonts w:ascii="Arial" w:hAnsi="Arial"/>
          <w:sz w:val="20"/>
        </w:rPr>
        <w:t>Např. v</w:t>
      </w:r>
      <w:r w:rsidR="00D62D52">
        <w:rPr>
          <w:rFonts w:ascii="Arial" w:hAnsi="Arial"/>
          <w:sz w:val="20"/>
        </w:rPr>
        <w:t xml:space="preserve">e Zlínském kraji se uvedený poměr blížil hodnotě 4:1 ve prospěch </w:t>
      </w:r>
      <w:r w:rsidR="00D62D52" w:rsidRPr="00FD715A">
        <w:rPr>
          <w:rFonts w:ascii="Arial" w:hAnsi="Arial"/>
          <w:sz w:val="20"/>
        </w:rPr>
        <w:t>věří</w:t>
      </w:r>
      <w:r w:rsidR="00D62D52">
        <w:rPr>
          <w:rFonts w:ascii="Arial" w:hAnsi="Arial"/>
          <w:sz w:val="20"/>
        </w:rPr>
        <w:t>cích</w:t>
      </w:r>
      <w:r w:rsidR="00D62D52" w:rsidRPr="00FD715A">
        <w:rPr>
          <w:rFonts w:ascii="Arial" w:hAnsi="Arial"/>
          <w:sz w:val="20"/>
        </w:rPr>
        <w:t xml:space="preserve"> hlásící</w:t>
      </w:r>
      <w:r w:rsidR="00D62D52">
        <w:rPr>
          <w:rFonts w:ascii="Arial" w:hAnsi="Arial"/>
          <w:sz w:val="20"/>
        </w:rPr>
        <w:t>ch</w:t>
      </w:r>
      <w:r w:rsidR="00D62D52" w:rsidRPr="00FD715A">
        <w:rPr>
          <w:rFonts w:ascii="Arial" w:hAnsi="Arial"/>
          <w:sz w:val="20"/>
        </w:rPr>
        <w:t xml:space="preserve"> se k</w:t>
      </w:r>
      <w:r w:rsidR="00D62D52">
        <w:rPr>
          <w:rFonts w:ascii="Arial" w:hAnsi="Arial"/>
          <w:sz w:val="20"/>
        </w:rPr>
        <w:t> </w:t>
      </w:r>
      <w:r w:rsidR="00D62D52" w:rsidRPr="00FD715A">
        <w:rPr>
          <w:rFonts w:ascii="Arial" w:hAnsi="Arial"/>
          <w:sz w:val="20"/>
        </w:rPr>
        <w:t>církvi</w:t>
      </w:r>
      <w:r w:rsidR="00D62D52">
        <w:rPr>
          <w:rFonts w:ascii="Arial" w:hAnsi="Arial"/>
          <w:sz w:val="20"/>
        </w:rPr>
        <w:t>, zatímco v Ústeckém kraji byla tato relace v podstatě vyrovnaná 1:1.</w:t>
      </w:r>
    </w:p>
    <w:p w:rsidR="00D62D52" w:rsidRDefault="00D62D52" w:rsidP="00D62D52">
      <w:pPr>
        <w:pStyle w:val="Zkladntext"/>
        <w:rPr>
          <w:rFonts w:ascii="Arial" w:hAnsi="Arial"/>
          <w:sz w:val="20"/>
        </w:rPr>
      </w:pPr>
    </w:p>
    <w:tbl>
      <w:tblPr>
        <w:tblW w:w="10362" w:type="dxa"/>
        <w:jc w:val="center"/>
        <w:tblCellMar>
          <w:left w:w="70" w:type="dxa"/>
          <w:right w:w="70" w:type="dxa"/>
        </w:tblCellMar>
        <w:tblLook w:val="04A0"/>
      </w:tblPr>
      <w:tblGrid>
        <w:gridCol w:w="9"/>
        <w:gridCol w:w="1145"/>
        <w:gridCol w:w="262"/>
        <w:gridCol w:w="708"/>
        <w:gridCol w:w="50"/>
        <w:gridCol w:w="396"/>
        <w:gridCol w:w="297"/>
        <w:gridCol w:w="411"/>
        <w:gridCol w:w="290"/>
        <w:gridCol w:w="22"/>
        <w:gridCol w:w="693"/>
        <w:gridCol w:w="15"/>
        <w:gridCol w:w="235"/>
        <w:gridCol w:w="451"/>
        <w:gridCol w:w="7"/>
        <w:gridCol w:w="217"/>
        <w:gridCol w:w="484"/>
        <w:gridCol w:w="217"/>
        <w:gridCol w:w="40"/>
        <w:gridCol w:w="675"/>
        <w:gridCol w:w="33"/>
        <w:gridCol w:w="143"/>
        <w:gridCol w:w="525"/>
        <w:gridCol w:w="7"/>
        <w:gridCol w:w="124"/>
        <w:gridCol w:w="577"/>
        <w:gridCol w:w="183"/>
        <w:gridCol w:w="22"/>
        <w:gridCol w:w="634"/>
        <w:gridCol w:w="52"/>
        <w:gridCol w:w="656"/>
        <w:gridCol w:w="74"/>
        <w:gridCol w:w="708"/>
      </w:tblGrid>
      <w:tr w:rsidR="002966CD" w:rsidRPr="002966CD" w:rsidTr="00575D90">
        <w:trPr>
          <w:gridAfter w:val="5"/>
          <w:wAfter w:w="2124" w:type="dxa"/>
          <w:trHeight w:val="300"/>
          <w:jc w:val="center"/>
        </w:trPr>
        <w:tc>
          <w:tcPr>
            <w:tcW w:w="82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CD" w:rsidRPr="007A0D77" w:rsidRDefault="002966CD" w:rsidP="009325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A0D77">
              <w:rPr>
                <w:rFonts w:ascii="Arial" w:hAnsi="Arial" w:cs="Arial"/>
                <w:b/>
                <w:bCs/>
                <w:color w:val="000000"/>
              </w:rPr>
              <w:t>Věřící podle způsobu deklarace víry a podle věku k 26.3.2011</w:t>
            </w:r>
          </w:p>
        </w:tc>
      </w:tr>
      <w:tr w:rsidR="00AC172E" w:rsidRPr="002966CD" w:rsidTr="00575D90">
        <w:trPr>
          <w:gridAfter w:val="5"/>
          <w:wAfter w:w="2124" w:type="dxa"/>
          <w:trHeight w:val="300"/>
          <w:jc w:val="center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46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tom</w:t>
            </w:r>
          </w:p>
        </w:tc>
      </w:tr>
      <w:tr w:rsidR="00AC172E" w:rsidRPr="002966CD" w:rsidTr="00575D90">
        <w:trPr>
          <w:gridBefore w:val="1"/>
          <w:gridAfter w:val="5"/>
          <w:wBefore w:w="9" w:type="dxa"/>
          <w:wAfter w:w="2124" w:type="dxa"/>
          <w:trHeight w:val="300"/>
          <w:jc w:val="center"/>
        </w:trPr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Věk</w:t>
            </w:r>
          </w:p>
        </w:tc>
        <w:tc>
          <w:tcPr>
            <w:tcW w:w="2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Hlásící se k církvi</w:t>
            </w:r>
          </w:p>
        </w:tc>
        <w:tc>
          <w:tcPr>
            <w:tcW w:w="2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Nehlásící se k církvi</w:t>
            </w:r>
          </w:p>
        </w:tc>
      </w:tr>
      <w:tr w:rsidR="00AC172E" w:rsidRPr="002966CD" w:rsidTr="00575D90">
        <w:trPr>
          <w:gridBefore w:val="1"/>
          <w:gridAfter w:val="5"/>
          <w:wBefore w:w="9" w:type="dxa"/>
          <w:wAfter w:w="2124" w:type="dxa"/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72E" w:rsidRPr="002966CD" w:rsidRDefault="00AC172E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 xml:space="preserve">% podíl z </w:t>
            </w:r>
          </w:p>
        </w:tc>
        <w:tc>
          <w:tcPr>
            <w:tcW w:w="9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 xml:space="preserve">% podíl z </w:t>
            </w:r>
          </w:p>
        </w:tc>
        <w:tc>
          <w:tcPr>
            <w:tcW w:w="8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 xml:space="preserve">% podíl z </w:t>
            </w:r>
          </w:p>
        </w:tc>
      </w:tr>
      <w:tr w:rsidR="00AC172E" w:rsidRPr="002966CD" w:rsidTr="00575D90">
        <w:trPr>
          <w:gridBefore w:val="1"/>
          <w:gridAfter w:val="5"/>
          <w:wBefore w:w="9" w:type="dxa"/>
          <w:wAfter w:w="2124" w:type="dxa"/>
          <w:trHeight w:val="300"/>
          <w:jc w:val="center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2E" w:rsidRPr="002966CD" w:rsidRDefault="00AC172E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2E" w:rsidRPr="002966CD" w:rsidRDefault="00AC172E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úhrnu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věk.sk.</w:t>
            </w:r>
          </w:p>
        </w:tc>
        <w:tc>
          <w:tcPr>
            <w:tcW w:w="9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2E" w:rsidRPr="002966CD" w:rsidRDefault="00AC172E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úhrnu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věk.sk.</w:t>
            </w:r>
          </w:p>
        </w:tc>
        <w:tc>
          <w:tcPr>
            <w:tcW w:w="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2E" w:rsidRPr="002966CD" w:rsidRDefault="00AC172E" w:rsidP="00296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úhrnu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věk.sk.</w:t>
            </w:r>
          </w:p>
        </w:tc>
      </w:tr>
      <w:tr w:rsidR="00AC172E" w:rsidRPr="002966CD" w:rsidTr="00575D90">
        <w:trPr>
          <w:gridAfter w:val="5"/>
          <w:wAfter w:w="2124" w:type="dxa"/>
          <w:trHeight w:val="301"/>
          <w:jc w:val="center"/>
        </w:trPr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2 168 952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1 463 584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705 368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E570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AC172E" w:rsidRPr="002966CD" w:rsidTr="00575D90">
        <w:trPr>
          <w:gridAfter w:val="5"/>
          <w:wAfter w:w="2124" w:type="dxa"/>
          <w:trHeight w:val="301"/>
          <w:jc w:val="center"/>
        </w:trPr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tom</w:t>
            </w:r>
            <w:r w:rsidR="00575D9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72E" w:rsidRPr="002966CD" w:rsidTr="00575D90">
        <w:trPr>
          <w:gridBefore w:val="4"/>
          <w:wBefore w:w="2124" w:type="dxa"/>
          <w:trHeight w:val="301"/>
          <w:jc w:val="center"/>
        </w:trPr>
        <w:tc>
          <w:tcPr>
            <w:tcW w:w="1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195 495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147 395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48 100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87 168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57 509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29 659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234 219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136 348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97 871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30-39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309 628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180 647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128 981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40-49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259 869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155 278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104 591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50-59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285 373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179 920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105 453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60-69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367 290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260 417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106 873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575D90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>70+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427 020</w:t>
            </w:r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344 321</w:t>
            </w:r>
          </w:p>
        </w:tc>
        <w:tc>
          <w:tcPr>
            <w:tcW w:w="6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82 699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AC172E" w:rsidRPr="002966CD" w:rsidTr="00575D90">
        <w:trPr>
          <w:gridBefore w:val="3"/>
          <w:gridAfter w:val="1"/>
          <w:wBefore w:w="1416" w:type="dxa"/>
          <w:wAfter w:w="708" w:type="dxa"/>
          <w:trHeight w:val="301"/>
          <w:jc w:val="center"/>
        </w:trPr>
        <w:tc>
          <w:tcPr>
            <w:tcW w:w="1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932572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nezjiště</w:t>
            </w:r>
            <w:r w:rsidR="00575D9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="00AC172E" w:rsidRPr="002966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2 890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575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1 749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1 141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2E" w:rsidRPr="002966CD" w:rsidRDefault="00AC172E" w:rsidP="002966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6CD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</w:tbl>
    <w:p w:rsidR="002966CD" w:rsidRPr="0000293A" w:rsidRDefault="002966CD" w:rsidP="00D62D52">
      <w:pPr>
        <w:pStyle w:val="Zkladntext"/>
        <w:rPr>
          <w:rFonts w:ascii="Arial" w:hAnsi="Arial"/>
          <w:sz w:val="20"/>
        </w:rPr>
      </w:pPr>
    </w:p>
    <w:p w:rsidR="00FD585B" w:rsidRDefault="00FD585B" w:rsidP="00EF53CB">
      <w:pPr>
        <w:pStyle w:val="Zkladntext"/>
        <w:spacing w:line="276" w:lineRule="auto"/>
        <w:ind w:firstLine="426"/>
        <w:jc w:val="both"/>
        <w:rPr>
          <w:rFonts w:ascii="Arial" w:hAnsi="Arial"/>
          <w:b/>
          <w:color w:val="000000"/>
          <w:szCs w:val="24"/>
        </w:rPr>
      </w:pPr>
    </w:p>
    <w:p w:rsidR="001B088B" w:rsidRPr="00EF53CB" w:rsidRDefault="00EB78AD" w:rsidP="00EF53CB">
      <w:pPr>
        <w:pStyle w:val="Zkladntext"/>
        <w:spacing w:line="276" w:lineRule="auto"/>
        <w:ind w:firstLine="426"/>
        <w:jc w:val="both"/>
        <w:rPr>
          <w:rFonts w:ascii="Arial" w:hAnsi="Arial"/>
          <w:b/>
          <w:color w:val="000000"/>
          <w:szCs w:val="24"/>
        </w:rPr>
      </w:pPr>
      <w:r w:rsidRPr="00EF53CB">
        <w:rPr>
          <w:rFonts w:ascii="Arial" w:hAnsi="Arial"/>
          <w:b/>
          <w:color w:val="000000"/>
          <w:szCs w:val="24"/>
        </w:rPr>
        <w:t>2.1</w:t>
      </w:r>
      <w:r w:rsidR="00981D40">
        <w:rPr>
          <w:rFonts w:ascii="Arial" w:hAnsi="Arial"/>
          <w:b/>
          <w:color w:val="000000"/>
          <w:szCs w:val="24"/>
        </w:rPr>
        <w:t>.</w:t>
      </w:r>
      <w:r w:rsidRPr="00EF53CB">
        <w:rPr>
          <w:rFonts w:ascii="Arial" w:hAnsi="Arial"/>
          <w:b/>
          <w:color w:val="000000"/>
          <w:szCs w:val="24"/>
        </w:rPr>
        <w:tab/>
      </w:r>
      <w:r w:rsidR="001B088B" w:rsidRPr="00EF53CB">
        <w:rPr>
          <w:rFonts w:ascii="Arial" w:hAnsi="Arial"/>
          <w:b/>
          <w:color w:val="000000"/>
          <w:szCs w:val="24"/>
        </w:rPr>
        <w:t>Věk</w:t>
      </w:r>
      <w:r w:rsidRPr="00EF53CB">
        <w:rPr>
          <w:rFonts w:ascii="Arial" w:hAnsi="Arial"/>
          <w:b/>
          <w:color w:val="000000"/>
          <w:szCs w:val="24"/>
        </w:rPr>
        <w:t xml:space="preserve">, </w:t>
      </w:r>
      <w:r w:rsidR="001B088B" w:rsidRPr="00EF53CB">
        <w:rPr>
          <w:rFonts w:ascii="Arial" w:hAnsi="Arial"/>
          <w:b/>
          <w:color w:val="000000"/>
          <w:szCs w:val="24"/>
        </w:rPr>
        <w:t>pohlaví</w:t>
      </w:r>
      <w:r w:rsidRPr="00EF53CB">
        <w:rPr>
          <w:rFonts w:ascii="Arial" w:hAnsi="Arial"/>
          <w:b/>
          <w:color w:val="000000"/>
          <w:szCs w:val="24"/>
        </w:rPr>
        <w:t xml:space="preserve"> a rodinný stav</w:t>
      </w:r>
    </w:p>
    <w:p w:rsidR="001B088B" w:rsidRDefault="001B088B" w:rsidP="00DF2CDE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DF2CDE" w:rsidRPr="0000293A" w:rsidRDefault="00DF2CDE" w:rsidP="00DF2CDE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  <w:r w:rsidRPr="001B088B">
        <w:rPr>
          <w:rFonts w:ascii="Arial" w:hAnsi="Arial"/>
          <w:color w:val="000000"/>
          <w:sz w:val="20"/>
        </w:rPr>
        <w:t>Závislost věku</w:t>
      </w:r>
      <w:r>
        <w:rPr>
          <w:rFonts w:ascii="Arial" w:hAnsi="Arial"/>
          <w:color w:val="000000"/>
          <w:sz w:val="20"/>
        </w:rPr>
        <w:t xml:space="preserve"> a postoje k víře byla zřejmá i z podílů věřících v rámci jednotlivých věkových skupin</w:t>
      </w:r>
      <w:r w:rsidR="000E7779">
        <w:rPr>
          <w:rFonts w:ascii="Arial" w:hAnsi="Arial"/>
          <w:color w:val="000000"/>
          <w:sz w:val="20"/>
        </w:rPr>
        <w:t>, kdy platilo, že s</w:t>
      </w:r>
      <w:r>
        <w:rPr>
          <w:rFonts w:ascii="Arial" w:hAnsi="Arial"/>
          <w:color w:val="000000"/>
          <w:sz w:val="20"/>
        </w:rPr>
        <w:t> rostoucím věkem se tento podíl významně zvyšoval</w:t>
      </w:r>
      <w:r w:rsidR="000E7779">
        <w:rPr>
          <w:rFonts w:ascii="Arial" w:hAnsi="Arial"/>
          <w:color w:val="000000"/>
          <w:sz w:val="20"/>
        </w:rPr>
        <w:t>. R</w:t>
      </w:r>
      <w:r>
        <w:rPr>
          <w:rFonts w:ascii="Arial" w:hAnsi="Arial"/>
          <w:color w:val="000000"/>
          <w:sz w:val="20"/>
        </w:rPr>
        <w:t>ozdíl mezi maximem a minimem (při vynechání dětí do 14 let, za které otázku nejčastěji vyplňovali rodiče) byl</w:t>
      </w:r>
      <w:r w:rsidR="000E7779">
        <w:rPr>
          <w:rFonts w:ascii="Arial" w:hAnsi="Arial"/>
          <w:color w:val="000000"/>
          <w:sz w:val="20"/>
        </w:rPr>
        <w:t xml:space="preserve"> u věřících </w:t>
      </w:r>
      <w:r>
        <w:rPr>
          <w:rFonts w:ascii="Arial" w:hAnsi="Arial"/>
          <w:color w:val="000000"/>
          <w:sz w:val="20"/>
        </w:rPr>
        <w:t>více než 24 bodů</w:t>
      </w:r>
      <w:r w:rsidR="000E7779">
        <w:rPr>
          <w:rFonts w:ascii="Arial" w:hAnsi="Arial"/>
          <w:color w:val="000000"/>
          <w:sz w:val="20"/>
        </w:rPr>
        <w:t>. Ve skupině osob věřících hlásících se k církvi byly podíly obdobné</w:t>
      </w:r>
      <w:r w:rsidR="00B758B5">
        <w:rPr>
          <w:rFonts w:ascii="Arial" w:hAnsi="Arial"/>
          <w:color w:val="000000"/>
          <w:sz w:val="20"/>
        </w:rPr>
        <w:t xml:space="preserve">, </w:t>
      </w:r>
      <w:r w:rsidR="000E7779">
        <w:rPr>
          <w:rFonts w:ascii="Arial" w:hAnsi="Arial"/>
          <w:color w:val="000000"/>
          <w:sz w:val="20"/>
        </w:rPr>
        <w:t xml:space="preserve">rozdíl mezi maximálním a minimálním podílem </w:t>
      </w:r>
      <w:r w:rsidR="00B758B5">
        <w:rPr>
          <w:rFonts w:ascii="Arial" w:hAnsi="Arial"/>
          <w:color w:val="000000"/>
          <w:sz w:val="20"/>
        </w:rPr>
        <w:t>překročil</w:t>
      </w:r>
      <w:r w:rsidR="000E7779">
        <w:rPr>
          <w:rFonts w:ascii="Arial" w:hAnsi="Arial"/>
          <w:color w:val="000000"/>
          <w:sz w:val="20"/>
        </w:rPr>
        <w:t xml:space="preserve"> 22 bodů</w:t>
      </w:r>
      <w:r>
        <w:rPr>
          <w:rFonts w:ascii="Arial" w:hAnsi="Arial"/>
          <w:color w:val="000000"/>
          <w:sz w:val="20"/>
        </w:rPr>
        <w:t xml:space="preserve">. </w:t>
      </w:r>
      <w:r w:rsidR="000E7779">
        <w:rPr>
          <w:rFonts w:ascii="Arial" w:hAnsi="Arial"/>
          <w:color w:val="000000"/>
          <w:sz w:val="20"/>
        </w:rPr>
        <w:t>U osob</w:t>
      </w:r>
      <w:r>
        <w:rPr>
          <w:rFonts w:ascii="Arial" w:hAnsi="Arial"/>
          <w:color w:val="000000"/>
          <w:sz w:val="20"/>
        </w:rPr>
        <w:t xml:space="preserve"> věřících nehlásících se k církvi byly rozdíly mezi věkovými skupinami mnohem menší a podíly se pohybovaly v úzkém rozmezí 5,2 </w:t>
      </w:r>
      <w:r w:rsidR="00A95326">
        <w:rPr>
          <w:rFonts w:ascii="Arial" w:hAnsi="Arial"/>
          <w:color w:val="000000"/>
          <w:sz w:val="20"/>
        </w:rPr>
        <w:t>-</w:t>
      </w:r>
      <w:r>
        <w:rPr>
          <w:rFonts w:ascii="Arial" w:hAnsi="Arial"/>
          <w:color w:val="000000"/>
          <w:sz w:val="20"/>
        </w:rPr>
        <w:t xml:space="preserve"> 8,2 % v</w:t>
      </w:r>
      <w:r w:rsidR="000E7779">
        <w:rPr>
          <w:rFonts w:ascii="Arial" w:hAnsi="Arial"/>
          <w:color w:val="000000"/>
          <w:sz w:val="20"/>
        </w:rPr>
        <w:t xml:space="preserve"> jednotlivých </w:t>
      </w:r>
      <w:r>
        <w:rPr>
          <w:rFonts w:ascii="Arial" w:hAnsi="Arial"/>
          <w:color w:val="000000"/>
          <w:sz w:val="20"/>
        </w:rPr>
        <w:t>věkov</w:t>
      </w:r>
      <w:r w:rsidR="000E7779">
        <w:rPr>
          <w:rFonts w:ascii="Arial" w:hAnsi="Arial"/>
          <w:color w:val="000000"/>
          <w:sz w:val="20"/>
        </w:rPr>
        <w:t>ých</w:t>
      </w:r>
      <w:r>
        <w:rPr>
          <w:rFonts w:ascii="Arial" w:hAnsi="Arial"/>
          <w:color w:val="000000"/>
          <w:sz w:val="20"/>
        </w:rPr>
        <w:t xml:space="preserve"> skupin</w:t>
      </w:r>
      <w:r w:rsidR="000E7779">
        <w:rPr>
          <w:rFonts w:ascii="Arial" w:hAnsi="Arial"/>
          <w:color w:val="000000"/>
          <w:sz w:val="20"/>
        </w:rPr>
        <w:t>ách</w:t>
      </w:r>
      <w:r>
        <w:rPr>
          <w:rFonts w:ascii="Arial" w:hAnsi="Arial"/>
          <w:color w:val="000000"/>
          <w:sz w:val="20"/>
        </w:rPr>
        <w:t xml:space="preserve">. </w:t>
      </w:r>
    </w:p>
    <w:p w:rsidR="001F62FB" w:rsidRPr="0000293A" w:rsidRDefault="001F62FB" w:rsidP="001F62FB">
      <w:pPr>
        <w:pStyle w:val="Zkladntext"/>
        <w:rPr>
          <w:rFonts w:ascii="Arial" w:hAnsi="Arial"/>
          <w:sz w:val="20"/>
        </w:rPr>
      </w:pPr>
    </w:p>
    <w:p w:rsidR="00DF2CDE" w:rsidRPr="0000293A" w:rsidRDefault="00DF2CDE" w:rsidP="00DF2CDE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vztahu k věkové struktuře obou skupin </w:t>
      </w:r>
      <w:r w:rsidR="00F308B9">
        <w:rPr>
          <w:rFonts w:ascii="Arial" w:hAnsi="Arial"/>
          <w:sz w:val="20"/>
        </w:rPr>
        <w:t xml:space="preserve">věřících </w:t>
      </w:r>
      <w:r>
        <w:rPr>
          <w:rFonts w:ascii="Arial" w:hAnsi="Arial"/>
          <w:sz w:val="20"/>
        </w:rPr>
        <w:t>byly v</w:t>
      </w:r>
      <w:r w:rsidRPr="0000293A">
        <w:rPr>
          <w:rFonts w:ascii="Arial" w:hAnsi="Arial"/>
          <w:color w:val="000000"/>
          <w:sz w:val="20"/>
        </w:rPr>
        <w:t xml:space="preserve"> rozložení podle věku zaznamenány rozdíly. U osob hlásících se k církvi byla zřetelně vyšší koncentrace do </w:t>
      </w:r>
      <w:r>
        <w:rPr>
          <w:rFonts w:ascii="Arial" w:hAnsi="Arial"/>
          <w:color w:val="000000"/>
          <w:sz w:val="20"/>
        </w:rPr>
        <w:t>nej</w:t>
      </w:r>
      <w:r w:rsidRPr="0000293A">
        <w:rPr>
          <w:rFonts w:ascii="Arial" w:hAnsi="Arial"/>
          <w:color w:val="000000"/>
          <w:sz w:val="20"/>
        </w:rPr>
        <w:t>starších věkových skupin. Osoby nad 60 let věku představovaly u věřících hlásících se k církvi více než dvě pětiny jejich počtu. U osob nehlásících se k církvi tvořily zhruba čtvrtinu.</w:t>
      </w:r>
    </w:p>
    <w:p w:rsidR="005B336D" w:rsidRDefault="00DF2CDE" w:rsidP="003D71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Uvedené věkové rozložení</w:t>
      </w:r>
      <w:r w:rsidR="005B336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(s plynulým zvyšováním podílů s rostoucím věkem) bylo typické zejména pro</w:t>
      </w:r>
      <w:r w:rsidR="008C3657">
        <w:rPr>
          <w:rFonts w:ascii="Arial" w:hAnsi="Arial"/>
          <w:color w:val="000000"/>
        </w:rPr>
        <w:t xml:space="preserve"> tradiční</w:t>
      </w:r>
      <w:r>
        <w:rPr>
          <w:rFonts w:ascii="Arial" w:hAnsi="Arial"/>
          <w:color w:val="000000"/>
        </w:rPr>
        <w:t xml:space="preserve"> nejpočetnější církve </w:t>
      </w:r>
      <w:r w:rsidR="00A95326"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</w:rPr>
        <w:t xml:space="preserve"> Církev římskokatolickou, Českobratrskou církev evangelickou a Církev československou husitskou, která měla jednoznačně nejm</w:t>
      </w:r>
      <w:r w:rsidR="00F308B9">
        <w:rPr>
          <w:rFonts w:ascii="Arial" w:hAnsi="Arial"/>
          <w:color w:val="000000"/>
        </w:rPr>
        <w:t>éně příznivou věkovou strukturu</w:t>
      </w:r>
      <w:r w:rsidR="00F308B9">
        <w:rPr>
          <w:rFonts w:ascii="Arial" w:hAnsi="Arial"/>
          <w:color w:val="000000"/>
        </w:rPr>
        <w:br/>
        <w:t xml:space="preserve">- </w:t>
      </w:r>
      <w:r>
        <w:rPr>
          <w:rFonts w:ascii="Arial" w:hAnsi="Arial"/>
          <w:color w:val="000000"/>
        </w:rPr>
        <w:t>68</w:t>
      </w:r>
      <w:r w:rsidR="00F308B9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% osob hlásících se k této církvi bylo ve věku 60 a více let.</w:t>
      </w:r>
      <w:r w:rsidR="00D3629B">
        <w:rPr>
          <w:rFonts w:ascii="Arial" w:hAnsi="Arial"/>
          <w:color w:val="000000"/>
        </w:rPr>
        <w:t xml:space="preserve"> Rovněž v Českobratrské církvi evangelické byl vysoký podíl osob starších 60 let (blížil se polovině počtu osob, které se k této církvi přihlásily). </w:t>
      </w:r>
      <w:r>
        <w:rPr>
          <w:rFonts w:ascii="Arial" w:hAnsi="Arial"/>
          <w:color w:val="000000"/>
        </w:rPr>
        <w:t xml:space="preserve">Naopak některé církve a náboženské společnosti měly věkovou strukturu </w:t>
      </w:r>
      <w:r w:rsidR="00EC7DA1">
        <w:rPr>
          <w:rFonts w:ascii="Arial" w:hAnsi="Arial"/>
          <w:color w:val="000000"/>
        </w:rPr>
        <w:t xml:space="preserve">výrazně příznivější. Např. </w:t>
      </w:r>
      <w:r w:rsidR="000F2FB6">
        <w:rPr>
          <w:rFonts w:ascii="Arial" w:hAnsi="Arial"/>
          <w:color w:val="000000"/>
        </w:rPr>
        <w:t xml:space="preserve">Jednota bratrská měla nejvyšší podíl dětské složky (více než pětina věřících hlásících se k této církvi), v absolutním vyjádření to bylo ale pouhých 452 dětí. Pětině se blížily i podíly dětí ve věku 0-14 let u Církve bratrské a Apoštolské církve. </w:t>
      </w:r>
      <w:r w:rsidR="00D3629B">
        <w:rPr>
          <w:rFonts w:ascii="Arial" w:hAnsi="Arial"/>
          <w:color w:val="000000"/>
        </w:rPr>
        <w:t xml:space="preserve">Atypickou věkovou strukturu měly rovněž osoby </w:t>
      </w:r>
      <w:r w:rsidR="005B336D">
        <w:rPr>
          <w:rFonts w:ascii="Arial" w:hAnsi="Arial"/>
          <w:color w:val="000000"/>
        </w:rPr>
        <w:t xml:space="preserve">hlásící se k pravoslaví, jejichž specifika spočívala zejména v </w:t>
      </w:r>
      <w:r w:rsidR="005B336D" w:rsidRPr="00AF63E8">
        <w:rPr>
          <w:rFonts w:ascii="Arial" w:hAnsi="Arial" w:cs="Arial"/>
        </w:rPr>
        <w:t>národnostní</w:t>
      </w:r>
      <w:r w:rsidR="005B336D">
        <w:rPr>
          <w:rFonts w:ascii="Arial" w:hAnsi="Arial" w:cs="Arial"/>
        </w:rPr>
        <w:t>m</w:t>
      </w:r>
      <w:r w:rsidR="005B336D" w:rsidRPr="00AF63E8">
        <w:rPr>
          <w:rFonts w:ascii="Arial" w:hAnsi="Arial" w:cs="Arial"/>
        </w:rPr>
        <w:t xml:space="preserve"> složení </w:t>
      </w:r>
      <w:r w:rsidR="005B336D">
        <w:rPr>
          <w:rFonts w:ascii="Arial" w:hAnsi="Arial" w:cs="Arial"/>
        </w:rPr>
        <w:t>(</w:t>
      </w:r>
      <w:r w:rsidR="005B336D" w:rsidRPr="00AF63E8">
        <w:rPr>
          <w:rFonts w:ascii="Arial" w:hAnsi="Arial" w:cs="Arial"/>
        </w:rPr>
        <w:t>rozhoduj</w:t>
      </w:r>
      <w:r w:rsidR="00D3629B">
        <w:rPr>
          <w:rFonts w:ascii="Arial" w:hAnsi="Arial" w:cs="Arial"/>
        </w:rPr>
        <w:t>ící část tvořily osoby</w:t>
      </w:r>
      <w:r w:rsidR="005B336D" w:rsidRPr="00AF63E8">
        <w:rPr>
          <w:rFonts w:ascii="Arial" w:hAnsi="Arial" w:cs="Arial"/>
        </w:rPr>
        <w:t xml:space="preserve"> </w:t>
      </w:r>
      <w:r w:rsidR="00D3629B">
        <w:rPr>
          <w:rFonts w:ascii="Arial" w:hAnsi="Arial" w:cs="Arial"/>
        </w:rPr>
        <w:t xml:space="preserve">jiné než české </w:t>
      </w:r>
      <w:r w:rsidR="005B336D" w:rsidRPr="00AF63E8">
        <w:rPr>
          <w:rFonts w:ascii="Arial" w:hAnsi="Arial" w:cs="Arial"/>
        </w:rPr>
        <w:t>národnosti</w:t>
      </w:r>
      <w:r w:rsidR="005B336D">
        <w:rPr>
          <w:rFonts w:ascii="Arial" w:hAnsi="Arial" w:cs="Arial"/>
        </w:rPr>
        <w:t xml:space="preserve"> </w:t>
      </w:r>
      <w:r w:rsidR="00A95326">
        <w:rPr>
          <w:rFonts w:ascii="Arial" w:hAnsi="Arial" w:cs="Arial"/>
        </w:rPr>
        <w:t>-</w:t>
      </w:r>
      <w:r w:rsidR="005B336D">
        <w:rPr>
          <w:rFonts w:ascii="Arial" w:hAnsi="Arial" w:cs="Arial"/>
        </w:rPr>
        <w:t xml:space="preserve"> a to</w:t>
      </w:r>
      <w:r w:rsidR="005B336D" w:rsidRPr="00AF63E8">
        <w:rPr>
          <w:rFonts w:ascii="Arial" w:hAnsi="Arial" w:cs="Arial"/>
        </w:rPr>
        <w:t xml:space="preserve"> </w:t>
      </w:r>
      <w:r w:rsidR="005B336D">
        <w:rPr>
          <w:rFonts w:ascii="Arial" w:hAnsi="Arial" w:cs="Arial"/>
        </w:rPr>
        <w:t>zejména národnosti</w:t>
      </w:r>
      <w:r w:rsidR="005B336D" w:rsidRPr="00AF63E8">
        <w:rPr>
          <w:rFonts w:ascii="Arial" w:hAnsi="Arial" w:cs="Arial"/>
        </w:rPr>
        <w:t xml:space="preserve"> ukrajinsk</w:t>
      </w:r>
      <w:r w:rsidR="00D3629B">
        <w:rPr>
          <w:rFonts w:ascii="Arial" w:hAnsi="Arial" w:cs="Arial"/>
        </w:rPr>
        <w:t>é</w:t>
      </w:r>
      <w:r w:rsidR="005B336D">
        <w:rPr>
          <w:rFonts w:ascii="Arial" w:hAnsi="Arial" w:cs="Arial"/>
        </w:rPr>
        <w:t>,</w:t>
      </w:r>
      <w:r w:rsidR="005B336D" w:rsidRPr="00AF63E8">
        <w:rPr>
          <w:rFonts w:ascii="Arial" w:hAnsi="Arial" w:cs="Arial"/>
        </w:rPr>
        <w:t xml:space="preserve"> rusk</w:t>
      </w:r>
      <w:r w:rsidR="00D3629B">
        <w:rPr>
          <w:rFonts w:ascii="Arial" w:hAnsi="Arial" w:cs="Arial"/>
        </w:rPr>
        <w:t>é</w:t>
      </w:r>
      <w:r w:rsidR="005B336D" w:rsidRPr="00AF63E8">
        <w:rPr>
          <w:rFonts w:ascii="Arial" w:hAnsi="Arial" w:cs="Arial"/>
        </w:rPr>
        <w:t xml:space="preserve"> a bulharsk</w:t>
      </w:r>
      <w:r w:rsidR="00D3629B">
        <w:rPr>
          <w:rFonts w:ascii="Arial" w:hAnsi="Arial" w:cs="Arial"/>
        </w:rPr>
        <w:t>é</w:t>
      </w:r>
      <w:r w:rsidR="005B336D">
        <w:rPr>
          <w:rFonts w:ascii="Arial" w:hAnsi="Arial" w:cs="Arial"/>
        </w:rPr>
        <w:t>)</w:t>
      </w:r>
      <w:r w:rsidR="00D3629B">
        <w:rPr>
          <w:rFonts w:ascii="Arial" w:hAnsi="Arial" w:cs="Arial"/>
        </w:rPr>
        <w:t>, které druhotně ovlivnilo věkovou skladbu.</w:t>
      </w:r>
      <w:r w:rsidR="005B336D" w:rsidRPr="00AF63E8">
        <w:rPr>
          <w:rFonts w:ascii="Arial" w:hAnsi="Arial" w:cs="Arial"/>
        </w:rPr>
        <w:t xml:space="preserve"> </w:t>
      </w:r>
      <w:r w:rsidR="00E96426">
        <w:rPr>
          <w:rFonts w:ascii="Arial" w:hAnsi="Arial" w:cs="Arial"/>
        </w:rPr>
        <w:t xml:space="preserve">Především díky </w:t>
      </w:r>
      <w:r w:rsidR="003D71AC">
        <w:rPr>
          <w:rFonts w:ascii="Arial" w:hAnsi="Arial" w:cs="Arial"/>
        </w:rPr>
        <w:t>zvýšení zastoupení</w:t>
      </w:r>
      <w:r w:rsidR="005B336D" w:rsidRPr="00AF63E8">
        <w:rPr>
          <w:rFonts w:ascii="Arial" w:hAnsi="Arial" w:cs="Arial"/>
        </w:rPr>
        <w:t xml:space="preserve"> ukrajinské národnosti </w:t>
      </w:r>
      <w:r w:rsidR="005B336D">
        <w:rPr>
          <w:rFonts w:ascii="Arial" w:hAnsi="Arial" w:cs="Arial"/>
        </w:rPr>
        <w:t>měly</w:t>
      </w:r>
      <w:r w:rsidR="005B336D" w:rsidRPr="00AF63E8">
        <w:rPr>
          <w:rFonts w:ascii="Arial" w:hAnsi="Arial" w:cs="Arial"/>
        </w:rPr>
        <w:t xml:space="preserve"> </w:t>
      </w:r>
      <w:r w:rsidR="00E60B35">
        <w:rPr>
          <w:rFonts w:ascii="Arial" w:hAnsi="Arial" w:cs="Arial"/>
        </w:rPr>
        <w:t>obě pravoslavné</w:t>
      </w:r>
      <w:r w:rsidR="005B336D">
        <w:rPr>
          <w:rFonts w:ascii="Arial" w:hAnsi="Arial" w:cs="Arial"/>
        </w:rPr>
        <w:t xml:space="preserve"> </w:t>
      </w:r>
      <w:r w:rsidR="005B336D" w:rsidRPr="00AF63E8">
        <w:rPr>
          <w:rFonts w:ascii="Arial" w:hAnsi="Arial" w:cs="Arial"/>
        </w:rPr>
        <w:t>církv</w:t>
      </w:r>
      <w:r w:rsidR="005B336D">
        <w:rPr>
          <w:rFonts w:ascii="Arial" w:hAnsi="Arial" w:cs="Arial"/>
        </w:rPr>
        <w:t>e</w:t>
      </w:r>
      <w:r w:rsidR="005B336D" w:rsidRPr="00AF63E8">
        <w:rPr>
          <w:rFonts w:ascii="Arial" w:hAnsi="Arial" w:cs="Arial"/>
        </w:rPr>
        <w:t xml:space="preserve"> výrazně </w:t>
      </w:r>
      <w:r w:rsidR="00D3629B">
        <w:rPr>
          <w:rFonts w:ascii="Arial" w:hAnsi="Arial" w:cs="Arial"/>
        </w:rPr>
        <w:t>příznivé</w:t>
      </w:r>
      <w:r w:rsidR="005B336D" w:rsidRPr="00AF63E8">
        <w:rPr>
          <w:rFonts w:ascii="Arial" w:hAnsi="Arial" w:cs="Arial"/>
        </w:rPr>
        <w:t xml:space="preserve"> věkové složení</w:t>
      </w:r>
      <w:r w:rsidR="003D71AC">
        <w:rPr>
          <w:rFonts w:ascii="Arial" w:hAnsi="Arial" w:cs="Arial"/>
        </w:rPr>
        <w:t xml:space="preserve"> </w:t>
      </w:r>
      <w:r w:rsidR="00A95326">
        <w:rPr>
          <w:rFonts w:ascii="Arial" w:hAnsi="Arial" w:cs="Arial"/>
        </w:rPr>
        <w:t>-</w:t>
      </w:r>
      <w:r w:rsidR="003D71AC">
        <w:rPr>
          <w:rFonts w:ascii="Arial" w:hAnsi="Arial" w:cs="Arial"/>
        </w:rPr>
        <w:t xml:space="preserve"> téměř tři čtvrtiny (absolutně zhruba  20 tisíc osob) bylo mladších 50 let; přitom z</w:t>
      </w:r>
      <w:r w:rsidR="00E96426" w:rsidRPr="00AF63E8">
        <w:rPr>
          <w:rFonts w:ascii="Arial" w:hAnsi="Arial" w:cs="Arial"/>
        </w:rPr>
        <w:t>hruba jedna čtvrtina</w:t>
      </w:r>
      <w:r w:rsidR="00E96426">
        <w:rPr>
          <w:rFonts w:ascii="Arial" w:hAnsi="Arial" w:cs="Arial"/>
        </w:rPr>
        <w:t xml:space="preserve"> osob hlásících se k pravoslaví</w:t>
      </w:r>
      <w:r w:rsidR="00E96426" w:rsidRPr="00AF63E8">
        <w:rPr>
          <w:rFonts w:ascii="Arial" w:hAnsi="Arial" w:cs="Arial"/>
        </w:rPr>
        <w:t xml:space="preserve"> </w:t>
      </w:r>
      <w:r w:rsidR="00E96426">
        <w:rPr>
          <w:rFonts w:ascii="Arial" w:hAnsi="Arial" w:cs="Arial"/>
        </w:rPr>
        <w:t xml:space="preserve">byla </w:t>
      </w:r>
      <w:r w:rsidR="00E96426" w:rsidRPr="00AF63E8">
        <w:rPr>
          <w:rFonts w:ascii="Arial" w:hAnsi="Arial" w:cs="Arial"/>
        </w:rPr>
        <w:t>ve věku 30 až 39 let</w:t>
      </w:r>
      <w:r w:rsidR="00E96426">
        <w:rPr>
          <w:rFonts w:ascii="Arial" w:hAnsi="Arial" w:cs="Arial"/>
        </w:rPr>
        <w:t xml:space="preserve">. </w:t>
      </w:r>
      <w:r w:rsidR="005B336D" w:rsidRPr="00AF63E8">
        <w:rPr>
          <w:rFonts w:ascii="Arial" w:hAnsi="Arial" w:cs="Arial"/>
        </w:rPr>
        <w:t xml:space="preserve"> </w:t>
      </w:r>
    </w:p>
    <w:p w:rsidR="000C595C" w:rsidRDefault="000C595C" w:rsidP="001B088B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tbl>
      <w:tblPr>
        <w:tblW w:w="767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120"/>
        <w:gridCol w:w="900"/>
        <w:gridCol w:w="780"/>
        <w:gridCol w:w="780"/>
        <w:gridCol w:w="1059"/>
        <w:gridCol w:w="740"/>
        <w:gridCol w:w="851"/>
      </w:tblGrid>
      <w:tr w:rsidR="000C595C" w:rsidRPr="007C06B3" w:rsidTr="00FD585B">
        <w:trPr>
          <w:trHeight w:val="300"/>
          <w:jc w:val="center"/>
        </w:trPr>
        <w:tc>
          <w:tcPr>
            <w:tcW w:w="7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5C" w:rsidRPr="007A0D77" w:rsidRDefault="000C595C" w:rsidP="000C595C">
            <w:pPr>
              <w:rPr>
                <w:rFonts w:ascii="Arial" w:hAnsi="Arial" w:cs="Arial"/>
                <w:b/>
                <w:color w:val="000000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>Věřící podle pohlaví a věku k 26.3.2011</w:t>
            </w:r>
          </w:p>
        </w:tc>
      </w:tr>
      <w:tr w:rsidR="000C595C" w:rsidRPr="007C06B3" w:rsidTr="00FD585B">
        <w:trPr>
          <w:trHeight w:val="30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Věk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podle pohlaví</w:t>
            </w:r>
          </w:p>
        </w:tc>
      </w:tr>
      <w:tr w:rsidR="000C595C" w:rsidRPr="007C06B3" w:rsidTr="00FD585B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muži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ženy</w:t>
            </w:r>
          </w:p>
        </w:tc>
      </w:tr>
      <w:tr w:rsidR="000C595C" w:rsidRPr="007C06B3" w:rsidTr="00FD585B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podíl v % z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podíl v % z</w:t>
            </w:r>
          </w:p>
        </w:tc>
      </w:tr>
      <w:tr w:rsidR="000C595C" w:rsidRPr="007C06B3" w:rsidTr="00FD585B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úhrnu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věk.sk.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úhrnu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věk.sk.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2 168 952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960 076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1 208 876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575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 tom: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195 495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98 743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96 752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87 168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43 488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43 680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234 219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112 604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121 615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51,9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30-39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309 628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148 135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161 493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52,2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40-49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259 869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125 025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134 844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51,9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50-59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285 373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127 731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157 642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55,2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60-69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367 290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153 927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213 363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70+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427 020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149 001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278 019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65,1</w:t>
            </w:r>
          </w:p>
        </w:tc>
      </w:tr>
      <w:tr w:rsidR="000C595C" w:rsidRPr="007C06B3" w:rsidTr="00A02752">
        <w:trPr>
          <w:trHeight w:val="30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nezjištěno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0C59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50,8</w:t>
            </w:r>
          </w:p>
        </w:tc>
      </w:tr>
    </w:tbl>
    <w:p w:rsidR="000C595C" w:rsidRDefault="000C595C" w:rsidP="001B088B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1B088B" w:rsidRDefault="001B088B" w:rsidP="003A61F0">
      <w:pPr>
        <w:pStyle w:val="Textkomente"/>
        <w:spacing w:line="276" w:lineRule="auto"/>
        <w:jc w:val="both"/>
        <w:rPr>
          <w:rFonts w:ascii="Arial" w:hAnsi="Arial"/>
          <w:color w:val="000000"/>
        </w:rPr>
      </w:pPr>
      <w:r w:rsidRPr="0000293A">
        <w:rPr>
          <w:rFonts w:ascii="Arial" w:hAnsi="Arial"/>
          <w:color w:val="000000"/>
        </w:rPr>
        <w:t>V</w:t>
      </w:r>
      <w:r w:rsidR="000C595C">
        <w:rPr>
          <w:rFonts w:ascii="Arial" w:hAnsi="Arial"/>
          <w:color w:val="000000"/>
        </w:rPr>
        <w:t xml:space="preserve">e skupině věřících </w:t>
      </w:r>
      <w:r w:rsidR="003A61F0">
        <w:rPr>
          <w:rFonts w:ascii="Arial" w:hAnsi="Arial"/>
          <w:color w:val="000000"/>
        </w:rPr>
        <w:t xml:space="preserve">také </w:t>
      </w:r>
      <w:r w:rsidR="000C595C">
        <w:rPr>
          <w:rFonts w:ascii="Arial" w:hAnsi="Arial"/>
          <w:color w:val="000000"/>
        </w:rPr>
        <w:t>převažovaly ženy</w:t>
      </w:r>
      <w:r w:rsidR="003A61F0">
        <w:rPr>
          <w:rFonts w:ascii="Arial" w:hAnsi="Arial"/>
          <w:color w:val="000000"/>
        </w:rPr>
        <w:t xml:space="preserve">, ale v porovnání </w:t>
      </w:r>
      <w:r w:rsidR="000C595C">
        <w:rPr>
          <w:rFonts w:ascii="Arial" w:hAnsi="Arial"/>
          <w:color w:val="000000"/>
        </w:rPr>
        <w:t>s celkovou populací byla tato převaha výraznější</w:t>
      </w:r>
      <w:r w:rsidR="003A61F0">
        <w:rPr>
          <w:rFonts w:ascii="Arial" w:hAnsi="Arial"/>
          <w:color w:val="000000"/>
        </w:rPr>
        <w:t>, mimo jiné i v důsledku odlišné věkové struktury</w:t>
      </w:r>
      <w:r w:rsidR="000C595C">
        <w:rPr>
          <w:rFonts w:ascii="Arial" w:hAnsi="Arial"/>
          <w:color w:val="000000"/>
        </w:rPr>
        <w:t xml:space="preserve">. </w:t>
      </w:r>
      <w:r w:rsidRPr="0000293A">
        <w:rPr>
          <w:rFonts w:ascii="Arial" w:hAnsi="Arial"/>
          <w:color w:val="000000"/>
        </w:rPr>
        <w:t xml:space="preserve">U osob hlásících se ke konkrétní církvi bylo žen 56 %, u </w:t>
      </w:r>
      <w:r w:rsidR="000C595C">
        <w:rPr>
          <w:rFonts w:ascii="Arial" w:hAnsi="Arial"/>
          <w:color w:val="000000"/>
        </w:rPr>
        <w:t>osob nehlásících se k církvi 55 </w:t>
      </w:r>
      <w:r w:rsidRPr="0000293A">
        <w:rPr>
          <w:rFonts w:ascii="Arial" w:hAnsi="Arial"/>
          <w:color w:val="000000"/>
        </w:rPr>
        <w:t>%</w:t>
      </w:r>
      <w:r w:rsidR="000C595C">
        <w:rPr>
          <w:rFonts w:ascii="Arial" w:hAnsi="Arial"/>
          <w:color w:val="000000"/>
        </w:rPr>
        <w:t xml:space="preserve"> (v populaci celkem bylo žen 51 %)</w:t>
      </w:r>
      <w:r w:rsidRPr="0000293A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Vzhledem k vyššímu věku, kterého se ženy obecně dožívají, měly</w:t>
      </w:r>
      <w:r w:rsidRPr="0047348F">
        <w:rPr>
          <w:rFonts w:ascii="Arial" w:hAnsi="Arial"/>
          <w:color w:val="000000"/>
        </w:rPr>
        <w:t xml:space="preserve"> rovněž </w:t>
      </w:r>
      <w:r>
        <w:rPr>
          <w:rFonts w:ascii="Arial" w:hAnsi="Arial"/>
          <w:color w:val="000000"/>
        </w:rPr>
        <w:t xml:space="preserve">věřící ženy </w:t>
      </w:r>
      <w:r w:rsidRPr="0047348F">
        <w:rPr>
          <w:rFonts w:ascii="Arial" w:hAnsi="Arial"/>
          <w:color w:val="000000"/>
        </w:rPr>
        <w:t xml:space="preserve">méně příznivou věkovou skladbu. </w:t>
      </w:r>
    </w:p>
    <w:p w:rsidR="001B088B" w:rsidRDefault="001B088B" w:rsidP="003A61F0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0C595C" w:rsidRDefault="001B088B" w:rsidP="003A61F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F25FE3">
        <w:rPr>
          <w:rFonts w:ascii="Arial" w:hAnsi="Arial" w:cs="Arial"/>
          <w:color w:val="000000"/>
          <w:sz w:val="20"/>
        </w:rPr>
        <w:t>V závislosti na odlišné věkové struktuře</w:t>
      </w:r>
      <w:r>
        <w:rPr>
          <w:rFonts w:ascii="Arial" w:hAnsi="Arial" w:cs="Arial"/>
          <w:color w:val="000000"/>
          <w:sz w:val="20"/>
        </w:rPr>
        <w:t xml:space="preserve"> věřících </w:t>
      </w:r>
      <w:r w:rsidRPr="00F25FE3">
        <w:rPr>
          <w:rFonts w:ascii="Arial" w:hAnsi="Arial" w:cs="Arial"/>
          <w:color w:val="000000"/>
          <w:sz w:val="20"/>
        </w:rPr>
        <w:t xml:space="preserve">byly </w:t>
      </w:r>
      <w:r w:rsidRPr="00F25FE3">
        <w:rPr>
          <w:rFonts w:ascii="Arial" w:hAnsi="Arial" w:cs="Arial"/>
          <w:sz w:val="20"/>
        </w:rPr>
        <w:t>v porovnání s celkovou populací</w:t>
      </w:r>
      <w:r w:rsidRPr="00F25FE3">
        <w:rPr>
          <w:rFonts w:ascii="Arial" w:hAnsi="Arial" w:cs="Arial"/>
          <w:color w:val="000000"/>
          <w:sz w:val="20"/>
        </w:rPr>
        <w:t xml:space="preserve"> r</w:t>
      </w:r>
      <w:r w:rsidRPr="00F25FE3">
        <w:rPr>
          <w:rFonts w:ascii="Arial" w:hAnsi="Arial" w:cs="Arial"/>
          <w:sz w:val="20"/>
        </w:rPr>
        <w:t xml:space="preserve">ozdíly ve </w:t>
      </w:r>
      <w:r>
        <w:rPr>
          <w:rFonts w:ascii="Arial" w:hAnsi="Arial" w:cs="Arial"/>
          <w:sz w:val="20"/>
        </w:rPr>
        <w:t>složení</w:t>
      </w:r>
      <w:r w:rsidRPr="00F25FE3">
        <w:rPr>
          <w:rFonts w:ascii="Arial" w:hAnsi="Arial" w:cs="Arial"/>
          <w:sz w:val="20"/>
        </w:rPr>
        <w:t xml:space="preserve"> dle rodinného stavu. Údaje o náboženské víře kombinované s rodinným stavem, i přes klesající korelaci mezi těmito faktory stále dokazují, že vliv náboženství na rodinný stav přetrvává. Nejvýznamnější rozdíly byly u podílu ženatých a vdaných (resp. svobodných). Věřící zůstávají méně častěji svobodnými; v případě partnerských soužití častěji vztah institucionalizují a jejich manželství bývají stabilnější. Zjednodušeně se dá říci, že tak adekvátně respekt</w:t>
      </w:r>
      <w:r w:rsidR="00FD585B">
        <w:rPr>
          <w:rFonts w:ascii="Arial" w:hAnsi="Arial" w:cs="Arial"/>
          <w:sz w:val="20"/>
        </w:rPr>
        <w:t>ují důraz na postavení rodiny a </w:t>
      </w:r>
      <w:r w:rsidRPr="00F25FE3">
        <w:rPr>
          <w:rFonts w:ascii="Arial" w:hAnsi="Arial" w:cs="Arial"/>
          <w:sz w:val="20"/>
        </w:rPr>
        <w:t xml:space="preserve">manželství v křesťanském náboženském učení. Přitom není podstatný rozdíl mezi muži a ženami. Podíl ženatých a vdaných věřících činil 49 %, u populace celkem to bylo 42 %; svobodných bylo mezi věřícími 30 %, v obyvatelstvu celkem 40 %. Zastoupení rozvedených ve skupině věřících </w:t>
      </w:r>
      <w:r w:rsidR="00FD585B">
        <w:rPr>
          <w:rFonts w:ascii="Arial" w:hAnsi="Arial" w:cs="Arial"/>
          <w:sz w:val="20"/>
        </w:rPr>
        <w:t>bylo</w:t>
      </w:r>
      <w:r w:rsidRPr="00F25FE3">
        <w:rPr>
          <w:rFonts w:ascii="Arial" w:hAnsi="Arial" w:cs="Arial"/>
          <w:sz w:val="20"/>
        </w:rPr>
        <w:t xml:space="preserve"> nižší než v populaci celkem, rozdíl ale není významný (necelý jeden procentní bod).</w:t>
      </w:r>
      <w:r>
        <w:rPr>
          <w:rFonts w:ascii="Arial" w:hAnsi="Arial" w:cs="Arial"/>
          <w:sz w:val="20"/>
        </w:rPr>
        <w:t xml:space="preserve"> </w:t>
      </w:r>
    </w:p>
    <w:p w:rsidR="00C32392" w:rsidRDefault="00C32392" w:rsidP="003A61F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:rsidR="00C32392" w:rsidRDefault="00862C77" w:rsidP="00C32392">
      <w:pPr>
        <w:pStyle w:val="Zkladntext"/>
        <w:spacing w:line="276" w:lineRule="auto"/>
        <w:jc w:val="center"/>
        <w:rPr>
          <w:rFonts w:ascii="Arial" w:hAnsi="Arial" w:cs="Arial"/>
          <w:sz w:val="20"/>
        </w:rPr>
      </w:pPr>
      <w:r w:rsidRPr="00862C77">
        <w:rPr>
          <w:rFonts w:ascii="Arial" w:hAnsi="Arial" w:cs="Arial"/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21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ZgJt02gAAAAUBAAAPAAAAZHJzL2Rvd25y&#10;ZXYueG1sTI9BT8MwDIXvSPyHyEjcWMpW2FSaTlAENw4bTNrRa0xbaJyqybry7zFc4GLp+VnP38vX&#10;k+vUSENoPRu4niWgiCtvW64NvL0+Xa1AhYhssfNMBr4owLo4P8sxs/7EGxq3sVYSwiFDA02MfaZ1&#10;qBpyGGa+Jxbv3Q8Oo8ih1nbAk4S7Ts+T5FY7bFk+NNhT2VD1uT06Aw8v+LgYS7vblx+pnvbts3ay&#10;N5cX0/0dqEhT/DuGH3xBh0KYDv7INqjOgBSJv1O85Xwh8mAgXaU3oItc/6cvvgE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">
            <v:imagedata r:id="rId7" o:title="" cropbottom="-14f"/>
            <o:lock v:ext="edit" aspectratio="f"/>
          </v:shape>
        </w:pict>
      </w:r>
    </w:p>
    <w:p w:rsidR="001B088B" w:rsidRDefault="001B088B" w:rsidP="003D71AC">
      <w:pPr>
        <w:spacing w:line="276" w:lineRule="auto"/>
        <w:jc w:val="both"/>
        <w:rPr>
          <w:rFonts w:ascii="Arial" w:hAnsi="Arial"/>
          <w:color w:val="000000"/>
        </w:rPr>
      </w:pPr>
    </w:p>
    <w:p w:rsidR="000C595C" w:rsidRDefault="000C595C" w:rsidP="000C595C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Podstatný rozdíl byl i v podílu ovdovělých, který byl u skupiny věřících o 5 bodů vyšší než v obyvatelstvu celkem. Příčinou byla specifická v</w:t>
      </w:r>
      <w:r w:rsidRPr="00F25FE3">
        <w:rPr>
          <w:rFonts w:ascii="Arial" w:hAnsi="Arial" w:cs="Arial"/>
          <w:color w:val="000000"/>
          <w:sz w:val="20"/>
        </w:rPr>
        <w:t xml:space="preserve">ěková struktura věřících s vysokým podílem osob starších 70 let </w:t>
      </w:r>
      <w:r w:rsidR="00A95326">
        <w:rPr>
          <w:rFonts w:ascii="Arial" w:hAnsi="Arial" w:cs="Arial"/>
          <w:color w:val="000000"/>
          <w:sz w:val="20"/>
        </w:rPr>
        <w:t>-</w:t>
      </w:r>
      <w:r w:rsidRPr="00F25FE3">
        <w:rPr>
          <w:rFonts w:ascii="Arial" w:hAnsi="Arial" w:cs="Arial"/>
          <w:color w:val="000000"/>
          <w:sz w:val="20"/>
        </w:rPr>
        <w:t xml:space="preserve"> zejména pak žen</w:t>
      </w:r>
      <w:r>
        <w:rPr>
          <w:rFonts w:ascii="Arial" w:hAnsi="Arial" w:cs="Arial"/>
          <w:color w:val="000000"/>
          <w:sz w:val="20"/>
        </w:rPr>
        <w:t>. Podíl věřících osob ve věku 70 a více let, kdy pravděpodobnost ztráty životního partnera s věkem lineárně roste, byl dvojnásobný ve srovnání s celkovou populací. Věřících žen v tomto věku byla dokonce téměř čtvrtina.</w:t>
      </w:r>
    </w:p>
    <w:p w:rsidR="000C595C" w:rsidRPr="00EF53CB" w:rsidRDefault="000C595C" w:rsidP="001F62FB">
      <w:pPr>
        <w:pStyle w:val="Zkladntext"/>
        <w:spacing w:line="276" w:lineRule="auto"/>
        <w:jc w:val="both"/>
        <w:rPr>
          <w:rFonts w:ascii="Arial" w:hAnsi="Arial"/>
          <w:color w:val="000000"/>
          <w:szCs w:val="24"/>
        </w:rPr>
      </w:pPr>
    </w:p>
    <w:p w:rsidR="001B088B" w:rsidRPr="001B088B" w:rsidRDefault="00EB78AD" w:rsidP="00EF53CB">
      <w:pPr>
        <w:pStyle w:val="Zkladntext"/>
        <w:spacing w:line="276" w:lineRule="auto"/>
        <w:ind w:firstLine="426"/>
        <w:jc w:val="both"/>
        <w:rPr>
          <w:rFonts w:ascii="Arial" w:hAnsi="Arial"/>
          <w:b/>
          <w:color w:val="000000"/>
          <w:sz w:val="20"/>
        </w:rPr>
      </w:pPr>
      <w:r w:rsidRPr="00EF53CB">
        <w:rPr>
          <w:rFonts w:ascii="Arial" w:hAnsi="Arial"/>
          <w:b/>
          <w:color w:val="000000"/>
          <w:szCs w:val="24"/>
        </w:rPr>
        <w:t>2.2</w:t>
      </w:r>
      <w:r w:rsidR="00981D40">
        <w:rPr>
          <w:rFonts w:ascii="Arial" w:hAnsi="Arial"/>
          <w:b/>
          <w:color w:val="000000"/>
          <w:szCs w:val="24"/>
        </w:rPr>
        <w:t>.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ab/>
      </w:r>
      <w:r w:rsidR="001B088B" w:rsidRPr="00EF53CB">
        <w:rPr>
          <w:rFonts w:ascii="Arial" w:hAnsi="Arial"/>
          <w:b/>
          <w:color w:val="000000"/>
          <w:szCs w:val="24"/>
        </w:rPr>
        <w:t>Vzdělání</w:t>
      </w:r>
    </w:p>
    <w:p w:rsidR="001B088B" w:rsidRDefault="001B088B" w:rsidP="001F62FB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1F62FB" w:rsidRDefault="00D07E70" w:rsidP="001F62FB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Různorodá </w:t>
      </w:r>
      <w:r w:rsidR="004F6B69">
        <w:rPr>
          <w:rFonts w:ascii="Arial" w:hAnsi="Arial"/>
          <w:color w:val="000000"/>
          <w:sz w:val="20"/>
        </w:rPr>
        <w:t>věková struktura měla vliv i na rozdíly</w:t>
      </w:r>
      <w:r w:rsidR="001F62FB" w:rsidRPr="0000293A">
        <w:rPr>
          <w:rFonts w:ascii="Arial" w:hAnsi="Arial"/>
          <w:color w:val="000000"/>
          <w:sz w:val="20"/>
        </w:rPr>
        <w:t xml:space="preserve"> ve struktuře vzdělanostní</w:t>
      </w:r>
      <w:r w:rsidR="001F62FB">
        <w:rPr>
          <w:rFonts w:ascii="Arial" w:hAnsi="Arial"/>
          <w:color w:val="000000"/>
          <w:sz w:val="20"/>
        </w:rPr>
        <w:t>, kde je vazba na věk velmi těsn</w:t>
      </w:r>
      <w:r w:rsidR="001F62FB" w:rsidRPr="0000293A">
        <w:rPr>
          <w:rFonts w:ascii="Arial" w:hAnsi="Arial"/>
          <w:color w:val="000000"/>
          <w:sz w:val="20"/>
        </w:rPr>
        <w:t xml:space="preserve">á. </w:t>
      </w:r>
      <w:r w:rsidR="001F62FB" w:rsidRPr="001B088B">
        <w:rPr>
          <w:rFonts w:ascii="Arial" w:hAnsi="Arial"/>
          <w:color w:val="000000"/>
          <w:sz w:val="20"/>
        </w:rPr>
        <w:t xml:space="preserve">Nejvyšší ukončené vzdělání </w:t>
      </w:r>
      <w:r w:rsidR="001F62FB" w:rsidRPr="0000293A">
        <w:rPr>
          <w:rFonts w:ascii="Arial" w:hAnsi="Arial"/>
          <w:color w:val="000000"/>
          <w:sz w:val="20"/>
        </w:rPr>
        <w:t xml:space="preserve">uváděly pouze osoby 15leté a starší. Struktury podle jednotlivých stupňů vzdělání </w:t>
      </w:r>
      <w:r w:rsidR="007A013A">
        <w:rPr>
          <w:rFonts w:ascii="Arial" w:hAnsi="Arial"/>
          <w:color w:val="000000"/>
          <w:sz w:val="20"/>
        </w:rPr>
        <w:t>byly</w:t>
      </w:r>
      <w:r w:rsidR="001F62FB" w:rsidRPr="0000293A">
        <w:rPr>
          <w:rFonts w:ascii="Arial" w:hAnsi="Arial"/>
          <w:color w:val="000000"/>
          <w:sz w:val="20"/>
        </w:rPr>
        <w:t xml:space="preserve"> proto vztaženy k této věkové skupině věřících.</w:t>
      </w:r>
    </w:p>
    <w:p w:rsidR="00AF70E9" w:rsidRDefault="00AF70E9" w:rsidP="001F62FB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53"/>
        <w:tblW w:w="88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1013"/>
        <w:gridCol w:w="971"/>
        <w:gridCol w:w="851"/>
        <w:gridCol w:w="992"/>
        <w:gridCol w:w="746"/>
        <w:gridCol w:w="955"/>
        <w:gridCol w:w="709"/>
      </w:tblGrid>
      <w:tr w:rsidR="000C595C" w:rsidRPr="007C06B3" w:rsidTr="00FD585B">
        <w:trPr>
          <w:trHeight w:val="30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5C" w:rsidRPr="007A0D77" w:rsidRDefault="000C595C" w:rsidP="004153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>Věřící podle nejvyššího ukončeného vzdělání k 26.3.2011</w:t>
            </w:r>
          </w:p>
        </w:tc>
      </w:tr>
      <w:tr w:rsidR="000C595C" w:rsidRPr="007C06B3" w:rsidTr="00FD585B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Hlásící se k církvi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Nehlásící se k církvi</w:t>
            </w:r>
          </w:p>
        </w:tc>
      </w:tr>
      <w:tr w:rsidR="000C595C" w:rsidRPr="007C06B3" w:rsidTr="00FD585B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% podíl z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C595C" w:rsidRPr="007C06B3" w:rsidTr="00FD585B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3A61F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úhrnu obyv</w:t>
            </w:r>
            <w:r w:rsidR="003A61F0">
              <w:rPr>
                <w:rFonts w:ascii="Arial" w:hAnsi="Arial" w:cs="Arial"/>
                <w:color w:val="000000"/>
                <w:sz w:val="18"/>
                <w:szCs w:val="18"/>
              </w:rPr>
              <w:t>atel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daného vzd</w:t>
            </w:r>
            <w:r w:rsidR="003A61F0">
              <w:rPr>
                <w:rFonts w:ascii="Arial" w:hAnsi="Arial" w:cs="Arial"/>
                <w:color w:val="000000"/>
                <w:sz w:val="18"/>
                <w:szCs w:val="18"/>
              </w:rPr>
              <w:t>ělání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5C" w:rsidRPr="007C06B3" w:rsidRDefault="000C595C" w:rsidP="0041531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věřících 15letí a starší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2 168 952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1 463 584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705 368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Děti ve věku 0- 14 let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195 495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147 395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48 100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15letí a starší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1 973 457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1 316 189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657 268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bez vzdělání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7 319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5 016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základní vč. neukonč.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375 384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273 887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101 497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střední (bez maturity)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608 320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410 168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198 152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úplné střední (s  maturitou)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552 159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355 098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197 061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nástavbové a vyšší odb.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98 738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62 568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36 170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vysokoškolské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315 804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199 774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116 030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</w:tr>
      <w:tr w:rsidR="000C595C" w:rsidRPr="007C06B3" w:rsidTr="00575D90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nezjištěno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15 733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9 678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6 055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95C" w:rsidRPr="007C06B3" w:rsidRDefault="000C595C" w:rsidP="00415311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</w:tbl>
    <w:p w:rsidR="00AD66F7" w:rsidRDefault="00AD66F7" w:rsidP="00415311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AD66F7" w:rsidRDefault="00AD66F7" w:rsidP="00415311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</w:p>
    <w:p w:rsidR="00FD585B" w:rsidRDefault="00FD585B" w:rsidP="00415311">
      <w:pPr>
        <w:pStyle w:val="Zkladntext"/>
        <w:spacing w:line="276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U osob věřících nehlásících se k církvi byly ve struktuře podle vzdělání ve větší míře zastoupeny osoby s úplným středním, vyšším odborným i vysokoškolským vzděláním. Rozdíl mezi věřícími </w:t>
      </w:r>
      <w:r>
        <w:rPr>
          <w:rFonts w:ascii="Arial" w:hAnsi="Arial"/>
          <w:color w:val="000000"/>
          <w:sz w:val="20"/>
        </w:rPr>
        <w:lastRenderedPageBreak/>
        <w:t>hlásícími se k církvi a věřícími nehlásícími se k církvi nebyl ale výrazný a pohyboval se do 3 procentních bodů.</w:t>
      </w:r>
    </w:p>
    <w:p w:rsidR="00FD585B" w:rsidRDefault="00FD585B" w:rsidP="0041531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AF70E9" w:rsidRPr="00FD715A" w:rsidRDefault="00AF70E9" w:rsidP="00415311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V porovnání se strukturou celé populace podle vzdělání byla největší diference u podílu vzdělání vysokoškolského. Z počtu věřících ve věku 15 a více let bylo vysokoškoláků 16 %, zatímco </w:t>
      </w:r>
      <w:r w:rsidRPr="00FD715A">
        <w:rPr>
          <w:rFonts w:ascii="Arial" w:hAnsi="Arial"/>
          <w:sz w:val="20"/>
        </w:rPr>
        <w:t xml:space="preserve">u populace celkem </w:t>
      </w:r>
      <w:r>
        <w:rPr>
          <w:rFonts w:ascii="Arial" w:hAnsi="Arial"/>
          <w:sz w:val="20"/>
        </w:rPr>
        <w:t xml:space="preserve">byl tento </w:t>
      </w:r>
      <w:r w:rsidRPr="00FD715A">
        <w:rPr>
          <w:rFonts w:ascii="Arial" w:hAnsi="Arial"/>
          <w:sz w:val="20"/>
        </w:rPr>
        <w:t xml:space="preserve">podíl </w:t>
      </w:r>
      <w:r w:rsidRPr="00FD715A">
        <w:rPr>
          <w:rFonts w:ascii="Arial" w:hAnsi="Arial" w:cs="Arial"/>
          <w:sz w:val="20"/>
        </w:rPr>
        <w:t>12,5 %. Souvisí to mimo jiné s faktem, že zatímco absolutní počty věřících ve všech kategoriích vzdělání klesly, u vysokoškoláků se zvýšily</w:t>
      </w:r>
      <w:r>
        <w:rPr>
          <w:rFonts w:ascii="Arial" w:hAnsi="Arial" w:cs="Arial"/>
          <w:sz w:val="20"/>
        </w:rPr>
        <w:t xml:space="preserve"> (z </w:t>
      </w:r>
      <w:r w:rsidR="00586018">
        <w:rPr>
          <w:rFonts w:ascii="Arial" w:hAnsi="Arial" w:cs="Arial"/>
          <w:sz w:val="20"/>
        </w:rPr>
        <w:t>221</w:t>
      </w:r>
      <w:r>
        <w:rPr>
          <w:rFonts w:ascii="Arial" w:hAnsi="Arial" w:cs="Arial"/>
          <w:sz w:val="20"/>
        </w:rPr>
        <w:t xml:space="preserve"> tisíc </w:t>
      </w:r>
      <w:r w:rsidR="00586018">
        <w:rPr>
          <w:rFonts w:ascii="Arial" w:hAnsi="Arial" w:cs="Arial"/>
          <w:sz w:val="20"/>
        </w:rPr>
        <w:t xml:space="preserve">v roce 2001 </w:t>
      </w:r>
      <w:r>
        <w:rPr>
          <w:rFonts w:ascii="Arial" w:hAnsi="Arial" w:cs="Arial"/>
          <w:sz w:val="20"/>
        </w:rPr>
        <w:t>na 316 tisíc</w:t>
      </w:r>
      <w:r w:rsidR="00586018">
        <w:rPr>
          <w:rFonts w:ascii="Arial" w:hAnsi="Arial" w:cs="Arial"/>
          <w:sz w:val="20"/>
        </w:rPr>
        <w:t xml:space="preserve"> v roce 2011</w:t>
      </w:r>
      <w:r>
        <w:rPr>
          <w:rFonts w:ascii="Arial" w:hAnsi="Arial" w:cs="Arial"/>
          <w:sz w:val="20"/>
        </w:rPr>
        <w:t>)</w:t>
      </w:r>
      <w:r w:rsidRPr="00FD715A">
        <w:rPr>
          <w:rFonts w:ascii="Arial" w:hAnsi="Arial" w:cs="Arial"/>
          <w:sz w:val="20"/>
        </w:rPr>
        <w:t>.</w:t>
      </w:r>
    </w:p>
    <w:p w:rsidR="001F62FB" w:rsidRDefault="001F62FB" w:rsidP="001F62FB">
      <w:pPr>
        <w:pStyle w:val="Zkladntext"/>
        <w:jc w:val="both"/>
        <w:rPr>
          <w:rFonts w:ascii="Arial" w:hAnsi="Arial"/>
          <w:color w:val="000000"/>
          <w:sz w:val="20"/>
        </w:rPr>
      </w:pPr>
    </w:p>
    <w:p w:rsidR="00EF53CB" w:rsidRDefault="0008257C" w:rsidP="0050071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F23973" w:rsidRPr="00FD715A">
        <w:rPr>
          <w:rFonts w:ascii="Arial" w:hAnsi="Arial" w:cs="Arial"/>
          <w:sz w:val="20"/>
        </w:rPr>
        <w:t>ejčastější typ</w:t>
      </w:r>
      <w:r>
        <w:rPr>
          <w:rFonts w:ascii="Arial" w:hAnsi="Arial" w:cs="Arial"/>
          <w:sz w:val="20"/>
        </w:rPr>
        <w:t xml:space="preserve"> </w:t>
      </w:r>
      <w:r w:rsidR="00F23973" w:rsidRPr="00FD715A">
        <w:rPr>
          <w:rFonts w:ascii="Arial" w:hAnsi="Arial" w:cs="Arial"/>
          <w:sz w:val="20"/>
        </w:rPr>
        <w:t xml:space="preserve">vzdělání </w:t>
      </w:r>
      <w:r>
        <w:rPr>
          <w:rFonts w:ascii="Arial" w:hAnsi="Arial" w:cs="Arial"/>
          <w:sz w:val="20"/>
        </w:rPr>
        <w:t>věřících osob -</w:t>
      </w:r>
      <w:r w:rsidR="00F23973" w:rsidRPr="00FD715A">
        <w:rPr>
          <w:rFonts w:ascii="Arial" w:hAnsi="Arial" w:cs="Arial"/>
          <w:sz w:val="20"/>
        </w:rPr>
        <w:t xml:space="preserve"> střední bez maturity</w:t>
      </w:r>
      <w:r>
        <w:rPr>
          <w:rFonts w:ascii="Arial" w:hAnsi="Arial" w:cs="Arial"/>
          <w:sz w:val="20"/>
        </w:rPr>
        <w:t xml:space="preserve"> - </w:t>
      </w:r>
      <w:r w:rsidR="000C595C">
        <w:rPr>
          <w:rFonts w:ascii="Arial" w:hAnsi="Arial" w:cs="Arial"/>
          <w:sz w:val="20"/>
        </w:rPr>
        <w:t>byl</w:t>
      </w:r>
      <w:r w:rsidR="00F23973" w:rsidRPr="00FD715A">
        <w:rPr>
          <w:rFonts w:ascii="Arial" w:hAnsi="Arial" w:cs="Arial"/>
          <w:sz w:val="20"/>
        </w:rPr>
        <w:t xml:space="preserve"> zejména u starších věkových skupin </w:t>
      </w:r>
      <w:r>
        <w:rPr>
          <w:rFonts w:ascii="Arial" w:hAnsi="Arial" w:cs="Arial"/>
          <w:sz w:val="20"/>
        </w:rPr>
        <w:t>osob</w:t>
      </w:r>
      <w:r w:rsidR="00F23973" w:rsidRPr="00FD715A">
        <w:rPr>
          <w:rFonts w:ascii="Arial" w:hAnsi="Arial" w:cs="Arial"/>
          <w:sz w:val="20"/>
        </w:rPr>
        <w:t>. U mladších pak převaž</w:t>
      </w:r>
      <w:r w:rsidR="00586018">
        <w:rPr>
          <w:rFonts w:ascii="Arial" w:hAnsi="Arial" w:cs="Arial"/>
          <w:sz w:val="20"/>
        </w:rPr>
        <w:t>ovalo</w:t>
      </w:r>
      <w:r w:rsidR="00F23973" w:rsidRPr="00FD715A">
        <w:rPr>
          <w:rFonts w:ascii="Arial" w:hAnsi="Arial" w:cs="Arial"/>
          <w:sz w:val="20"/>
        </w:rPr>
        <w:t xml:space="preserve"> úplné středoškolské vzdělání. </w:t>
      </w:r>
      <w:r w:rsidR="00586018">
        <w:rPr>
          <w:rFonts w:ascii="Arial" w:hAnsi="Arial" w:cs="Arial"/>
          <w:sz w:val="20"/>
        </w:rPr>
        <w:t>Ve</w:t>
      </w:r>
      <w:r w:rsidR="00F23973" w:rsidRPr="00FD715A">
        <w:rPr>
          <w:rFonts w:ascii="Arial" w:hAnsi="Arial" w:cs="Arial"/>
          <w:sz w:val="20"/>
        </w:rPr>
        <w:t xml:space="preserve"> věkových kategori</w:t>
      </w:r>
      <w:r w:rsidR="00586018">
        <w:rPr>
          <w:rFonts w:ascii="Arial" w:hAnsi="Arial" w:cs="Arial"/>
          <w:sz w:val="20"/>
        </w:rPr>
        <w:t>ích</w:t>
      </w:r>
      <w:r w:rsidR="00F23973" w:rsidRPr="00FD715A">
        <w:rPr>
          <w:rFonts w:ascii="Arial" w:hAnsi="Arial" w:cs="Arial"/>
          <w:sz w:val="20"/>
        </w:rPr>
        <w:t xml:space="preserve"> 25-29 let a</w:t>
      </w:r>
      <w:r w:rsidR="00586018">
        <w:rPr>
          <w:rFonts w:ascii="Arial" w:hAnsi="Arial" w:cs="Arial"/>
          <w:sz w:val="20"/>
        </w:rPr>
        <w:t> </w:t>
      </w:r>
      <w:r w:rsidR="00F23973" w:rsidRPr="00FD715A">
        <w:rPr>
          <w:rFonts w:ascii="Arial" w:hAnsi="Arial" w:cs="Arial"/>
          <w:sz w:val="20"/>
        </w:rPr>
        <w:t xml:space="preserve">30-34 let </w:t>
      </w:r>
      <w:r w:rsidR="00586018">
        <w:rPr>
          <w:rFonts w:ascii="Arial" w:hAnsi="Arial" w:cs="Arial"/>
          <w:sz w:val="20"/>
        </w:rPr>
        <w:t>byl zaznamenán</w:t>
      </w:r>
      <w:r w:rsidR="00F23973" w:rsidRPr="00FD715A">
        <w:rPr>
          <w:rFonts w:ascii="Arial" w:hAnsi="Arial" w:cs="Arial"/>
          <w:sz w:val="20"/>
        </w:rPr>
        <w:t xml:space="preserve"> poměrně výrazný podíl vysokoškolského vzdělání. Například ve věkové kategorii 25-29 let dosáhl jejich podíl u věřících 36,1 %, zatímco </w:t>
      </w:r>
      <w:r w:rsidR="00586018">
        <w:rPr>
          <w:rFonts w:ascii="Arial" w:hAnsi="Arial" w:cs="Arial"/>
          <w:sz w:val="20"/>
        </w:rPr>
        <w:t>v </w:t>
      </w:r>
      <w:r w:rsidR="00F23973" w:rsidRPr="00FD715A">
        <w:rPr>
          <w:rFonts w:ascii="Arial" w:hAnsi="Arial" w:cs="Arial"/>
          <w:sz w:val="20"/>
        </w:rPr>
        <w:t>populac</w:t>
      </w:r>
      <w:r w:rsidR="00586018">
        <w:rPr>
          <w:rFonts w:ascii="Arial" w:hAnsi="Arial" w:cs="Arial"/>
          <w:sz w:val="20"/>
        </w:rPr>
        <w:t>i celkem</w:t>
      </w:r>
      <w:r w:rsidR="00F23973" w:rsidRPr="00FD715A">
        <w:rPr>
          <w:rFonts w:ascii="Arial" w:hAnsi="Arial" w:cs="Arial"/>
          <w:sz w:val="20"/>
        </w:rPr>
        <w:t xml:space="preserve"> </w:t>
      </w:r>
      <w:r w:rsidR="00586018">
        <w:rPr>
          <w:rFonts w:ascii="Arial" w:hAnsi="Arial" w:cs="Arial"/>
          <w:sz w:val="20"/>
        </w:rPr>
        <w:t>to bylo</w:t>
      </w:r>
      <w:r w:rsidR="00F23973" w:rsidRPr="00FD715A">
        <w:rPr>
          <w:rFonts w:ascii="Arial" w:hAnsi="Arial" w:cs="Arial"/>
          <w:sz w:val="20"/>
        </w:rPr>
        <w:t xml:space="preserve"> jen 23,3 %. Obdobně </w:t>
      </w:r>
      <w:r>
        <w:rPr>
          <w:rFonts w:ascii="Arial" w:hAnsi="Arial" w:cs="Arial"/>
          <w:sz w:val="20"/>
        </w:rPr>
        <w:t>ve věkové skupině 30-39 let</w:t>
      </w:r>
      <w:r w:rsidR="00586018">
        <w:rPr>
          <w:rFonts w:ascii="Arial" w:hAnsi="Arial" w:cs="Arial"/>
          <w:sz w:val="20"/>
        </w:rPr>
        <w:t xml:space="preserve"> byly</w:t>
      </w:r>
      <w:r w:rsidR="00F23973" w:rsidRPr="00FD715A">
        <w:rPr>
          <w:rFonts w:ascii="Arial" w:hAnsi="Arial" w:cs="Arial"/>
          <w:sz w:val="20"/>
        </w:rPr>
        <w:t xml:space="preserve"> tyto podíly 30,1 % </w:t>
      </w:r>
      <w:r w:rsidR="00FD715A">
        <w:rPr>
          <w:rFonts w:ascii="Arial" w:hAnsi="Arial" w:cs="Arial"/>
          <w:sz w:val="20"/>
        </w:rPr>
        <w:t xml:space="preserve">resp. </w:t>
      </w:r>
      <w:r w:rsidR="00F23973" w:rsidRPr="00FD715A">
        <w:rPr>
          <w:rFonts w:ascii="Arial" w:hAnsi="Arial" w:cs="Arial"/>
          <w:sz w:val="20"/>
        </w:rPr>
        <w:t>18,6 %.</w:t>
      </w:r>
    </w:p>
    <w:p w:rsidR="0035473E" w:rsidRDefault="0035473E" w:rsidP="00B33B50">
      <w:pPr>
        <w:pStyle w:val="Zkladntext"/>
        <w:rPr>
          <w:rFonts w:ascii="Arial" w:hAnsi="Arial" w:cs="Arial"/>
          <w:sz w:val="20"/>
        </w:rPr>
      </w:pPr>
    </w:p>
    <w:p w:rsidR="006604C5" w:rsidRDefault="006604C5" w:rsidP="00B33B50">
      <w:pPr>
        <w:pStyle w:val="Zkladntext"/>
        <w:rPr>
          <w:rFonts w:ascii="Arial" w:hAnsi="Arial" w:cs="Arial"/>
          <w:sz w:val="20"/>
        </w:rPr>
      </w:pPr>
    </w:p>
    <w:p w:rsidR="006604C5" w:rsidRDefault="006604C5" w:rsidP="00B33B50">
      <w:pPr>
        <w:pStyle w:val="Zkladntext"/>
        <w:rPr>
          <w:rFonts w:ascii="Arial" w:hAnsi="Arial"/>
          <w:noProof/>
          <w:color w:val="000000"/>
          <w:sz w:val="20"/>
        </w:rPr>
      </w:pPr>
    </w:p>
    <w:p w:rsidR="000C595C" w:rsidRPr="00EF53CB" w:rsidRDefault="00EB78AD" w:rsidP="00EF53CB">
      <w:pPr>
        <w:pStyle w:val="Zkladntext"/>
        <w:ind w:firstLine="426"/>
        <w:rPr>
          <w:rFonts w:ascii="Arial" w:hAnsi="Arial"/>
          <w:b/>
          <w:noProof/>
          <w:color w:val="000000"/>
          <w:szCs w:val="24"/>
        </w:rPr>
      </w:pPr>
      <w:r w:rsidRPr="00EF53CB">
        <w:rPr>
          <w:rFonts w:ascii="Arial" w:hAnsi="Arial"/>
          <w:b/>
          <w:noProof/>
          <w:color w:val="000000"/>
          <w:szCs w:val="24"/>
        </w:rPr>
        <w:t>2.3</w:t>
      </w:r>
      <w:r w:rsidR="00981D40">
        <w:rPr>
          <w:rFonts w:ascii="Arial" w:hAnsi="Arial"/>
          <w:b/>
          <w:noProof/>
          <w:color w:val="000000"/>
          <w:szCs w:val="24"/>
        </w:rPr>
        <w:t>.</w:t>
      </w:r>
      <w:r w:rsidRPr="00EF53CB">
        <w:rPr>
          <w:rFonts w:ascii="Arial" w:hAnsi="Arial"/>
          <w:b/>
          <w:noProof/>
          <w:color w:val="000000"/>
          <w:szCs w:val="24"/>
        </w:rPr>
        <w:tab/>
      </w:r>
      <w:r w:rsidR="000C595C" w:rsidRPr="00EF53CB">
        <w:rPr>
          <w:rFonts w:ascii="Arial" w:hAnsi="Arial"/>
          <w:b/>
          <w:noProof/>
          <w:color w:val="000000"/>
          <w:szCs w:val="24"/>
        </w:rPr>
        <w:t>Plodnost</w:t>
      </w:r>
      <w:r w:rsidR="003A61F0">
        <w:rPr>
          <w:rFonts w:ascii="Arial" w:hAnsi="Arial"/>
          <w:b/>
          <w:noProof/>
          <w:color w:val="000000"/>
          <w:szCs w:val="24"/>
        </w:rPr>
        <w:t xml:space="preserve"> </w:t>
      </w:r>
      <w:r w:rsidR="000C595C" w:rsidRPr="00EF53CB">
        <w:rPr>
          <w:rFonts w:ascii="Arial" w:hAnsi="Arial"/>
          <w:b/>
          <w:noProof/>
          <w:color w:val="000000"/>
          <w:szCs w:val="24"/>
        </w:rPr>
        <w:t>žen</w:t>
      </w:r>
    </w:p>
    <w:p w:rsidR="000C595C" w:rsidRDefault="000C595C" w:rsidP="00B33B50">
      <w:pPr>
        <w:pStyle w:val="Zkladntext"/>
        <w:rPr>
          <w:rFonts w:ascii="Arial" w:hAnsi="Arial"/>
          <w:noProof/>
          <w:color w:val="000000"/>
          <w:sz w:val="20"/>
        </w:rPr>
      </w:pPr>
    </w:p>
    <w:p w:rsidR="00424ADA" w:rsidRPr="00424ADA" w:rsidRDefault="00424ADA" w:rsidP="00500710">
      <w:pPr>
        <w:pStyle w:val="Zkladntext"/>
        <w:spacing w:line="276" w:lineRule="auto"/>
        <w:jc w:val="both"/>
        <w:rPr>
          <w:rFonts w:ascii="Arial" w:hAnsi="Arial"/>
          <w:sz w:val="20"/>
        </w:rPr>
      </w:pPr>
      <w:r w:rsidRPr="00424ADA">
        <w:rPr>
          <w:rFonts w:ascii="Arial" w:hAnsi="Arial"/>
          <w:sz w:val="20"/>
        </w:rPr>
        <w:t xml:space="preserve">Náboženská víra tradičně ovlivňuje </w:t>
      </w:r>
      <w:r w:rsidR="00345B1E" w:rsidRPr="000C595C">
        <w:rPr>
          <w:rFonts w:ascii="Arial" w:hAnsi="Arial"/>
          <w:sz w:val="20"/>
        </w:rPr>
        <w:t>i</w:t>
      </w:r>
      <w:r w:rsidRPr="000C595C">
        <w:rPr>
          <w:rFonts w:ascii="Arial" w:hAnsi="Arial"/>
          <w:sz w:val="20"/>
        </w:rPr>
        <w:t xml:space="preserve"> počet dětí,</w:t>
      </w:r>
      <w:r w:rsidRPr="00424ADA">
        <w:rPr>
          <w:rFonts w:ascii="Arial" w:hAnsi="Arial"/>
          <w:sz w:val="20"/>
        </w:rPr>
        <w:t xml:space="preserve"> které ženy během svého života porodí. I když tato kauzalita</w:t>
      </w:r>
      <w:r w:rsidR="00C67A22">
        <w:rPr>
          <w:rFonts w:ascii="Arial" w:hAnsi="Arial"/>
          <w:sz w:val="20"/>
        </w:rPr>
        <w:t xml:space="preserve"> postupně</w:t>
      </w:r>
      <w:r w:rsidRPr="00424ADA">
        <w:rPr>
          <w:rFonts w:ascii="Arial" w:hAnsi="Arial"/>
          <w:sz w:val="20"/>
        </w:rPr>
        <w:t xml:space="preserve"> </w:t>
      </w:r>
      <w:r w:rsidR="00345B1E">
        <w:rPr>
          <w:rFonts w:ascii="Arial" w:hAnsi="Arial"/>
          <w:sz w:val="20"/>
        </w:rPr>
        <w:t>slábne</w:t>
      </w:r>
      <w:r w:rsidRPr="00424ADA">
        <w:rPr>
          <w:rFonts w:ascii="Arial" w:hAnsi="Arial"/>
          <w:sz w:val="20"/>
        </w:rPr>
        <w:t xml:space="preserve">, </w:t>
      </w:r>
      <w:r w:rsidR="00C67A22">
        <w:rPr>
          <w:rFonts w:ascii="Arial" w:hAnsi="Arial"/>
          <w:sz w:val="20"/>
        </w:rPr>
        <w:t>(</w:t>
      </w:r>
      <w:r w:rsidRPr="00424ADA">
        <w:rPr>
          <w:rFonts w:ascii="Arial" w:hAnsi="Arial"/>
          <w:sz w:val="20"/>
        </w:rPr>
        <w:t xml:space="preserve">v případě </w:t>
      </w:r>
      <w:r w:rsidR="00965BDC">
        <w:rPr>
          <w:rFonts w:ascii="Arial" w:hAnsi="Arial"/>
          <w:sz w:val="20"/>
        </w:rPr>
        <w:t xml:space="preserve">Církve </w:t>
      </w:r>
      <w:r w:rsidRPr="00424ADA">
        <w:rPr>
          <w:rFonts w:ascii="Arial" w:hAnsi="Arial"/>
          <w:sz w:val="20"/>
        </w:rPr>
        <w:t>římskokatolické by např. musela být porodnost u věřících žen výrazně vyšší, než jak ukazují čísla</w:t>
      </w:r>
      <w:r w:rsidR="00C67A22">
        <w:rPr>
          <w:rFonts w:ascii="Arial" w:hAnsi="Arial"/>
          <w:sz w:val="20"/>
        </w:rPr>
        <w:t>)</w:t>
      </w:r>
      <w:r w:rsidRPr="00424ADA">
        <w:rPr>
          <w:rFonts w:ascii="Arial" w:hAnsi="Arial"/>
          <w:sz w:val="20"/>
        </w:rPr>
        <w:t xml:space="preserve">, stále </w:t>
      </w:r>
      <w:r w:rsidR="00345B1E">
        <w:rPr>
          <w:rFonts w:ascii="Arial" w:hAnsi="Arial"/>
          <w:sz w:val="20"/>
        </w:rPr>
        <w:t>platí</w:t>
      </w:r>
      <w:r w:rsidRPr="00424ADA">
        <w:rPr>
          <w:rFonts w:ascii="Arial" w:hAnsi="Arial"/>
          <w:sz w:val="20"/>
        </w:rPr>
        <w:t xml:space="preserve">. </w:t>
      </w:r>
    </w:p>
    <w:p w:rsidR="00424ADA" w:rsidRDefault="00424ADA" w:rsidP="00424ADA">
      <w:pPr>
        <w:pStyle w:val="Zkladntext"/>
        <w:rPr>
          <w:rFonts w:ascii="Arial" w:hAnsi="Arial"/>
          <w:szCs w:val="24"/>
        </w:rPr>
      </w:pPr>
    </w:p>
    <w:tbl>
      <w:tblPr>
        <w:tblpPr w:leftFromText="141" w:rightFromText="141" w:vertAnchor="text" w:horzAnchor="margin" w:tblpXSpec="center" w:tblpY="2721"/>
        <w:tblW w:w="8876" w:type="dxa"/>
        <w:tblCellMar>
          <w:left w:w="70" w:type="dxa"/>
          <w:right w:w="70" w:type="dxa"/>
        </w:tblCellMar>
        <w:tblLook w:val="04A0"/>
      </w:tblPr>
      <w:tblGrid>
        <w:gridCol w:w="2208"/>
        <w:gridCol w:w="431"/>
        <w:gridCol w:w="992"/>
        <w:gridCol w:w="902"/>
        <w:gridCol w:w="828"/>
        <w:gridCol w:w="964"/>
        <w:gridCol w:w="793"/>
        <w:gridCol w:w="908"/>
        <w:gridCol w:w="850"/>
      </w:tblGrid>
      <w:tr w:rsidR="004D7618" w:rsidRPr="007C06B3" w:rsidTr="00A02752">
        <w:trPr>
          <w:trHeight w:val="300"/>
        </w:trPr>
        <w:tc>
          <w:tcPr>
            <w:tcW w:w="8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7618" w:rsidRPr="007A0D77" w:rsidRDefault="004D7618" w:rsidP="004D7618">
            <w:pPr>
              <w:rPr>
                <w:rFonts w:ascii="Arial" w:hAnsi="Arial" w:cs="Arial"/>
                <w:b/>
                <w:color w:val="000000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>Ženy 15leté a starší podle počtu živě narozených dětí a víry k 26.3.2011</w:t>
            </w:r>
          </w:p>
        </w:tc>
      </w:tr>
      <w:tr w:rsidR="004D7618" w:rsidRPr="007C06B3" w:rsidTr="00A02752">
        <w:trPr>
          <w:trHeight w:val="300"/>
        </w:trPr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Ženy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br/>
              <w:t>celkem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4D76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s počtem živě narozených dětí</w:t>
            </w:r>
          </w:p>
        </w:tc>
      </w:tr>
      <w:tr w:rsidR="004D7618" w:rsidRPr="007C06B3" w:rsidTr="00A02752">
        <w:trPr>
          <w:trHeight w:val="300"/>
        </w:trPr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4D7618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18" w:rsidRPr="007C06B3" w:rsidRDefault="00C606C2" w:rsidP="00C60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a </w:t>
            </w:r>
            <w:r w:rsidR="004D7618" w:rsidRPr="007C06B3">
              <w:rPr>
                <w:rFonts w:ascii="Arial" w:hAnsi="Arial" w:cs="Arial"/>
                <w:color w:val="000000"/>
                <w:sz w:val="18"/>
                <w:szCs w:val="18"/>
              </w:rPr>
              <w:t>více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Ženy celkem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4 601 815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998 012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832 605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1 877 779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547 754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114 856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48 719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ženy celkem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1 112 124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211 640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188 374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471 667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167 820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38 936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16 596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02752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752" w:rsidRPr="007C06B3" w:rsidRDefault="00A02752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z toho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752" w:rsidRPr="007C06B3" w:rsidRDefault="00A02752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2" w:rsidRPr="007C06B3" w:rsidRDefault="00A02752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A02752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D7618" w:rsidRPr="007C06B3">
              <w:rPr>
                <w:rFonts w:ascii="Arial" w:hAnsi="Arial" w:cs="Arial"/>
                <w:color w:val="000000"/>
                <w:sz w:val="18"/>
                <w:szCs w:val="18"/>
              </w:rPr>
              <w:t>Církev římskokatolická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559 043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93 653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83 529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243 309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97 206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23 523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9 984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7A0D77" w:rsidP="007A0D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</w:t>
            </w:r>
            <w:r w:rsidR="00AC172E">
              <w:rPr>
                <w:rFonts w:ascii="Arial" w:hAnsi="Arial" w:cs="Arial"/>
                <w:color w:val="000000"/>
                <w:sz w:val="18"/>
                <w:szCs w:val="18"/>
              </w:rPr>
              <w:t>eny b</w:t>
            </w:r>
            <w:r w:rsidR="004D7618" w:rsidRPr="007C06B3">
              <w:rPr>
                <w:rFonts w:ascii="Arial" w:hAnsi="Arial" w:cs="Arial"/>
                <w:color w:val="000000"/>
                <w:sz w:val="18"/>
                <w:szCs w:val="18"/>
              </w:rPr>
              <w:t>ez nábož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víry</w:t>
            </w:r>
            <w:r w:rsidR="004D7618"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1 493 511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398 761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283 378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605 564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143 948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24 919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8 787</w:t>
            </w:r>
          </w:p>
        </w:tc>
      </w:tr>
      <w:tr w:rsidR="004D7618" w:rsidRPr="007C06B3" w:rsidTr="007A0D77">
        <w:trPr>
          <w:trHeight w:hRule="exact" w:val="28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618" w:rsidRPr="007C06B3" w:rsidRDefault="004D7618" w:rsidP="004D7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A02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18" w:rsidRPr="007C06B3" w:rsidRDefault="004D7618" w:rsidP="004D76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</w:tbl>
    <w:p w:rsidR="00424ADA" w:rsidRPr="00424ADA" w:rsidRDefault="00C67A22" w:rsidP="00500710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Podíl bezdětných věřících žen je nižší než celorepublikový podíl</w:t>
      </w:r>
      <w:r w:rsidR="00A317EE">
        <w:rPr>
          <w:rFonts w:ascii="Arial" w:hAnsi="Arial"/>
          <w:sz w:val="20"/>
        </w:rPr>
        <w:t xml:space="preserve">, </w:t>
      </w:r>
      <w:r w:rsidR="00965BDC">
        <w:rPr>
          <w:rFonts w:ascii="Arial" w:hAnsi="Arial"/>
          <w:sz w:val="20"/>
        </w:rPr>
        <w:t xml:space="preserve">výraznější je </w:t>
      </w:r>
      <w:r w:rsidR="00A317EE">
        <w:rPr>
          <w:rFonts w:ascii="Arial" w:hAnsi="Arial"/>
          <w:sz w:val="20"/>
        </w:rPr>
        <w:t xml:space="preserve">ale </w:t>
      </w:r>
      <w:r w:rsidR="00965BDC">
        <w:rPr>
          <w:rFonts w:ascii="Arial" w:hAnsi="Arial"/>
          <w:sz w:val="20"/>
        </w:rPr>
        <w:t xml:space="preserve">rozdíl </w:t>
      </w:r>
      <w:r>
        <w:rPr>
          <w:rFonts w:ascii="Arial" w:hAnsi="Arial"/>
          <w:sz w:val="20"/>
        </w:rPr>
        <w:t>ve srovnání se ženami, které deklarovaly, že jsou bez víry</w:t>
      </w:r>
      <w:r w:rsidR="00965BDC"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 xml:space="preserve">podíl </w:t>
      </w:r>
      <w:r w:rsidR="00965BDC">
        <w:rPr>
          <w:rFonts w:ascii="Arial" w:hAnsi="Arial"/>
          <w:sz w:val="20"/>
        </w:rPr>
        <w:t xml:space="preserve">je </w:t>
      </w:r>
      <w:r>
        <w:rPr>
          <w:rFonts w:ascii="Arial" w:hAnsi="Arial"/>
          <w:sz w:val="20"/>
        </w:rPr>
        <w:t>nižší o téměř 8 bodů</w:t>
      </w:r>
      <w:r w:rsidR="00965BDC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. Na druhé straně v</w:t>
      </w:r>
      <w:r w:rsidR="00424ADA" w:rsidRPr="00424ADA">
        <w:rPr>
          <w:rFonts w:ascii="Arial" w:hAnsi="Arial"/>
          <w:sz w:val="20"/>
        </w:rPr>
        <w:t xml:space="preserve">ěřící ženy mají </w:t>
      </w:r>
      <w:r w:rsidR="00965BDC">
        <w:rPr>
          <w:rFonts w:ascii="Arial" w:hAnsi="Arial"/>
          <w:sz w:val="20"/>
        </w:rPr>
        <w:t xml:space="preserve">ve větší míře </w:t>
      </w:r>
      <w:r w:rsidR="00424ADA" w:rsidRPr="00424ADA">
        <w:rPr>
          <w:rFonts w:ascii="Arial" w:hAnsi="Arial"/>
          <w:sz w:val="20"/>
        </w:rPr>
        <w:t>vyšší poč</w:t>
      </w:r>
      <w:r>
        <w:rPr>
          <w:rFonts w:ascii="Arial" w:hAnsi="Arial"/>
          <w:sz w:val="20"/>
        </w:rPr>
        <w:t>e</w:t>
      </w:r>
      <w:r w:rsidR="00424ADA" w:rsidRPr="00424ADA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dětí</w:t>
      </w:r>
      <w:r w:rsidR="00424ADA" w:rsidRPr="00424ADA">
        <w:rPr>
          <w:rFonts w:ascii="Arial" w:hAnsi="Arial"/>
          <w:sz w:val="20"/>
        </w:rPr>
        <w:t xml:space="preserve">. Tři a více dětí má </w:t>
      </w:r>
      <w:r w:rsidR="00A317EE">
        <w:rPr>
          <w:rFonts w:ascii="Arial" w:hAnsi="Arial"/>
          <w:sz w:val="20"/>
        </w:rPr>
        <w:t xml:space="preserve">pětina věřících žen, ale </w:t>
      </w:r>
      <w:r w:rsidR="00424ADA" w:rsidRPr="00424ADA">
        <w:rPr>
          <w:rFonts w:ascii="Arial" w:hAnsi="Arial"/>
          <w:sz w:val="20"/>
        </w:rPr>
        <w:t xml:space="preserve">zhruba jen jedna desetina žen bez náboženské víry. </w:t>
      </w:r>
      <w:r w:rsidR="0045287A">
        <w:rPr>
          <w:rFonts w:ascii="Arial" w:hAnsi="Arial"/>
          <w:sz w:val="20"/>
        </w:rPr>
        <w:t>U žen, které deklarovaly příslušnost k Církvi římskokatolické se tento podíl již blíží čtvrtině z nich.</w:t>
      </w:r>
      <w:r w:rsidR="00424ADA" w:rsidRPr="00424ADA">
        <w:rPr>
          <w:rFonts w:ascii="Arial" w:hAnsi="Arial"/>
          <w:sz w:val="20"/>
        </w:rPr>
        <w:t xml:space="preserve"> Jinak řečeno </w:t>
      </w:r>
      <w:r w:rsidR="0045287A">
        <w:rPr>
          <w:rFonts w:ascii="Arial" w:hAnsi="Arial"/>
          <w:sz w:val="20"/>
        </w:rPr>
        <w:t xml:space="preserve">- </w:t>
      </w:r>
      <w:r w:rsidR="00424ADA" w:rsidRPr="00424ADA">
        <w:rPr>
          <w:rFonts w:ascii="Arial" w:hAnsi="Arial"/>
          <w:sz w:val="20"/>
        </w:rPr>
        <w:t>u věřících žen a zejména u žen katolického vyznání je podstatně méně bezdětných žen a žen s jedním dítětem</w:t>
      </w:r>
      <w:r w:rsidR="0045287A">
        <w:rPr>
          <w:rFonts w:ascii="Arial" w:hAnsi="Arial"/>
          <w:sz w:val="20"/>
        </w:rPr>
        <w:t xml:space="preserve"> a n</w:t>
      </w:r>
      <w:r w:rsidR="00424ADA" w:rsidRPr="00424ADA">
        <w:rPr>
          <w:rFonts w:ascii="Arial" w:hAnsi="Arial"/>
          <w:sz w:val="20"/>
        </w:rPr>
        <w:t>aopak více žen</w:t>
      </w:r>
      <w:r w:rsidR="0045287A">
        <w:rPr>
          <w:rFonts w:ascii="Arial" w:hAnsi="Arial"/>
          <w:sz w:val="20"/>
        </w:rPr>
        <w:t xml:space="preserve"> s větším počtem dětí. </w:t>
      </w:r>
      <w:r w:rsidR="00424ADA" w:rsidRPr="00424ADA">
        <w:rPr>
          <w:rFonts w:ascii="Arial" w:hAnsi="Arial"/>
          <w:sz w:val="20"/>
        </w:rPr>
        <w:t xml:space="preserve">Orientaci na větší počet dětí v rodině lze vysledovat i u některých </w:t>
      </w:r>
      <w:r w:rsidR="0045287A">
        <w:rPr>
          <w:rFonts w:ascii="Arial" w:hAnsi="Arial"/>
          <w:sz w:val="20"/>
        </w:rPr>
        <w:t>jiných</w:t>
      </w:r>
      <w:r w:rsidR="00424ADA" w:rsidRPr="00424ADA">
        <w:rPr>
          <w:rFonts w:ascii="Arial" w:hAnsi="Arial"/>
          <w:sz w:val="20"/>
        </w:rPr>
        <w:t xml:space="preserve"> církví, </w:t>
      </w:r>
      <w:r w:rsidR="00A317EE">
        <w:rPr>
          <w:rFonts w:ascii="Arial" w:hAnsi="Arial"/>
          <w:sz w:val="20"/>
        </w:rPr>
        <w:t>n</w:t>
      </w:r>
      <w:r w:rsidR="0045287A">
        <w:rPr>
          <w:rFonts w:ascii="Arial" w:hAnsi="Arial"/>
          <w:sz w:val="20"/>
        </w:rPr>
        <w:t>apř.</w:t>
      </w:r>
      <w:r w:rsidR="00424ADA" w:rsidRPr="00424ADA">
        <w:rPr>
          <w:rFonts w:ascii="Arial" w:hAnsi="Arial"/>
          <w:sz w:val="20"/>
        </w:rPr>
        <w:t xml:space="preserve"> Církev živého boha, u které je podíl žen se třemi a čtyřmi dětmi </w:t>
      </w:r>
      <w:r w:rsidR="00B40992">
        <w:rPr>
          <w:rFonts w:ascii="Arial" w:hAnsi="Arial"/>
          <w:sz w:val="20"/>
        </w:rPr>
        <w:t>více než čtvrtinový.</w:t>
      </w:r>
      <w:r w:rsidR="00424ADA" w:rsidRPr="00424ADA">
        <w:rPr>
          <w:rFonts w:ascii="Arial" w:hAnsi="Arial"/>
          <w:sz w:val="20"/>
        </w:rPr>
        <w:t xml:space="preserve"> Vícedětné rodiny mají rovněž ženy hlásící se k Církvi adventistů sedmého dne</w:t>
      </w:r>
      <w:r w:rsidR="00B40992">
        <w:rPr>
          <w:rFonts w:ascii="Arial" w:hAnsi="Arial"/>
          <w:sz w:val="20"/>
        </w:rPr>
        <w:t xml:space="preserve"> a Apoštolské církve</w:t>
      </w:r>
      <w:r w:rsidR="00424ADA" w:rsidRPr="00424ADA">
        <w:rPr>
          <w:rFonts w:ascii="Arial" w:hAnsi="Arial"/>
          <w:sz w:val="20"/>
        </w:rPr>
        <w:t xml:space="preserve">. </w:t>
      </w:r>
      <w:r w:rsidR="0045287A">
        <w:rPr>
          <w:rFonts w:ascii="Arial" w:hAnsi="Arial"/>
          <w:sz w:val="20"/>
        </w:rPr>
        <w:t>T</w:t>
      </w:r>
      <w:r w:rsidR="00424ADA" w:rsidRPr="00424ADA">
        <w:rPr>
          <w:rFonts w:ascii="Arial" w:hAnsi="Arial"/>
          <w:sz w:val="20"/>
        </w:rPr>
        <w:t xml:space="preserve">yto církve jsou </w:t>
      </w:r>
      <w:r w:rsidR="0045287A">
        <w:rPr>
          <w:rFonts w:ascii="Arial" w:hAnsi="Arial"/>
          <w:sz w:val="20"/>
        </w:rPr>
        <w:t>ale početně málo zastoupené,</w:t>
      </w:r>
      <w:r w:rsidR="00424ADA" w:rsidRPr="00424ADA">
        <w:rPr>
          <w:rFonts w:ascii="Arial" w:hAnsi="Arial"/>
          <w:sz w:val="20"/>
        </w:rPr>
        <w:t xml:space="preserve"> což zjištěné hodnoty</w:t>
      </w:r>
      <w:r w:rsidR="0045287A">
        <w:rPr>
          <w:rFonts w:ascii="Arial" w:hAnsi="Arial"/>
          <w:sz w:val="20"/>
        </w:rPr>
        <w:t xml:space="preserve"> výrazně</w:t>
      </w:r>
      <w:r w:rsidR="00424ADA" w:rsidRPr="00424ADA">
        <w:rPr>
          <w:rFonts w:ascii="Arial" w:hAnsi="Arial"/>
          <w:sz w:val="20"/>
        </w:rPr>
        <w:t xml:space="preserve"> relativizuje. </w:t>
      </w:r>
    </w:p>
    <w:p w:rsidR="00424ADA" w:rsidRPr="00424ADA" w:rsidRDefault="00424ADA" w:rsidP="00500710">
      <w:pPr>
        <w:pStyle w:val="Zkladntext"/>
        <w:spacing w:line="276" w:lineRule="auto"/>
        <w:rPr>
          <w:rFonts w:ascii="Arial" w:hAnsi="Arial"/>
          <w:sz w:val="20"/>
        </w:rPr>
      </w:pPr>
    </w:p>
    <w:p w:rsidR="00424ADA" w:rsidRPr="00424ADA" w:rsidRDefault="00B40992" w:rsidP="00500710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Rozdílnou úroveň </w:t>
      </w:r>
      <w:r w:rsidR="00424ADA" w:rsidRPr="00B40992">
        <w:rPr>
          <w:rFonts w:ascii="Arial" w:hAnsi="Arial"/>
          <w:sz w:val="20"/>
        </w:rPr>
        <w:t>plodnost</w:t>
      </w:r>
      <w:r>
        <w:rPr>
          <w:rFonts w:ascii="Arial" w:hAnsi="Arial"/>
          <w:sz w:val="20"/>
        </w:rPr>
        <w:t>i</w:t>
      </w:r>
      <w:r w:rsidR="00424ADA" w:rsidRPr="00B40992">
        <w:rPr>
          <w:rFonts w:ascii="Arial" w:hAnsi="Arial"/>
          <w:sz w:val="20"/>
        </w:rPr>
        <w:t xml:space="preserve"> žen ve vztahu k náboženské víře </w:t>
      </w:r>
      <w:r>
        <w:rPr>
          <w:rFonts w:ascii="Arial" w:hAnsi="Arial"/>
          <w:sz w:val="20"/>
        </w:rPr>
        <w:t>dokumentují také údaje o</w:t>
      </w:r>
      <w:r w:rsidR="00424ADA" w:rsidRPr="00B40992">
        <w:rPr>
          <w:rFonts w:ascii="Arial" w:hAnsi="Arial"/>
          <w:sz w:val="20"/>
        </w:rPr>
        <w:t xml:space="preserve"> průměr</w:t>
      </w:r>
      <w:r>
        <w:rPr>
          <w:rFonts w:ascii="Arial" w:hAnsi="Arial"/>
          <w:sz w:val="20"/>
        </w:rPr>
        <w:t>ném počtu živě narozených</w:t>
      </w:r>
      <w:r w:rsidR="00424ADA" w:rsidRPr="00B40992">
        <w:rPr>
          <w:rFonts w:ascii="Arial" w:hAnsi="Arial"/>
          <w:sz w:val="20"/>
        </w:rPr>
        <w:t xml:space="preserve"> dětí připadajících na ženu. I zde je zřejmé, že nábožensky orientované ženy dosahují vyšší plodnosti než ženy ostatní. Uplatňuje se zde zejména velký význam, který </w:t>
      </w:r>
      <w:r>
        <w:rPr>
          <w:rFonts w:ascii="Arial" w:hAnsi="Arial"/>
          <w:sz w:val="20"/>
        </w:rPr>
        <w:t>rodině s dětmi</w:t>
      </w:r>
      <w:r w:rsidR="00424ADA" w:rsidRPr="00B409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připisují</w:t>
      </w:r>
      <w:r w:rsidR="00424ADA" w:rsidRPr="00B40992">
        <w:rPr>
          <w:rFonts w:ascii="Arial" w:hAnsi="Arial"/>
          <w:sz w:val="20"/>
        </w:rPr>
        <w:t xml:space="preserve"> všechna náboženství.</w:t>
      </w:r>
      <w:r w:rsidR="00C429B8">
        <w:rPr>
          <w:rFonts w:ascii="Arial" w:hAnsi="Arial"/>
          <w:sz w:val="20"/>
        </w:rPr>
        <w:t xml:space="preserve"> </w:t>
      </w:r>
      <w:r w:rsidR="00424ADA" w:rsidRPr="00B40992">
        <w:rPr>
          <w:rFonts w:ascii="Arial" w:hAnsi="Arial"/>
          <w:sz w:val="20"/>
        </w:rPr>
        <w:t>S ohledem na postavení</w:t>
      </w:r>
      <w:r w:rsidR="00C429B8">
        <w:rPr>
          <w:rFonts w:ascii="Arial" w:hAnsi="Arial"/>
          <w:sz w:val="20"/>
        </w:rPr>
        <w:t xml:space="preserve">, </w:t>
      </w:r>
      <w:r w:rsidR="00424ADA" w:rsidRPr="00B40992">
        <w:rPr>
          <w:rFonts w:ascii="Arial" w:hAnsi="Arial"/>
          <w:sz w:val="20"/>
        </w:rPr>
        <w:t xml:space="preserve">význam </w:t>
      </w:r>
      <w:r w:rsidR="00C429B8">
        <w:rPr>
          <w:rFonts w:ascii="Arial" w:hAnsi="Arial"/>
          <w:sz w:val="20"/>
        </w:rPr>
        <w:t xml:space="preserve">i váhu (v početním vyjádření) </w:t>
      </w:r>
      <w:r w:rsidR="00424ADA" w:rsidRPr="00B40992">
        <w:rPr>
          <w:rFonts w:ascii="Arial" w:hAnsi="Arial"/>
          <w:sz w:val="20"/>
        </w:rPr>
        <w:t xml:space="preserve">římskokatolické církve mezi věřícími osobami </w:t>
      </w:r>
      <w:r w:rsidR="00C429B8">
        <w:rPr>
          <w:rFonts w:ascii="Arial" w:hAnsi="Arial"/>
          <w:sz w:val="20"/>
        </w:rPr>
        <w:t>spolu s postojem církve k</w:t>
      </w:r>
      <w:r w:rsidR="00424ADA" w:rsidRPr="00B40992">
        <w:rPr>
          <w:rFonts w:ascii="Arial" w:hAnsi="Arial"/>
          <w:sz w:val="20"/>
        </w:rPr>
        <w:t xml:space="preserve"> antikoncepci a preferování </w:t>
      </w:r>
      <w:r w:rsidR="00424ADA" w:rsidRPr="00B40992">
        <w:rPr>
          <w:rFonts w:ascii="Arial" w:hAnsi="Arial"/>
          <w:sz w:val="20"/>
        </w:rPr>
        <w:lastRenderedPageBreak/>
        <w:t xml:space="preserve">tzv. přirozeného plánování </w:t>
      </w:r>
      <w:r w:rsidR="00C429B8">
        <w:rPr>
          <w:rFonts w:ascii="Arial" w:hAnsi="Arial"/>
          <w:sz w:val="20"/>
        </w:rPr>
        <w:t>rodičovství, se t</w:t>
      </w:r>
      <w:r w:rsidR="00424ADA" w:rsidRPr="00B40992">
        <w:rPr>
          <w:rFonts w:ascii="Arial" w:hAnsi="Arial"/>
          <w:sz w:val="20"/>
        </w:rPr>
        <w:t xml:space="preserve">yto souvislosti projevují v tom, že nejvyšší plodnost </w:t>
      </w:r>
      <w:r w:rsidR="00C429B8">
        <w:rPr>
          <w:rFonts w:ascii="Arial" w:hAnsi="Arial"/>
          <w:sz w:val="20"/>
        </w:rPr>
        <w:t>byla</w:t>
      </w:r>
      <w:r w:rsidR="00424ADA" w:rsidRPr="00B40992">
        <w:rPr>
          <w:rFonts w:ascii="Arial" w:hAnsi="Arial"/>
          <w:sz w:val="20"/>
        </w:rPr>
        <w:t xml:space="preserve"> u žen hlásících se právě k této církvi.</w:t>
      </w:r>
    </w:p>
    <w:p w:rsidR="00586018" w:rsidRDefault="00586018" w:rsidP="00675773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424ADA" w:rsidRDefault="0033270D" w:rsidP="00675773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Největší rozdíl v plodnosti </w:t>
      </w:r>
      <w:r w:rsidR="00D16F6A">
        <w:rPr>
          <w:rFonts w:ascii="Arial" w:hAnsi="Arial"/>
          <w:sz w:val="20"/>
        </w:rPr>
        <w:t xml:space="preserve">mezi ženami věřícími a bez náboženské víry </w:t>
      </w:r>
      <w:r>
        <w:rPr>
          <w:rFonts w:ascii="Arial" w:hAnsi="Arial"/>
          <w:sz w:val="20"/>
        </w:rPr>
        <w:t xml:space="preserve">je </w:t>
      </w:r>
      <w:r w:rsidR="000F3F67">
        <w:rPr>
          <w:rFonts w:ascii="Arial" w:hAnsi="Arial"/>
          <w:sz w:val="20"/>
        </w:rPr>
        <w:t>viditelný</w:t>
      </w:r>
      <w:r>
        <w:rPr>
          <w:rFonts w:ascii="Arial" w:hAnsi="Arial"/>
          <w:sz w:val="20"/>
        </w:rPr>
        <w:t xml:space="preserve"> </w:t>
      </w:r>
      <w:r w:rsidR="00D16F6A">
        <w:rPr>
          <w:rFonts w:ascii="Arial" w:hAnsi="Arial"/>
          <w:sz w:val="20"/>
        </w:rPr>
        <w:t xml:space="preserve">při srovnání údajů o průměrném počtu dětí za ženy celkem, o něco nižší je při přepočtu pouze na ženy s dětmi. </w:t>
      </w:r>
      <w:r w:rsidR="00E115B2">
        <w:rPr>
          <w:rFonts w:ascii="Arial" w:hAnsi="Arial"/>
          <w:sz w:val="20"/>
        </w:rPr>
        <w:t>Rozdílná</w:t>
      </w:r>
      <w:r w:rsidRPr="0033270D">
        <w:rPr>
          <w:rFonts w:ascii="Arial" w:hAnsi="Arial"/>
          <w:sz w:val="20"/>
        </w:rPr>
        <w:t xml:space="preserve"> úroveň plodnosti populace žen věřících a nevěřících </w:t>
      </w:r>
      <w:r w:rsidR="00D16F6A">
        <w:rPr>
          <w:rFonts w:ascii="Arial" w:hAnsi="Arial"/>
          <w:sz w:val="20"/>
        </w:rPr>
        <w:t xml:space="preserve">jako celku </w:t>
      </w:r>
      <w:r w:rsidR="002C0967">
        <w:rPr>
          <w:rFonts w:ascii="Arial" w:hAnsi="Arial"/>
          <w:sz w:val="20"/>
        </w:rPr>
        <w:t xml:space="preserve">však </w:t>
      </w:r>
      <w:r w:rsidRPr="0033270D">
        <w:rPr>
          <w:rFonts w:ascii="Arial" w:hAnsi="Arial"/>
          <w:sz w:val="20"/>
        </w:rPr>
        <w:t xml:space="preserve">může </w:t>
      </w:r>
      <w:r w:rsidR="00E115B2">
        <w:rPr>
          <w:rFonts w:ascii="Arial" w:hAnsi="Arial"/>
          <w:sz w:val="20"/>
        </w:rPr>
        <w:t>být</w:t>
      </w:r>
      <w:r w:rsidRPr="0033270D">
        <w:rPr>
          <w:rFonts w:ascii="Arial" w:hAnsi="Arial"/>
          <w:sz w:val="20"/>
        </w:rPr>
        <w:t xml:space="preserve"> kromě různých postojů k rodičovství také částečně </w:t>
      </w:r>
      <w:r w:rsidR="00E115B2">
        <w:rPr>
          <w:rFonts w:ascii="Arial" w:hAnsi="Arial"/>
          <w:sz w:val="20"/>
        </w:rPr>
        <w:t>ov</w:t>
      </w:r>
      <w:r w:rsidRPr="0033270D">
        <w:rPr>
          <w:rFonts w:ascii="Arial" w:hAnsi="Arial"/>
          <w:sz w:val="20"/>
        </w:rPr>
        <w:t>liv</w:t>
      </w:r>
      <w:r w:rsidR="00E115B2">
        <w:rPr>
          <w:rFonts w:ascii="Arial" w:hAnsi="Arial"/>
          <w:sz w:val="20"/>
        </w:rPr>
        <w:t>něna odlišnou věkovou</w:t>
      </w:r>
      <w:r w:rsidRPr="0033270D">
        <w:rPr>
          <w:rFonts w:ascii="Arial" w:hAnsi="Arial"/>
          <w:sz w:val="20"/>
        </w:rPr>
        <w:t xml:space="preserve"> stru</w:t>
      </w:r>
      <w:r w:rsidR="00E115B2">
        <w:rPr>
          <w:rFonts w:ascii="Arial" w:hAnsi="Arial"/>
          <w:sz w:val="20"/>
        </w:rPr>
        <w:t>kturou</w:t>
      </w:r>
      <w:r w:rsidRPr="0033270D">
        <w:rPr>
          <w:rFonts w:ascii="Arial" w:hAnsi="Arial"/>
          <w:sz w:val="20"/>
        </w:rPr>
        <w:t xml:space="preserve"> obou skupin. </w:t>
      </w:r>
      <w:r w:rsidR="002C0967">
        <w:rPr>
          <w:rFonts w:ascii="Arial" w:hAnsi="Arial"/>
          <w:sz w:val="20"/>
        </w:rPr>
        <w:t>Mezi věřícími</w:t>
      </w:r>
      <w:r w:rsidRPr="0033270D">
        <w:rPr>
          <w:rFonts w:ascii="Arial" w:hAnsi="Arial"/>
          <w:sz w:val="20"/>
        </w:rPr>
        <w:t xml:space="preserve"> je vyšší zastoupení žen ve věku 60+, u nichž je jednak reprodukce již ukončena, jednak mají </w:t>
      </w:r>
      <w:r w:rsidR="00ED43FC">
        <w:rPr>
          <w:rFonts w:ascii="Arial" w:hAnsi="Arial"/>
          <w:sz w:val="20"/>
        </w:rPr>
        <w:t xml:space="preserve">obecně </w:t>
      </w:r>
      <w:r w:rsidRPr="0033270D">
        <w:rPr>
          <w:rFonts w:ascii="Arial" w:hAnsi="Arial"/>
          <w:sz w:val="20"/>
        </w:rPr>
        <w:t>v průměru o něco více dětí než pozdější generace.</w:t>
      </w:r>
      <w:r w:rsidR="000F3F67">
        <w:rPr>
          <w:rFonts w:ascii="Arial" w:hAnsi="Arial"/>
          <w:sz w:val="20"/>
        </w:rPr>
        <w:t xml:space="preserve"> Skutečný vliv náboženské víry je však patrný při pohledu na </w:t>
      </w:r>
      <w:r w:rsidR="00E115B2">
        <w:rPr>
          <w:rFonts w:ascii="Arial" w:hAnsi="Arial"/>
          <w:sz w:val="20"/>
        </w:rPr>
        <w:t>průměrný počet dětí</w:t>
      </w:r>
      <w:r w:rsidR="000F3F67" w:rsidRPr="000F3F67">
        <w:rPr>
          <w:rFonts w:ascii="Arial" w:hAnsi="Arial"/>
          <w:sz w:val="20"/>
        </w:rPr>
        <w:t xml:space="preserve"> věřících a nevěřících žen podle věkových skupin</w:t>
      </w:r>
      <w:r w:rsidR="00E115B2">
        <w:rPr>
          <w:rFonts w:ascii="Arial" w:hAnsi="Arial"/>
          <w:sz w:val="20"/>
        </w:rPr>
        <w:t>.V</w:t>
      </w:r>
      <w:r w:rsidR="00424ADA" w:rsidRPr="00424ADA">
        <w:rPr>
          <w:rFonts w:ascii="Arial" w:hAnsi="Arial"/>
          <w:sz w:val="20"/>
        </w:rPr>
        <w:t>e věkové kategorii 25</w:t>
      </w:r>
      <w:r w:rsidR="00A95326">
        <w:rPr>
          <w:rFonts w:ascii="Arial" w:hAnsi="Arial"/>
          <w:sz w:val="20"/>
        </w:rPr>
        <w:t>-</w:t>
      </w:r>
      <w:r w:rsidR="00424ADA" w:rsidRPr="00424ADA">
        <w:rPr>
          <w:rFonts w:ascii="Arial" w:hAnsi="Arial"/>
          <w:sz w:val="20"/>
        </w:rPr>
        <w:t xml:space="preserve">29letých žen došlo v souvislosti s posunem věku vstupu do manželství a narození prvního dítěte k výraznému poklesu bez </w:t>
      </w:r>
      <w:r w:rsidR="00F23973">
        <w:rPr>
          <w:rFonts w:ascii="Arial" w:hAnsi="Arial"/>
          <w:sz w:val="20"/>
        </w:rPr>
        <w:t>ohledu na vztah k</w:t>
      </w:r>
      <w:r w:rsidR="00424ADA" w:rsidRPr="00424ADA">
        <w:rPr>
          <w:rFonts w:ascii="Arial" w:hAnsi="Arial"/>
          <w:sz w:val="20"/>
        </w:rPr>
        <w:t xml:space="preserve"> náboženské </w:t>
      </w:r>
      <w:r w:rsidR="00F23973">
        <w:rPr>
          <w:rFonts w:ascii="Arial" w:hAnsi="Arial"/>
          <w:sz w:val="20"/>
        </w:rPr>
        <w:t>víře. U</w:t>
      </w:r>
      <w:r w:rsidR="00424ADA" w:rsidRPr="00424ADA">
        <w:rPr>
          <w:rFonts w:ascii="Arial" w:hAnsi="Arial"/>
          <w:sz w:val="20"/>
        </w:rPr>
        <w:t xml:space="preserve"> vyšších věkových </w:t>
      </w:r>
      <w:r w:rsidR="00F23973">
        <w:rPr>
          <w:rFonts w:ascii="Arial" w:hAnsi="Arial"/>
          <w:sz w:val="20"/>
        </w:rPr>
        <w:t>skupin</w:t>
      </w:r>
      <w:r w:rsidR="00424ADA" w:rsidRPr="00424ADA">
        <w:rPr>
          <w:rFonts w:ascii="Arial" w:hAnsi="Arial"/>
          <w:sz w:val="20"/>
        </w:rPr>
        <w:t xml:space="preserve"> je </w:t>
      </w:r>
      <w:r w:rsidR="00F23973">
        <w:rPr>
          <w:rFonts w:ascii="Arial" w:hAnsi="Arial"/>
          <w:sz w:val="20"/>
        </w:rPr>
        <w:t xml:space="preserve">již </w:t>
      </w:r>
      <w:r w:rsidR="00424ADA" w:rsidRPr="00424ADA">
        <w:rPr>
          <w:rFonts w:ascii="Arial" w:hAnsi="Arial"/>
          <w:sz w:val="20"/>
        </w:rPr>
        <w:t xml:space="preserve">diferenciace zřejmá. Podstatná je u věřících hlásících se ke konkrétní církvi, zejména již jmenované </w:t>
      </w:r>
      <w:r w:rsidR="00B40992">
        <w:rPr>
          <w:rFonts w:ascii="Arial" w:hAnsi="Arial"/>
          <w:sz w:val="20"/>
        </w:rPr>
        <w:t xml:space="preserve">Církvi </w:t>
      </w:r>
      <w:r w:rsidR="00424ADA" w:rsidRPr="00424ADA">
        <w:rPr>
          <w:rFonts w:ascii="Arial" w:hAnsi="Arial"/>
          <w:sz w:val="20"/>
        </w:rPr>
        <w:t xml:space="preserve">římskokatolické. </w:t>
      </w:r>
      <w:r w:rsidR="00BE3B6F">
        <w:rPr>
          <w:rFonts w:ascii="Arial" w:hAnsi="Arial"/>
          <w:sz w:val="20"/>
        </w:rPr>
        <w:t>V údajích</w:t>
      </w:r>
      <w:r w:rsidR="008913A4">
        <w:rPr>
          <w:rFonts w:ascii="Arial" w:hAnsi="Arial"/>
          <w:sz w:val="20"/>
        </w:rPr>
        <w:t xml:space="preserve"> o průměrném počtu dětí za jednotlivé věkové skupiny naopak rozdíly </w:t>
      </w:r>
      <w:r w:rsidR="008913A4" w:rsidRPr="00424ADA">
        <w:rPr>
          <w:rFonts w:ascii="Arial" w:hAnsi="Arial"/>
          <w:sz w:val="20"/>
        </w:rPr>
        <w:t xml:space="preserve">mezi </w:t>
      </w:r>
      <w:r w:rsidR="006660C0">
        <w:rPr>
          <w:rFonts w:ascii="Arial" w:hAnsi="Arial"/>
          <w:sz w:val="20"/>
        </w:rPr>
        <w:t>věřícími a nevěřícími vystupuj</w:t>
      </w:r>
      <w:r w:rsidR="008913A4">
        <w:rPr>
          <w:rFonts w:ascii="Arial" w:hAnsi="Arial"/>
          <w:sz w:val="20"/>
        </w:rPr>
        <w:t xml:space="preserve">í zřetelněji u </w:t>
      </w:r>
      <w:r w:rsidR="00E115B2" w:rsidRPr="00424ADA">
        <w:rPr>
          <w:rFonts w:ascii="Arial" w:hAnsi="Arial"/>
          <w:sz w:val="20"/>
        </w:rPr>
        <w:t xml:space="preserve">žen s dětmi </w:t>
      </w:r>
      <w:r w:rsidR="008913A4">
        <w:rPr>
          <w:rFonts w:ascii="Arial" w:hAnsi="Arial"/>
          <w:sz w:val="20"/>
        </w:rPr>
        <w:t>než u žen celkem</w:t>
      </w:r>
      <w:r w:rsidR="00E115B2" w:rsidRPr="00424ADA">
        <w:rPr>
          <w:rFonts w:ascii="Arial" w:hAnsi="Arial"/>
          <w:sz w:val="20"/>
        </w:rPr>
        <w:t>.</w:t>
      </w:r>
      <w:r w:rsidR="00E115B2">
        <w:rPr>
          <w:rFonts w:ascii="Arial" w:hAnsi="Arial"/>
          <w:sz w:val="20"/>
        </w:rPr>
        <w:t xml:space="preserve"> </w:t>
      </w:r>
      <w:r w:rsidR="00424ADA" w:rsidRPr="00424ADA">
        <w:rPr>
          <w:rFonts w:ascii="Arial" w:hAnsi="Arial"/>
          <w:sz w:val="20"/>
        </w:rPr>
        <w:t xml:space="preserve">V případě věřících nehlásících se k církvi je plodnost žen téměř totožná se ženami bez náboženské víry. </w:t>
      </w:r>
    </w:p>
    <w:p w:rsidR="00BD5B05" w:rsidRDefault="00BD5B05" w:rsidP="00500710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tbl>
      <w:tblPr>
        <w:tblW w:w="866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58"/>
        <w:gridCol w:w="1392"/>
        <w:gridCol w:w="1276"/>
        <w:gridCol w:w="1134"/>
        <w:gridCol w:w="1276"/>
        <w:gridCol w:w="1134"/>
        <w:gridCol w:w="992"/>
      </w:tblGrid>
      <w:tr w:rsidR="00BD5B05" w:rsidRPr="00586018" w:rsidTr="00415311">
        <w:trPr>
          <w:trHeight w:val="300"/>
          <w:jc w:val="center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B05" w:rsidRPr="00586018" w:rsidRDefault="00BD5B05" w:rsidP="007A0D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 xml:space="preserve">Průměrný počet živě narozených dětí ženám ve věku 15 a více let  podle náboženského vyznání a </w:t>
            </w:r>
            <w:r w:rsidR="007A0D77">
              <w:rPr>
                <w:rFonts w:ascii="Arial" w:hAnsi="Arial" w:cs="Arial"/>
                <w:b/>
                <w:color w:val="000000"/>
              </w:rPr>
              <w:t xml:space="preserve">podle </w:t>
            </w:r>
            <w:r w:rsidRPr="007A0D77">
              <w:rPr>
                <w:rFonts w:ascii="Arial" w:hAnsi="Arial" w:cs="Arial"/>
                <w:b/>
                <w:color w:val="000000"/>
              </w:rPr>
              <w:t>věku ženy</w:t>
            </w:r>
            <w:r w:rsidR="007A0D77">
              <w:rPr>
                <w:rFonts w:ascii="Arial" w:hAnsi="Arial" w:cs="Arial"/>
                <w:b/>
                <w:color w:val="000000"/>
              </w:rPr>
              <w:t xml:space="preserve"> k 26.3.2011</w:t>
            </w:r>
          </w:p>
        </w:tc>
      </w:tr>
      <w:tr w:rsidR="00BD5B05" w:rsidRPr="00586018" w:rsidTr="00415311">
        <w:trPr>
          <w:trHeight w:val="300"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7A0D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Věk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 xml:space="preserve">Ženy ve věku </w:t>
            </w: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br/>
              <w:t>15 a více let</w:t>
            </w: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celkem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z toho</w:t>
            </w:r>
          </w:p>
        </w:tc>
      </w:tr>
      <w:tr w:rsidR="00BD5B05" w:rsidRPr="00586018" w:rsidTr="00415311">
        <w:trPr>
          <w:trHeight w:val="1200"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věřící nehlásící se k církvi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věřící hlásící se k církvi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C5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z toho Církev římskokato</w:t>
            </w:r>
            <w:r w:rsidR="006604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lická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bez nábožen-</w:t>
            </w:r>
          </w:p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ské víry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neuve-</w:t>
            </w:r>
          </w:p>
          <w:p w:rsidR="00BD5B05" w:rsidRPr="00586018" w:rsidRDefault="00BD5B05" w:rsidP="00BD5B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deno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Ženy celkem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Ženy s dětmi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BD5B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</w:tr>
      <w:tr w:rsidR="00BD5B05" w:rsidRPr="00586018" w:rsidTr="007A0D77">
        <w:trPr>
          <w:cantSplit/>
          <w:trHeight w:hRule="exact" w:val="284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B05" w:rsidRPr="00586018" w:rsidRDefault="00BD5B05" w:rsidP="0058601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B05" w:rsidRPr="00586018" w:rsidRDefault="00BD5B05" w:rsidP="00BD5B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018"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</w:tbl>
    <w:p w:rsidR="00AD66F7" w:rsidRDefault="00AD66F7" w:rsidP="00500710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0C595C" w:rsidRPr="00EF53CB" w:rsidRDefault="00AD66F7" w:rsidP="00654572">
      <w:pPr>
        <w:pStyle w:val="Zkladntext"/>
        <w:spacing w:line="276" w:lineRule="auto"/>
        <w:ind w:firstLine="426"/>
        <w:jc w:val="both"/>
        <w:rPr>
          <w:rFonts w:ascii="Arial" w:hAnsi="Arial"/>
          <w:b/>
          <w:szCs w:val="24"/>
        </w:rPr>
      </w:pPr>
      <w:r>
        <w:rPr>
          <w:rFonts w:ascii="Arial" w:hAnsi="Arial"/>
          <w:sz w:val="20"/>
        </w:rPr>
        <w:br w:type="page"/>
      </w:r>
      <w:r w:rsidR="00EB78AD" w:rsidRPr="00EF53CB">
        <w:rPr>
          <w:rFonts w:ascii="Arial" w:hAnsi="Arial"/>
          <w:b/>
          <w:szCs w:val="24"/>
        </w:rPr>
        <w:lastRenderedPageBreak/>
        <w:t>2.4</w:t>
      </w:r>
      <w:r w:rsidR="00981D40">
        <w:rPr>
          <w:rFonts w:ascii="Arial" w:hAnsi="Arial"/>
          <w:b/>
          <w:szCs w:val="24"/>
        </w:rPr>
        <w:t>.</w:t>
      </w:r>
      <w:r w:rsidR="00EB78AD" w:rsidRPr="00EF53CB">
        <w:rPr>
          <w:rFonts w:ascii="Arial" w:hAnsi="Arial"/>
          <w:b/>
          <w:szCs w:val="24"/>
        </w:rPr>
        <w:tab/>
      </w:r>
      <w:r w:rsidR="000C595C" w:rsidRPr="00EF53CB">
        <w:rPr>
          <w:rFonts w:ascii="Arial" w:hAnsi="Arial"/>
          <w:b/>
          <w:szCs w:val="24"/>
        </w:rPr>
        <w:t>Rodiny</w:t>
      </w:r>
      <w:r w:rsidR="00415311">
        <w:rPr>
          <w:rFonts w:ascii="Arial" w:hAnsi="Arial"/>
          <w:b/>
          <w:szCs w:val="24"/>
        </w:rPr>
        <w:t xml:space="preserve"> a domácnosti</w:t>
      </w:r>
    </w:p>
    <w:p w:rsidR="000C595C" w:rsidRDefault="000C595C" w:rsidP="006604C5">
      <w:pPr>
        <w:pStyle w:val="Zkladntext"/>
        <w:keepNext/>
        <w:keepLines/>
        <w:spacing w:line="276" w:lineRule="auto"/>
        <w:jc w:val="both"/>
        <w:rPr>
          <w:rFonts w:ascii="Arial" w:hAnsi="Arial"/>
          <w:sz w:val="20"/>
        </w:rPr>
      </w:pPr>
    </w:p>
    <w:p w:rsidR="00D03781" w:rsidRDefault="007E1264" w:rsidP="006604C5">
      <w:pPr>
        <w:pStyle w:val="Zkladntext"/>
        <w:keepNext/>
        <w:keepLines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Tradičními výstupy sčítání jsou i informace o </w:t>
      </w:r>
      <w:r w:rsidRPr="000C595C">
        <w:rPr>
          <w:rFonts w:ascii="Arial" w:hAnsi="Arial"/>
          <w:sz w:val="20"/>
        </w:rPr>
        <w:t>složení úplných rodin podle</w:t>
      </w:r>
      <w:r w:rsidR="00AF70E9" w:rsidRPr="000C595C">
        <w:rPr>
          <w:rFonts w:ascii="Arial" w:hAnsi="Arial"/>
          <w:sz w:val="20"/>
        </w:rPr>
        <w:t xml:space="preserve"> deklarace</w:t>
      </w:r>
      <w:r w:rsidRPr="000C595C">
        <w:rPr>
          <w:rFonts w:ascii="Arial" w:hAnsi="Arial"/>
          <w:sz w:val="20"/>
        </w:rPr>
        <w:t xml:space="preserve"> vztahu k víře manželů nebo partnerů. Výsledky sčítání 2011 s vysokým počtem osob, které odpověď neuvedly, neumožňují hodnocení </w:t>
      </w:r>
      <w:r w:rsidR="00D03781" w:rsidRPr="000C595C">
        <w:rPr>
          <w:rFonts w:ascii="Arial" w:hAnsi="Arial"/>
          <w:sz w:val="20"/>
        </w:rPr>
        <w:t>absolutních údajů</w:t>
      </w:r>
      <w:r w:rsidR="00D0378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</w:t>
      </w:r>
      <w:r w:rsidR="00AF70E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čase</w:t>
      </w:r>
      <w:r w:rsidR="00AF70E9">
        <w:rPr>
          <w:rFonts w:ascii="Arial" w:hAnsi="Arial"/>
          <w:sz w:val="20"/>
        </w:rPr>
        <w:t>; k</w:t>
      </w:r>
      <w:r>
        <w:rPr>
          <w:rFonts w:ascii="Arial" w:hAnsi="Arial"/>
          <w:sz w:val="20"/>
        </w:rPr>
        <w:t>romě toho se změnila i metodika domácností, kdy základní jednotkou místo dřívějších cenzových byly domácnosti hospodařící. Přesto i z</w:t>
      </w:r>
      <w:r w:rsidR="00AF70E9">
        <w:rPr>
          <w:rFonts w:ascii="Arial" w:hAnsi="Arial"/>
          <w:sz w:val="20"/>
        </w:rPr>
        <w:t> relativních údajů</w:t>
      </w:r>
      <w:r>
        <w:rPr>
          <w:rFonts w:ascii="Arial" w:hAnsi="Arial"/>
          <w:sz w:val="20"/>
        </w:rPr>
        <w:t xml:space="preserve"> vyplynuly některé poznatky, které lze považovat za dostatečně </w:t>
      </w:r>
      <w:r w:rsidR="00AF70E9">
        <w:rPr>
          <w:rFonts w:ascii="Arial" w:hAnsi="Arial"/>
          <w:sz w:val="20"/>
        </w:rPr>
        <w:t xml:space="preserve">věrohodné charakteristiky rodin. </w:t>
      </w:r>
      <w:r w:rsidR="009B3A92">
        <w:rPr>
          <w:rFonts w:ascii="Arial" w:hAnsi="Arial"/>
          <w:sz w:val="20"/>
        </w:rPr>
        <w:t>Údaje o náboženské víře v úplných rodinách jsou za domácnosti tvořené jednou rodinou.</w:t>
      </w:r>
    </w:p>
    <w:p w:rsidR="00D03781" w:rsidRDefault="00D03781" w:rsidP="00D0378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7E1264" w:rsidRDefault="00C630D5" w:rsidP="00D03781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 pohledu náboženské víry je hlavní charakteristikou rodin míra shody deklarace vztahu k víře u všech členů domácnosti. Protože za nezletilé děti poskytovaly údaje většinou jejich rodiče, význam má spíše deklarace dospělých osob, a to především v případě úplných rodin - tedy porovnání deklarace osoby v čele a manželky nebo družky. Z výsledků sčítání 2011</w:t>
      </w:r>
      <w:r w:rsidR="00E03E1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 zřejmé, že č</w:t>
      </w:r>
      <w:r w:rsidR="00E03E19">
        <w:rPr>
          <w:rFonts w:ascii="Arial" w:hAnsi="Arial"/>
          <w:sz w:val="20"/>
        </w:rPr>
        <w:t>tyři páry z pěti měly shodnou volbu vztahu k víře, pouze v jedné pětině manželských párů a faktických manželství se partneři ve své volbě lišili.</w:t>
      </w:r>
    </w:p>
    <w:p w:rsidR="00483275" w:rsidRDefault="00483275" w:rsidP="00D0378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483275" w:rsidRDefault="00483275" w:rsidP="00D0378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7E1264" w:rsidRPr="00424ADA" w:rsidRDefault="00862C77" w:rsidP="007A0D77">
      <w:pPr>
        <w:pStyle w:val="Zkladntext"/>
        <w:spacing w:line="276" w:lineRule="auto"/>
        <w:jc w:val="center"/>
        <w:rPr>
          <w:rFonts w:ascii="Arial" w:hAnsi="Arial"/>
          <w:sz w:val="20"/>
        </w:rPr>
      </w:pPr>
      <w:r w:rsidRPr="00862C77">
        <w:rPr>
          <w:rFonts w:ascii="Arial" w:hAnsi="Arial"/>
          <w:noProof/>
          <w:sz w:val="20"/>
        </w:rPr>
        <w:pict>
          <v:shape id="_x0000_i1026" type="#_x0000_t75" style="width:343.5pt;height:20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EftY2wAAAAUBAAAPAAAAZHJzL2Rvd25y&#10;ZXYueG1sTI/BTsMwEETvSPyDtUjcqNOkoSjEqSIQFw6VWvgA116SiHgdYqdN+Xq2XOAy0mhWM2/L&#10;zex6ccQxdJ4ULBcJCCTjbUeNgve3l7sHECFqsrr3hArOGGBTXV+VurD+RDs87mMjuIRCoRW0MQ6F&#10;lMG06HRY+AGJsw8/Oh3Zjo20oz5xuetlmiT30umOeKHVAz61aD73k1MwTcPqvMtT3H7X5jU39fp5&#10;+TUqdXsz148gIs7x7xgu+IwOFTMd/EQ2iF4BPxJ/lbN1mrE9KFhlWQ6yKuV/+uoH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">
            <v:imagedata r:id="rId8" o:title=""/>
            <o:lock v:ext="edit" aspectratio="f"/>
          </v:shape>
        </w:pict>
      </w:r>
    </w:p>
    <w:p w:rsidR="00C5183C" w:rsidRDefault="00C5183C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C5183C" w:rsidRDefault="00C5183C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skupině párů, kde byli oba partneři věřící, více než dvě třetiny tvořily páry hlásící se k církvi. Více než pětina připadla na páry, kde oba shodně uvedli, že jsou věřící bez vazby na církev. Kombinace, kdy jeden se k církvi hlásil a druhý byl věřící nehlásící se k církvi, tvořila </w:t>
      </w:r>
      <w:r w:rsidR="00B370F0">
        <w:rPr>
          <w:rFonts w:ascii="Arial" w:hAnsi="Arial"/>
          <w:sz w:val="20"/>
        </w:rPr>
        <w:t>necelou desetinu věřících párů.</w:t>
      </w:r>
    </w:p>
    <w:p w:rsidR="00B370F0" w:rsidRDefault="00B370F0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B370F0" w:rsidRDefault="009B3A92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Rodin</w:t>
      </w:r>
      <w:r w:rsidR="00B370F0">
        <w:rPr>
          <w:rFonts w:ascii="Arial" w:hAnsi="Arial"/>
          <w:sz w:val="20"/>
        </w:rPr>
        <w:t xml:space="preserve">, kde </w:t>
      </w:r>
      <w:r w:rsidR="00201009">
        <w:rPr>
          <w:rFonts w:ascii="Arial" w:hAnsi="Arial"/>
          <w:sz w:val="20"/>
        </w:rPr>
        <w:t>pouze jeden z partnerů byl věřící, bylo celkem 14 %, přitom zhruba 8 % ze všech manželských párů a faktických manželství (tedy ně</w:t>
      </w:r>
      <w:r>
        <w:rPr>
          <w:rFonts w:ascii="Arial" w:hAnsi="Arial"/>
          <w:sz w:val="20"/>
        </w:rPr>
        <w:t>co přes polovinu z této skupiny</w:t>
      </w:r>
      <w:r w:rsidR="00201009">
        <w:rPr>
          <w:rFonts w:ascii="Arial" w:hAnsi="Arial"/>
          <w:sz w:val="20"/>
        </w:rPr>
        <w:t xml:space="preserve">) tvořily případy, kdy </w:t>
      </w:r>
      <w:r w:rsidR="00B370F0">
        <w:rPr>
          <w:rFonts w:ascii="Arial" w:hAnsi="Arial"/>
          <w:sz w:val="20"/>
        </w:rPr>
        <w:t>jeden byl věřící a druhý bez víry</w:t>
      </w:r>
      <w:r w:rsidR="00201009">
        <w:rPr>
          <w:rFonts w:ascii="Arial" w:hAnsi="Arial"/>
          <w:sz w:val="20"/>
        </w:rPr>
        <w:t>. V ostatních případech druhý z partnerů svůj vztah k víře neuvedl.</w:t>
      </w:r>
      <w:r w:rsidR="00B370F0">
        <w:rPr>
          <w:rFonts w:ascii="Arial" w:hAnsi="Arial"/>
          <w:sz w:val="20"/>
        </w:rPr>
        <w:t xml:space="preserve"> </w:t>
      </w:r>
      <w:r w:rsidR="00201009">
        <w:rPr>
          <w:rFonts w:ascii="Arial" w:hAnsi="Arial"/>
          <w:sz w:val="20"/>
        </w:rPr>
        <w:t>Ve skupině úplných rodin s kombinací „věřící a bez víry“ p</w:t>
      </w:r>
      <w:r w:rsidR="006604C5">
        <w:rPr>
          <w:rFonts w:ascii="Arial" w:hAnsi="Arial"/>
          <w:sz w:val="20"/>
        </w:rPr>
        <w:t>řevažovaly (</w:t>
      </w:r>
      <w:r w:rsidR="00B370F0">
        <w:rPr>
          <w:rFonts w:ascii="Arial" w:hAnsi="Arial"/>
          <w:sz w:val="20"/>
        </w:rPr>
        <w:t>více jak tři pětiny</w:t>
      </w:r>
      <w:r w:rsidR="006604C5">
        <w:rPr>
          <w:rFonts w:ascii="Arial" w:hAnsi="Arial"/>
          <w:sz w:val="20"/>
        </w:rPr>
        <w:t>)</w:t>
      </w:r>
      <w:r w:rsidR="00B370F0">
        <w:rPr>
          <w:rFonts w:ascii="Arial" w:hAnsi="Arial"/>
          <w:sz w:val="20"/>
        </w:rPr>
        <w:t xml:space="preserve"> případy, kdy věřící byla žena a bez víry </w:t>
      </w:r>
      <w:r w:rsidR="00201009">
        <w:rPr>
          <w:rFonts w:ascii="Arial" w:hAnsi="Arial"/>
          <w:sz w:val="20"/>
        </w:rPr>
        <w:t xml:space="preserve">byl </w:t>
      </w:r>
      <w:r w:rsidR="00B370F0">
        <w:rPr>
          <w:rFonts w:ascii="Arial" w:hAnsi="Arial"/>
          <w:sz w:val="20"/>
        </w:rPr>
        <w:t>muž.</w:t>
      </w:r>
      <w:r w:rsidR="00201009">
        <w:rPr>
          <w:rFonts w:ascii="Arial" w:hAnsi="Arial"/>
          <w:sz w:val="20"/>
        </w:rPr>
        <w:t xml:space="preserve"> </w:t>
      </w:r>
    </w:p>
    <w:p w:rsidR="00701739" w:rsidRDefault="00701739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701739" w:rsidRDefault="002074C5" w:rsidP="00701739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Jiný</w:t>
      </w:r>
      <w:r w:rsidR="00201009">
        <w:rPr>
          <w:rFonts w:ascii="Arial" w:hAnsi="Arial"/>
          <w:sz w:val="20"/>
        </w:rPr>
        <w:t xml:space="preserve"> úhel pohledu nabízejí</w:t>
      </w:r>
      <w:r>
        <w:rPr>
          <w:rFonts w:ascii="Arial" w:hAnsi="Arial"/>
          <w:sz w:val="20"/>
        </w:rPr>
        <w:t xml:space="preserve"> data o struktuře osob žijících v domácnostech podle typu domácnosti a podle deklarace víry.</w:t>
      </w:r>
      <w:r w:rsidR="007124FB">
        <w:rPr>
          <w:rFonts w:ascii="Arial" w:hAnsi="Arial"/>
          <w:sz w:val="20"/>
        </w:rPr>
        <w:t xml:space="preserve"> </w:t>
      </w:r>
      <w:r w:rsidR="003F5257">
        <w:rPr>
          <w:rFonts w:ascii="Arial" w:hAnsi="Arial"/>
          <w:sz w:val="20"/>
        </w:rPr>
        <w:t xml:space="preserve">Z celkového počtu </w:t>
      </w:r>
      <w:r w:rsidR="00201009">
        <w:rPr>
          <w:rFonts w:ascii="Arial" w:hAnsi="Arial"/>
          <w:sz w:val="20"/>
        </w:rPr>
        <w:t xml:space="preserve">10 436 560 </w:t>
      </w:r>
      <w:r w:rsidR="003F5257">
        <w:rPr>
          <w:rFonts w:ascii="Arial" w:hAnsi="Arial"/>
          <w:sz w:val="20"/>
        </w:rPr>
        <w:t xml:space="preserve">obvykle bydlících obyvatel žilo v domácnostech 10 239 </w:t>
      </w:r>
      <w:r w:rsidR="00415311">
        <w:rPr>
          <w:rFonts w:ascii="Arial" w:hAnsi="Arial"/>
          <w:sz w:val="20"/>
        </w:rPr>
        <w:t>015</w:t>
      </w:r>
      <w:r w:rsidR="003F5257">
        <w:rPr>
          <w:rFonts w:ascii="Arial" w:hAnsi="Arial"/>
          <w:sz w:val="20"/>
        </w:rPr>
        <w:t xml:space="preserve"> osob</w:t>
      </w:r>
      <w:r w:rsidR="00B438B2">
        <w:rPr>
          <w:rFonts w:ascii="Arial" w:hAnsi="Arial"/>
          <w:sz w:val="20"/>
        </w:rPr>
        <w:t xml:space="preserve"> </w:t>
      </w:r>
      <w:r w:rsidR="00201009">
        <w:rPr>
          <w:rFonts w:ascii="Arial" w:hAnsi="Arial"/>
          <w:sz w:val="20"/>
        </w:rPr>
        <w:t>(domácnosti netvořili bezdomovci a jednotlivé osoby bydlící v zařízeních)</w:t>
      </w:r>
      <w:r w:rsidR="003F5257">
        <w:rPr>
          <w:rFonts w:ascii="Arial" w:hAnsi="Arial"/>
          <w:sz w:val="20"/>
        </w:rPr>
        <w:t xml:space="preserve">. </w:t>
      </w:r>
      <w:r w:rsidR="00E84138">
        <w:rPr>
          <w:rFonts w:ascii="Arial" w:hAnsi="Arial"/>
          <w:sz w:val="20"/>
        </w:rPr>
        <w:t xml:space="preserve">V populaci celkem </w:t>
      </w:r>
      <w:r w:rsidR="004A03FF">
        <w:rPr>
          <w:rFonts w:ascii="Arial" w:hAnsi="Arial"/>
          <w:sz w:val="20"/>
        </w:rPr>
        <w:t xml:space="preserve">nejvyšší podíl osob připadl na úplné rodiny-manželské páry (žilo v nich téměř 56 % osob), druhým nejčetnějším typem domácnosti byly neúplné rodiny (15 % osob) a dále domácnosti jednotlivců (14 %). Stejné pořadí a zhruba i shodné proporce byly </w:t>
      </w:r>
      <w:r w:rsidR="00943A5B">
        <w:rPr>
          <w:rFonts w:ascii="Arial" w:hAnsi="Arial"/>
          <w:sz w:val="20"/>
        </w:rPr>
        <w:t xml:space="preserve">u osob, které svůj vztah k víře neuvedly a u osob bez náboženské víry. Významně odlišnou strukturu rozložení osob podle typu domácnosti měly </w:t>
      </w:r>
      <w:r w:rsidR="0098754A">
        <w:rPr>
          <w:rFonts w:ascii="Arial" w:hAnsi="Arial"/>
          <w:sz w:val="20"/>
        </w:rPr>
        <w:t xml:space="preserve">ale </w:t>
      </w:r>
      <w:r w:rsidR="00943A5B">
        <w:rPr>
          <w:rFonts w:ascii="Arial" w:hAnsi="Arial"/>
          <w:sz w:val="20"/>
        </w:rPr>
        <w:t xml:space="preserve">osoby </w:t>
      </w:r>
      <w:r w:rsidR="0098754A">
        <w:rPr>
          <w:rFonts w:ascii="Arial" w:hAnsi="Arial"/>
          <w:sz w:val="20"/>
        </w:rPr>
        <w:t xml:space="preserve">věřící </w:t>
      </w:r>
      <w:r w:rsidR="00A95326">
        <w:rPr>
          <w:rFonts w:ascii="Arial" w:hAnsi="Arial"/>
          <w:sz w:val="20"/>
        </w:rPr>
        <w:t>-</w:t>
      </w:r>
      <w:r w:rsidR="0098754A">
        <w:rPr>
          <w:rFonts w:ascii="Arial" w:hAnsi="Arial"/>
          <w:sz w:val="20"/>
        </w:rPr>
        <w:t xml:space="preserve"> obzvláště pak věřící hlásící se k církvi nebo náboženské </w:t>
      </w:r>
      <w:r w:rsidR="0098754A">
        <w:rPr>
          <w:rFonts w:ascii="Arial" w:hAnsi="Arial"/>
          <w:sz w:val="20"/>
        </w:rPr>
        <w:lastRenderedPageBreak/>
        <w:t>společnosti.</w:t>
      </w:r>
      <w:r w:rsidR="00701739">
        <w:rPr>
          <w:rFonts w:ascii="Arial" w:hAnsi="Arial"/>
          <w:sz w:val="20"/>
        </w:rPr>
        <w:t xml:space="preserve"> </w:t>
      </w:r>
      <w:r w:rsidR="0098754A">
        <w:rPr>
          <w:rFonts w:ascii="Arial" w:hAnsi="Arial"/>
          <w:sz w:val="20"/>
        </w:rPr>
        <w:t>Z</w:t>
      </w:r>
      <w:r w:rsidR="00701739">
        <w:rPr>
          <w:rFonts w:ascii="Arial" w:hAnsi="Arial"/>
          <w:sz w:val="20"/>
        </w:rPr>
        <w:t xml:space="preserve">astoupení úplných rodin </w:t>
      </w:r>
      <w:r w:rsidR="00A95326">
        <w:rPr>
          <w:rFonts w:ascii="Arial" w:hAnsi="Arial"/>
          <w:sz w:val="20"/>
        </w:rPr>
        <w:t>-</w:t>
      </w:r>
      <w:r w:rsidR="00701739">
        <w:rPr>
          <w:rFonts w:ascii="Arial" w:hAnsi="Arial"/>
          <w:sz w:val="20"/>
        </w:rPr>
        <w:t xml:space="preserve"> svazků de iure (tj. manželství) </w:t>
      </w:r>
      <w:r w:rsidR="0098754A">
        <w:rPr>
          <w:rFonts w:ascii="Arial" w:hAnsi="Arial"/>
          <w:sz w:val="20"/>
        </w:rPr>
        <w:t xml:space="preserve"> bylo u nich významnější a v pořadí druhou nejpočetnější skupinu tvořily domácnosti jednotlivců. N</w:t>
      </w:r>
      <w:r w:rsidR="00701739">
        <w:rPr>
          <w:rFonts w:ascii="Arial" w:hAnsi="Arial"/>
          <w:sz w:val="20"/>
        </w:rPr>
        <w:t xml:space="preserve">aopak nižší zastoupení </w:t>
      </w:r>
      <w:r w:rsidR="0098754A">
        <w:rPr>
          <w:rFonts w:ascii="Arial" w:hAnsi="Arial"/>
          <w:sz w:val="20"/>
        </w:rPr>
        <w:t xml:space="preserve">měly osoby  žijící v </w:t>
      </w:r>
      <w:r w:rsidR="00701739">
        <w:rPr>
          <w:rFonts w:ascii="Arial" w:hAnsi="Arial"/>
          <w:sz w:val="20"/>
        </w:rPr>
        <w:t xml:space="preserve"> neúplných rodin</w:t>
      </w:r>
      <w:r w:rsidR="0098754A">
        <w:rPr>
          <w:rFonts w:ascii="Arial" w:hAnsi="Arial"/>
          <w:sz w:val="20"/>
        </w:rPr>
        <w:t>ách</w:t>
      </w:r>
      <w:r w:rsidR="00701739">
        <w:rPr>
          <w:rFonts w:ascii="Arial" w:hAnsi="Arial"/>
          <w:sz w:val="20"/>
        </w:rPr>
        <w:t xml:space="preserve"> a </w:t>
      </w:r>
      <w:r w:rsidR="0098754A">
        <w:rPr>
          <w:rFonts w:ascii="Arial" w:hAnsi="Arial"/>
          <w:sz w:val="20"/>
        </w:rPr>
        <w:t xml:space="preserve">ve </w:t>
      </w:r>
      <w:r w:rsidR="00701739">
        <w:rPr>
          <w:rFonts w:ascii="Arial" w:hAnsi="Arial"/>
          <w:sz w:val="20"/>
        </w:rPr>
        <w:t xml:space="preserve">faktických </w:t>
      </w:r>
      <w:r w:rsidR="0098754A">
        <w:rPr>
          <w:rFonts w:ascii="Arial" w:hAnsi="Arial"/>
          <w:sz w:val="20"/>
        </w:rPr>
        <w:t>svazcích.</w:t>
      </w:r>
      <w:r w:rsidR="00701739">
        <w:rPr>
          <w:rFonts w:ascii="Arial" w:hAnsi="Arial"/>
          <w:sz w:val="20"/>
        </w:rPr>
        <w:t xml:space="preserve"> Nadprůměrný podíl domácností jednotlivců byl důsledkem zejména věkové struktury</w:t>
      </w:r>
      <w:r w:rsidR="00D95F9A">
        <w:rPr>
          <w:rFonts w:ascii="Arial" w:hAnsi="Arial"/>
          <w:sz w:val="20"/>
        </w:rPr>
        <w:t xml:space="preserve"> věřících</w:t>
      </w:r>
      <w:r w:rsidR="00701739">
        <w:rPr>
          <w:rFonts w:ascii="Arial" w:hAnsi="Arial"/>
          <w:sz w:val="20"/>
        </w:rPr>
        <w:t xml:space="preserve"> </w:t>
      </w:r>
      <w:r w:rsidR="00A95326">
        <w:rPr>
          <w:rFonts w:ascii="Arial" w:hAnsi="Arial"/>
          <w:sz w:val="20"/>
        </w:rPr>
        <w:t>-</w:t>
      </w:r>
      <w:r w:rsidR="00701739">
        <w:rPr>
          <w:rFonts w:ascii="Arial" w:hAnsi="Arial"/>
          <w:sz w:val="20"/>
        </w:rPr>
        <w:t xml:space="preserve"> vysokého podílu osob v nejvyšším věku a s tím souvisejícího vysokého podílu ovdovělých.</w:t>
      </w:r>
      <w:r w:rsidR="0098754A">
        <w:rPr>
          <w:rFonts w:ascii="Arial" w:hAnsi="Arial"/>
          <w:sz w:val="20"/>
        </w:rPr>
        <w:t xml:space="preserve"> Větší váha úplných rodin korespondovala</w:t>
      </w:r>
      <w:r w:rsidR="00415311">
        <w:rPr>
          <w:rFonts w:ascii="Arial" w:hAnsi="Arial"/>
          <w:sz w:val="20"/>
        </w:rPr>
        <w:t xml:space="preserve"> </w:t>
      </w:r>
      <w:r w:rsidR="00083691">
        <w:rPr>
          <w:rFonts w:ascii="Arial" w:hAnsi="Arial"/>
          <w:sz w:val="20"/>
        </w:rPr>
        <w:t>s </w:t>
      </w:r>
      <w:r w:rsidR="00415311">
        <w:rPr>
          <w:rFonts w:ascii="Arial" w:hAnsi="Arial"/>
          <w:sz w:val="20"/>
        </w:rPr>
        <w:t>věkov</w:t>
      </w:r>
      <w:r w:rsidR="008E42F2">
        <w:rPr>
          <w:rFonts w:ascii="Arial" w:hAnsi="Arial"/>
          <w:sz w:val="20"/>
        </w:rPr>
        <w:t>ou</w:t>
      </w:r>
      <w:r w:rsidR="00415311">
        <w:rPr>
          <w:rFonts w:ascii="Arial" w:hAnsi="Arial"/>
          <w:sz w:val="20"/>
        </w:rPr>
        <w:t xml:space="preserve"> struktur</w:t>
      </w:r>
      <w:r w:rsidR="008E42F2">
        <w:rPr>
          <w:rFonts w:ascii="Arial" w:hAnsi="Arial"/>
          <w:sz w:val="20"/>
        </w:rPr>
        <w:t xml:space="preserve">ou, </w:t>
      </w:r>
      <w:r w:rsidR="0098754A">
        <w:rPr>
          <w:rFonts w:ascii="Arial" w:hAnsi="Arial"/>
          <w:sz w:val="20"/>
        </w:rPr>
        <w:t>se strukturou podle rodinného stavu i s údaji o plodnosti žen. Všechny uvedené údaje ilustrovaly</w:t>
      </w:r>
      <w:r w:rsidR="009C6006">
        <w:rPr>
          <w:rFonts w:ascii="Arial" w:hAnsi="Arial"/>
          <w:sz w:val="20"/>
        </w:rPr>
        <w:t xml:space="preserve"> důležitost rodinného života u osob s vírou.</w:t>
      </w:r>
      <w:r w:rsidR="0098754A">
        <w:rPr>
          <w:rFonts w:ascii="Arial" w:hAnsi="Arial"/>
          <w:sz w:val="20"/>
        </w:rPr>
        <w:t xml:space="preserve"> </w:t>
      </w:r>
    </w:p>
    <w:p w:rsidR="00D95F9A" w:rsidRDefault="00D95F9A" w:rsidP="00701739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D95F9A" w:rsidRDefault="00D95F9A" w:rsidP="00D95F9A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tbl>
      <w:tblPr>
        <w:tblW w:w="10601" w:type="dxa"/>
        <w:jc w:val="center"/>
        <w:tblInd w:w="795" w:type="dxa"/>
        <w:tblCellMar>
          <w:left w:w="70" w:type="dxa"/>
          <w:right w:w="70" w:type="dxa"/>
        </w:tblCellMar>
        <w:tblLook w:val="04A0"/>
      </w:tblPr>
      <w:tblGrid>
        <w:gridCol w:w="23"/>
        <w:gridCol w:w="1379"/>
        <w:gridCol w:w="441"/>
        <w:gridCol w:w="23"/>
        <w:gridCol w:w="959"/>
        <w:gridCol w:w="21"/>
        <w:gridCol w:w="399"/>
        <w:gridCol w:w="499"/>
        <w:gridCol w:w="23"/>
        <w:gridCol w:w="458"/>
        <w:gridCol w:w="580"/>
        <w:gridCol w:w="23"/>
        <w:gridCol w:w="318"/>
        <w:gridCol w:w="852"/>
        <w:gridCol w:w="23"/>
        <w:gridCol w:w="186"/>
        <w:gridCol w:w="866"/>
        <w:gridCol w:w="23"/>
        <w:gridCol w:w="304"/>
        <w:gridCol w:w="735"/>
        <w:gridCol w:w="23"/>
        <w:gridCol w:w="317"/>
        <w:gridCol w:w="724"/>
        <w:gridCol w:w="23"/>
        <w:gridCol w:w="315"/>
        <w:gridCol w:w="1064"/>
      </w:tblGrid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91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04" w:rsidRPr="007A0D77" w:rsidRDefault="00377D04" w:rsidP="007A0D77">
            <w:pPr>
              <w:keepNext/>
              <w:keepLines/>
              <w:rPr>
                <w:rFonts w:ascii="Arial" w:hAnsi="Arial" w:cs="Arial"/>
                <w:b/>
                <w:color w:val="000000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 xml:space="preserve">Osoby v domácnostech podle typu domácnosti a </w:t>
            </w:r>
            <w:r w:rsidR="007A0D77" w:rsidRPr="007A0D77">
              <w:rPr>
                <w:rFonts w:ascii="Arial" w:hAnsi="Arial" w:cs="Arial"/>
                <w:b/>
                <w:color w:val="000000"/>
              </w:rPr>
              <w:t xml:space="preserve">podle </w:t>
            </w:r>
            <w:r w:rsidRPr="007A0D77">
              <w:rPr>
                <w:rFonts w:ascii="Arial" w:hAnsi="Arial" w:cs="Arial"/>
                <w:b/>
                <w:color w:val="000000"/>
              </w:rPr>
              <w:t>deklarace</w:t>
            </w:r>
            <w:r w:rsidR="007A0D77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A0D77">
              <w:rPr>
                <w:rFonts w:ascii="Arial" w:hAnsi="Arial" w:cs="Arial"/>
                <w:b/>
                <w:color w:val="000000"/>
              </w:rPr>
              <w:t>vztahu k víře k 26.3.2011</w:t>
            </w:r>
          </w:p>
        </w:tc>
      </w:tr>
      <w:tr w:rsidR="00083691" w:rsidRPr="007C06B3" w:rsidTr="00E97012">
        <w:trPr>
          <w:gridAfter w:val="3"/>
          <w:wAfter w:w="1402" w:type="dxa"/>
          <w:trHeight w:val="300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91" w:rsidRPr="007C06B3" w:rsidRDefault="00083691" w:rsidP="00377D0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Úplná rodina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Neúplná rodina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91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Domácnost</w:t>
            </w:r>
          </w:p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- 2 a více rodin</w:t>
            </w:r>
          </w:p>
        </w:tc>
        <w:tc>
          <w:tcPr>
            <w:tcW w:w="1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Domácnost jednotlivce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Vícečl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nerodinná domácnost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</w:tr>
      <w:tr w:rsidR="00083691" w:rsidRPr="007C06B3" w:rsidTr="00E97012">
        <w:trPr>
          <w:gridAfter w:val="3"/>
          <w:wAfter w:w="1402" w:type="dxa"/>
          <w:trHeight w:val="690"/>
          <w:jc w:val="center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de iure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91" w:rsidRPr="007C06B3" w:rsidRDefault="00083691" w:rsidP="0008369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de facto</w:t>
            </w:r>
          </w:p>
        </w:tc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91" w:rsidRPr="007C06B3" w:rsidRDefault="00083691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83691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Osoby v </w:t>
            </w:r>
            <w:r w:rsidR="0008369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omácnostech celkem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5 706 968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695 394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1 491 987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369 291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1 422 147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553 228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10 239 015</w:t>
            </w:r>
          </w:p>
        </w:tc>
      </w:tr>
      <w:tr w:rsidR="00E97012" w:rsidRPr="007C06B3" w:rsidTr="00E97012">
        <w:trPr>
          <w:gridBefore w:val="2"/>
          <w:wBefore w:w="1402" w:type="dxa"/>
          <w:trHeight w:val="300"/>
          <w:jc w:val="center"/>
        </w:trPr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Bez náboženské víry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2 042 112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305 837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528 853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116 719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429 013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149 186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3 571 720</w:t>
            </w:r>
          </w:p>
        </w:tc>
      </w:tr>
      <w:tr w:rsidR="00E97012" w:rsidRPr="007C06B3" w:rsidTr="00E97012">
        <w:trPr>
          <w:gridBefore w:val="2"/>
          <w:wBefore w:w="1402" w:type="dxa"/>
          <w:trHeight w:val="300"/>
          <w:jc w:val="center"/>
        </w:trPr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6E238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nehlásící se k církvi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371 495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48 057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100 528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20 737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120 801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35 108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696 726</w:t>
            </w:r>
          </w:p>
        </w:tc>
      </w:tr>
      <w:tr w:rsidR="00E97012" w:rsidRPr="007C06B3" w:rsidTr="00E97012">
        <w:trPr>
          <w:gridBefore w:val="2"/>
          <w:wBefore w:w="1402" w:type="dxa"/>
          <w:trHeight w:val="300"/>
          <w:jc w:val="center"/>
        </w:trPr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hlásící se k církvi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890 969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51 487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142 978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56 626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241 228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52 600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1 435 888</w:t>
            </w:r>
          </w:p>
        </w:tc>
      </w:tr>
      <w:tr w:rsidR="00E97012" w:rsidRPr="007C06B3" w:rsidTr="00E97012">
        <w:trPr>
          <w:gridBefore w:val="2"/>
          <w:wBefore w:w="1402" w:type="dxa"/>
          <w:trHeight w:val="300"/>
          <w:jc w:val="center"/>
        </w:trPr>
        <w:tc>
          <w:tcPr>
            <w:tcW w:w="184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Neuvedeno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2 402 038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289 930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719 409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175 180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630 892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316 227</w:t>
            </w: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4 533 676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919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8E42F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Podíly v %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Osoby v domácnostech celkem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Bez náboženské víry</w:t>
            </w: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9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075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34,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6E238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nehlásící se k církvi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hlásící se k církvi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Neuvedeno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42,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41,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44,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57,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44,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E5701C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Osoby v domácnostech celkem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Bez náboženské víry</w:t>
            </w: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57,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9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5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6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6E238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nehlásící se k církvi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0C66FA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E42F2"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- hlásící se k církvi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0C66FA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8E42F2"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377D0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Neuvedeno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0C66F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0C66FA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8E42F2" w:rsidRPr="007C06B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0C66FA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97012" w:rsidRPr="007C06B3" w:rsidTr="00E97012">
        <w:trPr>
          <w:gridBefore w:val="1"/>
          <w:gridAfter w:val="2"/>
          <w:wBefore w:w="23" w:type="dxa"/>
          <w:wAfter w:w="1379" w:type="dxa"/>
          <w:trHeight w:val="300"/>
          <w:jc w:val="center"/>
        </w:trPr>
        <w:tc>
          <w:tcPr>
            <w:tcW w:w="9199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E42F2" w:rsidRPr="007C06B3" w:rsidRDefault="008E42F2" w:rsidP="007C06B3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6B3">
              <w:rPr>
                <w:rFonts w:ascii="Arial" w:hAnsi="Arial" w:cs="Arial"/>
                <w:color w:val="000000"/>
                <w:sz w:val="16"/>
                <w:szCs w:val="16"/>
              </w:rPr>
              <w:t>Pozn.: v ř. „Osoby v domácnostech celkem“  jsou zahrnuty i osoby, které deklarovaly ateismus</w:t>
            </w:r>
          </w:p>
        </w:tc>
      </w:tr>
    </w:tbl>
    <w:p w:rsidR="00FC0E08" w:rsidRDefault="00FC0E08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7124FB" w:rsidRDefault="007124FB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E97012" w:rsidRDefault="009B3A92" w:rsidP="009B3A92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Vztah víry a život</w:t>
      </w:r>
      <w:r w:rsidR="008E5C6F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v rodině dokumentují i údaje o struktuře osob podle víry v rámci jednotlivých skupin domácností. Nejvýznamnější odlišnosti v zastoupení osob věřících hlásících se k církvi byly mezi úplnými rodinami de iure a de facto. V manželských svazcích byl tento podíl 15,6 % a obdobně vysoký byl i ve skupině domácností tvořených 2 a více rodinami. V úplných rodinách</w:t>
      </w:r>
      <w:r w:rsidR="00D16B6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- neformálních soužitích byl podíl </w:t>
      </w:r>
      <w:r w:rsidR="007A2CEB">
        <w:rPr>
          <w:rFonts w:ascii="Arial" w:hAnsi="Arial"/>
          <w:sz w:val="20"/>
        </w:rPr>
        <w:t>věřících hlásících se k církvi zhruba poloviční; současně v těchto rodinách bylo maximální zastoupení osob, které jednoznačně deklarovaly, že jsou bez náboženské víry nebo vztah k víře neuvedly (dohromady téměř 86 %).</w:t>
      </w:r>
    </w:p>
    <w:p w:rsidR="00D44823" w:rsidRPr="00EF53CB" w:rsidRDefault="00AD66F7" w:rsidP="00654572">
      <w:pPr>
        <w:pStyle w:val="Zkladntext"/>
        <w:spacing w:line="276" w:lineRule="auto"/>
        <w:ind w:firstLine="426"/>
        <w:jc w:val="both"/>
        <w:rPr>
          <w:rFonts w:ascii="Arial" w:hAnsi="Arial"/>
          <w:b/>
          <w:szCs w:val="24"/>
        </w:rPr>
      </w:pPr>
      <w:r>
        <w:rPr>
          <w:rFonts w:ascii="Arial" w:hAnsi="Arial"/>
          <w:sz w:val="20"/>
        </w:rPr>
        <w:br w:type="page"/>
      </w:r>
      <w:r w:rsidR="00EB78AD" w:rsidRPr="00EF53CB">
        <w:rPr>
          <w:rFonts w:ascii="Arial" w:hAnsi="Arial"/>
          <w:b/>
          <w:szCs w:val="24"/>
        </w:rPr>
        <w:lastRenderedPageBreak/>
        <w:t>2.5</w:t>
      </w:r>
      <w:r w:rsidR="00981D40">
        <w:rPr>
          <w:rFonts w:ascii="Arial" w:hAnsi="Arial"/>
          <w:b/>
          <w:szCs w:val="24"/>
        </w:rPr>
        <w:t>.</w:t>
      </w:r>
      <w:r w:rsidR="00EB78AD" w:rsidRPr="00EF53CB">
        <w:rPr>
          <w:rFonts w:ascii="Arial" w:hAnsi="Arial"/>
          <w:b/>
          <w:szCs w:val="24"/>
        </w:rPr>
        <w:tab/>
      </w:r>
      <w:r w:rsidR="00D44823" w:rsidRPr="00EF53CB">
        <w:rPr>
          <w:rFonts w:ascii="Arial" w:hAnsi="Arial"/>
          <w:b/>
          <w:szCs w:val="24"/>
        </w:rPr>
        <w:t>Národnost</w:t>
      </w:r>
    </w:p>
    <w:p w:rsidR="00D44823" w:rsidRDefault="00D44823" w:rsidP="002D440A">
      <w:pPr>
        <w:pStyle w:val="Zkladntext"/>
        <w:keepNext/>
        <w:keepLines/>
        <w:spacing w:line="276" w:lineRule="auto"/>
        <w:jc w:val="both"/>
        <w:rPr>
          <w:rFonts w:ascii="Arial" w:hAnsi="Arial"/>
          <w:b/>
          <w:sz w:val="20"/>
        </w:rPr>
      </w:pPr>
    </w:p>
    <w:p w:rsidR="00D44823" w:rsidRPr="00D44823" w:rsidRDefault="002D440A" w:rsidP="002D440A">
      <w:pPr>
        <w:pStyle w:val="Zkladntext"/>
        <w:keepNext/>
        <w:keepLines/>
        <w:spacing w:line="276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Náboženská víra ve vztahu k národnosti osob</w:t>
      </w:r>
      <w:r w:rsidR="00D44823" w:rsidRPr="001E7E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potvrdila diferenci</w:t>
      </w:r>
      <w:r w:rsidR="00D44823" w:rsidRPr="001E7E82">
        <w:rPr>
          <w:rFonts w:ascii="Arial" w:hAnsi="Arial"/>
          <w:sz w:val="20"/>
        </w:rPr>
        <w:t xml:space="preserve"> v religiozitě jednotlivých národností. Bez ohledu na </w:t>
      </w:r>
      <w:r w:rsidR="008E5C6F">
        <w:rPr>
          <w:rFonts w:ascii="Arial" w:hAnsi="Arial"/>
          <w:sz w:val="20"/>
        </w:rPr>
        <w:t>nižší</w:t>
      </w:r>
      <w:r w:rsidR="00D44823" w:rsidRPr="001E7E82">
        <w:rPr>
          <w:rFonts w:ascii="Arial" w:hAnsi="Arial"/>
          <w:sz w:val="20"/>
        </w:rPr>
        <w:t xml:space="preserve"> počty osob, které svou národnost</w:t>
      </w:r>
      <w:r w:rsidRPr="002D440A">
        <w:rPr>
          <w:rFonts w:ascii="Arial" w:hAnsi="Arial"/>
          <w:sz w:val="20"/>
        </w:rPr>
        <w:t xml:space="preserve"> </w:t>
      </w:r>
      <w:r w:rsidRPr="001E7E82">
        <w:rPr>
          <w:rFonts w:ascii="Arial" w:hAnsi="Arial"/>
          <w:sz w:val="20"/>
        </w:rPr>
        <w:t>uvedly</w:t>
      </w:r>
      <w:r w:rsidR="00D44823">
        <w:rPr>
          <w:rFonts w:ascii="Arial" w:hAnsi="Arial"/>
          <w:sz w:val="20"/>
        </w:rPr>
        <w:t>,</w:t>
      </w:r>
      <w:r w:rsidR="00D44823" w:rsidRPr="001E7E82">
        <w:rPr>
          <w:rFonts w:ascii="Arial" w:hAnsi="Arial"/>
          <w:sz w:val="20"/>
        </w:rPr>
        <w:t xml:space="preserve"> lze konstatovat, že ve srovnání s českou národností </w:t>
      </w:r>
      <w:r>
        <w:rPr>
          <w:rFonts w:ascii="Arial" w:hAnsi="Arial"/>
          <w:sz w:val="20"/>
        </w:rPr>
        <w:t>byla</w:t>
      </w:r>
      <w:r w:rsidR="00D44823" w:rsidRPr="001E7E82">
        <w:rPr>
          <w:rFonts w:ascii="Arial" w:hAnsi="Arial"/>
          <w:sz w:val="20"/>
        </w:rPr>
        <w:t xml:space="preserve"> u </w:t>
      </w:r>
      <w:r w:rsidR="00DE0CAC">
        <w:rPr>
          <w:rFonts w:ascii="Arial" w:hAnsi="Arial"/>
          <w:sz w:val="20"/>
        </w:rPr>
        <w:t>většiny</w:t>
      </w:r>
      <w:r w:rsidR="00D44823" w:rsidRPr="001E7E82">
        <w:rPr>
          <w:rFonts w:ascii="Arial" w:hAnsi="Arial"/>
          <w:sz w:val="20"/>
        </w:rPr>
        <w:t xml:space="preserve"> ostatních</w:t>
      </w:r>
      <w:r w:rsidR="00D44823">
        <w:rPr>
          <w:rFonts w:ascii="Arial" w:hAnsi="Arial"/>
          <w:sz w:val="20"/>
        </w:rPr>
        <w:t xml:space="preserve"> zjištěných národností</w:t>
      </w:r>
      <w:r w:rsidR="00D44823" w:rsidRPr="001E7E82">
        <w:rPr>
          <w:rFonts w:ascii="Arial" w:hAnsi="Arial"/>
          <w:sz w:val="20"/>
        </w:rPr>
        <w:t xml:space="preserve"> religiozita vyšší</w:t>
      </w:r>
      <w:r w:rsidR="00DE0CAC">
        <w:rPr>
          <w:rFonts w:ascii="Arial" w:hAnsi="Arial"/>
          <w:sz w:val="20"/>
        </w:rPr>
        <w:t>, často i výrazně.</w:t>
      </w:r>
    </w:p>
    <w:p w:rsidR="00D44823" w:rsidRDefault="00D44823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tbl>
      <w:tblPr>
        <w:tblW w:w="8180" w:type="dxa"/>
        <w:jc w:val="center"/>
        <w:tblCellMar>
          <w:left w:w="70" w:type="dxa"/>
          <w:right w:w="70" w:type="dxa"/>
        </w:tblCellMar>
        <w:tblLook w:val="04A0"/>
      </w:tblPr>
      <w:tblGrid>
        <w:gridCol w:w="1540"/>
        <w:gridCol w:w="960"/>
        <w:gridCol w:w="700"/>
        <w:gridCol w:w="960"/>
        <w:gridCol w:w="700"/>
        <w:gridCol w:w="960"/>
        <w:gridCol w:w="700"/>
        <w:gridCol w:w="960"/>
        <w:gridCol w:w="700"/>
      </w:tblGrid>
      <w:tr w:rsidR="00DE0CAC" w:rsidRPr="007C06B3" w:rsidTr="00D12A7F">
        <w:trPr>
          <w:trHeight w:val="300"/>
          <w:jc w:val="center"/>
        </w:trPr>
        <w:tc>
          <w:tcPr>
            <w:tcW w:w="8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CAC" w:rsidRPr="007A0D77" w:rsidRDefault="00DE0CAC" w:rsidP="00D44823">
            <w:pPr>
              <w:rPr>
                <w:rFonts w:ascii="Arial" w:hAnsi="Arial" w:cs="Arial"/>
                <w:b/>
                <w:color w:val="000000"/>
              </w:rPr>
            </w:pPr>
            <w:r w:rsidRPr="007A0D77">
              <w:rPr>
                <w:rFonts w:ascii="Arial" w:hAnsi="Arial" w:cs="Arial"/>
                <w:b/>
                <w:color w:val="000000"/>
              </w:rPr>
              <w:t>Počty a podíly věřících osob podle národností</w:t>
            </w:r>
            <w:r w:rsidR="002D440A" w:rsidRPr="007A0D77">
              <w:rPr>
                <w:rFonts w:ascii="Arial" w:hAnsi="Arial" w:cs="Arial"/>
                <w:b/>
                <w:color w:val="000000"/>
              </w:rPr>
              <w:t xml:space="preserve"> k 26.3.2011</w:t>
            </w:r>
          </w:p>
        </w:tc>
      </w:tr>
      <w:tr w:rsidR="00D44823" w:rsidRPr="007C06B3" w:rsidTr="00D12A7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Věřící celkem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 Věřící hlásící se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k církvi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z toho 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 xml:space="preserve">Věřící nehlásící se 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br/>
              <w:t>k církvi</w:t>
            </w:r>
          </w:p>
        </w:tc>
      </w:tr>
      <w:tr w:rsidR="00D44823" w:rsidRPr="007C06B3" w:rsidTr="00D12A7F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Církev římskokatolická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823" w:rsidRPr="007C06B3" w:rsidTr="00D12A7F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C06B3" w:rsidP="007C06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bs</w:t>
            </w: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 *)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C06B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 *)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C06B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 *)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C06B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abs.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%*)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Věřící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2 168 952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1 463 584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1 082 463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705 368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z toho národnost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česká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1 514 396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1 004 096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759 473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510 300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moravská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208 321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159 855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138 972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48 466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slezská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5 795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4 476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3 363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slovenská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59 184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43 471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29 823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15 713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polská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23 406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20 607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12 458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německá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6 642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5 001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3 684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7 167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4 485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2 682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ukrajinská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20 965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15 402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5 563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D44823" w:rsidRPr="007C06B3" w:rsidTr="00696A1F">
        <w:trPr>
          <w:trHeight w:hRule="exact" w:val="2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7A0D77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823" w:rsidRPr="007C06B3">
              <w:rPr>
                <w:rFonts w:ascii="Arial" w:hAnsi="Arial" w:cs="Arial"/>
                <w:color w:val="000000"/>
                <w:sz w:val="18"/>
                <w:szCs w:val="18"/>
              </w:rPr>
              <w:t>vietnamská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2 595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1 554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3" w:rsidRPr="007C06B3" w:rsidRDefault="00D44823" w:rsidP="00D448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6B3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D44823" w:rsidRPr="007C06B3" w:rsidTr="00D12A7F">
        <w:trPr>
          <w:trHeight w:val="300"/>
          <w:jc w:val="center"/>
        </w:trPr>
        <w:tc>
          <w:tcPr>
            <w:tcW w:w="7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6B3">
              <w:rPr>
                <w:rFonts w:ascii="Arial" w:hAnsi="Arial" w:cs="Arial"/>
                <w:color w:val="000000"/>
                <w:sz w:val="16"/>
                <w:szCs w:val="16"/>
              </w:rPr>
              <w:t xml:space="preserve">*) Procentní podíl věřících z počtu osob příslušné národnosti resp. z počtu obyvatel celkem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3" w:rsidRPr="007C06B3" w:rsidRDefault="00D44823" w:rsidP="00D448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D440A" w:rsidRDefault="002D440A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6B4B82" w:rsidRDefault="004F6B69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Tradičně</w:t>
      </w:r>
      <w:r w:rsidR="00C62C75" w:rsidRPr="001E7E82">
        <w:rPr>
          <w:rFonts w:ascii="Arial" w:hAnsi="Arial"/>
          <w:sz w:val="20"/>
        </w:rPr>
        <w:t xml:space="preserve"> vysoká</w:t>
      </w:r>
      <w:r w:rsidR="007C06B3">
        <w:rPr>
          <w:rFonts w:ascii="Arial" w:hAnsi="Arial"/>
          <w:sz w:val="20"/>
        </w:rPr>
        <w:t xml:space="preserve"> religiozita</w:t>
      </w:r>
      <w:r w:rsidR="00C62C75" w:rsidRPr="001E7E82">
        <w:rPr>
          <w:rFonts w:ascii="Arial" w:hAnsi="Arial"/>
          <w:sz w:val="20"/>
        </w:rPr>
        <w:t xml:space="preserve"> byla především u osob hlásících se k polské národnosti, kde překračovala více než polovinu všech. Obdobně tomu bylo rovněž u slezské národnosti</w:t>
      </w:r>
      <w:r w:rsidR="001E7E82">
        <w:rPr>
          <w:rFonts w:ascii="Arial" w:hAnsi="Arial"/>
          <w:sz w:val="20"/>
        </w:rPr>
        <w:t>.</w:t>
      </w:r>
      <w:r w:rsidR="00C62C75" w:rsidRPr="001E7E82">
        <w:rPr>
          <w:rFonts w:ascii="Arial" w:hAnsi="Arial"/>
          <w:sz w:val="20"/>
        </w:rPr>
        <w:t xml:space="preserve"> Poměrně vysoká religiozita byla </w:t>
      </w:r>
      <w:r w:rsidR="00F46DF8" w:rsidRPr="001E7E82">
        <w:rPr>
          <w:rFonts w:ascii="Arial" w:hAnsi="Arial"/>
          <w:sz w:val="20"/>
        </w:rPr>
        <w:t>také</w:t>
      </w:r>
      <w:r w:rsidR="00C62C75" w:rsidRPr="001E7E82">
        <w:rPr>
          <w:rFonts w:ascii="Arial" w:hAnsi="Arial"/>
          <w:sz w:val="20"/>
        </w:rPr>
        <w:t xml:space="preserve"> u slovenské národnosti a </w:t>
      </w:r>
      <w:r w:rsidR="006B4B82" w:rsidRPr="001E7E82">
        <w:rPr>
          <w:rFonts w:ascii="Arial" w:hAnsi="Arial"/>
          <w:sz w:val="20"/>
        </w:rPr>
        <w:t xml:space="preserve">u </w:t>
      </w:r>
      <w:r w:rsidR="00C62C75" w:rsidRPr="001E7E82">
        <w:rPr>
          <w:rFonts w:ascii="Arial" w:hAnsi="Arial"/>
          <w:sz w:val="20"/>
        </w:rPr>
        <w:t xml:space="preserve">národností ruské a ukrajinské. </w:t>
      </w:r>
      <w:r w:rsidR="001E7E82">
        <w:rPr>
          <w:rFonts w:ascii="Arial" w:hAnsi="Arial"/>
          <w:sz w:val="20"/>
        </w:rPr>
        <w:t>Osoby s národností ruskou a ukrajinskou</w:t>
      </w:r>
      <w:r w:rsidR="006B4B82" w:rsidRPr="001E7E82">
        <w:rPr>
          <w:rFonts w:ascii="Arial" w:hAnsi="Arial"/>
          <w:sz w:val="20"/>
        </w:rPr>
        <w:t xml:space="preserve"> </w:t>
      </w:r>
      <w:r w:rsidR="001E7E82">
        <w:rPr>
          <w:rFonts w:ascii="Arial" w:hAnsi="Arial"/>
          <w:sz w:val="20"/>
        </w:rPr>
        <w:t>se hlásily především</w:t>
      </w:r>
      <w:r w:rsidR="006B4B82" w:rsidRPr="001E7E82">
        <w:rPr>
          <w:rFonts w:ascii="Arial" w:hAnsi="Arial"/>
          <w:sz w:val="20"/>
        </w:rPr>
        <w:t xml:space="preserve"> k Pravoslavné církvi v českých zemích</w:t>
      </w:r>
      <w:r w:rsidR="004D7ADC" w:rsidRPr="001E7E82">
        <w:rPr>
          <w:rFonts w:ascii="Arial" w:hAnsi="Arial"/>
          <w:sz w:val="20"/>
        </w:rPr>
        <w:t>, kde tvoř</w:t>
      </w:r>
      <w:r w:rsidR="001E7E82">
        <w:rPr>
          <w:rFonts w:ascii="Arial" w:hAnsi="Arial"/>
          <w:sz w:val="20"/>
        </w:rPr>
        <w:t>ily</w:t>
      </w:r>
      <w:r w:rsidR="00C17EBA" w:rsidRPr="001E7E82">
        <w:rPr>
          <w:rFonts w:ascii="Arial" w:hAnsi="Arial"/>
          <w:sz w:val="20"/>
        </w:rPr>
        <w:t xml:space="preserve"> téměř polovinu (48,2 %)</w:t>
      </w:r>
      <w:r w:rsidR="004D7ADC" w:rsidRPr="001E7E82">
        <w:rPr>
          <w:rFonts w:ascii="Arial" w:hAnsi="Arial"/>
          <w:sz w:val="20"/>
        </w:rPr>
        <w:t xml:space="preserve"> jejich příznivců.</w:t>
      </w:r>
    </w:p>
    <w:p w:rsidR="00082E8A" w:rsidRDefault="00082E8A" w:rsidP="00726721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p w:rsidR="00F60208" w:rsidRPr="001E7E82" w:rsidRDefault="00F60208" w:rsidP="00F60208">
      <w:pPr>
        <w:pStyle w:val="Zkladntext"/>
        <w:spacing w:line="276" w:lineRule="auto"/>
        <w:jc w:val="both"/>
        <w:rPr>
          <w:rFonts w:ascii="Arial" w:hAnsi="Arial"/>
          <w:sz w:val="20"/>
        </w:rPr>
      </w:pPr>
      <w:r w:rsidRPr="001E7E82">
        <w:rPr>
          <w:rFonts w:ascii="Arial" w:hAnsi="Arial"/>
          <w:sz w:val="20"/>
        </w:rPr>
        <w:t xml:space="preserve">Z hlediska absolutního počtu osob </w:t>
      </w:r>
      <w:r w:rsidR="00500710">
        <w:rPr>
          <w:rFonts w:ascii="Arial" w:hAnsi="Arial"/>
          <w:sz w:val="20"/>
        </w:rPr>
        <w:t xml:space="preserve">byl nejvyšší počet věřících u </w:t>
      </w:r>
      <w:r w:rsidR="007E1264">
        <w:rPr>
          <w:rFonts w:ascii="Arial" w:hAnsi="Arial"/>
          <w:sz w:val="20"/>
        </w:rPr>
        <w:t xml:space="preserve">nejpočetnějších národností </w:t>
      </w:r>
      <w:r w:rsidRPr="001E7E82">
        <w:rPr>
          <w:rFonts w:ascii="Arial" w:hAnsi="Arial"/>
          <w:sz w:val="20"/>
        </w:rPr>
        <w:t>české a moravské. V</w:t>
      </w:r>
      <w:r w:rsidR="00500710">
        <w:rPr>
          <w:rFonts w:ascii="Arial" w:hAnsi="Arial"/>
          <w:sz w:val="20"/>
        </w:rPr>
        <w:t xml:space="preserve"> relativním vyjádření </w:t>
      </w:r>
      <w:r w:rsidR="007E1264">
        <w:rPr>
          <w:rFonts w:ascii="Arial" w:hAnsi="Arial"/>
          <w:sz w:val="20"/>
        </w:rPr>
        <w:t>byl</w:t>
      </w:r>
      <w:r w:rsidR="00500710">
        <w:rPr>
          <w:rFonts w:ascii="Arial" w:hAnsi="Arial"/>
          <w:sz w:val="20"/>
        </w:rPr>
        <w:t xml:space="preserve"> </w:t>
      </w:r>
      <w:r w:rsidR="007E1264">
        <w:rPr>
          <w:rFonts w:ascii="Arial" w:hAnsi="Arial"/>
          <w:sz w:val="20"/>
        </w:rPr>
        <w:t xml:space="preserve">přitom </w:t>
      </w:r>
      <w:r w:rsidR="00500710">
        <w:rPr>
          <w:rFonts w:ascii="Arial" w:hAnsi="Arial"/>
          <w:sz w:val="20"/>
        </w:rPr>
        <w:t xml:space="preserve">v </w:t>
      </w:r>
      <w:r w:rsidRPr="001E7E82">
        <w:rPr>
          <w:rFonts w:ascii="Arial" w:hAnsi="Arial"/>
          <w:sz w:val="20"/>
        </w:rPr>
        <w:t>případě moravské</w:t>
      </w:r>
      <w:r w:rsidR="00500710">
        <w:rPr>
          <w:rFonts w:ascii="Arial" w:hAnsi="Arial"/>
          <w:sz w:val="20"/>
        </w:rPr>
        <w:t xml:space="preserve"> národnosti podíl věřících téměř dvojnásobný než u národnosti české, a to především díky počtu </w:t>
      </w:r>
      <w:r w:rsidRPr="001E7E82">
        <w:rPr>
          <w:rFonts w:ascii="Arial" w:hAnsi="Arial"/>
          <w:sz w:val="20"/>
        </w:rPr>
        <w:t>věřících hlásících se k církvi.</w:t>
      </w:r>
      <w:r>
        <w:rPr>
          <w:rFonts w:ascii="Arial" w:hAnsi="Arial"/>
          <w:sz w:val="20"/>
        </w:rPr>
        <w:t xml:space="preserve"> </w:t>
      </w:r>
      <w:r w:rsidRPr="001E7E82">
        <w:rPr>
          <w:rFonts w:ascii="Arial" w:hAnsi="Arial"/>
          <w:sz w:val="20"/>
        </w:rPr>
        <w:t xml:space="preserve">Naopak v případě </w:t>
      </w:r>
      <w:r w:rsidR="004165CD">
        <w:rPr>
          <w:rFonts w:ascii="Arial" w:hAnsi="Arial"/>
          <w:sz w:val="20"/>
        </w:rPr>
        <w:t xml:space="preserve">podílu </w:t>
      </w:r>
      <w:r w:rsidRPr="001E7E82">
        <w:rPr>
          <w:rFonts w:ascii="Arial" w:hAnsi="Arial"/>
          <w:sz w:val="20"/>
        </w:rPr>
        <w:t xml:space="preserve">věřících nehlásících se k církvi byl rozdíl </w:t>
      </w:r>
      <w:r w:rsidR="004165CD">
        <w:rPr>
          <w:rFonts w:ascii="Arial" w:hAnsi="Arial"/>
          <w:sz w:val="20"/>
        </w:rPr>
        <w:t>minimální</w:t>
      </w:r>
      <w:r w:rsidRPr="001E7E82">
        <w:rPr>
          <w:rFonts w:ascii="Arial" w:hAnsi="Arial"/>
          <w:sz w:val="20"/>
        </w:rPr>
        <w:t xml:space="preserve">. </w:t>
      </w:r>
    </w:p>
    <w:p w:rsidR="00F60208" w:rsidRPr="006D2F99" w:rsidRDefault="00F60208" w:rsidP="00B33B50">
      <w:pPr>
        <w:pStyle w:val="Zkladntext"/>
        <w:rPr>
          <w:rFonts w:ascii="Arial" w:hAnsi="Arial"/>
          <w:sz w:val="20"/>
        </w:rPr>
      </w:pPr>
    </w:p>
    <w:p w:rsidR="00802E4A" w:rsidRPr="00D12A7F" w:rsidRDefault="00D12A7F" w:rsidP="00802E4A">
      <w:pPr>
        <w:pStyle w:val="Zkladntext"/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 uvedenými údaji souvisí fakt, že o</w:t>
      </w:r>
      <w:r w:rsidR="00802E4A" w:rsidRPr="00D12A7F">
        <w:rPr>
          <w:rFonts w:ascii="Arial" w:hAnsi="Arial"/>
          <w:sz w:val="20"/>
        </w:rPr>
        <w:t>soby, které deklarovaly svůj vztah k</w:t>
      </w:r>
      <w:r w:rsidR="006D2F99" w:rsidRPr="00D12A7F">
        <w:rPr>
          <w:rFonts w:ascii="Arial" w:hAnsi="Arial"/>
          <w:sz w:val="20"/>
        </w:rPr>
        <w:t> víře (</w:t>
      </w:r>
      <w:r>
        <w:rPr>
          <w:rFonts w:ascii="Arial" w:hAnsi="Arial"/>
          <w:sz w:val="20"/>
        </w:rPr>
        <w:t>ať už uvedly, že jsou</w:t>
      </w:r>
      <w:r w:rsidR="006D2F99" w:rsidRPr="00D12A7F">
        <w:rPr>
          <w:rFonts w:ascii="Arial" w:hAnsi="Arial"/>
          <w:sz w:val="20"/>
        </w:rPr>
        <w:t xml:space="preserve"> věřící </w:t>
      </w:r>
      <w:r>
        <w:rPr>
          <w:rFonts w:ascii="Arial" w:hAnsi="Arial"/>
          <w:sz w:val="20"/>
        </w:rPr>
        <w:t>nebo že jsou</w:t>
      </w:r>
      <w:r w:rsidR="006D2F99" w:rsidRPr="00D12A7F">
        <w:rPr>
          <w:rFonts w:ascii="Arial" w:hAnsi="Arial"/>
          <w:sz w:val="20"/>
        </w:rPr>
        <w:t xml:space="preserve"> bez víry)</w:t>
      </w:r>
      <w:r w:rsidR="00802E4A" w:rsidRPr="00D12A7F">
        <w:rPr>
          <w:rFonts w:ascii="Arial" w:hAnsi="Arial"/>
          <w:sz w:val="20"/>
        </w:rPr>
        <w:t xml:space="preserve">, měly výrazně nižší </w:t>
      </w:r>
      <w:r w:rsidR="006D2F99" w:rsidRPr="00D12A7F">
        <w:rPr>
          <w:rFonts w:ascii="Arial" w:hAnsi="Arial"/>
          <w:sz w:val="20"/>
        </w:rPr>
        <w:t xml:space="preserve">podíly </w:t>
      </w:r>
      <w:r w:rsidR="00802E4A" w:rsidRPr="00D12A7F">
        <w:rPr>
          <w:rFonts w:ascii="Arial" w:hAnsi="Arial"/>
          <w:sz w:val="20"/>
        </w:rPr>
        <w:t>nezjištěných odpovědí ve všech ostatních charakteristikách. Byla to tedy skupina respondentů, která vyplnila sčítací formuláře co nejúplněji vč. dobrovolných otázek. Při srovnání struktur s celorepublikovými hodnotami je proto třeba brát v úvahu toto mírné nadhodnocení u osob</w:t>
      </w:r>
      <w:r w:rsidR="006D2F99" w:rsidRPr="00D12A7F">
        <w:rPr>
          <w:rFonts w:ascii="Arial" w:hAnsi="Arial"/>
          <w:sz w:val="20"/>
        </w:rPr>
        <w:t xml:space="preserve"> s uvedeným postojem k víře</w:t>
      </w:r>
      <w:r w:rsidR="00802E4A" w:rsidRPr="00D12A7F">
        <w:rPr>
          <w:rFonts w:ascii="Arial" w:hAnsi="Arial"/>
          <w:sz w:val="20"/>
        </w:rPr>
        <w:t xml:space="preserve">. Rozdíly relativních údajů nezjištěných odpovědí nejsou ale natolik významné, aby </w:t>
      </w:r>
      <w:r w:rsidR="006D2F99" w:rsidRPr="00D12A7F">
        <w:rPr>
          <w:rFonts w:ascii="Arial" w:hAnsi="Arial"/>
          <w:sz w:val="20"/>
        </w:rPr>
        <w:t>vy</w:t>
      </w:r>
      <w:r w:rsidR="00802E4A" w:rsidRPr="00D12A7F">
        <w:rPr>
          <w:rFonts w:ascii="Arial" w:hAnsi="Arial"/>
          <w:sz w:val="20"/>
        </w:rPr>
        <w:t>hodnocení trendů ovlivnily.</w:t>
      </w:r>
    </w:p>
    <w:p w:rsidR="00216844" w:rsidRPr="00EB5226" w:rsidRDefault="00216844" w:rsidP="00E5002E">
      <w:pPr>
        <w:pStyle w:val="Zkladntext"/>
        <w:spacing w:line="276" w:lineRule="auto"/>
        <w:jc w:val="both"/>
        <w:rPr>
          <w:rFonts w:ascii="Arial" w:hAnsi="Arial"/>
          <w:sz w:val="20"/>
        </w:rPr>
      </w:pPr>
    </w:p>
    <w:sectPr w:rsidR="00216844" w:rsidRPr="00EB5226" w:rsidSect="00932572">
      <w:pgSz w:w="11906" w:h="16838" w:code="9"/>
      <w:pgMar w:top="1417" w:right="1417" w:bottom="1417" w:left="1417" w:header="136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17" w:rsidRDefault="00B03E17" w:rsidP="005B332A">
      <w:r>
        <w:separator/>
      </w:r>
    </w:p>
  </w:endnote>
  <w:endnote w:type="continuationSeparator" w:id="0">
    <w:p w:rsidR="00B03E17" w:rsidRDefault="00B03E17" w:rsidP="005B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17" w:rsidRDefault="00B03E17" w:rsidP="005B332A">
      <w:r>
        <w:separator/>
      </w:r>
    </w:p>
  </w:footnote>
  <w:footnote w:type="continuationSeparator" w:id="0">
    <w:p w:rsidR="00B03E17" w:rsidRDefault="00B03E17" w:rsidP="005B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47D8"/>
    <w:multiLevelType w:val="hybridMultilevel"/>
    <w:tmpl w:val="96AA6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29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501186"/>
    <w:multiLevelType w:val="hybridMultilevel"/>
    <w:tmpl w:val="FBE2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14ABC"/>
    <w:multiLevelType w:val="hybridMultilevel"/>
    <w:tmpl w:val="304C52C2"/>
    <w:lvl w:ilvl="0" w:tplc="B0B48C6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8C128D"/>
    <w:multiLevelType w:val="hybridMultilevel"/>
    <w:tmpl w:val="DBE6BD38"/>
    <w:lvl w:ilvl="0" w:tplc="04050005">
      <w:start w:val="2"/>
      <w:numFmt w:val="bullet"/>
      <w:pStyle w:val="odrkyzlevaodsazeno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51C"/>
    <w:rsid w:val="00002949"/>
    <w:rsid w:val="00004761"/>
    <w:rsid w:val="000050DD"/>
    <w:rsid w:val="0000599F"/>
    <w:rsid w:val="00005EEF"/>
    <w:rsid w:val="0000639B"/>
    <w:rsid w:val="00006852"/>
    <w:rsid w:val="000076F3"/>
    <w:rsid w:val="00014460"/>
    <w:rsid w:val="00017400"/>
    <w:rsid w:val="00021A8D"/>
    <w:rsid w:val="00022760"/>
    <w:rsid w:val="0002302A"/>
    <w:rsid w:val="000249BD"/>
    <w:rsid w:val="00031260"/>
    <w:rsid w:val="00031539"/>
    <w:rsid w:val="00032069"/>
    <w:rsid w:val="0003358F"/>
    <w:rsid w:val="000342F2"/>
    <w:rsid w:val="00035357"/>
    <w:rsid w:val="00036F10"/>
    <w:rsid w:val="000375BA"/>
    <w:rsid w:val="0003763E"/>
    <w:rsid w:val="000411EE"/>
    <w:rsid w:val="00041545"/>
    <w:rsid w:val="00041673"/>
    <w:rsid w:val="00041705"/>
    <w:rsid w:val="000441CC"/>
    <w:rsid w:val="00045E9D"/>
    <w:rsid w:val="00050AAE"/>
    <w:rsid w:val="00051517"/>
    <w:rsid w:val="0005197A"/>
    <w:rsid w:val="00052178"/>
    <w:rsid w:val="00052A6A"/>
    <w:rsid w:val="000544F6"/>
    <w:rsid w:val="00056397"/>
    <w:rsid w:val="00056425"/>
    <w:rsid w:val="00061CB7"/>
    <w:rsid w:val="00062BEE"/>
    <w:rsid w:val="00064F23"/>
    <w:rsid w:val="00067344"/>
    <w:rsid w:val="00067563"/>
    <w:rsid w:val="00070463"/>
    <w:rsid w:val="00070AE7"/>
    <w:rsid w:val="00072781"/>
    <w:rsid w:val="000733DC"/>
    <w:rsid w:val="00073C2E"/>
    <w:rsid w:val="00074215"/>
    <w:rsid w:val="000752DC"/>
    <w:rsid w:val="00076C4A"/>
    <w:rsid w:val="000771E6"/>
    <w:rsid w:val="000811B2"/>
    <w:rsid w:val="00081B6B"/>
    <w:rsid w:val="0008257C"/>
    <w:rsid w:val="00082E8A"/>
    <w:rsid w:val="00083691"/>
    <w:rsid w:val="00084D5A"/>
    <w:rsid w:val="00086798"/>
    <w:rsid w:val="0008688B"/>
    <w:rsid w:val="0008704F"/>
    <w:rsid w:val="00087BD7"/>
    <w:rsid w:val="00092031"/>
    <w:rsid w:val="00093A16"/>
    <w:rsid w:val="000974E8"/>
    <w:rsid w:val="00097883"/>
    <w:rsid w:val="00097D24"/>
    <w:rsid w:val="000A00A8"/>
    <w:rsid w:val="000A18DB"/>
    <w:rsid w:val="000A2610"/>
    <w:rsid w:val="000A2825"/>
    <w:rsid w:val="000A3229"/>
    <w:rsid w:val="000A40EB"/>
    <w:rsid w:val="000A4EC0"/>
    <w:rsid w:val="000B016D"/>
    <w:rsid w:val="000B038E"/>
    <w:rsid w:val="000B078F"/>
    <w:rsid w:val="000B0D60"/>
    <w:rsid w:val="000B183B"/>
    <w:rsid w:val="000B2827"/>
    <w:rsid w:val="000B2A21"/>
    <w:rsid w:val="000B3018"/>
    <w:rsid w:val="000B37E7"/>
    <w:rsid w:val="000B3C05"/>
    <w:rsid w:val="000B4EEE"/>
    <w:rsid w:val="000B536F"/>
    <w:rsid w:val="000B7CA6"/>
    <w:rsid w:val="000C3525"/>
    <w:rsid w:val="000C595C"/>
    <w:rsid w:val="000C5A26"/>
    <w:rsid w:val="000C66FA"/>
    <w:rsid w:val="000D0C2C"/>
    <w:rsid w:val="000D148F"/>
    <w:rsid w:val="000D1BC3"/>
    <w:rsid w:val="000D2C84"/>
    <w:rsid w:val="000D41D7"/>
    <w:rsid w:val="000D4290"/>
    <w:rsid w:val="000D4F5B"/>
    <w:rsid w:val="000D502F"/>
    <w:rsid w:val="000D5530"/>
    <w:rsid w:val="000E26AC"/>
    <w:rsid w:val="000E3FE6"/>
    <w:rsid w:val="000E44DD"/>
    <w:rsid w:val="000E48DD"/>
    <w:rsid w:val="000E505D"/>
    <w:rsid w:val="000E552E"/>
    <w:rsid w:val="000E5631"/>
    <w:rsid w:val="000E6B9E"/>
    <w:rsid w:val="000E7779"/>
    <w:rsid w:val="000F0F26"/>
    <w:rsid w:val="000F18E1"/>
    <w:rsid w:val="000F2FB6"/>
    <w:rsid w:val="000F3615"/>
    <w:rsid w:val="000F3ECA"/>
    <w:rsid w:val="000F3F67"/>
    <w:rsid w:val="000F45EB"/>
    <w:rsid w:val="000F7B69"/>
    <w:rsid w:val="000F7E9F"/>
    <w:rsid w:val="001000ED"/>
    <w:rsid w:val="00100F03"/>
    <w:rsid w:val="00101173"/>
    <w:rsid w:val="00101E04"/>
    <w:rsid w:val="00102F17"/>
    <w:rsid w:val="00103113"/>
    <w:rsid w:val="001033C9"/>
    <w:rsid w:val="001043A7"/>
    <w:rsid w:val="00110769"/>
    <w:rsid w:val="0011179B"/>
    <w:rsid w:val="0011194F"/>
    <w:rsid w:val="00111B2B"/>
    <w:rsid w:val="00112C0B"/>
    <w:rsid w:val="00112DD6"/>
    <w:rsid w:val="00113244"/>
    <w:rsid w:val="001173D9"/>
    <w:rsid w:val="0012218B"/>
    <w:rsid w:val="0012529E"/>
    <w:rsid w:val="00125358"/>
    <w:rsid w:val="001254D8"/>
    <w:rsid w:val="00130A8D"/>
    <w:rsid w:val="0013117A"/>
    <w:rsid w:val="00132320"/>
    <w:rsid w:val="00133803"/>
    <w:rsid w:val="0013446F"/>
    <w:rsid w:val="00135606"/>
    <w:rsid w:val="0013568C"/>
    <w:rsid w:val="00135895"/>
    <w:rsid w:val="00137A39"/>
    <w:rsid w:val="001412A9"/>
    <w:rsid w:val="00142BEB"/>
    <w:rsid w:val="00142DA3"/>
    <w:rsid w:val="00143225"/>
    <w:rsid w:val="0014525C"/>
    <w:rsid w:val="00146A87"/>
    <w:rsid w:val="00150BF8"/>
    <w:rsid w:val="001512E7"/>
    <w:rsid w:val="0015670E"/>
    <w:rsid w:val="00156C9A"/>
    <w:rsid w:val="0016067D"/>
    <w:rsid w:val="001609F9"/>
    <w:rsid w:val="001611AD"/>
    <w:rsid w:val="00161FD7"/>
    <w:rsid w:val="00162725"/>
    <w:rsid w:val="00163E6D"/>
    <w:rsid w:val="0016451F"/>
    <w:rsid w:val="00164BB0"/>
    <w:rsid w:val="001651A4"/>
    <w:rsid w:val="00167206"/>
    <w:rsid w:val="00167C8B"/>
    <w:rsid w:val="001700EA"/>
    <w:rsid w:val="00170112"/>
    <w:rsid w:val="0017022A"/>
    <w:rsid w:val="00171470"/>
    <w:rsid w:val="0017172C"/>
    <w:rsid w:val="001756DE"/>
    <w:rsid w:val="00176551"/>
    <w:rsid w:val="00176D24"/>
    <w:rsid w:val="001804D7"/>
    <w:rsid w:val="00180D03"/>
    <w:rsid w:val="001814C8"/>
    <w:rsid w:val="001825E2"/>
    <w:rsid w:val="00184500"/>
    <w:rsid w:val="001847DD"/>
    <w:rsid w:val="001849D1"/>
    <w:rsid w:val="00184B8A"/>
    <w:rsid w:val="00185A4B"/>
    <w:rsid w:val="001907C7"/>
    <w:rsid w:val="0019194C"/>
    <w:rsid w:val="001919CF"/>
    <w:rsid w:val="001943C9"/>
    <w:rsid w:val="0019665E"/>
    <w:rsid w:val="00196A2A"/>
    <w:rsid w:val="00197E7C"/>
    <w:rsid w:val="001A365E"/>
    <w:rsid w:val="001A37C3"/>
    <w:rsid w:val="001A4400"/>
    <w:rsid w:val="001A7954"/>
    <w:rsid w:val="001B051E"/>
    <w:rsid w:val="001B088B"/>
    <w:rsid w:val="001B1DDE"/>
    <w:rsid w:val="001B20BD"/>
    <w:rsid w:val="001B363C"/>
    <w:rsid w:val="001B48CC"/>
    <w:rsid w:val="001B49E3"/>
    <w:rsid w:val="001B5D83"/>
    <w:rsid w:val="001B6FFC"/>
    <w:rsid w:val="001B7C5C"/>
    <w:rsid w:val="001C169A"/>
    <w:rsid w:val="001C3348"/>
    <w:rsid w:val="001C4215"/>
    <w:rsid w:val="001C4A70"/>
    <w:rsid w:val="001C54E3"/>
    <w:rsid w:val="001C7809"/>
    <w:rsid w:val="001D0204"/>
    <w:rsid w:val="001D06E5"/>
    <w:rsid w:val="001D1EE9"/>
    <w:rsid w:val="001D4741"/>
    <w:rsid w:val="001D542E"/>
    <w:rsid w:val="001D67CC"/>
    <w:rsid w:val="001D770A"/>
    <w:rsid w:val="001D79C1"/>
    <w:rsid w:val="001E2521"/>
    <w:rsid w:val="001E3661"/>
    <w:rsid w:val="001E56E9"/>
    <w:rsid w:val="001E6370"/>
    <w:rsid w:val="001E6EB8"/>
    <w:rsid w:val="001E767F"/>
    <w:rsid w:val="001E77BB"/>
    <w:rsid w:val="001E7E82"/>
    <w:rsid w:val="001F04DB"/>
    <w:rsid w:val="001F1E49"/>
    <w:rsid w:val="001F2A37"/>
    <w:rsid w:val="001F329F"/>
    <w:rsid w:val="001F46E3"/>
    <w:rsid w:val="001F5480"/>
    <w:rsid w:val="001F54D7"/>
    <w:rsid w:val="001F5EA2"/>
    <w:rsid w:val="001F62FB"/>
    <w:rsid w:val="001F752B"/>
    <w:rsid w:val="00200B04"/>
    <w:rsid w:val="00201009"/>
    <w:rsid w:val="00201612"/>
    <w:rsid w:val="00202E83"/>
    <w:rsid w:val="00203B2B"/>
    <w:rsid w:val="00204081"/>
    <w:rsid w:val="00204433"/>
    <w:rsid w:val="00205D62"/>
    <w:rsid w:val="002074C5"/>
    <w:rsid w:val="00210591"/>
    <w:rsid w:val="0021127D"/>
    <w:rsid w:val="00211820"/>
    <w:rsid w:val="00215654"/>
    <w:rsid w:val="002167B1"/>
    <w:rsid w:val="00216844"/>
    <w:rsid w:val="00220054"/>
    <w:rsid w:val="0022057C"/>
    <w:rsid w:val="0022112C"/>
    <w:rsid w:val="00224EBA"/>
    <w:rsid w:val="00226636"/>
    <w:rsid w:val="00227BA0"/>
    <w:rsid w:val="00231574"/>
    <w:rsid w:val="00233DD2"/>
    <w:rsid w:val="00236A43"/>
    <w:rsid w:val="00236B9D"/>
    <w:rsid w:val="00237CC9"/>
    <w:rsid w:val="002525E3"/>
    <w:rsid w:val="00253401"/>
    <w:rsid w:val="0025437E"/>
    <w:rsid w:val="00254D87"/>
    <w:rsid w:val="002554DF"/>
    <w:rsid w:val="00262D21"/>
    <w:rsid w:val="00263637"/>
    <w:rsid w:val="0026382A"/>
    <w:rsid w:val="00267D86"/>
    <w:rsid w:val="00272345"/>
    <w:rsid w:val="0027254F"/>
    <w:rsid w:val="00272DEC"/>
    <w:rsid w:val="002751C8"/>
    <w:rsid w:val="00275AF3"/>
    <w:rsid w:val="00276CF6"/>
    <w:rsid w:val="002802D5"/>
    <w:rsid w:val="00280EF4"/>
    <w:rsid w:val="00281C5A"/>
    <w:rsid w:val="00282682"/>
    <w:rsid w:val="002826BC"/>
    <w:rsid w:val="002827ED"/>
    <w:rsid w:val="00284DDC"/>
    <w:rsid w:val="0028687C"/>
    <w:rsid w:val="00286887"/>
    <w:rsid w:val="00290002"/>
    <w:rsid w:val="002904CD"/>
    <w:rsid w:val="00290DE8"/>
    <w:rsid w:val="0029118D"/>
    <w:rsid w:val="002917AF"/>
    <w:rsid w:val="0029495F"/>
    <w:rsid w:val="00294E7A"/>
    <w:rsid w:val="00295978"/>
    <w:rsid w:val="002964AA"/>
    <w:rsid w:val="00296514"/>
    <w:rsid w:val="002966CD"/>
    <w:rsid w:val="0029671A"/>
    <w:rsid w:val="00296D38"/>
    <w:rsid w:val="00297397"/>
    <w:rsid w:val="002A03E9"/>
    <w:rsid w:val="002A10F3"/>
    <w:rsid w:val="002A2105"/>
    <w:rsid w:val="002A2794"/>
    <w:rsid w:val="002A2DD7"/>
    <w:rsid w:val="002A4DE8"/>
    <w:rsid w:val="002A563C"/>
    <w:rsid w:val="002A5F94"/>
    <w:rsid w:val="002B0161"/>
    <w:rsid w:val="002B0B92"/>
    <w:rsid w:val="002B106E"/>
    <w:rsid w:val="002B401B"/>
    <w:rsid w:val="002B4EBC"/>
    <w:rsid w:val="002B5D6A"/>
    <w:rsid w:val="002B60DD"/>
    <w:rsid w:val="002C0720"/>
    <w:rsid w:val="002C0967"/>
    <w:rsid w:val="002C0AC8"/>
    <w:rsid w:val="002C27FC"/>
    <w:rsid w:val="002C43C6"/>
    <w:rsid w:val="002C64FD"/>
    <w:rsid w:val="002C7368"/>
    <w:rsid w:val="002D0820"/>
    <w:rsid w:val="002D16F9"/>
    <w:rsid w:val="002D25AA"/>
    <w:rsid w:val="002D274B"/>
    <w:rsid w:val="002D2AE7"/>
    <w:rsid w:val="002D2F1D"/>
    <w:rsid w:val="002D2FDC"/>
    <w:rsid w:val="002D3890"/>
    <w:rsid w:val="002D440A"/>
    <w:rsid w:val="002D5C92"/>
    <w:rsid w:val="002D706F"/>
    <w:rsid w:val="002E0202"/>
    <w:rsid w:val="002E0402"/>
    <w:rsid w:val="002E08D9"/>
    <w:rsid w:val="002E120C"/>
    <w:rsid w:val="002E1C96"/>
    <w:rsid w:val="002E249D"/>
    <w:rsid w:val="002E3BE4"/>
    <w:rsid w:val="002E52F0"/>
    <w:rsid w:val="002E5D08"/>
    <w:rsid w:val="002E6F1E"/>
    <w:rsid w:val="002E795E"/>
    <w:rsid w:val="002F0F71"/>
    <w:rsid w:val="002F2580"/>
    <w:rsid w:val="002F2F9E"/>
    <w:rsid w:val="002F31C4"/>
    <w:rsid w:val="002F3927"/>
    <w:rsid w:val="002F486D"/>
    <w:rsid w:val="002F5901"/>
    <w:rsid w:val="002F620D"/>
    <w:rsid w:val="002F62BD"/>
    <w:rsid w:val="002F63B9"/>
    <w:rsid w:val="00300444"/>
    <w:rsid w:val="00300D9B"/>
    <w:rsid w:val="003014F2"/>
    <w:rsid w:val="00301524"/>
    <w:rsid w:val="00301AAE"/>
    <w:rsid w:val="0030242E"/>
    <w:rsid w:val="00303A97"/>
    <w:rsid w:val="0030522C"/>
    <w:rsid w:val="00306756"/>
    <w:rsid w:val="00307898"/>
    <w:rsid w:val="003079CF"/>
    <w:rsid w:val="00307CC6"/>
    <w:rsid w:val="003113EF"/>
    <w:rsid w:val="0031302B"/>
    <w:rsid w:val="003140BD"/>
    <w:rsid w:val="00314349"/>
    <w:rsid w:val="00314B0A"/>
    <w:rsid w:val="00314D6D"/>
    <w:rsid w:val="00315887"/>
    <w:rsid w:val="00316BF6"/>
    <w:rsid w:val="0032126D"/>
    <w:rsid w:val="003228CC"/>
    <w:rsid w:val="00324B10"/>
    <w:rsid w:val="00330622"/>
    <w:rsid w:val="00331450"/>
    <w:rsid w:val="00331799"/>
    <w:rsid w:val="0033270D"/>
    <w:rsid w:val="003342C3"/>
    <w:rsid w:val="00334FE4"/>
    <w:rsid w:val="00335542"/>
    <w:rsid w:val="0033656C"/>
    <w:rsid w:val="00336A7C"/>
    <w:rsid w:val="00336B3D"/>
    <w:rsid w:val="0033724C"/>
    <w:rsid w:val="0033775D"/>
    <w:rsid w:val="00337E64"/>
    <w:rsid w:val="00345B1E"/>
    <w:rsid w:val="003465DC"/>
    <w:rsid w:val="0034682C"/>
    <w:rsid w:val="00347171"/>
    <w:rsid w:val="00347777"/>
    <w:rsid w:val="00347A87"/>
    <w:rsid w:val="003505EF"/>
    <w:rsid w:val="00350C9A"/>
    <w:rsid w:val="00351BA5"/>
    <w:rsid w:val="00351BEA"/>
    <w:rsid w:val="003533C7"/>
    <w:rsid w:val="0035473E"/>
    <w:rsid w:val="00354C2B"/>
    <w:rsid w:val="00356D48"/>
    <w:rsid w:val="0035799E"/>
    <w:rsid w:val="003579DD"/>
    <w:rsid w:val="00361B09"/>
    <w:rsid w:val="003628C9"/>
    <w:rsid w:val="003635EE"/>
    <w:rsid w:val="00363F78"/>
    <w:rsid w:val="00364F19"/>
    <w:rsid w:val="00365088"/>
    <w:rsid w:val="003662C0"/>
    <w:rsid w:val="003664B2"/>
    <w:rsid w:val="003670A3"/>
    <w:rsid w:val="00367757"/>
    <w:rsid w:val="00370ADD"/>
    <w:rsid w:val="00371787"/>
    <w:rsid w:val="0037310D"/>
    <w:rsid w:val="0037407E"/>
    <w:rsid w:val="00375033"/>
    <w:rsid w:val="00375447"/>
    <w:rsid w:val="00375616"/>
    <w:rsid w:val="0037610F"/>
    <w:rsid w:val="00376C2D"/>
    <w:rsid w:val="00377D04"/>
    <w:rsid w:val="003820D2"/>
    <w:rsid w:val="00382EFE"/>
    <w:rsid w:val="003846AD"/>
    <w:rsid w:val="00386A96"/>
    <w:rsid w:val="0039081E"/>
    <w:rsid w:val="003916A6"/>
    <w:rsid w:val="003928B3"/>
    <w:rsid w:val="003941CE"/>
    <w:rsid w:val="003947E6"/>
    <w:rsid w:val="003949CB"/>
    <w:rsid w:val="003A058C"/>
    <w:rsid w:val="003A12A6"/>
    <w:rsid w:val="003A1A8D"/>
    <w:rsid w:val="003A2F18"/>
    <w:rsid w:val="003A31DA"/>
    <w:rsid w:val="003A5018"/>
    <w:rsid w:val="003A51CB"/>
    <w:rsid w:val="003A538E"/>
    <w:rsid w:val="003A554A"/>
    <w:rsid w:val="003A5C4C"/>
    <w:rsid w:val="003A6167"/>
    <w:rsid w:val="003A61F0"/>
    <w:rsid w:val="003A6CD6"/>
    <w:rsid w:val="003B1C7F"/>
    <w:rsid w:val="003B286F"/>
    <w:rsid w:val="003B39DB"/>
    <w:rsid w:val="003B499E"/>
    <w:rsid w:val="003B537A"/>
    <w:rsid w:val="003B670C"/>
    <w:rsid w:val="003B6B53"/>
    <w:rsid w:val="003C07EB"/>
    <w:rsid w:val="003C0FB3"/>
    <w:rsid w:val="003C1260"/>
    <w:rsid w:val="003C169E"/>
    <w:rsid w:val="003C1924"/>
    <w:rsid w:val="003C1AA0"/>
    <w:rsid w:val="003C25BE"/>
    <w:rsid w:val="003C2CD7"/>
    <w:rsid w:val="003C31AC"/>
    <w:rsid w:val="003C43F9"/>
    <w:rsid w:val="003C4C52"/>
    <w:rsid w:val="003C673E"/>
    <w:rsid w:val="003C7494"/>
    <w:rsid w:val="003D17C9"/>
    <w:rsid w:val="003D20E6"/>
    <w:rsid w:val="003D2396"/>
    <w:rsid w:val="003D3EF9"/>
    <w:rsid w:val="003D47EE"/>
    <w:rsid w:val="003D59CB"/>
    <w:rsid w:val="003D71AC"/>
    <w:rsid w:val="003D79E4"/>
    <w:rsid w:val="003E028A"/>
    <w:rsid w:val="003E0449"/>
    <w:rsid w:val="003E0D40"/>
    <w:rsid w:val="003E19C6"/>
    <w:rsid w:val="003E3062"/>
    <w:rsid w:val="003E3D87"/>
    <w:rsid w:val="003E47CF"/>
    <w:rsid w:val="003E53DF"/>
    <w:rsid w:val="003E5C5E"/>
    <w:rsid w:val="003E68C3"/>
    <w:rsid w:val="003F02CF"/>
    <w:rsid w:val="003F1252"/>
    <w:rsid w:val="003F14DB"/>
    <w:rsid w:val="003F188B"/>
    <w:rsid w:val="003F1DE1"/>
    <w:rsid w:val="003F2AD9"/>
    <w:rsid w:val="003F2BA6"/>
    <w:rsid w:val="003F314F"/>
    <w:rsid w:val="003F331D"/>
    <w:rsid w:val="003F4B17"/>
    <w:rsid w:val="003F5257"/>
    <w:rsid w:val="003F5D6B"/>
    <w:rsid w:val="003F6C4F"/>
    <w:rsid w:val="00406F44"/>
    <w:rsid w:val="00407184"/>
    <w:rsid w:val="00407AC3"/>
    <w:rsid w:val="00411AC4"/>
    <w:rsid w:val="004136C4"/>
    <w:rsid w:val="00414D9C"/>
    <w:rsid w:val="00415311"/>
    <w:rsid w:val="00415ADD"/>
    <w:rsid w:val="00416123"/>
    <w:rsid w:val="0041650D"/>
    <w:rsid w:val="004165CD"/>
    <w:rsid w:val="00416C2B"/>
    <w:rsid w:val="00423741"/>
    <w:rsid w:val="00423D02"/>
    <w:rsid w:val="00424ADA"/>
    <w:rsid w:val="004253F8"/>
    <w:rsid w:val="00432B5E"/>
    <w:rsid w:val="00432E9C"/>
    <w:rsid w:val="00434369"/>
    <w:rsid w:val="00434940"/>
    <w:rsid w:val="004355C7"/>
    <w:rsid w:val="00435CED"/>
    <w:rsid w:val="0044123B"/>
    <w:rsid w:val="00441F15"/>
    <w:rsid w:val="00442673"/>
    <w:rsid w:val="004426B9"/>
    <w:rsid w:val="00443504"/>
    <w:rsid w:val="00445A00"/>
    <w:rsid w:val="00445E1B"/>
    <w:rsid w:val="004460C5"/>
    <w:rsid w:val="00446C20"/>
    <w:rsid w:val="00450C55"/>
    <w:rsid w:val="00451327"/>
    <w:rsid w:val="0045287A"/>
    <w:rsid w:val="00455916"/>
    <w:rsid w:val="00456343"/>
    <w:rsid w:val="00457A2F"/>
    <w:rsid w:val="00460D55"/>
    <w:rsid w:val="00461C77"/>
    <w:rsid w:val="00463BD8"/>
    <w:rsid w:val="0046463E"/>
    <w:rsid w:val="00464655"/>
    <w:rsid w:val="004708AB"/>
    <w:rsid w:val="004714C8"/>
    <w:rsid w:val="00471A0E"/>
    <w:rsid w:val="00471D54"/>
    <w:rsid w:val="0047348F"/>
    <w:rsid w:val="00477102"/>
    <w:rsid w:val="00477FF3"/>
    <w:rsid w:val="00481289"/>
    <w:rsid w:val="00481E79"/>
    <w:rsid w:val="00483275"/>
    <w:rsid w:val="00484B66"/>
    <w:rsid w:val="0049066A"/>
    <w:rsid w:val="00491A3C"/>
    <w:rsid w:val="00491BF5"/>
    <w:rsid w:val="004925BE"/>
    <w:rsid w:val="00493CF0"/>
    <w:rsid w:val="00494CD6"/>
    <w:rsid w:val="004A03FF"/>
    <w:rsid w:val="004A220A"/>
    <w:rsid w:val="004A2968"/>
    <w:rsid w:val="004A2DCF"/>
    <w:rsid w:val="004A553A"/>
    <w:rsid w:val="004A5FC4"/>
    <w:rsid w:val="004B28C2"/>
    <w:rsid w:val="004B4EAE"/>
    <w:rsid w:val="004B66ED"/>
    <w:rsid w:val="004B7159"/>
    <w:rsid w:val="004B79A3"/>
    <w:rsid w:val="004B7E89"/>
    <w:rsid w:val="004C0964"/>
    <w:rsid w:val="004C4597"/>
    <w:rsid w:val="004C64B2"/>
    <w:rsid w:val="004C6D69"/>
    <w:rsid w:val="004C754A"/>
    <w:rsid w:val="004C7F52"/>
    <w:rsid w:val="004D0611"/>
    <w:rsid w:val="004D1835"/>
    <w:rsid w:val="004D2962"/>
    <w:rsid w:val="004D4681"/>
    <w:rsid w:val="004D5620"/>
    <w:rsid w:val="004D59DA"/>
    <w:rsid w:val="004D7618"/>
    <w:rsid w:val="004D7ADC"/>
    <w:rsid w:val="004E071F"/>
    <w:rsid w:val="004E0897"/>
    <w:rsid w:val="004E121F"/>
    <w:rsid w:val="004E220B"/>
    <w:rsid w:val="004E2F8E"/>
    <w:rsid w:val="004E3FA1"/>
    <w:rsid w:val="004E437E"/>
    <w:rsid w:val="004E5079"/>
    <w:rsid w:val="004E6094"/>
    <w:rsid w:val="004F085B"/>
    <w:rsid w:val="004F1128"/>
    <w:rsid w:val="004F123A"/>
    <w:rsid w:val="004F1E4E"/>
    <w:rsid w:val="004F25E0"/>
    <w:rsid w:val="004F2F26"/>
    <w:rsid w:val="004F3128"/>
    <w:rsid w:val="004F5A7C"/>
    <w:rsid w:val="004F6B69"/>
    <w:rsid w:val="004F6BF5"/>
    <w:rsid w:val="004F753D"/>
    <w:rsid w:val="00500710"/>
    <w:rsid w:val="00501059"/>
    <w:rsid w:val="005037D4"/>
    <w:rsid w:val="00506A19"/>
    <w:rsid w:val="00506B48"/>
    <w:rsid w:val="0050754D"/>
    <w:rsid w:val="0050786E"/>
    <w:rsid w:val="00507C3B"/>
    <w:rsid w:val="00507CC7"/>
    <w:rsid w:val="00510194"/>
    <w:rsid w:val="005106B6"/>
    <w:rsid w:val="00510C8D"/>
    <w:rsid w:val="00513A95"/>
    <w:rsid w:val="0051418B"/>
    <w:rsid w:val="00515029"/>
    <w:rsid w:val="005169DF"/>
    <w:rsid w:val="00516CB0"/>
    <w:rsid w:val="00517674"/>
    <w:rsid w:val="005203DC"/>
    <w:rsid w:val="00520C63"/>
    <w:rsid w:val="00521F17"/>
    <w:rsid w:val="00522317"/>
    <w:rsid w:val="00524253"/>
    <w:rsid w:val="0052488B"/>
    <w:rsid w:val="005256AA"/>
    <w:rsid w:val="00526B4B"/>
    <w:rsid w:val="00526F42"/>
    <w:rsid w:val="00530884"/>
    <w:rsid w:val="00530B39"/>
    <w:rsid w:val="00532115"/>
    <w:rsid w:val="0053395E"/>
    <w:rsid w:val="005343AF"/>
    <w:rsid w:val="0053666B"/>
    <w:rsid w:val="005402E3"/>
    <w:rsid w:val="00540D34"/>
    <w:rsid w:val="00541042"/>
    <w:rsid w:val="0054191B"/>
    <w:rsid w:val="005420BC"/>
    <w:rsid w:val="00542643"/>
    <w:rsid w:val="00543871"/>
    <w:rsid w:val="005453BE"/>
    <w:rsid w:val="00545F02"/>
    <w:rsid w:val="005465A9"/>
    <w:rsid w:val="00547D8B"/>
    <w:rsid w:val="005523CF"/>
    <w:rsid w:val="0055259D"/>
    <w:rsid w:val="00553140"/>
    <w:rsid w:val="00553509"/>
    <w:rsid w:val="00554469"/>
    <w:rsid w:val="005553B2"/>
    <w:rsid w:val="00555E90"/>
    <w:rsid w:val="005562B0"/>
    <w:rsid w:val="00556874"/>
    <w:rsid w:val="00557C5E"/>
    <w:rsid w:val="0056084B"/>
    <w:rsid w:val="005625FF"/>
    <w:rsid w:val="0056417A"/>
    <w:rsid w:val="005643FC"/>
    <w:rsid w:val="00564677"/>
    <w:rsid w:val="0056472B"/>
    <w:rsid w:val="00565A45"/>
    <w:rsid w:val="00565E67"/>
    <w:rsid w:val="0056734C"/>
    <w:rsid w:val="00570555"/>
    <w:rsid w:val="005720FB"/>
    <w:rsid w:val="00572D7C"/>
    <w:rsid w:val="005754DC"/>
    <w:rsid w:val="00575BB3"/>
    <w:rsid w:val="00575D90"/>
    <w:rsid w:val="0057647F"/>
    <w:rsid w:val="0058132D"/>
    <w:rsid w:val="0058169E"/>
    <w:rsid w:val="00581DC7"/>
    <w:rsid w:val="005829CD"/>
    <w:rsid w:val="00582B2E"/>
    <w:rsid w:val="00583A83"/>
    <w:rsid w:val="005849A2"/>
    <w:rsid w:val="00584E33"/>
    <w:rsid w:val="00585DE9"/>
    <w:rsid w:val="00586018"/>
    <w:rsid w:val="005874A4"/>
    <w:rsid w:val="005875E4"/>
    <w:rsid w:val="00587758"/>
    <w:rsid w:val="00590A1B"/>
    <w:rsid w:val="005929F8"/>
    <w:rsid w:val="00592EA5"/>
    <w:rsid w:val="00592F4C"/>
    <w:rsid w:val="00593264"/>
    <w:rsid w:val="005932EE"/>
    <w:rsid w:val="00594E76"/>
    <w:rsid w:val="005978A2"/>
    <w:rsid w:val="005A0274"/>
    <w:rsid w:val="005A0D1B"/>
    <w:rsid w:val="005A1459"/>
    <w:rsid w:val="005A3016"/>
    <w:rsid w:val="005A3276"/>
    <w:rsid w:val="005A3EC2"/>
    <w:rsid w:val="005A416B"/>
    <w:rsid w:val="005A6B78"/>
    <w:rsid w:val="005B17BC"/>
    <w:rsid w:val="005B2F7A"/>
    <w:rsid w:val="005B332A"/>
    <w:rsid w:val="005B336D"/>
    <w:rsid w:val="005B3E14"/>
    <w:rsid w:val="005B5528"/>
    <w:rsid w:val="005B7FC0"/>
    <w:rsid w:val="005C4597"/>
    <w:rsid w:val="005C7B54"/>
    <w:rsid w:val="005C7D4E"/>
    <w:rsid w:val="005D082E"/>
    <w:rsid w:val="005D31F5"/>
    <w:rsid w:val="005D32D5"/>
    <w:rsid w:val="005D4177"/>
    <w:rsid w:val="005D45A5"/>
    <w:rsid w:val="005D720A"/>
    <w:rsid w:val="005D7267"/>
    <w:rsid w:val="005D7DAF"/>
    <w:rsid w:val="005E1FC9"/>
    <w:rsid w:val="005E3D42"/>
    <w:rsid w:val="005E6907"/>
    <w:rsid w:val="005E728B"/>
    <w:rsid w:val="005E791D"/>
    <w:rsid w:val="005F03C3"/>
    <w:rsid w:val="005F42FF"/>
    <w:rsid w:val="005F45A8"/>
    <w:rsid w:val="005F4DA7"/>
    <w:rsid w:val="00600BCA"/>
    <w:rsid w:val="0060134A"/>
    <w:rsid w:val="006016B1"/>
    <w:rsid w:val="00601E70"/>
    <w:rsid w:val="00601FF0"/>
    <w:rsid w:val="006049D3"/>
    <w:rsid w:val="00605753"/>
    <w:rsid w:val="00606423"/>
    <w:rsid w:val="00606973"/>
    <w:rsid w:val="0061279E"/>
    <w:rsid w:val="0061324C"/>
    <w:rsid w:val="00614760"/>
    <w:rsid w:val="00620F0C"/>
    <w:rsid w:val="006214BB"/>
    <w:rsid w:val="00621590"/>
    <w:rsid w:val="006222BF"/>
    <w:rsid w:val="00622AC4"/>
    <w:rsid w:val="00624D9F"/>
    <w:rsid w:val="00625934"/>
    <w:rsid w:val="00627C6F"/>
    <w:rsid w:val="0063155E"/>
    <w:rsid w:val="006319D3"/>
    <w:rsid w:val="00632576"/>
    <w:rsid w:val="00633976"/>
    <w:rsid w:val="00633D93"/>
    <w:rsid w:val="00634C20"/>
    <w:rsid w:val="00634F34"/>
    <w:rsid w:val="00636B61"/>
    <w:rsid w:val="0063722B"/>
    <w:rsid w:val="00637806"/>
    <w:rsid w:val="00640541"/>
    <w:rsid w:val="0064330E"/>
    <w:rsid w:val="0064459C"/>
    <w:rsid w:val="0064574B"/>
    <w:rsid w:val="0064574C"/>
    <w:rsid w:val="006457CA"/>
    <w:rsid w:val="0064599D"/>
    <w:rsid w:val="00646610"/>
    <w:rsid w:val="0065087E"/>
    <w:rsid w:val="0065277F"/>
    <w:rsid w:val="00652F57"/>
    <w:rsid w:val="0065300D"/>
    <w:rsid w:val="00653B28"/>
    <w:rsid w:val="00654572"/>
    <w:rsid w:val="00655293"/>
    <w:rsid w:val="00656184"/>
    <w:rsid w:val="00656239"/>
    <w:rsid w:val="00656409"/>
    <w:rsid w:val="006576A6"/>
    <w:rsid w:val="006604C5"/>
    <w:rsid w:val="00660B3B"/>
    <w:rsid w:val="006614DE"/>
    <w:rsid w:val="00661C75"/>
    <w:rsid w:val="0066238F"/>
    <w:rsid w:val="006631AE"/>
    <w:rsid w:val="006636BC"/>
    <w:rsid w:val="00664E95"/>
    <w:rsid w:val="00665F58"/>
    <w:rsid w:val="00665FBD"/>
    <w:rsid w:val="006660C0"/>
    <w:rsid w:val="006668BB"/>
    <w:rsid w:val="00667F1B"/>
    <w:rsid w:val="006725A3"/>
    <w:rsid w:val="00675773"/>
    <w:rsid w:val="0067657C"/>
    <w:rsid w:val="00677F9B"/>
    <w:rsid w:val="006801C0"/>
    <w:rsid w:val="00680634"/>
    <w:rsid w:val="00680F23"/>
    <w:rsid w:val="0068114D"/>
    <w:rsid w:val="006820E6"/>
    <w:rsid w:val="006821DE"/>
    <w:rsid w:val="00684F1E"/>
    <w:rsid w:val="006875DF"/>
    <w:rsid w:val="00690C2E"/>
    <w:rsid w:val="00690F84"/>
    <w:rsid w:val="00691A23"/>
    <w:rsid w:val="00692374"/>
    <w:rsid w:val="00693F04"/>
    <w:rsid w:val="00694F2F"/>
    <w:rsid w:val="006956EB"/>
    <w:rsid w:val="0069596A"/>
    <w:rsid w:val="00696A1F"/>
    <w:rsid w:val="006A13E2"/>
    <w:rsid w:val="006A57A9"/>
    <w:rsid w:val="006A5A9E"/>
    <w:rsid w:val="006A616E"/>
    <w:rsid w:val="006A7C31"/>
    <w:rsid w:val="006B0200"/>
    <w:rsid w:val="006B1C0D"/>
    <w:rsid w:val="006B46C8"/>
    <w:rsid w:val="006B4B82"/>
    <w:rsid w:val="006B600F"/>
    <w:rsid w:val="006B6ADE"/>
    <w:rsid w:val="006B70FD"/>
    <w:rsid w:val="006C29CA"/>
    <w:rsid w:val="006C3904"/>
    <w:rsid w:val="006C50BD"/>
    <w:rsid w:val="006C67F6"/>
    <w:rsid w:val="006C7B9A"/>
    <w:rsid w:val="006C7C31"/>
    <w:rsid w:val="006D0CA3"/>
    <w:rsid w:val="006D135A"/>
    <w:rsid w:val="006D2F99"/>
    <w:rsid w:val="006D3001"/>
    <w:rsid w:val="006D3163"/>
    <w:rsid w:val="006D344B"/>
    <w:rsid w:val="006D3AFF"/>
    <w:rsid w:val="006D604E"/>
    <w:rsid w:val="006D6B0B"/>
    <w:rsid w:val="006D7D5D"/>
    <w:rsid w:val="006E0C94"/>
    <w:rsid w:val="006E11F9"/>
    <w:rsid w:val="006E15E5"/>
    <w:rsid w:val="006E2022"/>
    <w:rsid w:val="006E2386"/>
    <w:rsid w:val="006E32B7"/>
    <w:rsid w:val="006E3C4F"/>
    <w:rsid w:val="006F0C65"/>
    <w:rsid w:val="006F109A"/>
    <w:rsid w:val="006F12C7"/>
    <w:rsid w:val="006F2988"/>
    <w:rsid w:val="006F31A9"/>
    <w:rsid w:val="006F36B0"/>
    <w:rsid w:val="006F4A62"/>
    <w:rsid w:val="006F5E96"/>
    <w:rsid w:val="00701739"/>
    <w:rsid w:val="00701790"/>
    <w:rsid w:val="00701955"/>
    <w:rsid w:val="00701CC4"/>
    <w:rsid w:val="00702313"/>
    <w:rsid w:val="00703A5E"/>
    <w:rsid w:val="007048CF"/>
    <w:rsid w:val="00704901"/>
    <w:rsid w:val="007064BB"/>
    <w:rsid w:val="00710B82"/>
    <w:rsid w:val="0071123C"/>
    <w:rsid w:val="007124FB"/>
    <w:rsid w:val="00712551"/>
    <w:rsid w:val="00713FFE"/>
    <w:rsid w:val="00715BC3"/>
    <w:rsid w:val="00716C2C"/>
    <w:rsid w:val="00717093"/>
    <w:rsid w:val="00720329"/>
    <w:rsid w:val="00721478"/>
    <w:rsid w:val="00721742"/>
    <w:rsid w:val="00724B7A"/>
    <w:rsid w:val="00724DAB"/>
    <w:rsid w:val="007255DC"/>
    <w:rsid w:val="007259DA"/>
    <w:rsid w:val="00726721"/>
    <w:rsid w:val="007277D2"/>
    <w:rsid w:val="00727EF1"/>
    <w:rsid w:val="00730189"/>
    <w:rsid w:val="007302FC"/>
    <w:rsid w:val="0073501C"/>
    <w:rsid w:val="0073595D"/>
    <w:rsid w:val="0073613F"/>
    <w:rsid w:val="007366AF"/>
    <w:rsid w:val="00736918"/>
    <w:rsid w:val="007371BE"/>
    <w:rsid w:val="00740176"/>
    <w:rsid w:val="00740806"/>
    <w:rsid w:val="007434A8"/>
    <w:rsid w:val="007447BE"/>
    <w:rsid w:val="00746421"/>
    <w:rsid w:val="00746AAE"/>
    <w:rsid w:val="0074786E"/>
    <w:rsid w:val="00751505"/>
    <w:rsid w:val="00751DB8"/>
    <w:rsid w:val="007525DD"/>
    <w:rsid w:val="0075505E"/>
    <w:rsid w:val="0075519D"/>
    <w:rsid w:val="00756A9C"/>
    <w:rsid w:val="007624C7"/>
    <w:rsid w:val="00762952"/>
    <w:rsid w:val="00763A69"/>
    <w:rsid w:val="007658D4"/>
    <w:rsid w:val="00766577"/>
    <w:rsid w:val="00766AA2"/>
    <w:rsid w:val="00767DAA"/>
    <w:rsid w:val="007709A5"/>
    <w:rsid w:val="00770E96"/>
    <w:rsid w:val="007734A8"/>
    <w:rsid w:val="0077496F"/>
    <w:rsid w:val="00774A0D"/>
    <w:rsid w:val="00774B0D"/>
    <w:rsid w:val="0077541C"/>
    <w:rsid w:val="0077700E"/>
    <w:rsid w:val="007776B5"/>
    <w:rsid w:val="007778EF"/>
    <w:rsid w:val="0078110D"/>
    <w:rsid w:val="007817EF"/>
    <w:rsid w:val="00781C3C"/>
    <w:rsid w:val="00782539"/>
    <w:rsid w:val="00782827"/>
    <w:rsid w:val="00782EEE"/>
    <w:rsid w:val="00785572"/>
    <w:rsid w:val="00790BD8"/>
    <w:rsid w:val="00790E55"/>
    <w:rsid w:val="007943B3"/>
    <w:rsid w:val="00794C53"/>
    <w:rsid w:val="00795ABA"/>
    <w:rsid w:val="00795C38"/>
    <w:rsid w:val="00797BBA"/>
    <w:rsid w:val="007A013A"/>
    <w:rsid w:val="007A07E5"/>
    <w:rsid w:val="007A0D77"/>
    <w:rsid w:val="007A18D1"/>
    <w:rsid w:val="007A2428"/>
    <w:rsid w:val="007A25AF"/>
    <w:rsid w:val="007A2CEB"/>
    <w:rsid w:val="007A3ED7"/>
    <w:rsid w:val="007A4A5D"/>
    <w:rsid w:val="007A5780"/>
    <w:rsid w:val="007A5885"/>
    <w:rsid w:val="007A66DB"/>
    <w:rsid w:val="007A7BFF"/>
    <w:rsid w:val="007A7EB3"/>
    <w:rsid w:val="007B0759"/>
    <w:rsid w:val="007B2100"/>
    <w:rsid w:val="007B29DC"/>
    <w:rsid w:val="007B5BA7"/>
    <w:rsid w:val="007B5E2D"/>
    <w:rsid w:val="007B62B7"/>
    <w:rsid w:val="007B6C66"/>
    <w:rsid w:val="007C06B3"/>
    <w:rsid w:val="007C1409"/>
    <w:rsid w:val="007C16C6"/>
    <w:rsid w:val="007C20A6"/>
    <w:rsid w:val="007C33BF"/>
    <w:rsid w:val="007C4020"/>
    <w:rsid w:val="007C51BF"/>
    <w:rsid w:val="007C5588"/>
    <w:rsid w:val="007C5652"/>
    <w:rsid w:val="007C59EC"/>
    <w:rsid w:val="007C682E"/>
    <w:rsid w:val="007D1C07"/>
    <w:rsid w:val="007D2D2D"/>
    <w:rsid w:val="007D2D65"/>
    <w:rsid w:val="007D31FB"/>
    <w:rsid w:val="007D3DDF"/>
    <w:rsid w:val="007D4A97"/>
    <w:rsid w:val="007D61E1"/>
    <w:rsid w:val="007D66A1"/>
    <w:rsid w:val="007D7DAB"/>
    <w:rsid w:val="007E0E34"/>
    <w:rsid w:val="007E115C"/>
    <w:rsid w:val="007E1264"/>
    <w:rsid w:val="007E16F1"/>
    <w:rsid w:val="007E36CB"/>
    <w:rsid w:val="007E3FC8"/>
    <w:rsid w:val="007E4830"/>
    <w:rsid w:val="007F0CD2"/>
    <w:rsid w:val="007F1438"/>
    <w:rsid w:val="007F2172"/>
    <w:rsid w:val="007F3094"/>
    <w:rsid w:val="007F3384"/>
    <w:rsid w:val="007F414D"/>
    <w:rsid w:val="007F460A"/>
    <w:rsid w:val="007F5020"/>
    <w:rsid w:val="007F5FDD"/>
    <w:rsid w:val="007F6FD9"/>
    <w:rsid w:val="007F782C"/>
    <w:rsid w:val="008027E9"/>
    <w:rsid w:val="00802E4A"/>
    <w:rsid w:val="008030A9"/>
    <w:rsid w:val="008041C1"/>
    <w:rsid w:val="0080487E"/>
    <w:rsid w:val="00805EFA"/>
    <w:rsid w:val="0080781C"/>
    <w:rsid w:val="008101BD"/>
    <w:rsid w:val="00811328"/>
    <w:rsid w:val="008121B4"/>
    <w:rsid w:val="0081244B"/>
    <w:rsid w:val="00814128"/>
    <w:rsid w:val="00814E8A"/>
    <w:rsid w:val="00815F66"/>
    <w:rsid w:val="00816190"/>
    <w:rsid w:val="00816C87"/>
    <w:rsid w:val="00817835"/>
    <w:rsid w:val="00820AB1"/>
    <w:rsid w:val="008221F2"/>
    <w:rsid w:val="00823C96"/>
    <w:rsid w:val="00824607"/>
    <w:rsid w:val="008268AA"/>
    <w:rsid w:val="00830807"/>
    <w:rsid w:val="00830E53"/>
    <w:rsid w:val="008313B3"/>
    <w:rsid w:val="008325C2"/>
    <w:rsid w:val="008344DE"/>
    <w:rsid w:val="00837194"/>
    <w:rsid w:val="00837680"/>
    <w:rsid w:val="00840076"/>
    <w:rsid w:val="00841F69"/>
    <w:rsid w:val="0084381B"/>
    <w:rsid w:val="008439EB"/>
    <w:rsid w:val="008441CC"/>
    <w:rsid w:val="00844746"/>
    <w:rsid w:val="00850596"/>
    <w:rsid w:val="0085223B"/>
    <w:rsid w:val="008529A1"/>
    <w:rsid w:val="00854A1F"/>
    <w:rsid w:val="00855976"/>
    <w:rsid w:val="008566B9"/>
    <w:rsid w:val="00856AF5"/>
    <w:rsid w:val="00857336"/>
    <w:rsid w:val="00861A83"/>
    <w:rsid w:val="00862C77"/>
    <w:rsid w:val="008635D7"/>
    <w:rsid w:val="00864A8E"/>
    <w:rsid w:val="00864CB7"/>
    <w:rsid w:val="0086701A"/>
    <w:rsid w:val="00870653"/>
    <w:rsid w:val="008706F5"/>
    <w:rsid w:val="00873D28"/>
    <w:rsid w:val="0087537B"/>
    <w:rsid w:val="00875513"/>
    <w:rsid w:val="00875B2B"/>
    <w:rsid w:val="00875EA3"/>
    <w:rsid w:val="00876EF6"/>
    <w:rsid w:val="00877495"/>
    <w:rsid w:val="00887425"/>
    <w:rsid w:val="008874E7"/>
    <w:rsid w:val="008900D8"/>
    <w:rsid w:val="00891398"/>
    <w:rsid w:val="008913A4"/>
    <w:rsid w:val="008916CC"/>
    <w:rsid w:val="00891736"/>
    <w:rsid w:val="00893A7C"/>
    <w:rsid w:val="00895DF5"/>
    <w:rsid w:val="0089627D"/>
    <w:rsid w:val="00896949"/>
    <w:rsid w:val="00897564"/>
    <w:rsid w:val="008A3920"/>
    <w:rsid w:val="008A3FBD"/>
    <w:rsid w:val="008A4283"/>
    <w:rsid w:val="008A502B"/>
    <w:rsid w:val="008A5775"/>
    <w:rsid w:val="008A6429"/>
    <w:rsid w:val="008A78EF"/>
    <w:rsid w:val="008B0718"/>
    <w:rsid w:val="008B32EC"/>
    <w:rsid w:val="008B32ED"/>
    <w:rsid w:val="008B657A"/>
    <w:rsid w:val="008B6661"/>
    <w:rsid w:val="008B67A0"/>
    <w:rsid w:val="008B6EDF"/>
    <w:rsid w:val="008B742E"/>
    <w:rsid w:val="008C22F9"/>
    <w:rsid w:val="008C24CD"/>
    <w:rsid w:val="008C2A7E"/>
    <w:rsid w:val="008C35D7"/>
    <w:rsid w:val="008C3657"/>
    <w:rsid w:val="008C5A7B"/>
    <w:rsid w:val="008C63E3"/>
    <w:rsid w:val="008D04D3"/>
    <w:rsid w:val="008D0648"/>
    <w:rsid w:val="008D331C"/>
    <w:rsid w:val="008D53F8"/>
    <w:rsid w:val="008D56D5"/>
    <w:rsid w:val="008D5C56"/>
    <w:rsid w:val="008D6A7C"/>
    <w:rsid w:val="008D74F6"/>
    <w:rsid w:val="008E0720"/>
    <w:rsid w:val="008E125F"/>
    <w:rsid w:val="008E219C"/>
    <w:rsid w:val="008E42F2"/>
    <w:rsid w:val="008E5C6F"/>
    <w:rsid w:val="008E78FD"/>
    <w:rsid w:val="008E7B4D"/>
    <w:rsid w:val="008E7B9B"/>
    <w:rsid w:val="008F0E6C"/>
    <w:rsid w:val="008F2366"/>
    <w:rsid w:val="008F30EC"/>
    <w:rsid w:val="008F48EF"/>
    <w:rsid w:val="008F52B4"/>
    <w:rsid w:val="008F5686"/>
    <w:rsid w:val="008F70F4"/>
    <w:rsid w:val="008F7900"/>
    <w:rsid w:val="0090102B"/>
    <w:rsid w:val="0090185F"/>
    <w:rsid w:val="00902A0F"/>
    <w:rsid w:val="009035D9"/>
    <w:rsid w:val="0090404D"/>
    <w:rsid w:val="00905AD7"/>
    <w:rsid w:val="0090612C"/>
    <w:rsid w:val="009067D0"/>
    <w:rsid w:val="00906F5D"/>
    <w:rsid w:val="00907419"/>
    <w:rsid w:val="009075A0"/>
    <w:rsid w:val="00907E8F"/>
    <w:rsid w:val="00910166"/>
    <w:rsid w:val="00910C93"/>
    <w:rsid w:val="00910E6E"/>
    <w:rsid w:val="009130AA"/>
    <w:rsid w:val="0091327A"/>
    <w:rsid w:val="00913399"/>
    <w:rsid w:val="00913538"/>
    <w:rsid w:val="00913BAE"/>
    <w:rsid w:val="0091436B"/>
    <w:rsid w:val="00914BEC"/>
    <w:rsid w:val="009162E9"/>
    <w:rsid w:val="00921982"/>
    <w:rsid w:val="00921F91"/>
    <w:rsid w:val="00921FEA"/>
    <w:rsid w:val="00922166"/>
    <w:rsid w:val="0092459C"/>
    <w:rsid w:val="00926E47"/>
    <w:rsid w:val="00932572"/>
    <w:rsid w:val="00932A1D"/>
    <w:rsid w:val="00936D99"/>
    <w:rsid w:val="00940AD6"/>
    <w:rsid w:val="00940FC4"/>
    <w:rsid w:val="00942147"/>
    <w:rsid w:val="0094293A"/>
    <w:rsid w:val="00943788"/>
    <w:rsid w:val="00943A5B"/>
    <w:rsid w:val="009456EE"/>
    <w:rsid w:val="00946A9B"/>
    <w:rsid w:val="009479C1"/>
    <w:rsid w:val="00947B74"/>
    <w:rsid w:val="00947C85"/>
    <w:rsid w:val="00951327"/>
    <w:rsid w:val="009522A4"/>
    <w:rsid w:val="00953CB5"/>
    <w:rsid w:val="00955022"/>
    <w:rsid w:val="0095660B"/>
    <w:rsid w:val="009566A8"/>
    <w:rsid w:val="00960E12"/>
    <w:rsid w:val="00961099"/>
    <w:rsid w:val="00962743"/>
    <w:rsid w:val="00963611"/>
    <w:rsid w:val="00965BDC"/>
    <w:rsid w:val="00966AD0"/>
    <w:rsid w:val="00966AEC"/>
    <w:rsid w:val="00967CCB"/>
    <w:rsid w:val="00967D9D"/>
    <w:rsid w:val="00970E03"/>
    <w:rsid w:val="00971AFC"/>
    <w:rsid w:val="00971BA9"/>
    <w:rsid w:val="00973C84"/>
    <w:rsid w:val="009767B3"/>
    <w:rsid w:val="00976985"/>
    <w:rsid w:val="0097720B"/>
    <w:rsid w:val="009800D8"/>
    <w:rsid w:val="009808E2"/>
    <w:rsid w:val="00980D40"/>
    <w:rsid w:val="00981D40"/>
    <w:rsid w:val="0098288B"/>
    <w:rsid w:val="0098444C"/>
    <w:rsid w:val="00985DB1"/>
    <w:rsid w:val="00986E44"/>
    <w:rsid w:val="0098754A"/>
    <w:rsid w:val="009877EF"/>
    <w:rsid w:val="00987E44"/>
    <w:rsid w:val="00992CDC"/>
    <w:rsid w:val="0099319F"/>
    <w:rsid w:val="009940A5"/>
    <w:rsid w:val="00994127"/>
    <w:rsid w:val="00994446"/>
    <w:rsid w:val="00995C99"/>
    <w:rsid w:val="00996267"/>
    <w:rsid w:val="00996689"/>
    <w:rsid w:val="0099674B"/>
    <w:rsid w:val="009A0C3B"/>
    <w:rsid w:val="009A23E1"/>
    <w:rsid w:val="009A2C55"/>
    <w:rsid w:val="009A4BAB"/>
    <w:rsid w:val="009B0183"/>
    <w:rsid w:val="009B0374"/>
    <w:rsid w:val="009B1984"/>
    <w:rsid w:val="009B1F10"/>
    <w:rsid w:val="009B2331"/>
    <w:rsid w:val="009B3775"/>
    <w:rsid w:val="009B3A45"/>
    <w:rsid w:val="009B3A92"/>
    <w:rsid w:val="009B3CDF"/>
    <w:rsid w:val="009B451B"/>
    <w:rsid w:val="009B4721"/>
    <w:rsid w:val="009B5540"/>
    <w:rsid w:val="009B578B"/>
    <w:rsid w:val="009B598E"/>
    <w:rsid w:val="009B7E2F"/>
    <w:rsid w:val="009B7EBB"/>
    <w:rsid w:val="009C1E9D"/>
    <w:rsid w:val="009C2670"/>
    <w:rsid w:val="009C352A"/>
    <w:rsid w:val="009C44AD"/>
    <w:rsid w:val="009C49FE"/>
    <w:rsid w:val="009C4DCD"/>
    <w:rsid w:val="009C53A0"/>
    <w:rsid w:val="009C586E"/>
    <w:rsid w:val="009C6006"/>
    <w:rsid w:val="009C60F9"/>
    <w:rsid w:val="009C73DF"/>
    <w:rsid w:val="009D0517"/>
    <w:rsid w:val="009D0B26"/>
    <w:rsid w:val="009D35EA"/>
    <w:rsid w:val="009D4639"/>
    <w:rsid w:val="009D479F"/>
    <w:rsid w:val="009D5448"/>
    <w:rsid w:val="009D562B"/>
    <w:rsid w:val="009D6B22"/>
    <w:rsid w:val="009D6CEA"/>
    <w:rsid w:val="009D7465"/>
    <w:rsid w:val="009D7CF1"/>
    <w:rsid w:val="009D7EB8"/>
    <w:rsid w:val="009E04E0"/>
    <w:rsid w:val="009E07C7"/>
    <w:rsid w:val="009E19C8"/>
    <w:rsid w:val="009E234D"/>
    <w:rsid w:val="009E2493"/>
    <w:rsid w:val="009E4BA6"/>
    <w:rsid w:val="009E6284"/>
    <w:rsid w:val="009E6D42"/>
    <w:rsid w:val="009E6F80"/>
    <w:rsid w:val="009E767D"/>
    <w:rsid w:val="009F0A7D"/>
    <w:rsid w:val="009F28E4"/>
    <w:rsid w:val="009F2B1A"/>
    <w:rsid w:val="009F4271"/>
    <w:rsid w:val="009F5057"/>
    <w:rsid w:val="009F60CE"/>
    <w:rsid w:val="009F6B3C"/>
    <w:rsid w:val="009F7815"/>
    <w:rsid w:val="009F7995"/>
    <w:rsid w:val="00A02752"/>
    <w:rsid w:val="00A02E4B"/>
    <w:rsid w:val="00A03DA1"/>
    <w:rsid w:val="00A0528A"/>
    <w:rsid w:val="00A06982"/>
    <w:rsid w:val="00A07B1C"/>
    <w:rsid w:val="00A10D79"/>
    <w:rsid w:val="00A13312"/>
    <w:rsid w:val="00A16F20"/>
    <w:rsid w:val="00A2082D"/>
    <w:rsid w:val="00A21F8A"/>
    <w:rsid w:val="00A238F6"/>
    <w:rsid w:val="00A23F75"/>
    <w:rsid w:val="00A2469B"/>
    <w:rsid w:val="00A246A7"/>
    <w:rsid w:val="00A273FA"/>
    <w:rsid w:val="00A30939"/>
    <w:rsid w:val="00A30E00"/>
    <w:rsid w:val="00A311CB"/>
    <w:rsid w:val="00A317EE"/>
    <w:rsid w:val="00A3187B"/>
    <w:rsid w:val="00A3212E"/>
    <w:rsid w:val="00A34B56"/>
    <w:rsid w:val="00A36080"/>
    <w:rsid w:val="00A40425"/>
    <w:rsid w:val="00A40994"/>
    <w:rsid w:val="00A410B0"/>
    <w:rsid w:val="00A411E4"/>
    <w:rsid w:val="00A4164C"/>
    <w:rsid w:val="00A432E6"/>
    <w:rsid w:val="00A4558C"/>
    <w:rsid w:val="00A4778E"/>
    <w:rsid w:val="00A51635"/>
    <w:rsid w:val="00A52BF2"/>
    <w:rsid w:val="00A52DCE"/>
    <w:rsid w:val="00A52E50"/>
    <w:rsid w:val="00A54DB1"/>
    <w:rsid w:val="00A559A2"/>
    <w:rsid w:val="00A630C9"/>
    <w:rsid w:val="00A6336B"/>
    <w:rsid w:val="00A64AC5"/>
    <w:rsid w:val="00A64D14"/>
    <w:rsid w:val="00A64E05"/>
    <w:rsid w:val="00A6695E"/>
    <w:rsid w:val="00A702DC"/>
    <w:rsid w:val="00A703B4"/>
    <w:rsid w:val="00A72CF4"/>
    <w:rsid w:val="00A76D97"/>
    <w:rsid w:val="00A7742E"/>
    <w:rsid w:val="00A8117A"/>
    <w:rsid w:val="00A82347"/>
    <w:rsid w:val="00A824DE"/>
    <w:rsid w:val="00A8293E"/>
    <w:rsid w:val="00A82DBD"/>
    <w:rsid w:val="00A8438B"/>
    <w:rsid w:val="00A84E66"/>
    <w:rsid w:val="00A90BCE"/>
    <w:rsid w:val="00A91095"/>
    <w:rsid w:val="00A92492"/>
    <w:rsid w:val="00A9480E"/>
    <w:rsid w:val="00A94AA3"/>
    <w:rsid w:val="00A94BD6"/>
    <w:rsid w:val="00A950B0"/>
    <w:rsid w:val="00A95326"/>
    <w:rsid w:val="00A9626D"/>
    <w:rsid w:val="00AA1818"/>
    <w:rsid w:val="00AA206A"/>
    <w:rsid w:val="00AA4ACA"/>
    <w:rsid w:val="00AA61C5"/>
    <w:rsid w:val="00AB0396"/>
    <w:rsid w:val="00AB10EF"/>
    <w:rsid w:val="00AB229C"/>
    <w:rsid w:val="00AB3A4A"/>
    <w:rsid w:val="00AC0078"/>
    <w:rsid w:val="00AC0C42"/>
    <w:rsid w:val="00AC172E"/>
    <w:rsid w:val="00AC35B6"/>
    <w:rsid w:val="00AC3648"/>
    <w:rsid w:val="00AC370C"/>
    <w:rsid w:val="00AC3CEE"/>
    <w:rsid w:val="00AC50D4"/>
    <w:rsid w:val="00AC6794"/>
    <w:rsid w:val="00AD04E6"/>
    <w:rsid w:val="00AD0972"/>
    <w:rsid w:val="00AD0DBE"/>
    <w:rsid w:val="00AD1617"/>
    <w:rsid w:val="00AD1A5D"/>
    <w:rsid w:val="00AD2286"/>
    <w:rsid w:val="00AD40BE"/>
    <w:rsid w:val="00AD4B99"/>
    <w:rsid w:val="00AD66F7"/>
    <w:rsid w:val="00AE0997"/>
    <w:rsid w:val="00AE0D3F"/>
    <w:rsid w:val="00AE18F9"/>
    <w:rsid w:val="00AE3A2F"/>
    <w:rsid w:val="00AE58E2"/>
    <w:rsid w:val="00AE66C3"/>
    <w:rsid w:val="00AE68CE"/>
    <w:rsid w:val="00AF08D9"/>
    <w:rsid w:val="00AF165F"/>
    <w:rsid w:val="00AF1DFA"/>
    <w:rsid w:val="00AF3F21"/>
    <w:rsid w:val="00AF63E8"/>
    <w:rsid w:val="00AF6ED0"/>
    <w:rsid w:val="00AF70E9"/>
    <w:rsid w:val="00B004DE"/>
    <w:rsid w:val="00B009D5"/>
    <w:rsid w:val="00B03E17"/>
    <w:rsid w:val="00B0497D"/>
    <w:rsid w:val="00B04D49"/>
    <w:rsid w:val="00B07880"/>
    <w:rsid w:val="00B07B15"/>
    <w:rsid w:val="00B10F98"/>
    <w:rsid w:val="00B1195B"/>
    <w:rsid w:val="00B11AB6"/>
    <w:rsid w:val="00B122D8"/>
    <w:rsid w:val="00B126AD"/>
    <w:rsid w:val="00B12F97"/>
    <w:rsid w:val="00B13272"/>
    <w:rsid w:val="00B13A75"/>
    <w:rsid w:val="00B13A9B"/>
    <w:rsid w:val="00B14078"/>
    <w:rsid w:val="00B14D3F"/>
    <w:rsid w:val="00B160C0"/>
    <w:rsid w:val="00B165AA"/>
    <w:rsid w:val="00B16C1D"/>
    <w:rsid w:val="00B172DE"/>
    <w:rsid w:val="00B248D9"/>
    <w:rsid w:val="00B24F60"/>
    <w:rsid w:val="00B250CB"/>
    <w:rsid w:val="00B259C1"/>
    <w:rsid w:val="00B270E9"/>
    <w:rsid w:val="00B271AC"/>
    <w:rsid w:val="00B30658"/>
    <w:rsid w:val="00B311C0"/>
    <w:rsid w:val="00B3269F"/>
    <w:rsid w:val="00B33B49"/>
    <w:rsid w:val="00B33B50"/>
    <w:rsid w:val="00B35585"/>
    <w:rsid w:val="00B36896"/>
    <w:rsid w:val="00B370F0"/>
    <w:rsid w:val="00B37951"/>
    <w:rsid w:val="00B40067"/>
    <w:rsid w:val="00B40992"/>
    <w:rsid w:val="00B4127C"/>
    <w:rsid w:val="00B4179C"/>
    <w:rsid w:val="00B438B2"/>
    <w:rsid w:val="00B4670B"/>
    <w:rsid w:val="00B50DE0"/>
    <w:rsid w:val="00B5151F"/>
    <w:rsid w:val="00B51FB3"/>
    <w:rsid w:val="00B5398D"/>
    <w:rsid w:val="00B551F8"/>
    <w:rsid w:val="00B56AE1"/>
    <w:rsid w:val="00B56F32"/>
    <w:rsid w:val="00B57D51"/>
    <w:rsid w:val="00B60519"/>
    <w:rsid w:val="00B60B23"/>
    <w:rsid w:val="00B61C24"/>
    <w:rsid w:val="00B63D9C"/>
    <w:rsid w:val="00B66224"/>
    <w:rsid w:val="00B6636F"/>
    <w:rsid w:val="00B669B1"/>
    <w:rsid w:val="00B71F03"/>
    <w:rsid w:val="00B730BC"/>
    <w:rsid w:val="00B73F80"/>
    <w:rsid w:val="00B74054"/>
    <w:rsid w:val="00B758B5"/>
    <w:rsid w:val="00B75B75"/>
    <w:rsid w:val="00B76CD8"/>
    <w:rsid w:val="00B773BF"/>
    <w:rsid w:val="00B775F1"/>
    <w:rsid w:val="00B81551"/>
    <w:rsid w:val="00B82DC7"/>
    <w:rsid w:val="00B82E91"/>
    <w:rsid w:val="00B83938"/>
    <w:rsid w:val="00B8495C"/>
    <w:rsid w:val="00B85AD3"/>
    <w:rsid w:val="00B85C46"/>
    <w:rsid w:val="00B86018"/>
    <w:rsid w:val="00B86880"/>
    <w:rsid w:val="00B86EE9"/>
    <w:rsid w:val="00B91321"/>
    <w:rsid w:val="00B91CA8"/>
    <w:rsid w:val="00B937D7"/>
    <w:rsid w:val="00B94B6C"/>
    <w:rsid w:val="00B95F9F"/>
    <w:rsid w:val="00B96590"/>
    <w:rsid w:val="00B96E22"/>
    <w:rsid w:val="00BA048E"/>
    <w:rsid w:val="00BA175F"/>
    <w:rsid w:val="00BA2C07"/>
    <w:rsid w:val="00BA3C94"/>
    <w:rsid w:val="00BA4FB0"/>
    <w:rsid w:val="00BA5309"/>
    <w:rsid w:val="00BA5B7F"/>
    <w:rsid w:val="00BA5CCE"/>
    <w:rsid w:val="00BB1371"/>
    <w:rsid w:val="00BB5908"/>
    <w:rsid w:val="00BB6168"/>
    <w:rsid w:val="00BB6990"/>
    <w:rsid w:val="00BC0235"/>
    <w:rsid w:val="00BC24E9"/>
    <w:rsid w:val="00BC2910"/>
    <w:rsid w:val="00BC2ACE"/>
    <w:rsid w:val="00BC33C1"/>
    <w:rsid w:val="00BC3861"/>
    <w:rsid w:val="00BC5513"/>
    <w:rsid w:val="00BC5AA4"/>
    <w:rsid w:val="00BC7D47"/>
    <w:rsid w:val="00BD1C4F"/>
    <w:rsid w:val="00BD248E"/>
    <w:rsid w:val="00BD5B05"/>
    <w:rsid w:val="00BD5FE1"/>
    <w:rsid w:val="00BD69C8"/>
    <w:rsid w:val="00BE0BCC"/>
    <w:rsid w:val="00BE0EA3"/>
    <w:rsid w:val="00BE1AA9"/>
    <w:rsid w:val="00BE1B78"/>
    <w:rsid w:val="00BE32DC"/>
    <w:rsid w:val="00BE3397"/>
    <w:rsid w:val="00BE363A"/>
    <w:rsid w:val="00BE3B6F"/>
    <w:rsid w:val="00BE6D03"/>
    <w:rsid w:val="00BF0835"/>
    <w:rsid w:val="00BF0D4E"/>
    <w:rsid w:val="00BF490A"/>
    <w:rsid w:val="00C01CC0"/>
    <w:rsid w:val="00C02C94"/>
    <w:rsid w:val="00C0328C"/>
    <w:rsid w:val="00C03FDB"/>
    <w:rsid w:val="00C04841"/>
    <w:rsid w:val="00C051C3"/>
    <w:rsid w:val="00C06273"/>
    <w:rsid w:val="00C0637D"/>
    <w:rsid w:val="00C11CC8"/>
    <w:rsid w:val="00C11E62"/>
    <w:rsid w:val="00C1366F"/>
    <w:rsid w:val="00C1413E"/>
    <w:rsid w:val="00C148D4"/>
    <w:rsid w:val="00C15FFC"/>
    <w:rsid w:val="00C16485"/>
    <w:rsid w:val="00C164DD"/>
    <w:rsid w:val="00C17B69"/>
    <w:rsid w:val="00C17EBA"/>
    <w:rsid w:val="00C201FD"/>
    <w:rsid w:val="00C21051"/>
    <w:rsid w:val="00C2202E"/>
    <w:rsid w:val="00C23861"/>
    <w:rsid w:val="00C2503C"/>
    <w:rsid w:val="00C25135"/>
    <w:rsid w:val="00C268C0"/>
    <w:rsid w:val="00C27B22"/>
    <w:rsid w:val="00C303FF"/>
    <w:rsid w:val="00C32392"/>
    <w:rsid w:val="00C40120"/>
    <w:rsid w:val="00C40937"/>
    <w:rsid w:val="00C4154A"/>
    <w:rsid w:val="00C42845"/>
    <w:rsid w:val="00C429B8"/>
    <w:rsid w:val="00C445CD"/>
    <w:rsid w:val="00C45259"/>
    <w:rsid w:val="00C46895"/>
    <w:rsid w:val="00C46B51"/>
    <w:rsid w:val="00C512CD"/>
    <w:rsid w:val="00C5183C"/>
    <w:rsid w:val="00C526F3"/>
    <w:rsid w:val="00C5508E"/>
    <w:rsid w:val="00C606C2"/>
    <w:rsid w:val="00C616CC"/>
    <w:rsid w:val="00C62C75"/>
    <w:rsid w:val="00C630D5"/>
    <w:rsid w:val="00C658A1"/>
    <w:rsid w:val="00C6707A"/>
    <w:rsid w:val="00C67A22"/>
    <w:rsid w:val="00C71900"/>
    <w:rsid w:val="00C737F8"/>
    <w:rsid w:val="00C752F1"/>
    <w:rsid w:val="00C77D28"/>
    <w:rsid w:val="00C83AB1"/>
    <w:rsid w:val="00C852DC"/>
    <w:rsid w:val="00C858C4"/>
    <w:rsid w:val="00C85B47"/>
    <w:rsid w:val="00C86615"/>
    <w:rsid w:val="00C86F86"/>
    <w:rsid w:val="00C90B18"/>
    <w:rsid w:val="00C920CF"/>
    <w:rsid w:val="00C9291E"/>
    <w:rsid w:val="00C9299D"/>
    <w:rsid w:val="00C93601"/>
    <w:rsid w:val="00C93755"/>
    <w:rsid w:val="00C93DD7"/>
    <w:rsid w:val="00C96EE3"/>
    <w:rsid w:val="00CA03B4"/>
    <w:rsid w:val="00CA2077"/>
    <w:rsid w:val="00CA21BC"/>
    <w:rsid w:val="00CA23B3"/>
    <w:rsid w:val="00CA245E"/>
    <w:rsid w:val="00CA251E"/>
    <w:rsid w:val="00CA3CD6"/>
    <w:rsid w:val="00CA6D93"/>
    <w:rsid w:val="00CA78F4"/>
    <w:rsid w:val="00CB1C94"/>
    <w:rsid w:val="00CB352B"/>
    <w:rsid w:val="00CB495E"/>
    <w:rsid w:val="00CC0E06"/>
    <w:rsid w:val="00CC0F31"/>
    <w:rsid w:val="00CC1BA3"/>
    <w:rsid w:val="00CC3292"/>
    <w:rsid w:val="00CC3936"/>
    <w:rsid w:val="00CC4590"/>
    <w:rsid w:val="00CC4851"/>
    <w:rsid w:val="00CC59CB"/>
    <w:rsid w:val="00CC6085"/>
    <w:rsid w:val="00CC73F6"/>
    <w:rsid w:val="00CC7577"/>
    <w:rsid w:val="00CD059B"/>
    <w:rsid w:val="00CD095C"/>
    <w:rsid w:val="00CD2ED5"/>
    <w:rsid w:val="00CD3E04"/>
    <w:rsid w:val="00CD45F6"/>
    <w:rsid w:val="00CD7B26"/>
    <w:rsid w:val="00CE03D8"/>
    <w:rsid w:val="00CE0550"/>
    <w:rsid w:val="00CE16CB"/>
    <w:rsid w:val="00CE29EA"/>
    <w:rsid w:val="00CE4931"/>
    <w:rsid w:val="00CE50E4"/>
    <w:rsid w:val="00CE54BE"/>
    <w:rsid w:val="00CE5736"/>
    <w:rsid w:val="00CE591B"/>
    <w:rsid w:val="00CE63C1"/>
    <w:rsid w:val="00CF1E2F"/>
    <w:rsid w:val="00CF27AF"/>
    <w:rsid w:val="00CF2BFD"/>
    <w:rsid w:val="00CF3125"/>
    <w:rsid w:val="00CF3395"/>
    <w:rsid w:val="00CF3605"/>
    <w:rsid w:val="00CF6C42"/>
    <w:rsid w:val="00CF6F60"/>
    <w:rsid w:val="00CF7471"/>
    <w:rsid w:val="00D0080F"/>
    <w:rsid w:val="00D021A4"/>
    <w:rsid w:val="00D02526"/>
    <w:rsid w:val="00D02D07"/>
    <w:rsid w:val="00D03631"/>
    <w:rsid w:val="00D03781"/>
    <w:rsid w:val="00D04C1D"/>
    <w:rsid w:val="00D04CA8"/>
    <w:rsid w:val="00D06D62"/>
    <w:rsid w:val="00D07E70"/>
    <w:rsid w:val="00D103FB"/>
    <w:rsid w:val="00D114B9"/>
    <w:rsid w:val="00D12607"/>
    <w:rsid w:val="00D12A7F"/>
    <w:rsid w:val="00D15196"/>
    <w:rsid w:val="00D15327"/>
    <w:rsid w:val="00D15B03"/>
    <w:rsid w:val="00D16B60"/>
    <w:rsid w:val="00D16F6A"/>
    <w:rsid w:val="00D17FEA"/>
    <w:rsid w:val="00D20752"/>
    <w:rsid w:val="00D2076A"/>
    <w:rsid w:val="00D20C42"/>
    <w:rsid w:val="00D21151"/>
    <w:rsid w:val="00D233A4"/>
    <w:rsid w:val="00D237FF"/>
    <w:rsid w:val="00D23B95"/>
    <w:rsid w:val="00D23E67"/>
    <w:rsid w:val="00D247BE"/>
    <w:rsid w:val="00D267C8"/>
    <w:rsid w:val="00D26F41"/>
    <w:rsid w:val="00D277B4"/>
    <w:rsid w:val="00D27AE7"/>
    <w:rsid w:val="00D30C5D"/>
    <w:rsid w:val="00D31D4D"/>
    <w:rsid w:val="00D32CE6"/>
    <w:rsid w:val="00D33203"/>
    <w:rsid w:val="00D33BF4"/>
    <w:rsid w:val="00D3629B"/>
    <w:rsid w:val="00D3684E"/>
    <w:rsid w:val="00D37687"/>
    <w:rsid w:val="00D37A94"/>
    <w:rsid w:val="00D4281B"/>
    <w:rsid w:val="00D44539"/>
    <w:rsid w:val="00D44823"/>
    <w:rsid w:val="00D47448"/>
    <w:rsid w:val="00D47DC7"/>
    <w:rsid w:val="00D50F49"/>
    <w:rsid w:val="00D50F57"/>
    <w:rsid w:val="00D5102C"/>
    <w:rsid w:val="00D51A69"/>
    <w:rsid w:val="00D52086"/>
    <w:rsid w:val="00D52338"/>
    <w:rsid w:val="00D52ECF"/>
    <w:rsid w:val="00D5317A"/>
    <w:rsid w:val="00D5407D"/>
    <w:rsid w:val="00D558F1"/>
    <w:rsid w:val="00D613E0"/>
    <w:rsid w:val="00D618FD"/>
    <w:rsid w:val="00D621E7"/>
    <w:rsid w:val="00D626D5"/>
    <w:rsid w:val="00D62D52"/>
    <w:rsid w:val="00D65DF6"/>
    <w:rsid w:val="00D66865"/>
    <w:rsid w:val="00D6748F"/>
    <w:rsid w:val="00D67ABF"/>
    <w:rsid w:val="00D7089A"/>
    <w:rsid w:val="00D70BA6"/>
    <w:rsid w:val="00D7178E"/>
    <w:rsid w:val="00D71CB1"/>
    <w:rsid w:val="00D71EDC"/>
    <w:rsid w:val="00D71EF9"/>
    <w:rsid w:val="00D722D1"/>
    <w:rsid w:val="00D72F97"/>
    <w:rsid w:val="00D74CC5"/>
    <w:rsid w:val="00D75E29"/>
    <w:rsid w:val="00D809AE"/>
    <w:rsid w:val="00D814BA"/>
    <w:rsid w:val="00D81E9B"/>
    <w:rsid w:val="00D8224B"/>
    <w:rsid w:val="00D8290C"/>
    <w:rsid w:val="00D82AC4"/>
    <w:rsid w:val="00D82FE9"/>
    <w:rsid w:val="00D83137"/>
    <w:rsid w:val="00D852F6"/>
    <w:rsid w:val="00D85D97"/>
    <w:rsid w:val="00D86FCF"/>
    <w:rsid w:val="00D87067"/>
    <w:rsid w:val="00D872CF"/>
    <w:rsid w:val="00D87B4A"/>
    <w:rsid w:val="00D87E58"/>
    <w:rsid w:val="00D90CE6"/>
    <w:rsid w:val="00D91D1A"/>
    <w:rsid w:val="00D92560"/>
    <w:rsid w:val="00D93E8F"/>
    <w:rsid w:val="00D954E9"/>
    <w:rsid w:val="00D95F9A"/>
    <w:rsid w:val="00DA1136"/>
    <w:rsid w:val="00DA1A35"/>
    <w:rsid w:val="00DB072C"/>
    <w:rsid w:val="00DB1675"/>
    <w:rsid w:val="00DB17BE"/>
    <w:rsid w:val="00DB1CCA"/>
    <w:rsid w:val="00DB29F4"/>
    <w:rsid w:val="00DB2F41"/>
    <w:rsid w:val="00DB3828"/>
    <w:rsid w:val="00DB4674"/>
    <w:rsid w:val="00DC0635"/>
    <w:rsid w:val="00DC0D2B"/>
    <w:rsid w:val="00DC1001"/>
    <w:rsid w:val="00DC106F"/>
    <w:rsid w:val="00DC4D1A"/>
    <w:rsid w:val="00DC4DBE"/>
    <w:rsid w:val="00DC7E1A"/>
    <w:rsid w:val="00DD002A"/>
    <w:rsid w:val="00DD0257"/>
    <w:rsid w:val="00DD06F7"/>
    <w:rsid w:val="00DD1C8C"/>
    <w:rsid w:val="00DD39E4"/>
    <w:rsid w:val="00DD548B"/>
    <w:rsid w:val="00DD5D81"/>
    <w:rsid w:val="00DD61AE"/>
    <w:rsid w:val="00DD6846"/>
    <w:rsid w:val="00DE0CAC"/>
    <w:rsid w:val="00DE23B7"/>
    <w:rsid w:val="00DE25E6"/>
    <w:rsid w:val="00DE46E9"/>
    <w:rsid w:val="00DE713A"/>
    <w:rsid w:val="00DF0311"/>
    <w:rsid w:val="00DF0E8B"/>
    <w:rsid w:val="00DF0EF9"/>
    <w:rsid w:val="00DF19DC"/>
    <w:rsid w:val="00DF2239"/>
    <w:rsid w:val="00DF2CDE"/>
    <w:rsid w:val="00DF3C53"/>
    <w:rsid w:val="00DF5323"/>
    <w:rsid w:val="00DF54FA"/>
    <w:rsid w:val="00DF5EB2"/>
    <w:rsid w:val="00DF728D"/>
    <w:rsid w:val="00DF7434"/>
    <w:rsid w:val="00E00F80"/>
    <w:rsid w:val="00E01A3E"/>
    <w:rsid w:val="00E03305"/>
    <w:rsid w:val="00E03887"/>
    <w:rsid w:val="00E03D24"/>
    <w:rsid w:val="00E03E19"/>
    <w:rsid w:val="00E0581E"/>
    <w:rsid w:val="00E07AD6"/>
    <w:rsid w:val="00E07C1A"/>
    <w:rsid w:val="00E07DD6"/>
    <w:rsid w:val="00E102A9"/>
    <w:rsid w:val="00E107E6"/>
    <w:rsid w:val="00E10C6E"/>
    <w:rsid w:val="00E115B2"/>
    <w:rsid w:val="00E134BE"/>
    <w:rsid w:val="00E135BC"/>
    <w:rsid w:val="00E15F0D"/>
    <w:rsid w:val="00E16DE9"/>
    <w:rsid w:val="00E207A5"/>
    <w:rsid w:val="00E20810"/>
    <w:rsid w:val="00E225FE"/>
    <w:rsid w:val="00E231C5"/>
    <w:rsid w:val="00E23566"/>
    <w:rsid w:val="00E271DD"/>
    <w:rsid w:val="00E30BF9"/>
    <w:rsid w:val="00E31DB5"/>
    <w:rsid w:val="00E32818"/>
    <w:rsid w:val="00E35712"/>
    <w:rsid w:val="00E3599D"/>
    <w:rsid w:val="00E35AF3"/>
    <w:rsid w:val="00E35E9C"/>
    <w:rsid w:val="00E3755F"/>
    <w:rsid w:val="00E400C8"/>
    <w:rsid w:val="00E404B7"/>
    <w:rsid w:val="00E417AE"/>
    <w:rsid w:val="00E41931"/>
    <w:rsid w:val="00E42ACB"/>
    <w:rsid w:val="00E43ACA"/>
    <w:rsid w:val="00E44294"/>
    <w:rsid w:val="00E442F9"/>
    <w:rsid w:val="00E4490C"/>
    <w:rsid w:val="00E458E9"/>
    <w:rsid w:val="00E464AA"/>
    <w:rsid w:val="00E471E1"/>
    <w:rsid w:val="00E47719"/>
    <w:rsid w:val="00E5002E"/>
    <w:rsid w:val="00E509D8"/>
    <w:rsid w:val="00E5138C"/>
    <w:rsid w:val="00E51927"/>
    <w:rsid w:val="00E54C16"/>
    <w:rsid w:val="00E565E9"/>
    <w:rsid w:val="00E566B7"/>
    <w:rsid w:val="00E5701C"/>
    <w:rsid w:val="00E60507"/>
    <w:rsid w:val="00E605DF"/>
    <w:rsid w:val="00E60B35"/>
    <w:rsid w:val="00E60E58"/>
    <w:rsid w:val="00E61097"/>
    <w:rsid w:val="00E63096"/>
    <w:rsid w:val="00E633EA"/>
    <w:rsid w:val="00E63E7C"/>
    <w:rsid w:val="00E66BF4"/>
    <w:rsid w:val="00E67170"/>
    <w:rsid w:val="00E6740B"/>
    <w:rsid w:val="00E706E2"/>
    <w:rsid w:val="00E719AA"/>
    <w:rsid w:val="00E75298"/>
    <w:rsid w:val="00E7600C"/>
    <w:rsid w:val="00E767BF"/>
    <w:rsid w:val="00E778D6"/>
    <w:rsid w:val="00E8145A"/>
    <w:rsid w:val="00E82FA3"/>
    <w:rsid w:val="00E84138"/>
    <w:rsid w:val="00E850D8"/>
    <w:rsid w:val="00E85DC1"/>
    <w:rsid w:val="00E86145"/>
    <w:rsid w:val="00E86F02"/>
    <w:rsid w:val="00E87AEA"/>
    <w:rsid w:val="00E902DA"/>
    <w:rsid w:val="00E93236"/>
    <w:rsid w:val="00E94CAF"/>
    <w:rsid w:val="00E954D3"/>
    <w:rsid w:val="00E96426"/>
    <w:rsid w:val="00E97012"/>
    <w:rsid w:val="00EA06C2"/>
    <w:rsid w:val="00EA0EBB"/>
    <w:rsid w:val="00EA41CA"/>
    <w:rsid w:val="00EB01D1"/>
    <w:rsid w:val="00EB4F7E"/>
    <w:rsid w:val="00EB5226"/>
    <w:rsid w:val="00EB6E7D"/>
    <w:rsid w:val="00EB76CF"/>
    <w:rsid w:val="00EB78AD"/>
    <w:rsid w:val="00EC0516"/>
    <w:rsid w:val="00EC131A"/>
    <w:rsid w:val="00EC1B1B"/>
    <w:rsid w:val="00EC1D2A"/>
    <w:rsid w:val="00EC497F"/>
    <w:rsid w:val="00EC5366"/>
    <w:rsid w:val="00EC7DA1"/>
    <w:rsid w:val="00ED0D0F"/>
    <w:rsid w:val="00ED32EC"/>
    <w:rsid w:val="00ED3B88"/>
    <w:rsid w:val="00ED43FC"/>
    <w:rsid w:val="00ED4EDB"/>
    <w:rsid w:val="00ED592D"/>
    <w:rsid w:val="00ED74F7"/>
    <w:rsid w:val="00ED788C"/>
    <w:rsid w:val="00EE13AD"/>
    <w:rsid w:val="00EE31DF"/>
    <w:rsid w:val="00EE4AF2"/>
    <w:rsid w:val="00EE4D3C"/>
    <w:rsid w:val="00EE5175"/>
    <w:rsid w:val="00EF0CC2"/>
    <w:rsid w:val="00EF194B"/>
    <w:rsid w:val="00EF20C9"/>
    <w:rsid w:val="00EF249A"/>
    <w:rsid w:val="00EF36FC"/>
    <w:rsid w:val="00EF53CB"/>
    <w:rsid w:val="00EF615C"/>
    <w:rsid w:val="00EF61FC"/>
    <w:rsid w:val="00EF6C4F"/>
    <w:rsid w:val="00EF6F06"/>
    <w:rsid w:val="00F04ADD"/>
    <w:rsid w:val="00F058A8"/>
    <w:rsid w:val="00F0626B"/>
    <w:rsid w:val="00F06DBD"/>
    <w:rsid w:val="00F07480"/>
    <w:rsid w:val="00F10593"/>
    <w:rsid w:val="00F11219"/>
    <w:rsid w:val="00F12F20"/>
    <w:rsid w:val="00F13EA7"/>
    <w:rsid w:val="00F13ECB"/>
    <w:rsid w:val="00F14CB1"/>
    <w:rsid w:val="00F1537D"/>
    <w:rsid w:val="00F15E80"/>
    <w:rsid w:val="00F16AE6"/>
    <w:rsid w:val="00F20CF2"/>
    <w:rsid w:val="00F23973"/>
    <w:rsid w:val="00F23D9E"/>
    <w:rsid w:val="00F25261"/>
    <w:rsid w:val="00F254F8"/>
    <w:rsid w:val="00F25E86"/>
    <w:rsid w:val="00F25FE3"/>
    <w:rsid w:val="00F26F1D"/>
    <w:rsid w:val="00F274F0"/>
    <w:rsid w:val="00F27B1F"/>
    <w:rsid w:val="00F3068A"/>
    <w:rsid w:val="00F308B9"/>
    <w:rsid w:val="00F30B4B"/>
    <w:rsid w:val="00F31E30"/>
    <w:rsid w:val="00F3222E"/>
    <w:rsid w:val="00F324AF"/>
    <w:rsid w:val="00F336D8"/>
    <w:rsid w:val="00F343BF"/>
    <w:rsid w:val="00F3547B"/>
    <w:rsid w:val="00F37E3E"/>
    <w:rsid w:val="00F416C6"/>
    <w:rsid w:val="00F416E2"/>
    <w:rsid w:val="00F41DF0"/>
    <w:rsid w:val="00F4218E"/>
    <w:rsid w:val="00F4482C"/>
    <w:rsid w:val="00F449D8"/>
    <w:rsid w:val="00F4551C"/>
    <w:rsid w:val="00F46DF8"/>
    <w:rsid w:val="00F46E9C"/>
    <w:rsid w:val="00F471E0"/>
    <w:rsid w:val="00F50374"/>
    <w:rsid w:val="00F50442"/>
    <w:rsid w:val="00F5111C"/>
    <w:rsid w:val="00F52BCC"/>
    <w:rsid w:val="00F562CC"/>
    <w:rsid w:val="00F567B1"/>
    <w:rsid w:val="00F569D4"/>
    <w:rsid w:val="00F601A6"/>
    <w:rsid w:val="00F60208"/>
    <w:rsid w:val="00F629E7"/>
    <w:rsid w:val="00F637B4"/>
    <w:rsid w:val="00F63C38"/>
    <w:rsid w:val="00F641EC"/>
    <w:rsid w:val="00F64467"/>
    <w:rsid w:val="00F64F57"/>
    <w:rsid w:val="00F65A80"/>
    <w:rsid w:val="00F65C4A"/>
    <w:rsid w:val="00F678E3"/>
    <w:rsid w:val="00F7140C"/>
    <w:rsid w:val="00F71617"/>
    <w:rsid w:val="00F71894"/>
    <w:rsid w:val="00F72431"/>
    <w:rsid w:val="00F75423"/>
    <w:rsid w:val="00F772FB"/>
    <w:rsid w:val="00F77654"/>
    <w:rsid w:val="00F80841"/>
    <w:rsid w:val="00F80E97"/>
    <w:rsid w:val="00F816FD"/>
    <w:rsid w:val="00F83A18"/>
    <w:rsid w:val="00F84293"/>
    <w:rsid w:val="00F848F2"/>
    <w:rsid w:val="00F85A23"/>
    <w:rsid w:val="00F85F4A"/>
    <w:rsid w:val="00F86F80"/>
    <w:rsid w:val="00F91B44"/>
    <w:rsid w:val="00F93437"/>
    <w:rsid w:val="00F940FB"/>
    <w:rsid w:val="00F94276"/>
    <w:rsid w:val="00F94ADD"/>
    <w:rsid w:val="00F95C8B"/>
    <w:rsid w:val="00FA0345"/>
    <w:rsid w:val="00FA08B6"/>
    <w:rsid w:val="00FA1371"/>
    <w:rsid w:val="00FA2CC3"/>
    <w:rsid w:val="00FA3B3F"/>
    <w:rsid w:val="00FA70A5"/>
    <w:rsid w:val="00FA7209"/>
    <w:rsid w:val="00FA7D8A"/>
    <w:rsid w:val="00FB0DF7"/>
    <w:rsid w:val="00FB204D"/>
    <w:rsid w:val="00FB5385"/>
    <w:rsid w:val="00FB5428"/>
    <w:rsid w:val="00FB6D64"/>
    <w:rsid w:val="00FC080C"/>
    <w:rsid w:val="00FC0E08"/>
    <w:rsid w:val="00FC1732"/>
    <w:rsid w:val="00FC19D2"/>
    <w:rsid w:val="00FC28B9"/>
    <w:rsid w:val="00FC48AB"/>
    <w:rsid w:val="00FC4E56"/>
    <w:rsid w:val="00FC73D6"/>
    <w:rsid w:val="00FD1326"/>
    <w:rsid w:val="00FD146A"/>
    <w:rsid w:val="00FD1AD0"/>
    <w:rsid w:val="00FD260A"/>
    <w:rsid w:val="00FD4BA3"/>
    <w:rsid w:val="00FD501C"/>
    <w:rsid w:val="00FD564A"/>
    <w:rsid w:val="00FD57AE"/>
    <w:rsid w:val="00FD585B"/>
    <w:rsid w:val="00FD715A"/>
    <w:rsid w:val="00FD7585"/>
    <w:rsid w:val="00FD77A7"/>
    <w:rsid w:val="00FD7A94"/>
    <w:rsid w:val="00FE09D0"/>
    <w:rsid w:val="00FE17BE"/>
    <w:rsid w:val="00FE2A4C"/>
    <w:rsid w:val="00FE3106"/>
    <w:rsid w:val="00FE3461"/>
    <w:rsid w:val="00FE357D"/>
    <w:rsid w:val="00FE487F"/>
    <w:rsid w:val="00FE4D2B"/>
    <w:rsid w:val="00FE513B"/>
    <w:rsid w:val="00FE7A24"/>
    <w:rsid w:val="00FF428C"/>
    <w:rsid w:val="00FF469D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428"/>
  </w:style>
  <w:style w:type="paragraph" w:styleId="Nadpis1">
    <w:name w:val="heading 1"/>
    <w:basedOn w:val="Normln"/>
    <w:next w:val="Normln"/>
    <w:link w:val="Nadpis1Char"/>
    <w:qFormat/>
    <w:rsid w:val="007A2428"/>
    <w:pPr>
      <w:keepNext/>
      <w:outlineLvl w:val="0"/>
    </w:pPr>
    <w:rPr>
      <w:rFonts w:ascii="Arial" w:hAnsi="Arial"/>
      <w:b/>
      <w:snapToGrid w:val="0"/>
      <w:color w:val="000000"/>
      <w:sz w:val="16"/>
    </w:rPr>
  </w:style>
  <w:style w:type="paragraph" w:styleId="Nadpis2">
    <w:name w:val="heading 2"/>
    <w:basedOn w:val="Normln"/>
    <w:next w:val="Normln"/>
    <w:qFormat/>
    <w:rsid w:val="007A2428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7A2428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7A2428"/>
    <w:pPr>
      <w:keepNext/>
      <w:outlineLvl w:val="4"/>
    </w:pPr>
    <w:rPr>
      <w:i/>
      <w:sz w:val="24"/>
    </w:rPr>
  </w:style>
  <w:style w:type="paragraph" w:styleId="Nadpis8">
    <w:name w:val="heading 8"/>
    <w:basedOn w:val="Normln"/>
    <w:next w:val="Normln"/>
    <w:qFormat/>
    <w:rsid w:val="007A2428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7A2428"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A2428"/>
    <w:rPr>
      <w:sz w:val="24"/>
    </w:rPr>
  </w:style>
  <w:style w:type="paragraph" w:customStyle="1" w:styleId="Normln0">
    <w:name w:val="Normln"/>
    <w:rsid w:val="007A2428"/>
    <w:rPr>
      <w:rFonts w:ascii="MS Sans Serif" w:hAnsi="MS Sans Serif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7A2428"/>
    <w:rPr>
      <w:rFonts w:ascii="Arial" w:hAnsi="Arial"/>
    </w:rPr>
  </w:style>
  <w:style w:type="paragraph" w:styleId="Zkladntext3">
    <w:name w:val="Body Text 3"/>
    <w:basedOn w:val="Normln"/>
    <w:semiHidden/>
    <w:rsid w:val="007A2428"/>
    <w:rPr>
      <w:sz w:val="22"/>
    </w:rPr>
  </w:style>
  <w:style w:type="character" w:styleId="Znakapoznpodarou">
    <w:name w:val="footnote reference"/>
    <w:basedOn w:val="Standardnpsmoodstavce"/>
    <w:uiPriority w:val="99"/>
    <w:semiHidden/>
    <w:rsid w:val="007A2428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7A2428"/>
    <w:pPr>
      <w:jc w:val="center"/>
    </w:pPr>
    <w:rPr>
      <w:rFonts w:ascii="Arial" w:hAnsi="Arial"/>
    </w:rPr>
  </w:style>
  <w:style w:type="paragraph" w:customStyle="1" w:styleId="xl24">
    <w:name w:val="xl24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Normln"/>
    <w:rsid w:val="007A24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7A24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7A24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Normln"/>
    <w:rsid w:val="007A24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7A2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ln"/>
    <w:rsid w:val="007A24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Normln"/>
    <w:rsid w:val="007A2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ln"/>
    <w:rsid w:val="007A242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ln"/>
    <w:rsid w:val="007A242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4">
    <w:name w:val="xl44"/>
    <w:basedOn w:val="Normln"/>
    <w:rsid w:val="007A2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5">
    <w:name w:val="xl45"/>
    <w:basedOn w:val="Normln"/>
    <w:rsid w:val="007A242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6">
    <w:name w:val="xl46"/>
    <w:basedOn w:val="Normln"/>
    <w:rsid w:val="007A242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7">
    <w:name w:val="xl47"/>
    <w:basedOn w:val="Normln"/>
    <w:rsid w:val="007A242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character" w:styleId="Odkaznavysvtlivky">
    <w:name w:val="endnote reference"/>
    <w:basedOn w:val="Standardnpsmoodstavce"/>
    <w:semiHidden/>
    <w:rsid w:val="007A2428"/>
    <w:rPr>
      <w:vertAlign w:val="superscript"/>
    </w:rPr>
  </w:style>
  <w:style w:type="paragraph" w:customStyle="1" w:styleId="xl49">
    <w:name w:val="xl49"/>
    <w:basedOn w:val="Normln"/>
    <w:rsid w:val="007A242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0">
    <w:name w:val="xl50"/>
    <w:basedOn w:val="Normln"/>
    <w:rsid w:val="007A242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1">
    <w:name w:val="xl51"/>
    <w:basedOn w:val="Normln"/>
    <w:rsid w:val="007A242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2">
    <w:name w:val="xl52"/>
    <w:basedOn w:val="Normln"/>
    <w:rsid w:val="007A2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3">
    <w:name w:val="xl53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ln"/>
    <w:rsid w:val="007A2428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5">
    <w:name w:val="xl55"/>
    <w:basedOn w:val="Normln"/>
    <w:rsid w:val="007A242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6">
    <w:name w:val="xl56"/>
    <w:basedOn w:val="Normln"/>
    <w:rsid w:val="007A2428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F36FC"/>
    <w:pPr>
      <w:ind w:left="708"/>
    </w:pPr>
  </w:style>
  <w:style w:type="character" w:customStyle="1" w:styleId="Nadpis3Char">
    <w:name w:val="Nadpis 3 Char"/>
    <w:basedOn w:val="Standardnpsmoodstavce"/>
    <w:link w:val="Nadpis3"/>
    <w:rsid w:val="001B051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051E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B051E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1B051E"/>
    <w:pPr>
      <w:spacing w:before="100" w:beforeAutospacing="1" w:after="100" w:afterAutospacing="1"/>
    </w:pPr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34369"/>
    <w:rPr>
      <w:rFonts w:ascii="Arial" w:hAnsi="Arial"/>
      <w:b/>
      <w:snapToGrid w:val="0"/>
      <w:color w:val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369"/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F77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72FB"/>
  </w:style>
  <w:style w:type="paragraph" w:styleId="Zpat">
    <w:name w:val="footer"/>
    <w:basedOn w:val="Normln"/>
    <w:link w:val="ZpatChar"/>
    <w:uiPriority w:val="99"/>
    <w:unhideWhenUsed/>
    <w:rsid w:val="00F77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2FB"/>
  </w:style>
  <w:style w:type="paragraph" w:customStyle="1" w:styleId="Rbntext">
    <w:name w:val="R běžný text"/>
    <w:rsid w:val="00B71F03"/>
    <w:pPr>
      <w:spacing w:after="120"/>
      <w:jc w:val="both"/>
    </w:pPr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2E020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1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6BF6"/>
  </w:style>
  <w:style w:type="character" w:customStyle="1" w:styleId="TextkomenteChar">
    <w:name w:val="Text komentáře Char"/>
    <w:basedOn w:val="Standardnpsmoodstavce"/>
    <w:link w:val="Textkomente"/>
    <w:uiPriority w:val="99"/>
    <w:rsid w:val="00316B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BF6"/>
    <w:rPr>
      <w:rFonts w:ascii="Tahoma" w:hAnsi="Tahoma" w:cs="Tahoma"/>
      <w:sz w:val="16"/>
      <w:szCs w:val="16"/>
    </w:rPr>
  </w:style>
  <w:style w:type="paragraph" w:customStyle="1" w:styleId="drobek">
    <w:name w:val="drobek"/>
    <w:basedOn w:val="Normln"/>
    <w:rsid w:val="00BC2AC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BC2ACE"/>
    <w:rPr>
      <w:color w:val="0000FF"/>
      <w:u w:val="single"/>
    </w:rPr>
  </w:style>
  <w:style w:type="character" w:customStyle="1" w:styleId="ata11y">
    <w:name w:val="at_a11y"/>
    <w:basedOn w:val="Standardnpsmoodstavce"/>
    <w:rsid w:val="00BC2ACE"/>
  </w:style>
  <w:style w:type="character" w:customStyle="1" w:styleId="iceouttxt">
    <w:name w:val="iceouttxt"/>
    <w:basedOn w:val="Standardnpsmoodstavce"/>
    <w:rsid w:val="00C11CC8"/>
  </w:style>
  <w:style w:type="character" w:customStyle="1" w:styleId="Nadpis1Char">
    <w:name w:val="Nadpis 1 Char"/>
    <w:basedOn w:val="Standardnpsmoodstavce"/>
    <w:link w:val="Nadpis1"/>
    <w:uiPriority w:val="9"/>
    <w:rsid w:val="00300D9B"/>
    <w:rPr>
      <w:rFonts w:ascii="Arial" w:hAnsi="Arial"/>
      <w:b/>
      <w:snapToGrid w:val="0"/>
      <w:color w:val="000000"/>
      <w:sz w:val="16"/>
    </w:rPr>
  </w:style>
  <w:style w:type="paragraph" w:customStyle="1" w:styleId="odrkyzlevaodsazeno0">
    <w:name w:val="odrážky zleva odsazení o 0"/>
    <w:aliases w:val="6 cm"/>
    <w:basedOn w:val="Normln"/>
    <w:link w:val="odrkyzlevaodsazeno0Char"/>
    <w:qFormat/>
    <w:rsid w:val="00300D9B"/>
    <w:pPr>
      <w:numPr>
        <w:numId w:val="1"/>
      </w:numPr>
      <w:spacing w:after="120"/>
      <w:ind w:left="584" w:hanging="227"/>
      <w:jc w:val="both"/>
    </w:pPr>
    <w:rPr>
      <w:rFonts w:ascii="Arial" w:hAnsi="Arial"/>
    </w:rPr>
  </w:style>
  <w:style w:type="character" w:customStyle="1" w:styleId="odrkyzlevaodsazeno0Char">
    <w:name w:val="odrážky zleva odsazení o 0 Char"/>
    <w:aliases w:val="6 cm Char"/>
    <w:basedOn w:val="Standardnpsmoodstavce"/>
    <w:link w:val="odrkyzlevaodsazeno0"/>
    <w:rsid w:val="00300D9B"/>
    <w:rPr>
      <w:rFonts w:ascii="Arial" w:hAnsi="Arial"/>
    </w:rPr>
  </w:style>
  <w:style w:type="paragraph" w:customStyle="1" w:styleId="odrkybezmezer">
    <w:name w:val="odrážky bez mezer"/>
    <w:aliases w:val="vlevo kraj 6 mm"/>
    <w:basedOn w:val="odrkyzlevaodsazeno0"/>
    <w:link w:val="odrkybezmezerChar"/>
    <w:qFormat/>
    <w:rsid w:val="00300D9B"/>
    <w:pPr>
      <w:spacing w:after="240"/>
      <w:ind w:left="340" w:hanging="340"/>
    </w:pPr>
  </w:style>
  <w:style w:type="character" w:customStyle="1" w:styleId="odrkybezmezerChar">
    <w:name w:val="odrážky bez mezer Char"/>
    <w:aliases w:val="vlevo kraj 6 mm Char"/>
    <w:basedOn w:val="odrkyzlevaodsazeno0Char"/>
    <w:link w:val="odrkybezmezer"/>
    <w:rsid w:val="00300D9B"/>
  </w:style>
  <w:style w:type="character" w:customStyle="1" w:styleId="FontStyle19">
    <w:name w:val="Font Style19"/>
    <w:basedOn w:val="Standardnpsmoodstavce"/>
    <w:rsid w:val="00300D9B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0D9B"/>
  </w:style>
  <w:style w:type="paragraph" w:customStyle="1" w:styleId="Styl1">
    <w:name w:val="Styl1"/>
    <w:rsid w:val="005A327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nzevlnku">
    <w:name w:val="název článku"/>
    <w:basedOn w:val="Zkladntext2"/>
    <w:rsid w:val="005A327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</w:pPr>
    <w:rPr>
      <w:sz w:val="26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3256</Words>
  <Characters>19214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Náboženské vyznání</vt:lpstr>
    </vt:vector>
  </TitlesOfParts>
  <Company>CSU</Company>
  <LinksUpToDate>false</LinksUpToDate>
  <CharactersWithSpaces>22426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Náboženské vyznání</dc:title>
  <dc:subject/>
  <dc:creator>SystemService</dc:creator>
  <cp:keywords/>
  <dc:description/>
  <cp:lastModifiedBy>System Service</cp:lastModifiedBy>
  <cp:revision>3</cp:revision>
  <cp:lastPrinted>2014-02-12T12:02:00Z</cp:lastPrinted>
  <dcterms:created xsi:type="dcterms:W3CDTF">2014-02-12T12:41:00Z</dcterms:created>
  <dcterms:modified xsi:type="dcterms:W3CDTF">2014-02-13T08:34:00Z</dcterms:modified>
</cp:coreProperties>
</file>