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4C95E24D" w:rsidR="003B1425" w:rsidRPr="008B3B19" w:rsidRDefault="00270BF6" w:rsidP="00CD656E">
      <w:pPr>
        <w:jc w:val="both"/>
      </w:pPr>
      <w:r w:rsidRPr="00592C0F">
        <w:t>V </w:t>
      </w:r>
      <w:r w:rsidRPr="008B3B19">
        <w:t>roce 202</w:t>
      </w:r>
      <w:r w:rsidR="003C39F0" w:rsidRPr="008B3B19">
        <w:t>5</w:t>
      </w:r>
      <w:r w:rsidR="003B1425" w:rsidRPr="008B3B19">
        <w:t xml:space="preserve"> proběhla revize váhového systému. Váhy jsou od ledna roku 202</w:t>
      </w:r>
      <w:r w:rsidR="003C39F0" w:rsidRPr="008B3B19">
        <w:t>6</w:t>
      </w:r>
      <w:r w:rsidR="003B1425" w:rsidRPr="008B3B19">
        <w:t xml:space="preserve"> zaktualizovány na základě výdajů domácn</w:t>
      </w:r>
      <w:r w:rsidR="00605C3D" w:rsidRPr="008B3B19">
        <w:t>ostí statistiky národních účtů</w:t>
      </w:r>
      <w:r w:rsidR="00E9340A" w:rsidRPr="008B3B19">
        <w:t>.</w:t>
      </w:r>
      <w:r w:rsidR="00B434AB" w:rsidRPr="008B3B19">
        <w:t xml:space="preserve"> </w:t>
      </w:r>
      <w:r w:rsidR="00E9340A" w:rsidRPr="008B3B19">
        <w:t>P</w:t>
      </w:r>
      <w:r w:rsidR="00B434AB" w:rsidRPr="008B3B19">
        <w:t>rimárně vycház</w:t>
      </w:r>
      <w:r w:rsidR="007922A7" w:rsidRPr="008B3B19">
        <w:t>ej</w:t>
      </w:r>
      <w:r w:rsidR="00B434AB" w:rsidRPr="008B3B19">
        <w:t xml:space="preserve">í z výdajů </w:t>
      </w:r>
      <w:r w:rsidR="00B85DBF" w:rsidRPr="008B3B19">
        <w:t xml:space="preserve">roku </w:t>
      </w:r>
      <w:r w:rsidR="00BE30E7" w:rsidRPr="008B3B19">
        <w:t>202</w:t>
      </w:r>
      <w:r w:rsidR="003C39F0" w:rsidRPr="008B3B19">
        <w:t>4</w:t>
      </w:r>
      <w:r w:rsidR="00B434AB" w:rsidRPr="008B3B19">
        <w:t xml:space="preserve"> a</w:t>
      </w:r>
      <w:r w:rsidR="00AD34AC" w:rsidRPr="008B3B19">
        <w:t> </w:t>
      </w:r>
      <w:r w:rsidR="00B434AB" w:rsidRPr="008B3B19">
        <w:t>jsou modifikovány odhadem výdajů roku 202</w:t>
      </w:r>
      <w:r w:rsidR="003C39F0" w:rsidRPr="008B3B19">
        <w:t>5</w:t>
      </w:r>
      <w:r w:rsidR="00592C0F" w:rsidRPr="008B3B19">
        <w:t>. Váhy pro </w:t>
      </w:r>
      <w:r w:rsidR="003B1425" w:rsidRPr="008B3B19">
        <w:t xml:space="preserve">detailní cenové reprezentanty jsou </w:t>
      </w:r>
      <w:r w:rsidR="00F76783" w:rsidRPr="008B3B19">
        <w:t xml:space="preserve">zaktualizovány </w:t>
      </w:r>
      <w:r w:rsidR="003B1425" w:rsidRPr="008B3B19">
        <w:t xml:space="preserve">dle údajů statistiky rodinných účtů </w:t>
      </w:r>
      <w:r w:rsidR="00F76783" w:rsidRPr="008B3B19">
        <w:t>doplněných o</w:t>
      </w:r>
      <w:r w:rsidR="00592C0F" w:rsidRPr="008B3B19">
        <w:t> </w:t>
      </w:r>
      <w:r w:rsidR="00F76783" w:rsidRPr="008B3B19">
        <w:t>další</w:t>
      </w:r>
      <w:r w:rsidR="003B1425" w:rsidRPr="008B3B19">
        <w:t xml:space="preserve"> dostupn</w:t>
      </w:r>
      <w:r w:rsidR="00F76783" w:rsidRPr="008B3B19">
        <w:t>é zdroje</w:t>
      </w:r>
      <w:r w:rsidR="00592C0F" w:rsidRPr="008B3B19">
        <w:t xml:space="preserve"> a šetření. Od </w:t>
      </w:r>
      <w:r w:rsidR="003B1425" w:rsidRPr="008B3B19">
        <w:t>ledna roku 202</w:t>
      </w:r>
      <w:r w:rsidR="003C39F0" w:rsidRPr="008B3B19">
        <w:t>6</w:t>
      </w:r>
      <w:r w:rsidR="003B1425" w:rsidRPr="008B3B19">
        <w:t xml:space="preserve"> jsou publikované cenové indexy vypočteny podle nových revidovaných indexních schémat.</w:t>
      </w:r>
    </w:p>
    <w:p w14:paraId="62A9C0EB" w14:textId="5ABBC1A1" w:rsidR="00865CB9" w:rsidRPr="008B3B19" w:rsidRDefault="00865CB9" w:rsidP="00CD656E">
      <w:pPr>
        <w:jc w:val="both"/>
      </w:pPr>
      <w:r w:rsidRPr="008B3B19">
        <w:t>Od ledna 2026 jsou indexy spotřebitelských cen počítány na aktualizované klasifikaci individuální spotřeby dle účelu CZ-COICOP (COICOP 2018), v souladu s příslušnou legislativou EU</w:t>
      </w:r>
      <w:r w:rsidR="00E4694E" w:rsidRPr="008B3B19">
        <w:t xml:space="preserve">, viz </w:t>
      </w:r>
      <w:hyperlink r:id="rId8" w:history="1">
        <w:r w:rsidR="00E4694E" w:rsidRPr="008B3B19">
          <w:rPr>
            <w:rStyle w:val="Hypertextovodkaz"/>
          </w:rPr>
          <w:t>Sdělení ČSÚ</w:t>
        </w:r>
      </w:hyperlink>
      <w:r w:rsidRPr="008B3B19">
        <w:t xml:space="preserve">. </w:t>
      </w:r>
    </w:p>
    <w:p w14:paraId="3D5579F3" w14:textId="01C4B282" w:rsidR="00E4694E" w:rsidRPr="008B3B19" w:rsidRDefault="00EB6BDD" w:rsidP="004B59CC">
      <w:pPr>
        <w:jc w:val="both"/>
        <w:rPr>
          <w:rFonts w:cs="Arial"/>
          <w:iCs/>
          <w:szCs w:val="20"/>
        </w:rPr>
      </w:pPr>
      <w:r w:rsidRPr="008B3B19">
        <w:t>Od ledna 20</w:t>
      </w:r>
      <w:r w:rsidR="00270BF6" w:rsidRPr="008B3B19">
        <w:t>2</w:t>
      </w:r>
      <w:r w:rsidR="003C39F0" w:rsidRPr="008B3B19">
        <w:t>6</w:t>
      </w:r>
      <w:r w:rsidR="00592C0F" w:rsidRPr="008B3B19">
        <w:t xml:space="preserve"> došlo u cenových indexů ke </w:t>
      </w:r>
      <w:r w:rsidRPr="008B3B19">
        <w:t>změně</w:t>
      </w:r>
      <w:r w:rsidR="00592C0F" w:rsidRPr="008B3B19">
        <w:t xml:space="preserve"> cenového referenčního období z prosince </w:t>
      </w:r>
      <w:r w:rsidRPr="008B3B19">
        <w:t>20</w:t>
      </w:r>
      <w:r w:rsidR="00BE30E7" w:rsidRPr="008B3B19">
        <w:t>2</w:t>
      </w:r>
      <w:r w:rsidR="003C39F0" w:rsidRPr="008B3B19">
        <w:t>3</w:t>
      </w:r>
      <w:r w:rsidR="00592C0F" w:rsidRPr="008B3B19">
        <w:t xml:space="preserve"> na prosinec </w:t>
      </w:r>
      <w:r w:rsidRPr="008B3B19">
        <w:t>20</w:t>
      </w:r>
      <w:r w:rsidR="00BE30E7" w:rsidRPr="008B3B19">
        <w:t>2</w:t>
      </w:r>
      <w:r w:rsidR="003C39F0" w:rsidRPr="008B3B19">
        <w:t>5</w:t>
      </w:r>
      <w:r w:rsidRPr="008B3B19">
        <w:t xml:space="preserve">. </w:t>
      </w:r>
      <w:r w:rsidR="00E4694E" w:rsidRPr="008B3B19">
        <w:rPr>
          <w:rFonts w:cs="Arial"/>
          <w:iCs/>
          <w:szCs w:val="20"/>
        </w:rPr>
        <w:t>Dle Nařízení Evropského parlamentu a Rady (EU) 2016/792 je současně zavedena časová řada bazických indexů se základem průměr roku 2025 = 100. Z této časové řady jsou počítány indexy k dalším základům (předchozí měsíc = 100, stejné období předchozího roku = 100 a index klouzavých průměrů za posledních 12 měsíců k průměru 12 předcházejících měsíců). Původní časová řada se základem průměr roku 2015 = 100 bude nadále počítána i publikována, ale nebudou z ní již odvozovány jiné indexy.</w:t>
      </w:r>
    </w:p>
    <w:p w14:paraId="57A54BC0" w14:textId="7AECBF27" w:rsidR="00E4694E" w:rsidRPr="00592C0F" w:rsidRDefault="00E4694E" w:rsidP="004B59CC">
      <w:pPr>
        <w:jc w:val="both"/>
        <w:rPr>
          <w:rFonts w:cs="Arial"/>
          <w:iCs/>
          <w:szCs w:val="20"/>
        </w:rPr>
      </w:pPr>
      <w:r w:rsidRPr="008B3B19">
        <w:rPr>
          <w:rFonts w:cs="Arial"/>
          <w:iCs/>
          <w:szCs w:val="20"/>
        </w:rPr>
        <w:t xml:space="preserve">Detailnější informace o metodických změnách od ledna 2026 jsou na </w:t>
      </w:r>
      <w:hyperlink r:id="rId9" w:history="1">
        <w:r w:rsidRPr="008B3B19">
          <w:rPr>
            <w:rStyle w:val="Hypertextovodkaz"/>
            <w:rFonts w:cs="Arial"/>
            <w:iCs/>
            <w:szCs w:val="20"/>
          </w:rPr>
          <w:t>webu ČSÚ</w:t>
        </w:r>
      </w:hyperlink>
      <w:r w:rsidRPr="008B3B19">
        <w:rPr>
          <w:rFonts w:cs="Arial"/>
          <w:iCs/>
          <w:szCs w:val="20"/>
        </w:rPr>
        <w:t>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10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42594515" r:id="rId12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 xml:space="preserve">= stálá </w:t>
      </w:r>
      <w:proofErr w:type="gramStart"/>
      <w:r w:rsidRPr="00592C0F">
        <w:rPr>
          <w:rFonts w:cs="Arial"/>
          <w:i/>
          <w:iCs/>
        </w:rPr>
        <w:t>váha - výdaje</w:t>
      </w:r>
      <w:proofErr w:type="gramEnd"/>
      <w:r w:rsidRPr="00592C0F">
        <w:rPr>
          <w:rFonts w:cs="Arial"/>
          <w:i/>
          <w:iCs/>
        </w:rPr>
        <w:t xml:space="preserve"> domácností za zboží (službu) v základním období</w:t>
      </w:r>
    </w:p>
    <w:sectPr w:rsidR="0097104F" w:rsidRPr="00D254A8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EA9A" w14:textId="77777777" w:rsidR="00475591" w:rsidRDefault="00475591" w:rsidP="00E71A58">
      <w:r>
        <w:separator/>
      </w:r>
    </w:p>
  </w:endnote>
  <w:endnote w:type="continuationSeparator" w:id="0">
    <w:p w14:paraId="50B32B52" w14:textId="77777777" w:rsidR="00475591" w:rsidRDefault="00475591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12A8" w14:textId="51B4932F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A72882">
      <w:rPr>
        <w:szCs w:val="16"/>
      </w:rPr>
      <w:t>květ</w:t>
    </w:r>
    <w:r w:rsidR="00D03441">
      <w:rPr>
        <w:szCs w:val="16"/>
      </w:rPr>
      <w:t>en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3C39F0">
      <w:rPr>
        <w:rStyle w:val="ZpatChar"/>
        <w:szCs w:val="16"/>
      </w:rPr>
      <w:t>6</w:t>
    </w:r>
    <w:r w:rsidRPr="00F1639F">
      <w:rPr>
        <w:rStyle w:val="ZpatChar"/>
        <w:szCs w:val="16"/>
      </w:rPr>
      <w:t xml:space="preserve"> / </w:t>
    </w:r>
    <w:r w:rsidR="00A72882">
      <w:rPr>
        <w:rStyle w:val="ZpatChar"/>
        <w:i/>
        <w:szCs w:val="16"/>
      </w:rPr>
      <w:t>May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3C39F0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BF31" w14:textId="77777777" w:rsidR="00475591" w:rsidRDefault="00475591" w:rsidP="00E71A58">
      <w:r>
        <w:separator/>
      </w:r>
    </w:p>
  </w:footnote>
  <w:footnote w:type="continuationSeparator" w:id="0">
    <w:p w14:paraId="2B85D141" w14:textId="77777777" w:rsidR="00475591" w:rsidRDefault="00475591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89104">
    <w:abstractNumId w:val="12"/>
  </w:num>
  <w:num w:numId="2" w16cid:durableId="689718021">
    <w:abstractNumId w:val="8"/>
  </w:num>
  <w:num w:numId="3" w16cid:durableId="834345893">
    <w:abstractNumId w:val="3"/>
  </w:num>
  <w:num w:numId="4" w16cid:durableId="1748262511">
    <w:abstractNumId w:val="2"/>
  </w:num>
  <w:num w:numId="5" w16cid:durableId="259678752">
    <w:abstractNumId w:val="1"/>
  </w:num>
  <w:num w:numId="6" w16cid:durableId="505362166">
    <w:abstractNumId w:val="0"/>
  </w:num>
  <w:num w:numId="7" w16cid:durableId="20935624">
    <w:abstractNumId w:val="9"/>
  </w:num>
  <w:num w:numId="8" w16cid:durableId="2014674153">
    <w:abstractNumId w:val="7"/>
  </w:num>
  <w:num w:numId="9" w16cid:durableId="1770926529">
    <w:abstractNumId w:val="6"/>
  </w:num>
  <w:num w:numId="10" w16cid:durableId="2075812859">
    <w:abstractNumId w:val="5"/>
  </w:num>
  <w:num w:numId="11" w16cid:durableId="1921478749">
    <w:abstractNumId w:val="4"/>
  </w:num>
  <w:num w:numId="12" w16cid:durableId="2016954198">
    <w:abstractNumId w:val="10"/>
  </w:num>
  <w:num w:numId="13" w16cid:durableId="60062031">
    <w:abstractNumId w:val="14"/>
  </w:num>
  <w:num w:numId="14" w16cid:durableId="1712345456">
    <w:abstractNumId w:val="13"/>
  </w:num>
  <w:num w:numId="15" w16cid:durableId="879824176">
    <w:abstractNumId w:val="11"/>
  </w:num>
  <w:num w:numId="16" w16cid:durableId="345905151">
    <w:abstractNumId w:val="16"/>
  </w:num>
  <w:num w:numId="17" w16cid:durableId="70936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68F"/>
    <w:rsid w:val="00010702"/>
    <w:rsid w:val="00010DA4"/>
    <w:rsid w:val="00011EA9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57C9D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A71DC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1E57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763DA"/>
    <w:rsid w:val="003804DC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8C6"/>
    <w:rsid w:val="003A6B38"/>
    <w:rsid w:val="003A707A"/>
    <w:rsid w:val="003B1425"/>
    <w:rsid w:val="003B1C99"/>
    <w:rsid w:val="003B41F8"/>
    <w:rsid w:val="003B5A32"/>
    <w:rsid w:val="003B5DD7"/>
    <w:rsid w:val="003C051A"/>
    <w:rsid w:val="003C3490"/>
    <w:rsid w:val="003C39F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5591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6F1C8D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A735F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27EDC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CB9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3B19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903"/>
    <w:rsid w:val="00A52B4A"/>
    <w:rsid w:val="00A52CAD"/>
    <w:rsid w:val="00A53FC7"/>
    <w:rsid w:val="00A56A88"/>
    <w:rsid w:val="00A62CE1"/>
    <w:rsid w:val="00A66C37"/>
    <w:rsid w:val="00A6741E"/>
    <w:rsid w:val="00A72882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E361E"/>
    <w:rsid w:val="00AF1DA4"/>
    <w:rsid w:val="00AF3A89"/>
    <w:rsid w:val="00AF421A"/>
    <w:rsid w:val="00B00913"/>
    <w:rsid w:val="00B01593"/>
    <w:rsid w:val="00B04ACC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08B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19BD"/>
    <w:rsid w:val="00BA5C16"/>
    <w:rsid w:val="00BA5C91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00F0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3BF3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1465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3441"/>
    <w:rsid w:val="00D040DD"/>
    <w:rsid w:val="00D0683A"/>
    <w:rsid w:val="00D10137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936E9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E77DA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40424"/>
    <w:rsid w:val="00E4694E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26A44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6178"/>
    <w:rsid w:val="00FB7017"/>
    <w:rsid w:val="00FC0E5F"/>
    <w:rsid w:val="00FC1A95"/>
    <w:rsid w:val="00FC56DE"/>
    <w:rsid w:val="00FC684B"/>
    <w:rsid w:val="00FD4630"/>
    <w:rsid w:val="00FD798D"/>
    <w:rsid w:val="00FE291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docs/107516/41be45ba-5752-dcd2-e3d9-8d8091872300/sdeleni_c_406_2023_sb_cz-coicop.pdf?version=1.0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kdyz_se_rekne_inflace_resp_mira_infl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zmeny-v-cenove-statistice-od-ledna-2026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1B1A8-0318-4E12-8F87-F7355BAA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5</TotalTime>
  <Pages>1</Pages>
  <Words>437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10</cp:revision>
  <cp:lastPrinted>2026-02-10T12:58:00Z</cp:lastPrinted>
  <dcterms:created xsi:type="dcterms:W3CDTF">2026-02-10T16:14:00Z</dcterms:created>
  <dcterms:modified xsi:type="dcterms:W3CDTF">2026-06-10T09:02:00Z</dcterms:modified>
</cp:coreProperties>
</file>