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9C" w:rsidRPr="00526D50" w:rsidRDefault="005C419C" w:rsidP="005C419C">
      <w:pPr>
        <w:pStyle w:val="Textpoznpodarou"/>
        <w:jc w:val="both"/>
        <w:rPr>
          <w:rFonts w:cs="Arial"/>
          <w:color w:val="000000"/>
          <w:spacing w:val="-2"/>
          <w:sz w:val="4"/>
          <w:szCs w:val="4"/>
        </w:rPr>
      </w:pPr>
    </w:p>
    <w:p w:rsidR="0036710C" w:rsidRPr="0036710C" w:rsidRDefault="0036710C" w:rsidP="00D94859">
      <w:pPr>
        <w:rPr>
          <w:sz w:val="2"/>
          <w:szCs w:val="2"/>
          <w:lang w:eastAsia="ar-SA"/>
        </w:rPr>
      </w:pPr>
    </w:p>
    <w:p w:rsidR="00DD0726" w:rsidRPr="00A74192" w:rsidRDefault="00DD0726" w:rsidP="009E74F6">
      <w:pPr>
        <w:pStyle w:val="Nadpis1"/>
        <w:numPr>
          <w:ilvl w:val="0"/>
          <w:numId w:val="25"/>
        </w:numPr>
        <w:jc w:val="both"/>
      </w:pPr>
      <w:bookmarkStart w:id="0" w:name="_Toc469299935"/>
      <w:bookmarkStart w:id="1" w:name="_Toc493683639"/>
      <w:r>
        <w:t>M</w:t>
      </w:r>
      <w:r w:rsidRPr="00A74192">
        <w:t>ěnové podmínky</w:t>
      </w:r>
      <w:bookmarkEnd w:id="0"/>
      <w:bookmarkEnd w:id="1"/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1118"/>
        <w:gridCol w:w="6442"/>
      </w:tblGrid>
      <w:tr w:rsidR="009B0676" w:rsidRPr="00A74192" w:rsidTr="009B0676">
        <w:trPr>
          <w:trHeight w:val="145"/>
        </w:trPr>
        <w:tc>
          <w:tcPr>
            <w:tcW w:w="1016" w:type="pct"/>
          </w:tcPr>
          <w:p w:rsidR="009B0676" w:rsidRPr="006D5608" w:rsidRDefault="009B0676" w:rsidP="006E4368">
            <w:pPr>
              <w:spacing w:line="240" w:lineRule="auto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0309C">
              <w:rPr>
                <w:color w:val="000000" w:themeColor="text1"/>
                <w:sz w:val="16"/>
                <w:szCs w:val="16"/>
              </w:rPr>
              <w:t xml:space="preserve">Od dubnového ukončení režimu intervencí kurz české koruny </w:t>
            </w:r>
            <w:r>
              <w:rPr>
                <w:color w:val="000000" w:themeColor="text1"/>
                <w:sz w:val="16"/>
                <w:szCs w:val="16"/>
              </w:rPr>
              <w:t>vůči euru i</w:t>
            </w:r>
            <w:r w:rsidR="002C5CB7">
              <w:rPr>
                <w:color w:val="000000" w:themeColor="text1"/>
                <w:sz w:val="16"/>
                <w:szCs w:val="16"/>
              </w:rPr>
              <w:t> </w:t>
            </w:r>
            <w:r>
              <w:rPr>
                <w:color w:val="000000" w:themeColor="text1"/>
                <w:sz w:val="16"/>
                <w:szCs w:val="16"/>
              </w:rPr>
              <w:t xml:space="preserve">dolaru </w:t>
            </w:r>
            <w:r w:rsidRPr="0060309C">
              <w:rPr>
                <w:color w:val="000000" w:themeColor="text1"/>
                <w:sz w:val="16"/>
                <w:szCs w:val="16"/>
              </w:rPr>
              <w:t>posiloval.</w:t>
            </w:r>
          </w:p>
        </w:tc>
        <w:tc>
          <w:tcPr>
            <w:tcW w:w="144" w:type="pct"/>
          </w:tcPr>
          <w:p w:rsidR="009B0676" w:rsidRPr="003E6E0D" w:rsidRDefault="009B0676" w:rsidP="006E4368">
            <w:pPr>
              <w:pStyle w:val="Textpoznpodarou"/>
              <w:jc w:val="both"/>
            </w:pPr>
          </w:p>
        </w:tc>
        <w:tc>
          <w:tcPr>
            <w:tcW w:w="3840" w:type="pct"/>
            <w:gridSpan w:val="2"/>
          </w:tcPr>
          <w:p w:rsidR="009B0676" w:rsidRDefault="009B0676" w:rsidP="006E4368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t xml:space="preserve">Rok 2017 přinesl řadu změn v oblasti měnových podmínek. Po dubnovém ukončení kurzových intervencí se koruna vrátila k režimu řízeného </w:t>
            </w:r>
            <w:proofErr w:type="spellStart"/>
            <w:r>
              <w:t>floatingu</w:t>
            </w:r>
            <w:proofErr w:type="spellEnd"/>
            <w:r>
              <w:t>. V průběhu roku tak kurz koruny vůči důležitým zahraničním měnám posiloval. Kurz vůči euru se po celé 1. čtvrtletí držel na hodnotě 27,02</w:t>
            </w:r>
            <w:r w:rsidR="00B013C0">
              <w:t> </w:t>
            </w:r>
            <w:r>
              <w:t>CZK/EUR</w:t>
            </w:r>
            <w:r>
              <w:rPr>
                <w:rStyle w:val="Znakapoznpodarou"/>
              </w:rPr>
              <w:footnoteReference w:id="1"/>
            </w:r>
            <w:r>
              <w:t>. Po ukončení intervencí postupně posiloval a jeho průměrná hodnota ve 4. čtvrtletí byla 25,65</w:t>
            </w:r>
            <w:r w:rsidR="002C5CB7">
              <w:t> </w:t>
            </w:r>
            <w:r>
              <w:t>CZK/EUR. Od 2. ledna do 29. prosince posílila koruna vůči euru o</w:t>
            </w:r>
            <w:r w:rsidR="002C5CB7">
              <w:t> </w:t>
            </w:r>
            <w:r>
              <w:t>5,5</w:t>
            </w:r>
            <w:r w:rsidR="002C5CB7">
              <w:t> </w:t>
            </w:r>
            <w:r>
              <w:t>%. Ještě výrazněji posiloval kurz koruny vůči americkému dolaru. Jeho průměrná hodnota v 1. čtvrtletí dosáhla 25,38</w:t>
            </w:r>
            <w:r w:rsidR="002C5CB7">
              <w:t> </w:t>
            </w:r>
            <w:r>
              <w:t>CZK/USD, v závěrečném kvartálu roku to bylo 21,79</w:t>
            </w:r>
            <w:r w:rsidR="002C5CB7">
              <w:t> </w:t>
            </w:r>
            <w:r>
              <w:t>CZK/USD. Za celý rok 2017 posílila koruna vůči dolaru o</w:t>
            </w:r>
            <w:r w:rsidR="002C5CB7">
              <w:t> </w:t>
            </w:r>
            <w:r>
              <w:t>17,5</w:t>
            </w:r>
            <w:r w:rsidR="002C5CB7">
              <w:t> </w:t>
            </w:r>
            <w:r>
              <w:t>%. Bezprostředním dopadem tohoto posílení byl propad cen zahraničního obchodu.</w:t>
            </w:r>
          </w:p>
          <w:p w:rsidR="009B0676" w:rsidRPr="009B2D4A" w:rsidRDefault="009B0676" w:rsidP="006E4368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9B0676" w:rsidRPr="00A74192" w:rsidTr="009B0676">
        <w:trPr>
          <w:trHeight w:val="145"/>
        </w:trPr>
        <w:tc>
          <w:tcPr>
            <w:tcW w:w="1016" w:type="pct"/>
            <w:shd w:val="clear" w:color="auto" w:fill="auto"/>
          </w:tcPr>
          <w:p w:rsidR="009B0676" w:rsidRPr="006D5608" w:rsidRDefault="009B0676" w:rsidP="006E4368">
            <w:pPr>
              <w:spacing w:line="240" w:lineRule="auto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0309C">
              <w:rPr>
                <w:color w:val="000000" w:themeColor="text1"/>
                <w:sz w:val="16"/>
                <w:szCs w:val="16"/>
              </w:rPr>
              <w:t xml:space="preserve">ČNB se </w:t>
            </w:r>
            <w:r>
              <w:rPr>
                <w:color w:val="000000" w:themeColor="text1"/>
                <w:sz w:val="16"/>
                <w:szCs w:val="16"/>
              </w:rPr>
              <w:t>v roce 2017 dvakrát</w:t>
            </w:r>
            <w:r w:rsidRPr="0060309C">
              <w:rPr>
                <w:color w:val="000000" w:themeColor="text1"/>
                <w:sz w:val="16"/>
                <w:szCs w:val="16"/>
              </w:rPr>
              <w:t xml:space="preserve"> rozhodla pro zvýšení </w:t>
            </w:r>
            <w:proofErr w:type="spellStart"/>
            <w:r w:rsidRPr="0060309C">
              <w:rPr>
                <w:color w:val="000000" w:themeColor="text1"/>
                <w:sz w:val="16"/>
                <w:szCs w:val="16"/>
              </w:rPr>
              <w:t>měnověpolitických</w:t>
            </w:r>
            <w:proofErr w:type="spellEnd"/>
            <w:r w:rsidRPr="0060309C">
              <w:rPr>
                <w:color w:val="000000" w:themeColor="text1"/>
                <w:sz w:val="16"/>
                <w:szCs w:val="16"/>
              </w:rPr>
              <w:t xml:space="preserve"> úrokových sazeb.</w:t>
            </w:r>
          </w:p>
        </w:tc>
        <w:tc>
          <w:tcPr>
            <w:tcW w:w="144" w:type="pct"/>
          </w:tcPr>
          <w:p w:rsidR="009B0676" w:rsidRPr="003E6E0D" w:rsidRDefault="009B0676" w:rsidP="006E4368">
            <w:pPr>
              <w:pStyle w:val="Textpoznpodarou"/>
              <w:jc w:val="both"/>
            </w:pPr>
          </w:p>
        </w:tc>
        <w:tc>
          <w:tcPr>
            <w:tcW w:w="3840" w:type="pct"/>
            <w:gridSpan w:val="2"/>
          </w:tcPr>
          <w:p w:rsidR="009B0676" w:rsidRDefault="009B0676" w:rsidP="006E4368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t xml:space="preserve">Ukončení režimu intervencí bylo do jisté míry návratem ke klasickým nástrojům monetární politiky. Poprvé od listopadu 2012 došlo ke změně </w:t>
            </w:r>
            <w:proofErr w:type="spellStart"/>
            <w:r>
              <w:t>měnověpolitických</w:t>
            </w:r>
            <w:proofErr w:type="spellEnd"/>
            <w:r>
              <w:t xml:space="preserve"> úrokových sazeb. Nejprve byla na počátku srpna zvýšena </w:t>
            </w:r>
            <w:proofErr w:type="spellStart"/>
            <w:r>
              <w:t>repo</w:t>
            </w:r>
            <w:proofErr w:type="spellEnd"/>
            <w:r>
              <w:t xml:space="preserve"> sazba z</w:t>
            </w:r>
            <w:r w:rsidR="00896874">
              <w:t> </w:t>
            </w:r>
            <w:r>
              <w:t>0,05</w:t>
            </w:r>
            <w:r w:rsidR="00896874">
              <w:t> </w:t>
            </w:r>
            <w:r>
              <w:t>% na</w:t>
            </w:r>
            <w:r w:rsidR="00711398">
              <w:t> </w:t>
            </w:r>
            <w:r>
              <w:t>0,25</w:t>
            </w:r>
            <w:r w:rsidR="00896874">
              <w:t> </w:t>
            </w:r>
            <w:r>
              <w:t>% a lombardní sazba z</w:t>
            </w:r>
            <w:r w:rsidR="00896874">
              <w:t> </w:t>
            </w:r>
            <w:r>
              <w:t>0,25</w:t>
            </w:r>
            <w:r w:rsidR="00896874">
              <w:t> </w:t>
            </w:r>
            <w:r>
              <w:t>% na 0,50</w:t>
            </w:r>
            <w:r w:rsidR="00896874">
              <w:t> </w:t>
            </w:r>
            <w:r>
              <w:t xml:space="preserve">%. Šlo o první růst od roku 2008. Další posun směrem vzhůru se odehrál na počátku listopadu. </w:t>
            </w:r>
            <w:proofErr w:type="spellStart"/>
            <w:r>
              <w:t>Repo</w:t>
            </w:r>
            <w:proofErr w:type="spellEnd"/>
            <w:r>
              <w:t xml:space="preserve"> sazba byla zvýšena na 0,50</w:t>
            </w:r>
            <w:r w:rsidR="00896874">
              <w:t> </w:t>
            </w:r>
            <w:r>
              <w:t>% a lombardní sazba na 1,00</w:t>
            </w:r>
            <w:r w:rsidR="00896874">
              <w:t> </w:t>
            </w:r>
            <w:r>
              <w:t xml:space="preserve">%. V návaznosti na diskuze o stabilitě finančního systému ČNB v roce 2017 aplikovala i některé nástroje </w:t>
            </w:r>
            <w:proofErr w:type="spellStart"/>
            <w:r>
              <w:t>makroobezřetnostní</w:t>
            </w:r>
            <w:proofErr w:type="spellEnd"/>
            <w:r>
              <w:t xml:space="preserve"> politiky. Jednak zpřísnila doporučení týkající se poskytování hypotečních úvěrů a rovněž zvýšila sazbu kapitálové rezervy pro některé banky. Na konci roku 2017 vyhlásila i zvýšení sazby </w:t>
            </w:r>
            <w:proofErr w:type="spellStart"/>
            <w:r>
              <w:t>proticyklické</w:t>
            </w:r>
            <w:proofErr w:type="spellEnd"/>
            <w:r>
              <w:t xml:space="preserve"> kapitálové rezervy s platností od 1.</w:t>
            </w:r>
            <w:r w:rsidR="00896874">
              <w:t> </w:t>
            </w:r>
            <w:r>
              <w:t>7.</w:t>
            </w:r>
            <w:r w:rsidR="00896874">
              <w:t> </w:t>
            </w:r>
            <w:r>
              <w:t>2018 (z</w:t>
            </w:r>
            <w:r w:rsidR="00896874">
              <w:t> </w:t>
            </w:r>
            <w:r>
              <w:t>0,5</w:t>
            </w:r>
            <w:r w:rsidR="00896874">
              <w:t> </w:t>
            </w:r>
            <w:r>
              <w:t>% na 1,0</w:t>
            </w:r>
            <w:r w:rsidR="00896874">
              <w:t> </w:t>
            </w:r>
            <w:r>
              <w:t>%, další zvýšení na 1,25</w:t>
            </w:r>
            <w:r w:rsidR="00896874">
              <w:t> </w:t>
            </w:r>
            <w:r>
              <w:t>% od 1.</w:t>
            </w:r>
            <w:r w:rsidR="00896874">
              <w:t> </w:t>
            </w:r>
            <w:r>
              <w:t>1.</w:t>
            </w:r>
            <w:r w:rsidR="00896874">
              <w:t> </w:t>
            </w:r>
            <w:r>
              <w:t>2019).</w:t>
            </w:r>
          </w:p>
          <w:p w:rsidR="009B0676" w:rsidRPr="009B2D4A" w:rsidRDefault="009B0676" w:rsidP="006E4368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D0726" w:rsidRPr="00A74192" w:rsidTr="009B0676">
        <w:trPr>
          <w:trHeight w:val="145"/>
        </w:trPr>
        <w:tc>
          <w:tcPr>
            <w:tcW w:w="1016" w:type="pct"/>
            <w:shd w:val="clear" w:color="auto" w:fill="auto"/>
          </w:tcPr>
          <w:p w:rsidR="00DD0726" w:rsidRPr="005D2208" w:rsidRDefault="00DD0726" w:rsidP="006C3DC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3E6E0D" w:rsidRDefault="00DD0726" w:rsidP="006C3DC1">
            <w:pPr>
              <w:pStyle w:val="Textpoznpodarou"/>
              <w:jc w:val="both"/>
            </w:pPr>
          </w:p>
        </w:tc>
        <w:tc>
          <w:tcPr>
            <w:tcW w:w="568" w:type="pct"/>
          </w:tcPr>
          <w:p w:rsidR="00DD0726" w:rsidRDefault="00DD0726" w:rsidP="006C3DC1">
            <w:pPr>
              <w:pStyle w:val="Textpoznpodarou"/>
              <w:jc w:val="both"/>
            </w:pPr>
            <w:r>
              <w:t>Graf č. 18</w:t>
            </w:r>
          </w:p>
        </w:tc>
        <w:tc>
          <w:tcPr>
            <w:tcW w:w="3272" w:type="pct"/>
          </w:tcPr>
          <w:p w:rsidR="00DD0726" w:rsidRDefault="00DD0726" w:rsidP="006C3DC1">
            <w:pPr>
              <w:pStyle w:val="Textpoznpodarou"/>
              <w:jc w:val="both"/>
            </w:pPr>
            <w:r w:rsidRPr="00AA4A76">
              <w:rPr>
                <w:b/>
              </w:rPr>
              <w:t xml:space="preserve">Tržní úrokové sazby </w:t>
            </w:r>
            <w:r w:rsidRPr="00AA4A76">
              <w:t>(v %)</w:t>
            </w:r>
          </w:p>
        </w:tc>
      </w:tr>
      <w:tr w:rsidR="00DD0726" w:rsidRPr="00A74192" w:rsidTr="009B0676">
        <w:trPr>
          <w:trHeight w:val="145"/>
        </w:trPr>
        <w:tc>
          <w:tcPr>
            <w:tcW w:w="1016" w:type="pct"/>
            <w:shd w:val="clear" w:color="auto" w:fill="auto"/>
          </w:tcPr>
          <w:p w:rsidR="00DD0726" w:rsidRPr="005D2208" w:rsidRDefault="00DD0726" w:rsidP="006C3DC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3E6E0D" w:rsidRDefault="00DD0726" w:rsidP="006C3DC1">
            <w:pPr>
              <w:pStyle w:val="Textpoznpodarou"/>
              <w:jc w:val="both"/>
            </w:pPr>
          </w:p>
        </w:tc>
        <w:tc>
          <w:tcPr>
            <w:tcW w:w="3840" w:type="pct"/>
            <w:gridSpan w:val="2"/>
          </w:tcPr>
          <w:p w:rsidR="00DD0726" w:rsidRDefault="009B0676" w:rsidP="006C3DC1">
            <w:pPr>
              <w:pStyle w:val="Textpoznpodarou"/>
              <w:jc w:val="right"/>
              <w:rPr>
                <w:sz w:val="14"/>
                <w:szCs w:val="14"/>
              </w:rPr>
            </w:pPr>
            <w:r w:rsidRPr="009B0676">
              <w:rPr>
                <w:noProof/>
              </w:rPr>
              <w:drawing>
                <wp:inline distT="0" distB="0" distL="0" distR="0">
                  <wp:extent cx="4737600" cy="3553200"/>
                  <wp:effectExtent l="19050" t="0" r="0" b="0"/>
                  <wp:docPr id="4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DD0726" w:rsidRPr="00DE1460">
              <w:rPr>
                <w:sz w:val="14"/>
                <w:szCs w:val="14"/>
              </w:rPr>
              <w:t xml:space="preserve"> Zdroj: ČNB</w:t>
            </w:r>
          </w:p>
          <w:p w:rsidR="00DD0726" w:rsidRPr="00351222" w:rsidRDefault="00DD0726" w:rsidP="006C3DC1">
            <w:pPr>
              <w:pStyle w:val="Textpoznpodarou"/>
              <w:jc w:val="right"/>
              <w:rPr>
                <w:sz w:val="14"/>
                <w:szCs w:val="14"/>
              </w:rPr>
            </w:pPr>
          </w:p>
        </w:tc>
      </w:tr>
      <w:tr w:rsidR="009B0676" w:rsidRPr="00A74192" w:rsidTr="009B0676">
        <w:trPr>
          <w:trHeight w:val="145"/>
        </w:trPr>
        <w:tc>
          <w:tcPr>
            <w:tcW w:w="1016" w:type="pct"/>
            <w:shd w:val="clear" w:color="auto" w:fill="auto"/>
          </w:tcPr>
          <w:p w:rsidR="009B0676" w:rsidRPr="005D2208" w:rsidRDefault="009B0676" w:rsidP="006E4368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Mezibankovní sazby i</w:t>
            </w:r>
            <w:r w:rsidR="00937320">
              <w:rPr>
                <w:color w:val="000000" w:themeColor="text1"/>
                <w:sz w:val="16"/>
                <w:szCs w:val="16"/>
              </w:rPr>
              <w:t> </w:t>
            </w:r>
            <w:r>
              <w:rPr>
                <w:color w:val="000000" w:themeColor="text1"/>
                <w:sz w:val="16"/>
                <w:szCs w:val="16"/>
              </w:rPr>
              <w:t>výnosy vládních</w:t>
            </w:r>
            <w:r w:rsidR="00F032C4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dluhopisů rostly.</w:t>
            </w:r>
          </w:p>
        </w:tc>
        <w:tc>
          <w:tcPr>
            <w:tcW w:w="144" w:type="pct"/>
          </w:tcPr>
          <w:p w:rsidR="009B0676" w:rsidRPr="003E6E0D" w:rsidRDefault="009B0676" w:rsidP="006E4368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3840" w:type="pct"/>
            <w:gridSpan w:val="2"/>
          </w:tcPr>
          <w:p w:rsidR="009B0676" w:rsidRPr="00526D50" w:rsidRDefault="009B0676" w:rsidP="006E4368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  <w:r w:rsidRPr="00526D50">
              <w:rPr>
                <w:spacing w:val="-2"/>
              </w:rPr>
              <w:t xml:space="preserve">Zvýšení </w:t>
            </w:r>
            <w:proofErr w:type="spellStart"/>
            <w:r w:rsidRPr="00526D50">
              <w:rPr>
                <w:spacing w:val="-2"/>
              </w:rPr>
              <w:t>měnověpolitických</w:t>
            </w:r>
            <w:proofErr w:type="spellEnd"/>
            <w:r w:rsidRPr="00526D50">
              <w:rPr>
                <w:spacing w:val="-2"/>
              </w:rPr>
              <w:t xml:space="preserve"> sazeb mělo přímý dopad na mezibankovní úrokové sazby. Tříměsíční PRIBOR sazba vzrostla od ledna do prosince 2017 o</w:t>
            </w:r>
            <w:r w:rsidR="00937320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0,47</w:t>
            </w:r>
            <w:r w:rsidR="00937320" w:rsidRPr="00526D50">
              <w:rPr>
                <w:spacing w:val="-2"/>
              </w:rPr>
              <w:t> </w:t>
            </w:r>
            <w:proofErr w:type="gramStart"/>
            <w:r w:rsidRPr="00526D50">
              <w:rPr>
                <w:spacing w:val="-2"/>
              </w:rPr>
              <w:t>p.</w:t>
            </w:r>
            <w:r w:rsidR="00937320" w:rsidRPr="00526D50">
              <w:rPr>
                <w:spacing w:val="-2"/>
              </w:rPr>
              <w:t> </w:t>
            </w:r>
            <w:proofErr w:type="spellStart"/>
            <w:r w:rsidRPr="00526D50">
              <w:rPr>
                <w:spacing w:val="-2"/>
              </w:rPr>
              <w:t>b</w:t>
            </w:r>
            <w:proofErr w:type="spellEnd"/>
            <w:r w:rsidRPr="00526D50">
              <w:rPr>
                <w:spacing w:val="-2"/>
              </w:rPr>
              <w:t>. a</w:t>
            </w:r>
            <w:r w:rsidR="00937320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v prosinci</w:t>
            </w:r>
            <w:proofErr w:type="gramEnd"/>
            <w:r w:rsidRPr="00526D50">
              <w:rPr>
                <w:spacing w:val="-2"/>
              </w:rPr>
              <w:t xml:space="preserve"> činila 0,77</w:t>
            </w:r>
            <w:r w:rsidR="00937320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 xml:space="preserve">% (nejvíce od září 2012). U ročního </w:t>
            </w:r>
            <w:proofErr w:type="spellStart"/>
            <w:r w:rsidRPr="00526D50">
              <w:rPr>
                <w:spacing w:val="-2"/>
              </w:rPr>
              <w:t>PRIBORu</w:t>
            </w:r>
            <w:proofErr w:type="spellEnd"/>
            <w:r w:rsidRPr="00526D50">
              <w:rPr>
                <w:spacing w:val="-2"/>
              </w:rPr>
              <w:t xml:space="preserve"> došlo ke</w:t>
            </w:r>
            <w:r w:rsidR="00711398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zvýšení o</w:t>
            </w:r>
            <w:r w:rsidR="00937320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0,52</w:t>
            </w:r>
            <w:r w:rsidR="00937320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p.</w:t>
            </w:r>
            <w:r w:rsidR="00937320" w:rsidRPr="00526D50">
              <w:rPr>
                <w:spacing w:val="-2"/>
              </w:rPr>
              <w:t> </w:t>
            </w:r>
            <w:proofErr w:type="spellStart"/>
            <w:r w:rsidRPr="00526D50">
              <w:rPr>
                <w:spacing w:val="-2"/>
              </w:rPr>
              <w:t>b</w:t>
            </w:r>
            <w:proofErr w:type="spellEnd"/>
            <w:r w:rsidRPr="00526D50">
              <w:rPr>
                <w:spacing w:val="-2"/>
              </w:rPr>
              <w:t>. Prosincová hodnota 0,96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 xml:space="preserve">% byla nejvyšší od října 2010. Výnosy státních dluhopisů rovněž rostly. Dluhopisy se splatností dva roky v lednu dosáhly rekordního minima výnosnosti hodnotou </w:t>
            </w:r>
            <w:r w:rsidR="00C13C84">
              <w:rPr>
                <w:spacing w:val="-2"/>
              </w:rPr>
              <w:t>-</w:t>
            </w:r>
            <w:r w:rsidRPr="00526D50">
              <w:rPr>
                <w:spacing w:val="-2"/>
              </w:rPr>
              <w:t>0,88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 xml:space="preserve">%, ale ve 4. čtvrtletí se již </w:t>
            </w:r>
            <w:r w:rsidRPr="00526D50">
              <w:rPr>
                <w:spacing w:val="-2"/>
              </w:rPr>
              <w:lastRenderedPageBreak/>
              <w:t>držely nad nulou (0,12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% v říjnu, 0,31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% v listopadu, 0,19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% v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prosinci). V záporných hodnotách tak výnosy krátkodobých dluhopisů setrvaly od srpna 2015 do září 2017. Výnosy dluhopisů se splatností 5 let od ledna do prosince 2017 vzrostly z</w:t>
            </w:r>
            <w:r w:rsidR="00C13C84">
              <w:rPr>
                <w:spacing w:val="-2"/>
              </w:rPr>
              <w:t> -</w:t>
            </w:r>
            <w:r w:rsidRPr="00526D50">
              <w:rPr>
                <w:spacing w:val="-2"/>
              </w:rPr>
              <w:t>0,22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% na 0,68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% (maxima 0,87 % dosáhly v listopadu). Růst výnosů dlouhodobých dluhopisů (splatnost 10 let a více) začal již ve 4. čtvrtletí 2016. V roce 2017 se růstový trend potvrdil a výnosy se zvýšily z 0,47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% v lednu na</w:t>
            </w:r>
            <w:r w:rsidR="00711398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1,50</w:t>
            </w:r>
            <w:r w:rsidR="00F45222" w:rsidRPr="00526D50">
              <w:rPr>
                <w:spacing w:val="-2"/>
              </w:rPr>
              <w:t> </w:t>
            </w:r>
            <w:r w:rsidRPr="00526D50">
              <w:rPr>
                <w:spacing w:val="-2"/>
              </w:rPr>
              <w:t>% v prosinci.</w:t>
            </w:r>
          </w:p>
          <w:p w:rsidR="003F7631" w:rsidRPr="003F7631" w:rsidRDefault="003F7631" w:rsidP="006E4368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9B0676" w:rsidRPr="00A74192" w:rsidTr="009B0676">
        <w:trPr>
          <w:trHeight w:val="145"/>
        </w:trPr>
        <w:tc>
          <w:tcPr>
            <w:tcW w:w="1016" w:type="pct"/>
            <w:shd w:val="clear" w:color="auto" w:fill="auto"/>
          </w:tcPr>
          <w:p w:rsidR="009B0676" w:rsidRPr="005D2208" w:rsidRDefault="009B0676" w:rsidP="006E4368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Úročení běžných účtů zatím setrvává na téměř nulových hodnotách. Sazby spotřebních úvěrů klesaly, ty hypoteční mírně rostly.</w:t>
            </w:r>
          </w:p>
        </w:tc>
        <w:tc>
          <w:tcPr>
            <w:tcW w:w="144" w:type="pct"/>
          </w:tcPr>
          <w:p w:rsidR="009B0676" w:rsidRPr="003E6E0D" w:rsidRDefault="009B0676" w:rsidP="006E4368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3840" w:type="pct"/>
            <w:gridSpan w:val="2"/>
          </w:tcPr>
          <w:p w:rsidR="009B0676" w:rsidRDefault="009B0676" w:rsidP="006E4368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t xml:space="preserve">Úrokové sazby na vkladech posuny </w:t>
            </w:r>
            <w:proofErr w:type="spellStart"/>
            <w:r>
              <w:t>měnověpolitických</w:t>
            </w:r>
            <w:proofErr w:type="spellEnd"/>
            <w:r>
              <w:t xml:space="preserve"> ani mezibankovních sazeb v roce 2017 nereflektovaly. Na prakticky nulové úrovni setrvávaly úroky na</w:t>
            </w:r>
            <w:r w:rsidR="00711398">
              <w:t> </w:t>
            </w:r>
            <w:r>
              <w:t>běžných účtech domácností (0,04</w:t>
            </w:r>
            <w:r w:rsidR="00070314">
              <w:t> </w:t>
            </w:r>
            <w:r>
              <w:t>%) i nefinančních podniků (0,02</w:t>
            </w:r>
            <w:r w:rsidR="00070314">
              <w:t> </w:t>
            </w:r>
            <w:r>
              <w:t>%). Jisté posuny směrem vzhůru se odehrávaly v závěru roku u vkladů s dohodnutou splatností pro nefinanční podniky (ty měly v 1. až 3. čtvrtletí téměř nulové úročení). Jediným typem vkladů, jehož úročení kopírovalo vývoj hlavních sazeb, byly vklady se splatností mezi 1 a 2 lety. Úroky na nich vzrostly z dubnového minima 0,42</w:t>
            </w:r>
            <w:r w:rsidR="00EC4D9C">
              <w:t> </w:t>
            </w:r>
            <w:r>
              <w:t>% na 1,12</w:t>
            </w:r>
            <w:r w:rsidR="00EC4D9C">
              <w:t> </w:t>
            </w:r>
            <w:r>
              <w:t>% v prosinci. Pokračoval pokles úroků na spotřebních úvěrech pro domácnosti. V únoru jejich úročení kleslo pod 10</w:t>
            </w:r>
            <w:r w:rsidR="003F7631">
              <w:t>,0</w:t>
            </w:r>
            <w:r w:rsidR="00EC4D9C">
              <w:t> </w:t>
            </w:r>
            <w:r>
              <w:t>%, v prosinci se již průměrný úrok pohyboval na úrovni 8,7</w:t>
            </w:r>
            <w:r w:rsidR="00EC4D9C">
              <w:t> </w:t>
            </w:r>
            <w:r>
              <w:t>%. Naopak úrokové sazby úvěrů na bydlení postupně rostly. Nejvýrazněji se zvýšily úroky úvěrů s fixací od</w:t>
            </w:r>
            <w:r w:rsidR="00EC4D9C">
              <w:t> </w:t>
            </w:r>
            <w:r>
              <w:t>5 do 10</w:t>
            </w:r>
            <w:r w:rsidR="00EC4D9C">
              <w:t> </w:t>
            </w:r>
            <w:r>
              <w:t>let (o</w:t>
            </w:r>
            <w:r w:rsidR="00EC4D9C">
              <w:t> </w:t>
            </w:r>
            <w:r>
              <w:t>0,29 p.</w:t>
            </w:r>
            <w:r w:rsidR="00EC4D9C">
              <w:t> </w:t>
            </w:r>
            <w:proofErr w:type="spellStart"/>
            <w:r>
              <w:t>b</w:t>
            </w:r>
            <w:proofErr w:type="spellEnd"/>
            <w:r>
              <w:t>.). Sazby u tohoto typu hypoték jsou však v porovnání s ostatními fixacemi stále nejnižší. Úrokové sazby úvěrů pro nefinanční podniky se během roku výrazněji neměnily, až ve 4. čtvrtletí byl patrný mírný růst.</w:t>
            </w:r>
          </w:p>
          <w:p w:rsidR="009B0676" w:rsidRPr="00434081" w:rsidRDefault="009B0676" w:rsidP="006E4368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9B0676" w:rsidRPr="00A74192" w:rsidTr="009B0676">
        <w:trPr>
          <w:trHeight w:val="145"/>
        </w:trPr>
        <w:tc>
          <w:tcPr>
            <w:tcW w:w="1016" w:type="pct"/>
            <w:shd w:val="clear" w:color="auto" w:fill="auto"/>
          </w:tcPr>
          <w:p w:rsidR="009B0676" w:rsidRPr="006D5608" w:rsidRDefault="009B0676" w:rsidP="006E4368">
            <w:pPr>
              <w:spacing w:line="240" w:lineRule="auto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32096">
              <w:rPr>
                <w:color w:val="000000" w:themeColor="text1"/>
                <w:sz w:val="16"/>
                <w:szCs w:val="16"/>
              </w:rPr>
              <w:t>Domácnosti</w:t>
            </w:r>
            <w:r>
              <w:rPr>
                <w:color w:val="000000" w:themeColor="text1"/>
                <w:sz w:val="16"/>
                <w:szCs w:val="16"/>
              </w:rPr>
              <w:t xml:space="preserve"> se zadlužovaly kvůli koupi nemovitostí i spotřebě. Z údajů o počtu nových hypotečních smluv je však patrná stagnace.</w:t>
            </w:r>
            <w:r w:rsidRPr="0033209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" w:type="pct"/>
          </w:tcPr>
          <w:p w:rsidR="009B0676" w:rsidRPr="003E6E0D" w:rsidRDefault="009B0676" w:rsidP="006E4368">
            <w:pPr>
              <w:pStyle w:val="Textpoznpodarou"/>
              <w:jc w:val="both"/>
            </w:pPr>
          </w:p>
        </w:tc>
        <w:tc>
          <w:tcPr>
            <w:tcW w:w="3840" w:type="pct"/>
            <w:gridSpan w:val="2"/>
          </w:tcPr>
          <w:p w:rsidR="009B0676" w:rsidRDefault="009B0676" w:rsidP="006E4368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t>Objem úvěrů poskytnutých domácnostem po celý rok 2017 rostl. Za 12 měsíců se zvýšil o</w:t>
            </w:r>
            <w:r w:rsidR="00E47B32">
              <w:t> </w:t>
            </w:r>
            <w:r>
              <w:t>109,6</w:t>
            </w:r>
            <w:r w:rsidR="00E47B32">
              <w:t> </w:t>
            </w:r>
            <w:r>
              <w:t>mld. korun (úvěry v</w:t>
            </w:r>
            <w:r w:rsidR="00E47B32">
              <w:t> </w:t>
            </w:r>
            <w:r>
              <w:t>korunách</w:t>
            </w:r>
            <w:r w:rsidR="00E47B32">
              <w:t>;</w:t>
            </w:r>
            <w:r>
              <w:t xml:space="preserve"> úvěry v cizí měně jsou u českých domácností zanedbatelné) a ve 4. čtvrtletí roku celkový objem úvěrů poskytnutých domácnostem překonal 1,5</w:t>
            </w:r>
            <w:r w:rsidR="00E47B32">
              <w:t> </w:t>
            </w:r>
            <w:r>
              <w:t>bilionu korun. Výrazný nárůst se odehrával především v </w:t>
            </w:r>
            <w:r w:rsidR="00E47B32">
              <w:t>první</w:t>
            </w:r>
            <w:r>
              <w:t xml:space="preserve"> polovině roku (52,9</w:t>
            </w:r>
            <w:r w:rsidR="00E47B32">
              <w:t> </w:t>
            </w:r>
            <w:r>
              <w:t>mld. korun), 2.</w:t>
            </w:r>
            <w:r w:rsidR="00E47B32">
              <w:t> </w:t>
            </w:r>
            <w:r>
              <w:t>pololetí 2017 za stejným obdobím předchozího roku zaostávalo o 2,8 mld. České domácnosti úvěrem řeší především nákup nemovitostí. Objem poskytnutých hypotečních úvěrů loni vzrostl o</w:t>
            </w:r>
            <w:r w:rsidR="00E47B32">
              <w:t> </w:t>
            </w:r>
            <w:r>
              <w:t>91,5</w:t>
            </w:r>
            <w:r w:rsidR="00E47B32">
              <w:t> </w:t>
            </w:r>
            <w:r>
              <w:t>mld. (o</w:t>
            </w:r>
            <w:r w:rsidR="00E47B32">
              <w:t> </w:t>
            </w:r>
            <w:r>
              <w:t>14,5</w:t>
            </w:r>
            <w:r w:rsidR="00E47B32">
              <w:t> </w:t>
            </w:r>
            <w:r>
              <w:t>mld. více než v roce 2016) a k 31.</w:t>
            </w:r>
            <w:r w:rsidR="00E47B32">
              <w:t> </w:t>
            </w:r>
            <w:r>
              <w:t>12. dosahoval 1</w:t>
            </w:r>
            <w:r w:rsidR="00E47B32">
              <w:t> </w:t>
            </w:r>
            <w:r>
              <w:t>035,2</w:t>
            </w:r>
            <w:r w:rsidR="00E47B32">
              <w:t> </w:t>
            </w:r>
            <w:r>
              <w:t>mld. korun. Údaje o počtu nových smluv u hypotečních úvěrů (dostupné jen k 30.</w:t>
            </w:r>
            <w:r w:rsidR="00E47B32">
              <w:t> </w:t>
            </w:r>
            <w:r>
              <w:t>9.) přitom ukazují, že zatímco objem úvěrů rostl, počet nových smluv meziročně klesal ve 2. i 3. čtvrtletí. Za vrchol lze označit 4.</w:t>
            </w:r>
            <w:r w:rsidR="00E47B32">
              <w:t> </w:t>
            </w:r>
            <w:r>
              <w:t>čtvrtletí roku 2016, kdy bylo uzavřeno 60,0</w:t>
            </w:r>
            <w:r w:rsidR="00E47B32">
              <w:t> </w:t>
            </w:r>
            <w:r>
              <w:t>tis. nových smluv (meziroční nárůst o</w:t>
            </w:r>
            <w:r w:rsidR="00E47B32">
              <w:t> </w:t>
            </w:r>
            <w:r>
              <w:t>12,5</w:t>
            </w:r>
            <w:r w:rsidR="00E47B32">
              <w:t> </w:t>
            </w:r>
            <w:r>
              <w:t>tis., počet meziročně rostl i v 1. kvartálu 2017). Důvodem takového vývoje mohlo být očekávané zpřísnění podmínek poskytování hypotečních úvěrů i prudký růst cen nemovitostí. Objem úvěrů na spotřebu loni vzrostl o 13,1 mld. korun (o 1,6 mld. méně než v roce 2016) a</w:t>
            </w:r>
            <w:r w:rsidR="00E47B32">
              <w:t> </w:t>
            </w:r>
            <w:r>
              <w:t>k</w:t>
            </w:r>
            <w:r w:rsidR="00E47B32">
              <w:t> </w:t>
            </w:r>
            <w:r>
              <w:t>31.</w:t>
            </w:r>
            <w:r w:rsidR="00E47B32">
              <w:t> </w:t>
            </w:r>
            <w:r>
              <w:t>12. činil 198,5 mld. korun. Celkové zadlužení domácností k 31.</w:t>
            </w:r>
            <w:r w:rsidR="00E47B32">
              <w:t> </w:t>
            </w:r>
            <w:r>
              <w:t>12. činilo 1</w:t>
            </w:r>
            <w:r w:rsidR="00E47B32">
              <w:t> </w:t>
            </w:r>
            <w:r>
              <w:t>595,8</w:t>
            </w:r>
            <w:r w:rsidR="00E47B32">
              <w:t> </w:t>
            </w:r>
            <w:r>
              <w:t>mld. korun. Dluhy související s bydlením se na něm podílely 72,2</w:t>
            </w:r>
            <w:r w:rsidR="00E47B32">
              <w:t> </w:t>
            </w:r>
            <w:r>
              <w:t>%.</w:t>
            </w:r>
          </w:p>
          <w:p w:rsidR="009B0676" w:rsidRPr="004D7BEB" w:rsidRDefault="009B0676" w:rsidP="006E4368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9B0676" w:rsidRPr="00A74192" w:rsidTr="009B0676">
        <w:trPr>
          <w:trHeight w:val="145"/>
        </w:trPr>
        <w:tc>
          <w:tcPr>
            <w:tcW w:w="1016" w:type="pct"/>
            <w:shd w:val="clear" w:color="auto" w:fill="auto"/>
          </w:tcPr>
          <w:p w:rsidR="009B0676" w:rsidRPr="00846B45" w:rsidRDefault="009B0676" w:rsidP="006E4368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Úvěry v cizí měně loni nejvýrazněji ovlivnily peněžnictví a</w:t>
            </w:r>
            <w:r w:rsidR="00FE60A8">
              <w:rPr>
                <w:color w:val="000000" w:themeColor="text1"/>
                <w:sz w:val="16"/>
                <w:szCs w:val="16"/>
              </w:rPr>
              <w:t> </w:t>
            </w:r>
            <w:r>
              <w:rPr>
                <w:color w:val="000000" w:themeColor="text1"/>
                <w:sz w:val="16"/>
                <w:szCs w:val="16"/>
              </w:rPr>
              <w:t>pojišťovnictví. V posledních letech však hrály významnou roli i</w:t>
            </w:r>
            <w:r w:rsidR="00A614EB">
              <w:rPr>
                <w:color w:val="000000" w:themeColor="text1"/>
                <w:sz w:val="16"/>
                <w:szCs w:val="16"/>
              </w:rPr>
              <w:t> </w:t>
            </w:r>
            <w:r>
              <w:rPr>
                <w:color w:val="000000" w:themeColor="text1"/>
                <w:sz w:val="16"/>
                <w:szCs w:val="16"/>
              </w:rPr>
              <w:t>u</w:t>
            </w:r>
            <w:r w:rsidR="00A614EB">
              <w:rPr>
                <w:color w:val="000000" w:themeColor="text1"/>
                <w:sz w:val="16"/>
                <w:szCs w:val="16"/>
              </w:rPr>
              <w:t> </w:t>
            </w:r>
            <w:r>
              <w:rPr>
                <w:color w:val="000000" w:themeColor="text1"/>
                <w:sz w:val="16"/>
                <w:szCs w:val="16"/>
              </w:rPr>
              <w:t>nefinančních podniků.</w:t>
            </w:r>
          </w:p>
        </w:tc>
        <w:tc>
          <w:tcPr>
            <w:tcW w:w="144" w:type="pct"/>
          </w:tcPr>
          <w:p w:rsidR="009B0676" w:rsidRPr="00846B45" w:rsidRDefault="009B0676" w:rsidP="006E4368">
            <w:pPr>
              <w:pStyle w:val="Textpoznpodarou"/>
              <w:jc w:val="both"/>
            </w:pPr>
          </w:p>
        </w:tc>
        <w:tc>
          <w:tcPr>
            <w:tcW w:w="3840" w:type="pct"/>
            <w:gridSpan w:val="2"/>
          </w:tcPr>
          <w:p w:rsidR="009B0676" w:rsidRPr="00872212" w:rsidRDefault="009B0676" w:rsidP="00711398">
            <w:pPr>
              <w:pStyle w:val="Textpoznpodarou"/>
              <w:jc w:val="both"/>
            </w:pPr>
            <w:r>
              <w:t>Objem úvěrů a pohledávek u nefinančních podniků se za rok 2017 zvýšil o 45,9 mld. korun. Největší podíl (55,8 %) na celku měly k 31.</w:t>
            </w:r>
            <w:r w:rsidR="00A614EB">
              <w:t> </w:t>
            </w:r>
            <w:r>
              <w:t>12</w:t>
            </w:r>
            <w:r w:rsidR="00A614EB">
              <w:t>.</w:t>
            </w:r>
            <w:r>
              <w:t xml:space="preserve"> dlouhodobé úvěry, kterých také nejvíce přibylo (o 20,8 mld. korun). Výrazný nárůst však vykázal i objem krátkodobých úvěrů (o 17,3 mld.). Výraznou úlohu hrály úvěry v cizí měně (k</w:t>
            </w:r>
            <w:r w:rsidR="00A614EB">
              <w:t> </w:t>
            </w:r>
            <w:r>
              <w:t>31.</w:t>
            </w:r>
            <w:r w:rsidR="00A614EB">
              <w:t> </w:t>
            </w:r>
            <w:r>
              <w:t>12. tvořily 29,6</w:t>
            </w:r>
            <w:r w:rsidR="00A614EB">
              <w:t> </w:t>
            </w:r>
            <w:r>
              <w:t>% celkového objemu úvěrů), jejichž objem vyjádřený v korunách ovlivnilo zmíněné loňské posílení. Objem úvěrů a pohledávek v cizí měně tak vzrostl za 1.</w:t>
            </w:r>
            <w:r w:rsidR="00A614EB">
              <w:t> </w:t>
            </w:r>
            <w:r>
              <w:t>čtvrtletí o</w:t>
            </w:r>
            <w:r w:rsidR="00A614EB">
              <w:t> </w:t>
            </w:r>
            <w:r>
              <w:t>35,1</w:t>
            </w:r>
            <w:r w:rsidR="00A614EB">
              <w:t> </w:t>
            </w:r>
            <w:r>
              <w:t>mld. korun (12,9</w:t>
            </w:r>
            <w:r w:rsidR="00A614EB">
              <w:t> </w:t>
            </w:r>
            <w:r>
              <w:t>%) a polovinu z tohoto nárůstu tvořily krátkodobé úvěry. Ve zbývajících čtvrtletích byl patrný oslabený zájem o úvěry v cizí měně (pokles o</w:t>
            </w:r>
            <w:r w:rsidR="00A614EB">
              <w:t> </w:t>
            </w:r>
            <w:r>
              <w:t>4,4</w:t>
            </w:r>
            <w:r w:rsidR="00A614EB">
              <w:t> </w:t>
            </w:r>
            <w:r>
              <w:t>mld., v roce 2016 ve</w:t>
            </w:r>
            <w:r w:rsidR="00711398">
              <w:t> </w:t>
            </w:r>
            <w:r>
              <w:t>stejném období nárůst o</w:t>
            </w:r>
            <w:r w:rsidR="00A614EB">
              <w:t> </w:t>
            </w:r>
            <w:r>
              <w:t>34,9</w:t>
            </w:r>
            <w:r w:rsidR="00A614EB">
              <w:t> </w:t>
            </w:r>
            <w:r>
              <w:t>mld.). Úvěry v cizí měně se projevovaly i v odvětvovém pohledu. U peněžnictví a pojišťovnictví byl patrný jejich mohutný přírůstek v 1.</w:t>
            </w:r>
            <w:r w:rsidR="00A614EB">
              <w:t> </w:t>
            </w:r>
            <w:r>
              <w:t>čtvrtletí (o</w:t>
            </w:r>
            <w:r w:rsidR="00A614EB">
              <w:t> </w:t>
            </w:r>
            <w:r>
              <w:t>39,1</w:t>
            </w:r>
            <w:r w:rsidR="00A614EB">
              <w:t> </w:t>
            </w:r>
            <w:r>
              <w:t>%, 40,0</w:t>
            </w:r>
            <w:r w:rsidR="00A614EB">
              <w:t> </w:t>
            </w:r>
            <w:r>
              <w:t>mld. korun), ve 4. čtvrtletí došlo k poklesu o</w:t>
            </w:r>
            <w:r w:rsidR="00A614EB">
              <w:t> </w:t>
            </w:r>
            <w:r>
              <w:t>51,9</w:t>
            </w:r>
            <w:r w:rsidR="00A614EB">
              <w:t> </w:t>
            </w:r>
            <w:r>
              <w:t>mld. Méně extrémní, ale podobný vývoj objemu úvěrů byl patrný i u činností v</w:t>
            </w:r>
            <w:r w:rsidR="00A614EB">
              <w:t> </w:t>
            </w:r>
            <w:r>
              <w:t>oblasti nemovitostí. Zpracovatelský průmysl na počátku roku rovněž navýšil podíl úvěrů v cizí měně až na 50,4</w:t>
            </w:r>
            <w:r w:rsidR="00A614EB">
              <w:t> </w:t>
            </w:r>
            <w:r>
              <w:t>% ke konci března (na konci roku 2016 to bylo 46,8</w:t>
            </w:r>
            <w:r w:rsidR="00A614EB">
              <w:t> </w:t>
            </w:r>
            <w:r>
              <w:t>%). Po zbytek roku docházelo k pozvolnému poklesu hodnoty v korunách (danému spíše posílením koruny). Celkový objem úvěrů ve zpracovatelském průmyslu po celý rok rovnoměrně rostl (průměrné meziroční tempo 4,2</w:t>
            </w:r>
            <w:r w:rsidR="00A614EB">
              <w:t> </w:t>
            </w:r>
            <w:r>
              <w:t>%). Na dlouhodobě silný růst úvěrového financování v roce 2017 navázala doprava a skladování (+6,3</w:t>
            </w:r>
            <w:r w:rsidR="00A614EB">
              <w:t> mld.</w:t>
            </w:r>
            <w:r>
              <w:t xml:space="preserve"> korun, 15,2</w:t>
            </w:r>
            <w:r w:rsidR="00A614EB">
              <w:t> </w:t>
            </w:r>
            <w:r>
              <w:t>%), výrazně vzrostlo úvěrové financování u</w:t>
            </w:r>
            <w:r w:rsidR="00711398">
              <w:t> </w:t>
            </w:r>
            <w:r>
              <w:t>ubytování, stravování a pohostinství (28,6</w:t>
            </w:r>
            <w:r w:rsidR="00A614EB">
              <w:t> </w:t>
            </w:r>
            <w:r>
              <w:t>%). Po celý rok klesal objem úvěrů u těžby a dobývání (za celý rok o</w:t>
            </w:r>
            <w:r w:rsidR="00A614EB">
              <w:t> </w:t>
            </w:r>
            <w:r>
              <w:t>9,6</w:t>
            </w:r>
            <w:r w:rsidR="00A614EB">
              <w:t> </w:t>
            </w:r>
            <w:r>
              <w:t>mld. korun, 46,2</w:t>
            </w:r>
            <w:r w:rsidR="00A614EB">
              <w:t> </w:t>
            </w:r>
            <w:r>
              <w:t xml:space="preserve">%).   </w:t>
            </w:r>
          </w:p>
        </w:tc>
      </w:tr>
    </w:tbl>
    <w:p w:rsidR="008A03DE" w:rsidRPr="00CE7158" w:rsidRDefault="008A03DE" w:rsidP="009E74F6">
      <w:pPr>
        <w:pStyle w:val="Nadpis1"/>
        <w:jc w:val="both"/>
        <w:rPr>
          <w:rFonts w:cs="Arial"/>
          <w:color w:val="000000"/>
          <w:sz w:val="10"/>
          <w:szCs w:val="10"/>
        </w:rPr>
      </w:pPr>
    </w:p>
    <w:sectPr w:rsidR="008A03DE" w:rsidRPr="00CE7158" w:rsidSect="009E74F6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1134" w:bottom="1418" w:left="1134" w:header="680" w:footer="680" w:gutter="0"/>
      <w:pgNumType w:start="2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4FCE60" w15:done="0"/>
  <w15:commentEx w15:paraId="30BEC4BA" w15:done="0"/>
  <w15:commentEx w15:paraId="5AD8A77A" w15:done="0"/>
  <w15:commentEx w15:paraId="725DECB0" w15:done="0"/>
  <w15:commentEx w15:paraId="4BCA0381" w15:done="0"/>
  <w15:commentEx w15:paraId="7BB55DD9" w15:done="0"/>
  <w15:commentEx w15:paraId="1846474D" w15:done="0"/>
  <w15:commentEx w15:paraId="1FF54E19" w15:done="0"/>
  <w15:commentEx w15:paraId="20C1CD95" w15:done="0"/>
  <w15:commentEx w15:paraId="40D38D09" w15:done="0"/>
  <w15:commentEx w15:paraId="6D53AB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4FCE60" w16cid:durableId="1E5515BA"/>
  <w16cid:commentId w16cid:paraId="30BEC4BA" w16cid:durableId="1E551738"/>
  <w16cid:commentId w16cid:paraId="5AD8A77A" w16cid:durableId="1E551C84"/>
  <w16cid:commentId w16cid:paraId="725DECB0" w16cid:durableId="1E551DB9"/>
  <w16cid:commentId w16cid:paraId="4BCA0381" w16cid:durableId="1E550EE3"/>
  <w16cid:commentId w16cid:paraId="7BB55DD9" w16cid:durableId="1E553A5B"/>
  <w16cid:commentId w16cid:paraId="1846474D" w16cid:durableId="1E554F46"/>
  <w16cid:commentId w16cid:paraId="1FF54E19" w16cid:durableId="1E550EE4"/>
  <w16cid:commentId w16cid:paraId="20C1CD95" w16cid:durableId="1E550EE5"/>
  <w16cid:commentId w16cid:paraId="40D38D09" w16cid:durableId="1E5644B5"/>
  <w16cid:commentId w16cid:paraId="6D53ABCB" w16cid:durableId="1E5687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793" w:rsidRDefault="00B15793" w:rsidP="00E71A58">
      <w:r>
        <w:separator/>
      </w:r>
    </w:p>
  </w:endnote>
  <w:endnote w:type="continuationSeparator" w:id="0">
    <w:p w:rsidR="00B15793" w:rsidRDefault="00B1579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Default="00522795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5F1B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9F5F1B" w:rsidRPr="005A21E0">
      <w:rPr>
        <w:rFonts w:ascii="Arial" w:hAnsi="Arial" w:cs="Arial"/>
        <w:sz w:val="16"/>
        <w:szCs w:val="16"/>
      </w:rPr>
      <w:fldChar w:fldCharType="separate"/>
    </w:r>
    <w:r w:rsidR="00C13C84">
      <w:rPr>
        <w:rFonts w:ascii="Arial" w:hAnsi="Arial" w:cs="Arial"/>
        <w:noProof/>
        <w:sz w:val="16"/>
        <w:szCs w:val="16"/>
      </w:rPr>
      <w:t>24</w:t>
    </w:r>
    <w:r w:rsidR="009F5F1B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2018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Default="0052279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522795" w:rsidRPr="00223E00" w:rsidRDefault="0052279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</w:t>
    </w:r>
    <w:r>
      <w:rPr>
        <w:rFonts w:ascii="Arial" w:hAnsi="Arial" w:cs="Arial"/>
        <w:sz w:val="16"/>
        <w:szCs w:val="16"/>
      </w:rPr>
      <w:tab/>
    </w:r>
    <w:r w:rsidR="009F5F1B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9F5F1B" w:rsidRPr="00223E00">
      <w:rPr>
        <w:rFonts w:ascii="Arial" w:hAnsi="Arial" w:cs="Arial"/>
        <w:sz w:val="16"/>
        <w:szCs w:val="16"/>
      </w:rPr>
      <w:fldChar w:fldCharType="separate"/>
    </w:r>
    <w:r w:rsidR="00C13C84">
      <w:rPr>
        <w:rFonts w:ascii="Arial" w:hAnsi="Arial" w:cs="Arial"/>
        <w:noProof/>
        <w:sz w:val="16"/>
        <w:szCs w:val="16"/>
      </w:rPr>
      <w:t>25</w:t>
    </w:r>
    <w:r w:rsidR="009F5F1B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793" w:rsidRDefault="00B15793" w:rsidP="00E71A58">
      <w:r>
        <w:separator/>
      </w:r>
    </w:p>
  </w:footnote>
  <w:footnote w:type="continuationSeparator" w:id="0">
    <w:p w:rsidR="00B15793" w:rsidRDefault="00B15793" w:rsidP="00E71A58">
      <w:r>
        <w:continuationSeparator/>
      </w:r>
    </w:p>
  </w:footnote>
  <w:footnote w:id="1">
    <w:p w:rsidR="00522795" w:rsidRPr="00E83936" w:rsidRDefault="00522795">
      <w:pPr>
        <w:pStyle w:val="Textpoznpodarou"/>
        <w:rPr>
          <w:sz w:val="16"/>
          <w:szCs w:val="16"/>
        </w:rPr>
      </w:pPr>
      <w:r w:rsidRPr="00E83936">
        <w:rPr>
          <w:rStyle w:val="Znakapoznpodarou"/>
          <w:sz w:val="16"/>
          <w:szCs w:val="16"/>
        </w:rPr>
        <w:footnoteRef/>
      </w:r>
      <w:r w:rsidRPr="00E83936">
        <w:rPr>
          <w:sz w:val="16"/>
          <w:szCs w:val="16"/>
        </w:rPr>
        <w:t xml:space="preserve"> Kurzy devizového trhu vyhlašované ČNB</w:t>
      </w:r>
      <w:r>
        <w:rPr>
          <w:sz w:val="16"/>
          <w:szCs w:val="16"/>
        </w:rPr>
        <w:t xml:space="preserve"> v pracovních dnech</w:t>
      </w:r>
      <w:r w:rsidRPr="00E83936">
        <w:rPr>
          <w:sz w:val="16"/>
          <w:szCs w:val="16"/>
        </w:rPr>
        <w:t>.</w:t>
      </w:r>
      <w:r>
        <w:rPr>
          <w:sz w:val="16"/>
          <w:szCs w:val="16"/>
        </w:rPr>
        <w:t xml:space="preserve">  Není-li uvedeno jinak, jsou veškeré údaje převzaty z databáze ARAD České národní banky.</w:t>
      </w:r>
      <w:r w:rsidRPr="00E83936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Pr="00C00831" w:rsidRDefault="0052279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Pr="0030768C" w:rsidRDefault="00522795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B457C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057FE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48046E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27163"/>
    <w:multiLevelType w:val="hybridMultilevel"/>
    <w:tmpl w:val="E0D27F6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60513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006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22"/>
  </w:num>
  <w:num w:numId="5">
    <w:abstractNumId w:val="16"/>
  </w:num>
  <w:num w:numId="6">
    <w:abstractNumId w:val="19"/>
  </w:num>
  <w:num w:numId="7">
    <w:abstractNumId w:val="5"/>
  </w:num>
  <w:num w:numId="8">
    <w:abstractNumId w:val="12"/>
  </w:num>
  <w:num w:numId="9">
    <w:abstractNumId w:val="21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20"/>
  </w:num>
  <w:num w:numId="16">
    <w:abstractNumId w:val="17"/>
  </w:num>
  <w:num w:numId="17">
    <w:abstractNumId w:val="7"/>
  </w:num>
  <w:num w:numId="18">
    <w:abstractNumId w:val="23"/>
  </w:num>
  <w:num w:numId="19">
    <w:abstractNumId w:val="11"/>
  </w:num>
  <w:num w:numId="20">
    <w:abstractNumId w:val="1"/>
  </w:num>
  <w:num w:numId="21">
    <w:abstractNumId w:val="13"/>
  </w:num>
  <w:num w:numId="22">
    <w:abstractNumId w:val="15"/>
  </w:num>
  <w:num w:numId="23">
    <w:abstractNumId w:val="3"/>
  </w:num>
  <w:num w:numId="24">
    <w:abstractNumId w:val="6"/>
  </w:num>
  <w:num w:numId="25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4FF9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29CF"/>
    <w:rsid w:val="00014028"/>
    <w:rsid w:val="00014690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315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4D3F"/>
    <w:rsid w:val="00035CCF"/>
    <w:rsid w:val="00035FC6"/>
    <w:rsid w:val="0003705E"/>
    <w:rsid w:val="00037667"/>
    <w:rsid w:val="0003780E"/>
    <w:rsid w:val="0004075D"/>
    <w:rsid w:val="000411E1"/>
    <w:rsid w:val="00041E9C"/>
    <w:rsid w:val="00042EC6"/>
    <w:rsid w:val="00043C68"/>
    <w:rsid w:val="00043E05"/>
    <w:rsid w:val="00044913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3AF0"/>
    <w:rsid w:val="00064256"/>
    <w:rsid w:val="00066B7B"/>
    <w:rsid w:val="000673F8"/>
    <w:rsid w:val="00070314"/>
    <w:rsid w:val="000706A4"/>
    <w:rsid w:val="00070A0C"/>
    <w:rsid w:val="00071F80"/>
    <w:rsid w:val="00072118"/>
    <w:rsid w:val="00073173"/>
    <w:rsid w:val="0007324C"/>
    <w:rsid w:val="00073655"/>
    <w:rsid w:val="000779AC"/>
    <w:rsid w:val="000807ED"/>
    <w:rsid w:val="00080A41"/>
    <w:rsid w:val="00080AA8"/>
    <w:rsid w:val="00081851"/>
    <w:rsid w:val="00083803"/>
    <w:rsid w:val="00083D7F"/>
    <w:rsid w:val="00083FE5"/>
    <w:rsid w:val="00084393"/>
    <w:rsid w:val="00084771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A6F68"/>
    <w:rsid w:val="000B1CFE"/>
    <w:rsid w:val="000B210A"/>
    <w:rsid w:val="000B2324"/>
    <w:rsid w:val="000B249B"/>
    <w:rsid w:val="000B2729"/>
    <w:rsid w:val="000B2ADE"/>
    <w:rsid w:val="000B3B01"/>
    <w:rsid w:val="000B3C13"/>
    <w:rsid w:val="000B3DB9"/>
    <w:rsid w:val="000B3F02"/>
    <w:rsid w:val="000B48A2"/>
    <w:rsid w:val="000B48E7"/>
    <w:rsid w:val="000B4E9F"/>
    <w:rsid w:val="000B4F41"/>
    <w:rsid w:val="000B7663"/>
    <w:rsid w:val="000B7A90"/>
    <w:rsid w:val="000C1106"/>
    <w:rsid w:val="000C11D3"/>
    <w:rsid w:val="000C12F5"/>
    <w:rsid w:val="000C3408"/>
    <w:rsid w:val="000C54AF"/>
    <w:rsid w:val="000C57C5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8D2"/>
    <w:rsid w:val="000F2714"/>
    <w:rsid w:val="000F3332"/>
    <w:rsid w:val="000F33EE"/>
    <w:rsid w:val="000F401E"/>
    <w:rsid w:val="000F5445"/>
    <w:rsid w:val="000F5598"/>
    <w:rsid w:val="000F5673"/>
    <w:rsid w:val="000F67B2"/>
    <w:rsid w:val="000F6CFB"/>
    <w:rsid w:val="000F7121"/>
    <w:rsid w:val="000F74B6"/>
    <w:rsid w:val="000F790F"/>
    <w:rsid w:val="000F7E1B"/>
    <w:rsid w:val="00100014"/>
    <w:rsid w:val="00100224"/>
    <w:rsid w:val="0010039A"/>
    <w:rsid w:val="00101E94"/>
    <w:rsid w:val="00101FB2"/>
    <w:rsid w:val="001028CF"/>
    <w:rsid w:val="00102CB8"/>
    <w:rsid w:val="00102F02"/>
    <w:rsid w:val="0010385D"/>
    <w:rsid w:val="00103E41"/>
    <w:rsid w:val="001041B6"/>
    <w:rsid w:val="001070EA"/>
    <w:rsid w:val="001076CA"/>
    <w:rsid w:val="0011002A"/>
    <w:rsid w:val="001107CE"/>
    <w:rsid w:val="001109F0"/>
    <w:rsid w:val="0011110A"/>
    <w:rsid w:val="001118AF"/>
    <w:rsid w:val="00111CA5"/>
    <w:rsid w:val="0011256E"/>
    <w:rsid w:val="0011352E"/>
    <w:rsid w:val="0011365A"/>
    <w:rsid w:val="00114FC0"/>
    <w:rsid w:val="00115496"/>
    <w:rsid w:val="00115BDB"/>
    <w:rsid w:val="00116DB9"/>
    <w:rsid w:val="00116F28"/>
    <w:rsid w:val="00117597"/>
    <w:rsid w:val="00117CE8"/>
    <w:rsid w:val="00117F28"/>
    <w:rsid w:val="001201F0"/>
    <w:rsid w:val="00121961"/>
    <w:rsid w:val="00121C39"/>
    <w:rsid w:val="00123255"/>
    <w:rsid w:val="00124D2D"/>
    <w:rsid w:val="00124DA1"/>
    <w:rsid w:val="00125326"/>
    <w:rsid w:val="00125CB5"/>
    <w:rsid w:val="001264C1"/>
    <w:rsid w:val="00127535"/>
    <w:rsid w:val="001305B2"/>
    <w:rsid w:val="001307BE"/>
    <w:rsid w:val="00130C8F"/>
    <w:rsid w:val="001314F2"/>
    <w:rsid w:val="001317DA"/>
    <w:rsid w:val="00131FFA"/>
    <w:rsid w:val="001323BA"/>
    <w:rsid w:val="0013254D"/>
    <w:rsid w:val="00133AAC"/>
    <w:rsid w:val="00133FBD"/>
    <w:rsid w:val="00134DFD"/>
    <w:rsid w:val="00136561"/>
    <w:rsid w:val="00136AE8"/>
    <w:rsid w:val="001400E1"/>
    <w:rsid w:val="001405FA"/>
    <w:rsid w:val="001408DD"/>
    <w:rsid w:val="001413B3"/>
    <w:rsid w:val="001425C3"/>
    <w:rsid w:val="00142F16"/>
    <w:rsid w:val="00143E03"/>
    <w:rsid w:val="00143E93"/>
    <w:rsid w:val="00143FA3"/>
    <w:rsid w:val="0014428D"/>
    <w:rsid w:val="0014731B"/>
    <w:rsid w:val="00147E55"/>
    <w:rsid w:val="00150040"/>
    <w:rsid w:val="001500FC"/>
    <w:rsid w:val="00151AC0"/>
    <w:rsid w:val="00151B27"/>
    <w:rsid w:val="00152046"/>
    <w:rsid w:val="001520AF"/>
    <w:rsid w:val="00152488"/>
    <w:rsid w:val="00152E53"/>
    <w:rsid w:val="00154147"/>
    <w:rsid w:val="001550F3"/>
    <w:rsid w:val="00155746"/>
    <w:rsid w:val="00156318"/>
    <w:rsid w:val="0015639A"/>
    <w:rsid w:val="0016081D"/>
    <w:rsid w:val="00160CF3"/>
    <w:rsid w:val="00160DCA"/>
    <w:rsid w:val="00160E61"/>
    <w:rsid w:val="00161300"/>
    <w:rsid w:val="00161DB6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18C2"/>
    <w:rsid w:val="00172B64"/>
    <w:rsid w:val="00173642"/>
    <w:rsid w:val="001736BB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410"/>
    <w:rsid w:val="001814AE"/>
    <w:rsid w:val="00181938"/>
    <w:rsid w:val="00182981"/>
    <w:rsid w:val="00184CF9"/>
    <w:rsid w:val="00184DE8"/>
    <w:rsid w:val="00185010"/>
    <w:rsid w:val="001852EC"/>
    <w:rsid w:val="00186447"/>
    <w:rsid w:val="001874CF"/>
    <w:rsid w:val="00187F91"/>
    <w:rsid w:val="00190214"/>
    <w:rsid w:val="00190D9B"/>
    <w:rsid w:val="0019161A"/>
    <w:rsid w:val="00191BAE"/>
    <w:rsid w:val="00193432"/>
    <w:rsid w:val="0019346C"/>
    <w:rsid w:val="0019431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008E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B1E"/>
    <w:rsid w:val="001C0E0E"/>
    <w:rsid w:val="001C0E66"/>
    <w:rsid w:val="001C0EB9"/>
    <w:rsid w:val="001C1219"/>
    <w:rsid w:val="001C357A"/>
    <w:rsid w:val="001C3657"/>
    <w:rsid w:val="001C3961"/>
    <w:rsid w:val="001C3A37"/>
    <w:rsid w:val="001C4384"/>
    <w:rsid w:val="001C55F5"/>
    <w:rsid w:val="001C65FF"/>
    <w:rsid w:val="001C6747"/>
    <w:rsid w:val="001D12FB"/>
    <w:rsid w:val="001D3787"/>
    <w:rsid w:val="001D47E5"/>
    <w:rsid w:val="001D584C"/>
    <w:rsid w:val="001D5E1B"/>
    <w:rsid w:val="001D66C1"/>
    <w:rsid w:val="001D6EF6"/>
    <w:rsid w:val="001D7C6F"/>
    <w:rsid w:val="001E0024"/>
    <w:rsid w:val="001E0735"/>
    <w:rsid w:val="001E0C65"/>
    <w:rsid w:val="001E23E3"/>
    <w:rsid w:val="001E29AF"/>
    <w:rsid w:val="001E3731"/>
    <w:rsid w:val="001E387A"/>
    <w:rsid w:val="001E3DA4"/>
    <w:rsid w:val="001E5469"/>
    <w:rsid w:val="001E5830"/>
    <w:rsid w:val="001E5F62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40C"/>
    <w:rsid w:val="00203B09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37A1"/>
    <w:rsid w:val="00215061"/>
    <w:rsid w:val="0021507A"/>
    <w:rsid w:val="0021552C"/>
    <w:rsid w:val="00215A2C"/>
    <w:rsid w:val="00217980"/>
    <w:rsid w:val="002179F9"/>
    <w:rsid w:val="002205F2"/>
    <w:rsid w:val="0022080E"/>
    <w:rsid w:val="00220895"/>
    <w:rsid w:val="00220B20"/>
    <w:rsid w:val="0022139E"/>
    <w:rsid w:val="002224C1"/>
    <w:rsid w:val="0022272B"/>
    <w:rsid w:val="00222A99"/>
    <w:rsid w:val="00223678"/>
    <w:rsid w:val="002236F7"/>
    <w:rsid w:val="00223E00"/>
    <w:rsid w:val="00224048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2A3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52E5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3E11"/>
    <w:rsid w:val="00254069"/>
    <w:rsid w:val="00254B3B"/>
    <w:rsid w:val="00254C4B"/>
    <w:rsid w:val="002550D8"/>
    <w:rsid w:val="00257613"/>
    <w:rsid w:val="002609C2"/>
    <w:rsid w:val="00261A0F"/>
    <w:rsid w:val="00261E5B"/>
    <w:rsid w:val="00262EB9"/>
    <w:rsid w:val="00262F34"/>
    <w:rsid w:val="002633E5"/>
    <w:rsid w:val="00263470"/>
    <w:rsid w:val="00263733"/>
    <w:rsid w:val="00264676"/>
    <w:rsid w:val="00264A46"/>
    <w:rsid w:val="00265536"/>
    <w:rsid w:val="0026595E"/>
    <w:rsid w:val="00265E54"/>
    <w:rsid w:val="00266306"/>
    <w:rsid w:val="002664A1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6A5"/>
    <w:rsid w:val="0027786C"/>
    <w:rsid w:val="00277BF7"/>
    <w:rsid w:val="00281416"/>
    <w:rsid w:val="00282084"/>
    <w:rsid w:val="00283C61"/>
    <w:rsid w:val="00283D6A"/>
    <w:rsid w:val="00284C6F"/>
    <w:rsid w:val="00285CD3"/>
    <w:rsid w:val="0028633E"/>
    <w:rsid w:val="0028686A"/>
    <w:rsid w:val="00286E66"/>
    <w:rsid w:val="002870B7"/>
    <w:rsid w:val="002919B5"/>
    <w:rsid w:val="00292D0B"/>
    <w:rsid w:val="00293441"/>
    <w:rsid w:val="00293553"/>
    <w:rsid w:val="00294238"/>
    <w:rsid w:val="00294776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6F67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B7323"/>
    <w:rsid w:val="002B7937"/>
    <w:rsid w:val="002C0FF4"/>
    <w:rsid w:val="002C125A"/>
    <w:rsid w:val="002C2668"/>
    <w:rsid w:val="002C43BD"/>
    <w:rsid w:val="002C493D"/>
    <w:rsid w:val="002C5261"/>
    <w:rsid w:val="002C5CB7"/>
    <w:rsid w:val="002C6091"/>
    <w:rsid w:val="002C63C1"/>
    <w:rsid w:val="002C6A6E"/>
    <w:rsid w:val="002D0562"/>
    <w:rsid w:val="002D1B5A"/>
    <w:rsid w:val="002D2500"/>
    <w:rsid w:val="002D338A"/>
    <w:rsid w:val="002D3E4C"/>
    <w:rsid w:val="002D3F00"/>
    <w:rsid w:val="002D4A1E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1BFA"/>
    <w:rsid w:val="002E2CE4"/>
    <w:rsid w:val="002E31A0"/>
    <w:rsid w:val="002E34F3"/>
    <w:rsid w:val="002E4217"/>
    <w:rsid w:val="002E435E"/>
    <w:rsid w:val="002E73F2"/>
    <w:rsid w:val="002F149A"/>
    <w:rsid w:val="002F33FB"/>
    <w:rsid w:val="002F36D0"/>
    <w:rsid w:val="002F663A"/>
    <w:rsid w:val="002F68A4"/>
    <w:rsid w:val="002F7594"/>
    <w:rsid w:val="002F7902"/>
    <w:rsid w:val="003003E7"/>
    <w:rsid w:val="003004EB"/>
    <w:rsid w:val="00300D6F"/>
    <w:rsid w:val="00301357"/>
    <w:rsid w:val="0030192C"/>
    <w:rsid w:val="00301D04"/>
    <w:rsid w:val="003035D4"/>
    <w:rsid w:val="00303A3C"/>
    <w:rsid w:val="00303DCB"/>
    <w:rsid w:val="00304771"/>
    <w:rsid w:val="00304E6C"/>
    <w:rsid w:val="00305736"/>
    <w:rsid w:val="00305C33"/>
    <w:rsid w:val="00306C5B"/>
    <w:rsid w:val="00306E3B"/>
    <w:rsid w:val="0030768C"/>
    <w:rsid w:val="00310ADB"/>
    <w:rsid w:val="003119B6"/>
    <w:rsid w:val="00312C3D"/>
    <w:rsid w:val="003131A6"/>
    <w:rsid w:val="00314331"/>
    <w:rsid w:val="00317E31"/>
    <w:rsid w:val="00320214"/>
    <w:rsid w:val="003209D6"/>
    <w:rsid w:val="0032109A"/>
    <w:rsid w:val="0032214F"/>
    <w:rsid w:val="00322164"/>
    <w:rsid w:val="00323486"/>
    <w:rsid w:val="00323A13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134"/>
    <w:rsid w:val="0033352E"/>
    <w:rsid w:val="00333690"/>
    <w:rsid w:val="00333D20"/>
    <w:rsid w:val="00333F53"/>
    <w:rsid w:val="003340EF"/>
    <w:rsid w:val="00334A49"/>
    <w:rsid w:val="0033536F"/>
    <w:rsid w:val="00335BB0"/>
    <w:rsid w:val="00335E99"/>
    <w:rsid w:val="0033627B"/>
    <w:rsid w:val="003406BD"/>
    <w:rsid w:val="00343474"/>
    <w:rsid w:val="00343F84"/>
    <w:rsid w:val="00344135"/>
    <w:rsid w:val="003450E2"/>
    <w:rsid w:val="00351B63"/>
    <w:rsid w:val="00352482"/>
    <w:rsid w:val="00352E57"/>
    <w:rsid w:val="003541B0"/>
    <w:rsid w:val="0035457E"/>
    <w:rsid w:val="00355885"/>
    <w:rsid w:val="00355CAA"/>
    <w:rsid w:val="0035605E"/>
    <w:rsid w:val="00356244"/>
    <w:rsid w:val="00356CAE"/>
    <w:rsid w:val="00357449"/>
    <w:rsid w:val="00357C28"/>
    <w:rsid w:val="00361F76"/>
    <w:rsid w:val="0036238B"/>
    <w:rsid w:val="00362408"/>
    <w:rsid w:val="003630B0"/>
    <w:rsid w:val="00364087"/>
    <w:rsid w:val="003649FC"/>
    <w:rsid w:val="00364C0E"/>
    <w:rsid w:val="003651A4"/>
    <w:rsid w:val="00365680"/>
    <w:rsid w:val="003657F3"/>
    <w:rsid w:val="00366D4D"/>
    <w:rsid w:val="00366F77"/>
    <w:rsid w:val="00367038"/>
    <w:rsid w:val="003670FE"/>
    <w:rsid w:val="0036710C"/>
    <w:rsid w:val="0037040B"/>
    <w:rsid w:val="00370963"/>
    <w:rsid w:val="0037144E"/>
    <w:rsid w:val="00372272"/>
    <w:rsid w:val="0037290D"/>
    <w:rsid w:val="003736B5"/>
    <w:rsid w:val="00374DB6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187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2142"/>
    <w:rsid w:val="003B2580"/>
    <w:rsid w:val="003B293F"/>
    <w:rsid w:val="003B2E63"/>
    <w:rsid w:val="003B3189"/>
    <w:rsid w:val="003B3A9D"/>
    <w:rsid w:val="003B3DDD"/>
    <w:rsid w:val="003B5031"/>
    <w:rsid w:val="003B5A32"/>
    <w:rsid w:val="003B6105"/>
    <w:rsid w:val="003B769D"/>
    <w:rsid w:val="003C03CC"/>
    <w:rsid w:val="003C04C4"/>
    <w:rsid w:val="003C08E2"/>
    <w:rsid w:val="003C0B96"/>
    <w:rsid w:val="003C26F4"/>
    <w:rsid w:val="003C3686"/>
    <w:rsid w:val="003C3E2C"/>
    <w:rsid w:val="003C4852"/>
    <w:rsid w:val="003C5BC7"/>
    <w:rsid w:val="003C601E"/>
    <w:rsid w:val="003C66C4"/>
    <w:rsid w:val="003C6DB9"/>
    <w:rsid w:val="003D1FA0"/>
    <w:rsid w:val="003D2393"/>
    <w:rsid w:val="003D2C4E"/>
    <w:rsid w:val="003D3600"/>
    <w:rsid w:val="003D3825"/>
    <w:rsid w:val="003D3EC4"/>
    <w:rsid w:val="003D3FB2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E7F69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3F7631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1D6"/>
    <w:rsid w:val="004123BE"/>
    <w:rsid w:val="0041329F"/>
    <w:rsid w:val="00414CE5"/>
    <w:rsid w:val="00416673"/>
    <w:rsid w:val="0041677D"/>
    <w:rsid w:val="00420D92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4D5A"/>
    <w:rsid w:val="00436EDB"/>
    <w:rsid w:val="00437C76"/>
    <w:rsid w:val="00437F4A"/>
    <w:rsid w:val="0044105C"/>
    <w:rsid w:val="00442197"/>
    <w:rsid w:val="00442BD1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267"/>
    <w:rsid w:val="00447E36"/>
    <w:rsid w:val="00450700"/>
    <w:rsid w:val="00450C30"/>
    <w:rsid w:val="004529C7"/>
    <w:rsid w:val="004540FF"/>
    <w:rsid w:val="004541F1"/>
    <w:rsid w:val="00454921"/>
    <w:rsid w:val="00454D31"/>
    <w:rsid w:val="00455BB8"/>
    <w:rsid w:val="00455ECA"/>
    <w:rsid w:val="00457296"/>
    <w:rsid w:val="00457320"/>
    <w:rsid w:val="00460164"/>
    <w:rsid w:val="0046039A"/>
    <w:rsid w:val="00460A6B"/>
    <w:rsid w:val="00461977"/>
    <w:rsid w:val="00461A3F"/>
    <w:rsid w:val="00461C4C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471"/>
    <w:rsid w:val="004745D9"/>
    <w:rsid w:val="0047461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082"/>
    <w:rsid w:val="00490247"/>
    <w:rsid w:val="00490524"/>
    <w:rsid w:val="00490B20"/>
    <w:rsid w:val="0049104F"/>
    <w:rsid w:val="00491218"/>
    <w:rsid w:val="00491CFD"/>
    <w:rsid w:val="00492991"/>
    <w:rsid w:val="00493362"/>
    <w:rsid w:val="00494343"/>
    <w:rsid w:val="00494AAB"/>
    <w:rsid w:val="00494FB8"/>
    <w:rsid w:val="0049548B"/>
    <w:rsid w:val="00496C2F"/>
    <w:rsid w:val="0049740D"/>
    <w:rsid w:val="004978D3"/>
    <w:rsid w:val="004A06A6"/>
    <w:rsid w:val="004A11F8"/>
    <w:rsid w:val="004A22BD"/>
    <w:rsid w:val="004A22FA"/>
    <w:rsid w:val="004A25E2"/>
    <w:rsid w:val="004A269A"/>
    <w:rsid w:val="004A26AF"/>
    <w:rsid w:val="004A26DB"/>
    <w:rsid w:val="004A30FB"/>
    <w:rsid w:val="004A35DD"/>
    <w:rsid w:val="004A37D3"/>
    <w:rsid w:val="004A3AD6"/>
    <w:rsid w:val="004A3BCE"/>
    <w:rsid w:val="004A4D61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41DC"/>
    <w:rsid w:val="004B55B7"/>
    <w:rsid w:val="004B5836"/>
    <w:rsid w:val="004B5E1F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65"/>
    <w:rsid w:val="004C70DC"/>
    <w:rsid w:val="004C7268"/>
    <w:rsid w:val="004C7C50"/>
    <w:rsid w:val="004D0211"/>
    <w:rsid w:val="004D1C9C"/>
    <w:rsid w:val="004D2A0E"/>
    <w:rsid w:val="004D458D"/>
    <w:rsid w:val="004D474F"/>
    <w:rsid w:val="004D4F13"/>
    <w:rsid w:val="004D504B"/>
    <w:rsid w:val="004D536E"/>
    <w:rsid w:val="004D58CE"/>
    <w:rsid w:val="004D6307"/>
    <w:rsid w:val="004D70B1"/>
    <w:rsid w:val="004D745A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950"/>
    <w:rsid w:val="004F5CC5"/>
    <w:rsid w:val="004F5DCC"/>
    <w:rsid w:val="004F6350"/>
    <w:rsid w:val="004F7170"/>
    <w:rsid w:val="005028E1"/>
    <w:rsid w:val="00503955"/>
    <w:rsid w:val="00505989"/>
    <w:rsid w:val="00506309"/>
    <w:rsid w:val="0050692E"/>
    <w:rsid w:val="00507040"/>
    <w:rsid w:val="005079F8"/>
    <w:rsid w:val="00510189"/>
    <w:rsid w:val="00510428"/>
    <w:rsid w:val="005108C0"/>
    <w:rsid w:val="00511873"/>
    <w:rsid w:val="00512495"/>
    <w:rsid w:val="00512603"/>
    <w:rsid w:val="00512B54"/>
    <w:rsid w:val="00512CC5"/>
    <w:rsid w:val="0051367B"/>
    <w:rsid w:val="00513A89"/>
    <w:rsid w:val="00513B7E"/>
    <w:rsid w:val="005140DE"/>
    <w:rsid w:val="00514474"/>
    <w:rsid w:val="005147E9"/>
    <w:rsid w:val="0051507D"/>
    <w:rsid w:val="0051593C"/>
    <w:rsid w:val="0051668A"/>
    <w:rsid w:val="00517567"/>
    <w:rsid w:val="0051778E"/>
    <w:rsid w:val="005215EF"/>
    <w:rsid w:val="00522795"/>
    <w:rsid w:val="00524637"/>
    <w:rsid w:val="00524FDD"/>
    <w:rsid w:val="00525137"/>
    <w:rsid w:val="005251DD"/>
    <w:rsid w:val="00526D50"/>
    <w:rsid w:val="00526DB6"/>
    <w:rsid w:val="0053017A"/>
    <w:rsid w:val="00530492"/>
    <w:rsid w:val="005308E4"/>
    <w:rsid w:val="005325A8"/>
    <w:rsid w:val="00532854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69CF"/>
    <w:rsid w:val="0053734B"/>
    <w:rsid w:val="005375B1"/>
    <w:rsid w:val="00537AFD"/>
    <w:rsid w:val="00537CB4"/>
    <w:rsid w:val="00540CB3"/>
    <w:rsid w:val="00540D25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8E2"/>
    <w:rsid w:val="00553C88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3C97"/>
    <w:rsid w:val="00574240"/>
    <w:rsid w:val="005743B4"/>
    <w:rsid w:val="0057454C"/>
    <w:rsid w:val="005752EB"/>
    <w:rsid w:val="005755FE"/>
    <w:rsid w:val="0057569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0CD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59ED"/>
    <w:rsid w:val="00595C7C"/>
    <w:rsid w:val="00596C5E"/>
    <w:rsid w:val="005A038A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A77F6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0BA"/>
    <w:rsid w:val="005C419C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03"/>
    <w:rsid w:val="005D757A"/>
    <w:rsid w:val="005D76AE"/>
    <w:rsid w:val="005D7C4B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0B61"/>
    <w:rsid w:val="005F26CE"/>
    <w:rsid w:val="005F38D3"/>
    <w:rsid w:val="005F3F04"/>
    <w:rsid w:val="005F4057"/>
    <w:rsid w:val="005F4088"/>
    <w:rsid w:val="005F42F4"/>
    <w:rsid w:val="005F49ED"/>
    <w:rsid w:val="005F4C83"/>
    <w:rsid w:val="005F5628"/>
    <w:rsid w:val="005F5916"/>
    <w:rsid w:val="005F5F61"/>
    <w:rsid w:val="005F601D"/>
    <w:rsid w:val="005F6119"/>
    <w:rsid w:val="005F7940"/>
    <w:rsid w:val="00600712"/>
    <w:rsid w:val="0060091A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2E84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5C4"/>
    <w:rsid w:val="00630E82"/>
    <w:rsid w:val="00630F66"/>
    <w:rsid w:val="00631FC2"/>
    <w:rsid w:val="00632171"/>
    <w:rsid w:val="0063332A"/>
    <w:rsid w:val="00633729"/>
    <w:rsid w:val="006347F9"/>
    <w:rsid w:val="0063494E"/>
    <w:rsid w:val="00634C90"/>
    <w:rsid w:val="00635818"/>
    <w:rsid w:val="00635E79"/>
    <w:rsid w:val="006365E8"/>
    <w:rsid w:val="00636A84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4093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B1D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3EAB"/>
    <w:rsid w:val="0068437D"/>
    <w:rsid w:val="006847C5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152"/>
    <w:rsid w:val="006B59D7"/>
    <w:rsid w:val="006B5CA3"/>
    <w:rsid w:val="006B6171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927"/>
    <w:rsid w:val="006C2AED"/>
    <w:rsid w:val="006C38DD"/>
    <w:rsid w:val="006C3DC1"/>
    <w:rsid w:val="006C457F"/>
    <w:rsid w:val="006C53C7"/>
    <w:rsid w:val="006C5577"/>
    <w:rsid w:val="006C559A"/>
    <w:rsid w:val="006C586D"/>
    <w:rsid w:val="006C58FA"/>
    <w:rsid w:val="006C6197"/>
    <w:rsid w:val="006C7A7B"/>
    <w:rsid w:val="006D004F"/>
    <w:rsid w:val="006D042D"/>
    <w:rsid w:val="006D06EF"/>
    <w:rsid w:val="006D07EC"/>
    <w:rsid w:val="006D1418"/>
    <w:rsid w:val="006D142E"/>
    <w:rsid w:val="006D3976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368"/>
    <w:rsid w:val="006E442A"/>
    <w:rsid w:val="006E4434"/>
    <w:rsid w:val="006E4A1B"/>
    <w:rsid w:val="006E59FC"/>
    <w:rsid w:val="006E5CFD"/>
    <w:rsid w:val="006E635B"/>
    <w:rsid w:val="006E642F"/>
    <w:rsid w:val="006E76BE"/>
    <w:rsid w:val="006E7E2C"/>
    <w:rsid w:val="006F0D32"/>
    <w:rsid w:val="006F1326"/>
    <w:rsid w:val="006F1DDD"/>
    <w:rsid w:val="006F2280"/>
    <w:rsid w:val="006F2BEE"/>
    <w:rsid w:val="006F32FF"/>
    <w:rsid w:val="006F3708"/>
    <w:rsid w:val="006F376C"/>
    <w:rsid w:val="006F3A90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398"/>
    <w:rsid w:val="00711EF1"/>
    <w:rsid w:val="0071229A"/>
    <w:rsid w:val="00712572"/>
    <w:rsid w:val="00713495"/>
    <w:rsid w:val="00713EEB"/>
    <w:rsid w:val="007142C1"/>
    <w:rsid w:val="0071479D"/>
    <w:rsid w:val="00715487"/>
    <w:rsid w:val="007159D2"/>
    <w:rsid w:val="00716DCC"/>
    <w:rsid w:val="00717726"/>
    <w:rsid w:val="0072050E"/>
    <w:rsid w:val="00720958"/>
    <w:rsid w:val="00720FA2"/>
    <w:rsid w:val="007211F5"/>
    <w:rsid w:val="00722985"/>
    <w:rsid w:val="007240C5"/>
    <w:rsid w:val="00724666"/>
    <w:rsid w:val="00724E80"/>
    <w:rsid w:val="00725492"/>
    <w:rsid w:val="007256B7"/>
    <w:rsid w:val="00726043"/>
    <w:rsid w:val="007265C6"/>
    <w:rsid w:val="0072671B"/>
    <w:rsid w:val="0072704A"/>
    <w:rsid w:val="007273DC"/>
    <w:rsid w:val="007279B9"/>
    <w:rsid w:val="00727F9F"/>
    <w:rsid w:val="00730AE8"/>
    <w:rsid w:val="007315DA"/>
    <w:rsid w:val="00731963"/>
    <w:rsid w:val="00732706"/>
    <w:rsid w:val="0073325D"/>
    <w:rsid w:val="0073402C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40C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47459"/>
    <w:rsid w:val="0075057A"/>
    <w:rsid w:val="00751771"/>
    <w:rsid w:val="00751C1C"/>
    <w:rsid w:val="00752180"/>
    <w:rsid w:val="007521A1"/>
    <w:rsid w:val="00752BC3"/>
    <w:rsid w:val="0075315D"/>
    <w:rsid w:val="007538F9"/>
    <w:rsid w:val="00753AFD"/>
    <w:rsid w:val="00754253"/>
    <w:rsid w:val="007552BB"/>
    <w:rsid w:val="007558D3"/>
    <w:rsid w:val="007559D7"/>
    <w:rsid w:val="00755D3A"/>
    <w:rsid w:val="00755EA0"/>
    <w:rsid w:val="00760141"/>
    <w:rsid w:val="007609C6"/>
    <w:rsid w:val="00760C01"/>
    <w:rsid w:val="007610A0"/>
    <w:rsid w:val="00762036"/>
    <w:rsid w:val="007620F2"/>
    <w:rsid w:val="00762EBA"/>
    <w:rsid w:val="0076359D"/>
    <w:rsid w:val="00763A13"/>
    <w:rsid w:val="00763D86"/>
    <w:rsid w:val="00766F78"/>
    <w:rsid w:val="0077058D"/>
    <w:rsid w:val="00770931"/>
    <w:rsid w:val="00770FA7"/>
    <w:rsid w:val="00772536"/>
    <w:rsid w:val="00773613"/>
    <w:rsid w:val="0077430F"/>
    <w:rsid w:val="00774782"/>
    <w:rsid w:val="00776476"/>
    <w:rsid w:val="00776527"/>
    <w:rsid w:val="00777DB1"/>
    <w:rsid w:val="007805E1"/>
    <w:rsid w:val="00780DDF"/>
    <w:rsid w:val="0078113E"/>
    <w:rsid w:val="00781834"/>
    <w:rsid w:val="007821DB"/>
    <w:rsid w:val="00782235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38B"/>
    <w:rsid w:val="00796642"/>
    <w:rsid w:val="007A11D9"/>
    <w:rsid w:val="007A327B"/>
    <w:rsid w:val="007A4048"/>
    <w:rsid w:val="007A45B1"/>
    <w:rsid w:val="007A4606"/>
    <w:rsid w:val="007A4D58"/>
    <w:rsid w:val="007A5039"/>
    <w:rsid w:val="007A74B4"/>
    <w:rsid w:val="007B04E8"/>
    <w:rsid w:val="007B0920"/>
    <w:rsid w:val="007B0D67"/>
    <w:rsid w:val="007B0F90"/>
    <w:rsid w:val="007B1966"/>
    <w:rsid w:val="007B2257"/>
    <w:rsid w:val="007B22E6"/>
    <w:rsid w:val="007B2779"/>
    <w:rsid w:val="007B2AF7"/>
    <w:rsid w:val="007B2F3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5363"/>
    <w:rsid w:val="007C605B"/>
    <w:rsid w:val="007C6EBA"/>
    <w:rsid w:val="007C7BAC"/>
    <w:rsid w:val="007C7CC5"/>
    <w:rsid w:val="007D2749"/>
    <w:rsid w:val="007D2A5A"/>
    <w:rsid w:val="007D2AD8"/>
    <w:rsid w:val="007D2C47"/>
    <w:rsid w:val="007D2C61"/>
    <w:rsid w:val="007D2DA3"/>
    <w:rsid w:val="007D2F81"/>
    <w:rsid w:val="007D3167"/>
    <w:rsid w:val="007D3A2C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5E9"/>
    <w:rsid w:val="007E1EF7"/>
    <w:rsid w:val="007E3715"/>
    <w:rsid w:val="007E4996"/>
    <w:rsid w:val="007E5880"/>
    <w:rsid w:val="007E5F3D"/>
    <w:rsid w:val="007E61FF"/>
    <w:rsid w:val="007E6588"/>
    <w:rsid w:val="007E7063"/>
    <w:rsid w:val="007E7E61"/>
    <w:rsid w:val="007F0316"/>
    <w:rsid w:val="007F0845"/>
    <w:rsid w:val="007F0DF6"/>
    <w:rsid w:val="007F1092"/>
    <w:rsid w:val="007F16F9"/>
    <w:rsid w:val="007F2801"/>
    <w:rsid w:val="007F3E3E"/>
    <w:rsid w:val="007F42E0"/>
    <w:rsid w:val="007F500D"/>
    <w:rsid w:val="007F5F14"/>
    <w:rsid w:val="007F61D3"/>
    <w:rsid w:val="007F69EE"/>
    <w:rsid w:val="007F7B54"/>
    <w:rsid w:val="007F7C60"/>
    <w:rsid w:val="00800073"/>
    <w:rsid w:val="008005D7"/>
    <w:rsid w:val="00801547"/>
    <w:rsid w:val="00801D15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4965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4626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37566"/>
    <w:rsid w:val="00840458"/>
    <w:rsid w:val="00840699"/>
    <w:rsid w:val="00841D9F"/>
    <w:rsid w:val="00842078"/>
    <w:rsid w:val="00842604"/>
    <w:rsid w:val="00843ECF"/>
    <w:rsid w:val="00845AB1"/>
    <w:rsid w:val="00846673"/>
    <w:rsid w:val="00846891"/>
    <w:rsid w:val="008508A9"/>
    <w:rsid w:val="0085188D"/>
    <w:rsid w:val="008518D8"/>
    <w:rsid w:val="008525F9"/>
    <w:rsid w:val="0085281A"/>
    <w:rsid w:val="00853C0F"/>
    <w:rsid w:val="00853F33"/>
    <w:rsid w:val="008548EA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4F00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740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0F23"/>
    <w:rsid w:val="00883A67"/>
    <w:rsid w:val="00883D45"/>
    <w:rsid w:val="00884D69"/>
    <w:rsid w:val="0088503D"/>
    <w:rsid w:val="00885620"/>
    <w:rsid w:val="00885EC6"/>
    <w:rsid w:val="008869D2"/>
    <w:rsid w:val="00886A8F"/>
    <w:rsid w:val="0088733A"/>
    <w:rsid w:val="008901CC"/>
    <w:rsid w:val="0089061C"/>
    <w:rsid w:val="00891BE0"/>
    <w:rsid w:val="00893302"/>
    <w:rsid w:val="00893648"/>
    <w:rsid w:val="00893D05"/>
    <w:rsid w:val="00893D83"/>
    <w:rsid w:val="00893F0C"/>
    <w:rsid w:val="00893F3C"/>
    <w:rsid w:val="008945A1"/>
    <w:rsid w:val="00894A63"/>
    <w:rsid w:val="00894F71"/>
    <w:rsid w:val="00895A54"/>
    <w:rsid w:val="00896776"/>
    <w:rsid w:val="00896874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5F34"/>
    <w:rsid w:val="008A615E"/>
    <w:rsid w:val="008A632B"/>
    <w:rsid w:val="008A6BFE"/>
    <w:rsid w:val="008A6F21"/>
    <w:rsid w:val="008A6F3F"/>
    <w:rsid w:val="008A73DA"/>
    <w:rsid w:val="008A7AD0"/>
    <w:rsid w:val="008B00C2"/>
    <w:rsid w:val="008B04A0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7D1"/>
    <w:rsid w:val="008B7C02"/>
    <w:rsid w:val="008B7D13"/>
    <w:rsid w:val="008B7F9E"/>
    <w:rsid w:val="008C034E"/>
    <w:rsid w:val="008C0E88"/>
    <w:rsid w:val="008C1399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A23"/>
    <w:rsid w:val="008D0E3B"/>
    <w:rsid w:val="008D13EA"/>
    <w:rsid w:val="008D2671"/>
    <w:rsid w:val="008D2A16"/>
    <w:rsid w:val="008D2ECF"/>
    <w:rsid w:val="008D347D"/>
    <w:rsid w:val="008D3F3D"/>
    <w:rsid w:val="008D4376"/>
    <w:rsid w:val="008D51E9"/>
    <w:rsid w:val="008E0367"/>
    <w:rsid w:val="008E2DCD"/>
    <w:rsid w:val="008E308D"/>
    <w:rsid w:val="008E31FF"/>
    <w:rsid w:val="008E3B0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1723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29C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098"/>
    <w:rsid w:val="009102BD"/>
    <w:rsid w:val="00910F93"/>
    <w:rsid w:val="00910FBC"/>
    <w:rsid w:val="00911E3B"/>
    <w:rsid w:val="0091255A"/>
    <w:rsid w:val="00914426"/>
    <w:rsid w:val="0091675F"/>
    <w:rsid w:val="00917709"/>
    <w:rsid w:val="00917918"/>
    <w:rsid w:val="00920874"/>
    <w:rsid w:val="00921F14"/>
    <w:rsid w:val="009227C6"/>
    <w:rsid w:val="00923750"/>
    <w:rsid w:val="009243A5"/>
    <w:rsid w:val="0092465F"/>
    <w:rsid w:val="0092500F"/>
    <w:rsid w:val="009250D2"/>
    <w:rsid w:val="0092519D"/>
    <w:rsid w:val="0092540B"/>
    <w:rsid w:val="009256C5"/>
    <w:rsid w:val="00925A21"/>
    <w:rsid w:val="00926283"/>
    <w:rsid w:val="009306BE"/>
    <w:rsid w:val="0093161F"/>
    <w:rsid w:val="00934836"/>
    <w:rsid w:val="00934963"/>
    <w:rsid w:val="00936ECA"/>
    <w:rsid w:val="00937320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4FC3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0D56"/>
    <w:rsid w:val="00962D2E"/>
    <w:rsid w:val="00963724"/>
    <w:rsid w:val="00963D22"/>
    <w:rsid w:val="00964498"/>
    <w:rsid w:val="0096504D"/>
    <w:rsid w:val="00965795"/>
    <w:rsid w:val="00965A2D"/>
    <w:rsid w:val="009663EB"/>
    <w:rsid w:val="0096650F"/>
    <w:rsid w:val="00967801"/>
    <w:rsid w:val="00967AD2"/>
    <w:rsid w:val="00967AE9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777B3"/>
    <w:rsid w:val="00977A4D"/>
    <w:rsid w:val="00980373"/>
    <w:rsid w:val="00980621"/>
    <w:rsid w:val="0098095B"/>
    <w:rsid w:val="00982072"/>
    <w:rsid w:val="009833FA"/>
    <w:rsid w:val="00983ACF"/>
    <w:rsid w:val="00983DBB"/>
    <w:rsid w:val="00983ECF"/>
    <w:rsid w:val="00985157"/>
    <w:rsid w:val="00986745"/>
    <w:rsid w:val="009867BC"/>
    <w:rsid w:val="00987109"/>
    <w:rsid w:val="00987309"/>
    <w:rsid w:val="00987351"/>
    <w:rsid w:val="0099012D"/>
    <w:rsid w:val="00990363"/>
    <w:rsid w:val="00991266"/>
    <w:rsid w:val="009928AE"/>
    <w:rsid w:val="00993BE6"/>
    <w:rsid w:val="00993D9C"/>
    <w:rsid w:val="00993F56"/>
    <w:rsid w:val="0099483E"/>
    <w:rsid w:val="009954FF"/>
    <w:rsid w:val="0099571E"/>
    <w:rsid w:val="00995E2F"/>
    <w:rsid w:val="009961BC"/>
    <w:rsid w:val="00996355"/>
    <w:rsid w:val="0099788F"/>
    <w:rsid w:val="00997ADD"/>
    <w:rsid w:val="009A05A2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676"/>
    <w:rsid w:val="009B0975"/>
    <w:rsid w:val="009B0EF2"/>
    <w:rsid w:val="009B23A3"/>
    <w:rsid w:val="009B25CE"/>
    <w:rsid w:val="009B2C0E"/>
    <w:rsid w:val="009B4925"/>
    <w:rsid w:val="009B4B4B"/>
    <w:rsid w:val="009B4BD4"/>
    <w:rsid w:val="009B4CE3"/>
    <w:rsid w:val="009B6FD3"/>
    <w:rsid w:val="009B70BD"/>
    <w:rsid w:val="009C07A5"/>
    <w:rsid w:val="009C24A3"/>
    <w:rsid w:val="009C3705"/>
    <w:rsid w:val="009C6215"/>
    <w:rsid w:val="009C7388"/>
    <w:rsid w:val="009C74C2"/>
    <w:rsid w:val="009D0CFF"/>
    <w:rsid w:val="009D1551"/>
    <w:rsid w:val="009D2859"/>
    <w:rsid w:val="009D36EC"/>
    <w:rsid w:val="009D3CD0"/>
    <w:rsid w:val="009D3E88"/>
    <w:rsid w:val="009D4173"/>
    <w:rsid w:val="009D51CA"/>
    <w:rsid w:val="009D6095"/>
    <w:rsid w:val="009D6306"/>
    <w:rsid w:val="009D6727"/>
    <w:rsid w:val="009E048A"/>
    <w:rsid w:val="009E1124"/>
    <w:rsid w:val="009E1FBA"/>
    <w:rsid w:val="009E2C54"/>
    <w:rsid w:val="009E3710"/>
    <w:rsid w:val="009E6F65"/>
    <w:rsid w:val="009E72A1"/>
    <w:rsid w:val="009E7340"/>
    <w:rsid w:val="009E74F6"/>
    <w:rsid w:val="009E7B1F"/>
    <w:rsid w:val="009F346F"/>
    <w:rsid w:val="009F371A"/>
    <w:rsid w:val="009F3F25"/>
    <w:rsid w:val="009F3FC3"/>
    <w:rsid w:val="009F41C4"/>
    <w:rsid w:val="009F5846"/>
    <w:rsid w:val="009F5F1B"/>
    <w:rsid w:val="009F63D2"/>
    <w:rsid w:val="009F777A"/>
    <w:rsid w:val="009F7B52"/>
    <w:rsid w:val="009F7D77"/>
    <w:rsid w:val="00A004D2"/>
    <w:rsid w:val="00A015EA"/>
    <w:rsid w:val="00A0172C"/>
    <w:rsid w:val="00A05B91"/>
    <w:rsid w:val="00A10D66"/>
    <w:rsid w:val="00A12BA8"/>
    <w:rsid w:val="00A133F2"/>
    <w:rsid w:val="00A13993"/>
    <w:rsid w:val="00A1420C"/>
    <w:rsid w:val="00A1456C"/>
    <w:rsid w:val="00A14821"/>
    <w:rsid w:val="00A14C9D"/>
    <w:rsid w:val="00A15B39"/>
    <w:rsid w:val="00A17754"/>
    <w:rsid w:val="00A2055B"/>
    <w:rsid w:val="00A20E22"/>
    <w:rsid w:val="00A219FE"/>
    <w:rsid w:val="00A22210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1C5"/>
    <w:rsid w:val="00A30336"/>
    <w:rsid w:val="00A30BB5"/>
    <w:rsid w:val="00A3128F"/>
    <w:rsid w:val="00A326D0"/>
    <w:rsid w:val="00A33C9A"/>
    <w:rsid w:val="00A348DC"/>
    <w:rsid w:val="00A35287"/>
    <w:rsid w:val="00A355F2"/>
    <w:rsid w:val="00A35CB2"/>
    <w:rsid w:val="00A37201"/>
    <w:rsid w:val="00A378F8"/>
    <w:rsid w:val="00A40965"/>
    <w:rsid w:val="00A40B19"/>
    <w:rsid w:val="00A40F56"/>
    <w:rsid w:val="00A41D07"/>
    <w:rsid w:val="00A424F8"/>
    <w:rsid w:val="00A42883"/>
    <w:rsid w:val="00A437B7"/>
    <w:rsid w:val="00A43EA2"/>
    <w:rsid w:val="00A45E2F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421F"/>
    <w:rsid w:val="00A5430D"/>
    <w:rsid w:val="00A55301"/>
    <w:rsid w:val="00A572FB"/>
    <w:rsid w:val="00A57B3C"/>
    <w:rsid w:val="00A57E77"/>
    <w:rsid w:val="00A57F1B"/>
    <w:rsid w:val="00A600D2"/>
    <w:rsid w:val="00A60383"/>
    <w:rsid w:val="00A6128E"/>
    <w:rsid w:val="00A614EB"/>
    <w:rsid w:val="00A62CE1"/>
    <w:rsid w:val="00A631FA"/>
    <w:rsid w:val="00A63517"/>
    <w:rsid w:val="00A64203"/>
    <w:rsid w:val="00A64348"/>
    <w:rsid w:val="00A644E1"/>
    <w:rsid w:val="00A67641"/>
    <w:rsid w:val="00A6766C"/>
    <w:rsid w:val="00A70765"/>
    <w:rsid w:val="00A711B0"/>
    <w:rsid w:val="00A71279"/>
    <w:rsid w:val="00A721FB"/>
    <w:rsid w:val="00A727BA"/>
    <w:rsid w:val="00A72CA4"/>
    <w:rsid w:val="00A72D4B"/>
    <w:rsid w:val="00A732AE"/>
    <w:rsid w:val="00A74192"/>
    <w:rsid w:val="00A750EB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798"/>
    <w:rsid w:val="00A83B58"/>
    <w:rsid w:val="00A84D7D"/>
    <w:rsid w:val="00A84FAF"/>
    <w:rsid w:val="00A851B6"/>
    <w:rsid w:val="00A851ED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5AAE"/>
    <w:rsid w:val="00A96241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74C5"/>
    <w:rsid w:val="00AB75A7"/>
    <w:rsid w:val="00AB7BEE"/>
    <w:rsid w:val="00AB7DF2"/>
    <w:rsid w:val="00AC1E3F"/>
    <w:rsid w:val="00AC219A"/>
    <w:rsid w:val="00AC3D02"/>
    <w:rsid w:val="00AC4F18"/>
    <w:rsid w:val="00AC5F5B"/>
    <w:rsid w:val="00AC69CA"/>
    <w:rsid w:val="00AD0B46"/>
    <w:rsid w:val="00AD1094"/>
    <w:rsid w:val="00AD2565"/>
    <w:rsid w:val="00AD2862"/>
    <w:rsid w:val="00AD306C"/>
    <w:rsid w:val="00AD3111"/>
    <w:rsid w:val="00AD3424"/>
    <w:rsid w:val="00AD3E3F"/>
    <w:rsid w:val="00AD4FEF"/>
    <w:rsid w:val="00AD50D1"/>
    <w:rsid w:val="00AD59BB"/>
    <w:rsid w:val="00AD5D68"/>
    <w:rsid w:val="00AD5D71"/>
    <w:rsid w:val="00AD6483"/>
    <w:rsid w:val="00AD675A"/>
    <w:rsid w:val="00AD6A63"/>
    <w:rsid w:val="00AD6C73"/>
    <w:rsid w:val="00AD7D49"/>
    <w:rsid w:val="00AE06D0"/>
    <w:rsid w:val="00AE1B8A"/>
    <w:rsid w:val="00AE20DF"/>
    <w:rsid w:val="00AE26E1"/>
    <w:rsid w:val="00AE39DC"/>
    <w:rsid w:val="00AE3CDA"/>
    <w:rsid w:val="00AE481D"/>
    <w:rsid w:val="00AE608F"/>
    <w:rsid w:val="00AE6734"/>
    <w:rsid w:val="00AE684E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B98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3C0"/>
    <w:rsid w:val="00B01436"/>
    <w:rsid w:val="00B01C2C"/>
    <w:rsid w:val="00B0231C"/>
    <w:rsid w:val="00B07372"/>
    <w:rsid w:val="00B07C2A"/>
    <w:rsid w:val="00B10100"/>
    <w:rsid w:val="00B128E5"/>
    <w:rsid w:val="00B13681"/>
    <w:rsid w:val="00B13BCE"/>
    <w:rsid w:val="00B15793"/>
    <w:rsid w:val="00B15DCD"/>
    <w:rsid w:val="00B16201"/>
    <w:rsid w:val="00B17E71"/>
    <w:rsid w:val="00B17FDE"/>
    <w:rsid w:val="00B208FC"/>
    <w:rsid w:val="00B20C65"/>
    <w:rsid w:val="00B21953"/>
    <w:rsid w:val="00B22E17"/>
    <w:rsid w:val="00B2419B"/>
    <w:rsid w:val="00B25567"/>
    <w:rsid w:val="00B25E31"/>
    <w:rsid w:val="00B266C5"/>
    <w:rsid w:val="00B27293"/>
    <w:rsid w:val="00B300E8"/>
    <w:rsid w:val="00B301BB"/>
    <w:rsid w:val="00B30737"/>
    <w:rsid w:val="00B321E3"/>
    <w:rsid w:val="00B3229E"/>
    <w:rsid w:val="00B32DDB"/>
    <w:rsid w:val="00B340AD"/>
    <w:rsid w:val="00B3447A"/>
    <w:rsid w:val="00B3448C"/>
    <w:rsid w:val="00B34931"/>
    <w:rsid w:val="00B35174"/>
    <w:rsid w:val="00B35BEA"/>
    <w:rsid w:val="00B365CB"/>
    <w:rsid w:val="00B37915"/>
    <w:rsid w:val="00B3793D"/>
    <w:rsid w:val="00B41BE6"/>
    <w:rsid w:val="00B42831"/>
    <w:rsid w:val="00B428A4"/>
    <w:rsid w:val="00B428EA"/>
    <w:rsid w:val="00B457E7"/>
    <w:rsid w:val="00B45D1B"/>
    <w:rsid w:val="00B45DE5"/>
    <w:rsid w:val="00B461D6"/>
    <w:rsid w:val="00B46D25"/>
    <w:rsid w:val="00B47430"/>
    <w:rsid w:val="00B4795A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960"/>
    <w:rsid w:val="00B63A11"/>
    <w:rsid w:val="00B63FD0"/>
    <w:rsid w:val="00B643EC"/>
    <w:rsid w:val="00B6449F"/>
    <w:rsid w:val="00B6493D"/>
    <w:rsid w:val="00B6553E"/>
    <w:rsid w:val="00B65C84"/>
    <w:rsid w:val="00B6608F"/>
    <w:rsid w:val="00B661F6"/>
    <w:rsid w:val="00B67E42"/>
    <w:rsid w:val="00B73180"/>
    <w:rsid w:val="00B74317"/>
    <w:rsid w:val="00B74D75"/>
    <w:rsid w:val="00B75700"/>
    <w:rsid w:val="00B760C1"/>
    <w:rsid w:val="00B76D1E"/>
    <w:rsid w:val="00B77BC8"/>
    <w:rsid w:val="00B77FB7"/>
    <w:rsid w:val="00B800EB"/>
    <w:rsid w:val="00B822D2"/>
    <w:rsid w:val="00B823F1"/>
    <w:rsid w:val="00B831B4"/>
    <w:rsid w:val="00B83CFE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94F"/>
    <w:rsid w:val="00BA0DED"/>
    <w:rsid w:val="00BA0F99"/>
    <w:rsid w:val="00BA6D2C"/>
    <w:rsid w:val="00BB0274"/>
    <w:rsid w:val="00BB0B13"/>
    <w:rsid w:val="00BB12AC"/>
    <w:rsid w:val="00BB1CFD"/>
    <w:rsid w:val="00BB2C53"/>
    <w:rsid w:val="00BB32DA"/>
    <w:rsid w:val="00BB3A54"/>
    <w:rsid w:val="00BB4286"/>
    <w:rsid w:val="00BB462A"/>
    <w:rsid w:val="00BB4D26"/>
    <w:rsid w:val="00BB4E21"/>
    <w:rsid w:val="00BB6F86"/>
    <w:rsid w:val="00BB7746"/>
    <w:rsid w:val="00BC22EB"/>
    <w:rsid w:val="00BC26CA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5298"/>
    <w:rsid w:val="00BD534C"/>
    <w:rsid w:val="00BD557B"/>
    <w:rsid w:val="00BD55A9"/>
    <w:rsid w:val="00BD56BC"/>
    <w:rsid w:val="00BD5D91"/>
    <w:rsid w:val="00BD6445"/>
    <w:rsid w:val="00BD6526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3FE5"/>
    <w:rsid w:val="00BF4C31"/>
    <w:rsid w:val="00BF4E57"/>
    <w:rsid w:val="00BF53B8"/>
    <w:rsid w:val="00BF71D5"/>
    <w:rsid w:val="00BF786A"/>
    <w:rsid w:val="00BF7CB8"/>
    <w:rsid w:val="00BF7F08"/>
    <w:rsid w:val="00BF7F2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B3B"/>
    <w:rsid w:val="00C10D62"/>
    <w:rsid w:val="00C10FAE"/>
    <w:rsid w:val="00C1135D"/>
    <w:rsid w:val="00C11DAF"/>
    <w:rsid w:val="00C123B4"/>
    <w:rsid w:val="00C12A69"/>
    <w:rsid w:val="00C13150"/>
    <w:rsid w:val="00C13737"/>
    <w:rsid w:val="00C13C84"/>
    <w:rsid w:val="00C150BE"/>
    <w:rsid w:val="00C158B0"/>
    <w:rsid w:val="00C15A0C"/>
    <w:rsid w:val="00C15CEB"/>
    <w:rsid w:val="00C15DCB"/>
    <w:rsid w:val="00C16208"/>
    <w:rsid w:val="00C1711F"/>
    <w:rsid w:val="00C17BF1"/>
    <w:rsid w:val="00C17E38"/>
    <w:rsid w:val="00C20027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4E"/>
    <w:rsid w:val="00C300C6"/>
    <w:rsid w:val="00C30828"/>
    <w:rsid w:val="00C30924"/>
    <w:rsid w:val="00C31DD8"/>
    <w:rsid w:val="00C3271C"/>
    <w:rsid w:val="00C32A35"/>
    <w:rsid w:val="00C34FDE"/>
    <w:rsid w:val="00C35C16"/>
    <w:rsid w:val="00C36EC3"/>
    <w:rsid w:val="00C40E09"/>
    <w:rsid w:val="00C40F81"/>
    <w:rsid w:val="00C41463"/>
    <w:rsid w:val="00C41A06"/>
    <w:rsid w:val="00C41A72"/>
    <w:rsid w:val="00C42D45"/>
    <w:rsid w:val="00C43CB1"/>
    <w:rsid w:val="00C4422D"/>
    <w:rsid w:val="00C466D1"/>
    <w:rsid w:val="00C476C5"/>
    <w:rsid w:val="00C47EB6"/>
    <w:rsid w:val="00C503B0"/>
    <w:rsid w:val="00C511C2"/>
    <w:rsid w:val="00C527C6"/>
    <w:rsid w:val="00C538FC"/>
    <w:rsid w:val="00C53CDB"/>
    <w:rsid w:val="00C53D7B"/>
    <w:rsid w:val="00C53D82"/>
    <w:rsid w:val="00C54748"/>
    <w:rsid w:val="00C553E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953"/>
    <w:rsid w:val="00C80C9B"/>
    <w:rsid w:val="00C8180B"/>
    <w:rsid w:val="00C8335E"/>
    <w:rsid w:val="00C83F9C"/>
    <w:rsid w:val="00C84CE3"/>
    <w:rsid w:val="00C85614"/>
    <w:rsid w:val="00C86127"/>
    <w:rsid w:val="00C864FB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97D46"/>
    <w:rsid w:val="00CA02B2"/>
    <w:rsid w:val="00CA0883"/>
    <w:rsid w:val="00CA1085"/>
    <w:rsid w:val="00CA140F"/>
    <w:rsid w:val="00CA25C2"/>
    <w:rsid w:val="00CA2BF5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9A"/>
    <w:rsid w:val="00CB28EE"/>
    <w:rsid w:val="00CB2B15"/>
    <w:rsid w:val="00CB2EEA"/>
    <w:rsid w:val="00CB39FE"/>
    <w:rsid w:val="00CB43A7"/>
    <w:rsid w:val="00CB4DF1"/>
    <w:rsid w:val="00CB5996"/>
    <w:rsid w:val="00CB6809"/>
    <w:rsid w:val="00CB7452"/>
    <w:rsid w:val="00CC0E10"/>
    <w:rsid w:val="00CC0F96"/>
    <w:rsid w:val="00CC1DAF"/>
    <w:rsid w:val="00CC212E"/>
    <w:rsid w:val="00CC2642"/>
    <w:rsid w:val="00CC2967"/>
    <w:rsid w:val="00CC2A1E"/>
    <w:rsid w:val="00CC2A36"/>
    <w:rsid w:val="00CC2E15"/>
    <w:rsid w:val="00CC30E2"/>
    <w:rsid w:val="00CC3440"/>
    <w:rsid w:val="00CC351B"/>
    <w:rsid w:val="00CC3908"/>
    <w:rsid w:val="00CC4F3D"/>
    <w:rsid w:val="00CC62AD"/>
    <w:rsid w:val="00CC6CA2"/>
    <w:rsid w:val="00CC7086"/>
    <w:rsid w:val="00CC7B80"/>
    <w:rsid w:val="00CD0080"/>
    <w:rsid w:val="00CD0779"/>
    <w:rsid w:val="00CD1A5C"/>
    <w:rsid w:val="00CD2B3C"/>
    <w:rsid w:val="00CD30F6"/>
    <w:rsid w:val="00CD4B29"/>
    <w:rsid w:val="00CD5493"/>
    <w:rsid w:val="00CD6607"/>
    <w:rsid w:val="00CD67CA"/>
    <w:rsid w:val="00CD6954"/>
    <w:rsid w:val="00CD6DA3"/>
    <w:rsid w:val="00CD6EF1"/>
    <w:rsid w:val="00CD7E35"/>
    <w:rsid w:val="00CE0CD6"/>
    <w:rsid w:val="00CE1313"/>
    <w:rsid w:val="00CE21C7"/>
    <w:rsid w:val="00CE2682"/>
    <w:rsid w:val="00CE2756"/>
    <w:rsid w:val="00CE442A"/>
    <w:rsid w:val="00CE44CE"/>
    <w:rsid w:val="00CE4DEB"/>
    <w:rsid w:val="00CE57D8"/>
    <w:rsid w:val="00CE5F03"/>
    <w:rsid w:val="00CE617A"/>
    <w:rsid w:val="00CE6E3C"/>
    <w:rsid w:val="00CE7158"/>
    <w:rsid w:val="00CE797F"/>
    <w:rsid w:val="00CF0826"/>
    <w:rsid w:val="00CF107E"/>
    <w:rsid w:val="00CF15BF"/>
    <w:rsid w:val="00CF243E"/>
    <w:rsid w:val="00CF25D2"/>
    <w:rsid w:val="00CF28C2"/>
    <w:rsid w:val="00CF3D3A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24A1"/>
    <w:rsid w:val="00D03866"/>
    <w:rsid w:val="00D040DD"/>
    <w:rsid w:val="00D04E1B"/>
    <w:rsid w:val="00D0547B"/>
    <w:rsid w:val="00D076DB"/>
    <w:rsid w:val="00D07EFF"/>
    <w:rsid w:val="00D1067C"/>
    <w:rsid w:val="00D110AB"/>
    <w:rsid w:val="00D11102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48FE"/>
    <w:rsid w:val="00D26923"/>
    <w:rsid w:val="00D26E27"/>
    <w:rsid w:val="00D277FF"/>
    <w:rsid w:val="00D27856"/>
    <w:rsid w:val="00D27D34"/>
    <w:rsid w:val="00D3006B"/>
    <w:rsid w:val="00D301CA"/>
    <w:rsid w:val="00D30740"/>
    <w:rsid w:val="00D309C0"/>
    <w:rsid w:val="00D30DC4"/>
    <w:rsid w:val="00D31075"/>
    <w:rsid w:val="00D31445"/>
    <w:rsid w:val="00D31932"/>
    <w:rsid w:val="00D32AE0"/>
    <w:rsid w:val="00D360DA"/>
    <w:rsid w:val="00D374B3"/>
    <w:rsid w:val="00D37689"/>
    <w:rsid w:val="00D378CC"/>
    <w:rsid w:val="00D37E80"/>
    <w:rsid w:val="00D4042C"/>
    <w:rsid w:val="00D40B9E"/>
    <w:rsid w:val="00D41281"/>
    <w:rsid w:val="00D41320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1739"/>
    <w:rsid w:val="00D5264C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3F7"/>
    <w:rsid w:val="00D626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3E6F"/>
    <w:rsid w:val="00D74ABF"/>
    <w:rsid w:val="00D74C65"/>
    <w:rsid w:val="00D74E97"/>
    <w:rsid w:val="00D74F21"/>
    <w:rsid w:val="00D754CE"/>
    <w:rsid w:val="00D758D0"/>
    <w:rsid w:val="00D75DC2"/>
    <w:rsid w:val="00D75DC3"/>
    <w:rsid w:val="00D766EF"/>
    <w:rsid w:val="00D76C03"/>
    <w:rsid w:val="00D77F8D"/>
    <w:rsid w:val="00D80E07"/>
    <w:rsid w:val="00D8119B"/>
    <w:rsid w:val="00D81B44"/>
    <w:rsid w:val="00D82462"/>
    <w:rsid w:val="00D831C6"/>
    <w:rsid w:val="00D83EF3"/>
    <w:rsid w:val="00D84BD1"/>
    <w:rsid w:val="00D85773"/>
    <w:rsid w:val="00D85886"/>
    <w:rsid w:val="00D85D55"/>
    <w:rsid w:val="00D868CE"/>
    <w:rsid w:val="00D86DAE"/>
    <w:rsid w:val="00D875C9"/>
    <w:rsid w:val="00D90116"/>
    <w:rsid w:val="00D90C1E"/>
    <w:rsid w:val="00D91BDF"/>
    <w:rsid w:val="00D91F2C"/>
    <w:rsid w:val="00D9266B"/>
    <w:rsid w:val="00D93F09"/>
    <w:rsid w:val="00D94859"/>
    <w:rsid w:val="00D954C2"/>
    <w:rsid w:val="00D95D83"/>
    <w:rsid w:val="00D96368"/>
    <w:rsid w:val="00D9640A"/>
    <w:rsid w:val="00D97AAD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3D9"/>
    <w:rsid w:val="00DC5B3B"/>
    <w:rsid w:val="00DC60C2"/>
    <w:rsid w:val="00DC6796"/>
    <w:rsid w:val="00DC6CC6"/>
    <w:rsid w:val="00DC78DF"/>
    <w:rsid w:val="00DC7D4C"/>
    <w:rsid w:val="00DD0726"/>
    <w:rsid w:val="00DD0821"/>
    <w:rsid w:val="00DD0E32"/>
    <w:rsid w:val="00DD1878"/>
    <w:rsid w:val="00DD1DC1"/>
    <w:rsid w:val="00DD2670"/>
    <w:rsid w:val="00DD2872"/>
    <w:rsid w:val="00DD2A62"/>
    <w:rsid w:val="00DD2BB1"/>
    <w:rsid w:val="00DD2BD0"/>
    <w:rsid w:val="00DD2BFE"/>
    <w:rsid w:val="00DD36E7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F0615"/>
    <w:rsid w:val="00DF0DC3"/>
    <w:rsid w:val="00DF1A2F"/>
    <w:rsid w:val="00DF21FD"/>
    <w:rsid w:val="00DF2873"/>
    <w:rsid w:val="00DF293C"/>
    <w:rsid w:val="00DF34B2"/>
    <w:rsid w:val="00DF4C74"/>
    <w:rsid w:val="00DF5578"/>
    <w:rsid w:val="00DF594F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3B58"/>
    <w:rsid w:val="00E04694"/>
    <w:rsid w:val="00E049F6"/>
    <w:rsid w:val="00E04CA9"/>
    <w:rsid w:val="00E05B2B"/>
    <w:rsid w:val="00E05EAD"/>
    <w:rsid w:val="00E065FC"/>
    <w:rsid w:val="00E06A2A"/>
    <w:rsid w:val="00E07F05"/>
    <w:rsid w:val="00E106A2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4871"/>
    <w:rsid w:val="00E25223"/>
    <w:rsid w:val="00E25999"/>
    <w:rsid w:val="00E26123"/>
    <w:rsid w:val="00E263A8"/>
    <w:rsid w:val="00E30BEA"/>
    <w:rsid w:val="00E31764"/>
    <w:rsid w:val="00E3288A"/>
    <w:rsid w:val="00E329AB"/>
    <w:rsid w:val="00E32BC2"/>
    <w:rsid w:val="00E33313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703"/>
    <w:rsid w:val="00E45A00"/>
    <w:rsid w:val="00E45CE7"/>
    <w:rsid w:val="00E4631F"/>
    <w:rsid w:val="00E46A4A"/>
    <w:rsid w:val="00E46E03"/>
    <w:rsid w:val="00E4793B"/>
    <w:rsid w:val="00E47B32"/>
    <w:rsid w:val="00E47CB8"/>
    <w:rsid w:val="00E522BB"/>
    <w:rsid w:val="00E52A3D"/>
    <w:rsid w:val="00E533B7"/>
    <w:rsid w:val="00E539E4"/>
    <w:rsid w:val="00E53C14"/>
    <w:rsid w:val="00E549C7"/>
    <w:rsid w:val="00E569C7"/>
    <w:rsid w:val="00E571F2"/>
    <w:rsid w:val="00E57429"/>
    <w:rsid w:val="00E60FCE"/>
    <w:rsid w:val="00E61EA8"/>
    <w:rsid w:val="00E62A33"/>
    <w:rsid w:val="00E63200"/>
    <w:rsid w:val="00E63221"/>
    <w:rsid w:val="00E63960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6F80"/>
    <w:rsid w:val="00E7724B"/>
    <w:rsid w:val="00E80E31"/>
    <w:rsid w:val="00E81130"/>
    <w:rsid w:val="00E813EF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32EA"/>
    <w:rsid w:val="00E9446C"/>
    <w:rsid w:val="00E94612"/>
    <w:rsid w:val="00E94ADB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1CFB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0938"/>
    <w:rsid w:val="00EB1298"/>
    <w:rsid w:val="00EB20A0"/>
    <w:rsid w:val="00EB29CA"/>
    <w:rsid w:val="00EB2CE9"/>
    <w:rsid w:val="00EB30B6"/>
    <w:rsid w:val="00EB4335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4D9C"/>
    <w:rsid w:val="00EC6153"/>
    <w:rsid w:val="00EC7F92"/>
    <w:rsid w:val="00ED00A8"/>
    <w:rsid w:val="00ED0A79"/>
    <w:rsid w:val="00ED2989"/>
    <w:rsid w:val="00ED2B0B"/>
    <w:rsid w:val="00ED2CA5"/>
    <w:rsid w:val="00ED336F"/>
    <w:rsid w:val="00ED390A"/>
    <w:rsid w:val="00ED3A94"/>
    <w:rsid w:val="00ED40F0"/>
    <w:rsid w:val="00ED4AC0"/>
    <w:rsid w:val="00ED54D6"/>
    <w:rsid w:val="00ED5726"/>
    <w:rsid w:val="00ED7C3C"/>
    <w:rsid w:val="00EE0113"/>
    <w:rsid w:val="00EE0298"/>
    <w:rsid w:val="00EE0384"/>
    <w:rsid w:val="00EE043A"/>
    <w:rsid w:val="00EE0473"/>
    <w:rsid w:val="00EE07DE"/>
    <w:rsid w:val="00EE1057"/>
    <w:rsid w:val="00EE10AA"/>
    <w:rsid w:val="00EE1637"/>
    <w:rsid w:val="00EE208C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ED5"/>
    <w:rsid w:val="00EF1F5A"/>
    <w:rsid w:val="00EF303D"/>
    <w:rsid w:val="00EF3486"/>
    <w:rsid w:val="00EF3CF0"/>
    <w:rsid w:val="00EF4685"/>
    <w:rsid w:val="00EF5397"/>
    <w:rsid w:val="00EF63CC"/>
    <w:rsid w:val="00EF6BE3"/>
    <w:rsid w:val="00F00D0E"/>
    <w:rsid w:val="00F00D3C"/>
    <w:rsid w:val="00F020EA"/>
    <w:rsid w:val="00F02A72"/>
    <w:rsid w:val="00F032C4"/>
    <w:rsid w:val="00F0356B"/>
    <w:rsid w:val="00F04811"/>
    <w:rsid w:val="00F0488C"/>
    <w:rsid w:val="00F0496E"/>
    <w:rsid w:val="00F04D10"/>
    <w:rsid w:val="00F04FAE"/>
    <w:rsid w:val="00F053EA"/>
    <w:rsid w:val="00F0625B"/>
    <w:rsid w:val="00F068A8"/>
    <w:rsid w:val="00F06944"/>
    <w:rsid w:val="00F06C6F"/>
    <w:rsid w:val="00F0732D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60EC"/>
    <w:rsid w:val="00F172BE"/>
    <w:rsid w:val="00F1776C"/>
    <w:rsid w:val="00F2037E"/>
    <w:rsid w:val="00F20D17"/>
    <w:rsid w:val="00F2103E"/>
    <w:rsid w:val="00F214FC"/>
    <w:rsid w:val="00F21837"/>
    <w:rsid w:val="00F21C31"/>
    <w:rsid w:val="00F23825"/>
    <w:rsid w:val="00F2389A"/>
    <w:rsid w:val="00F23F6C"/>
    <w:rsid w:val="00F23FFF"/>
    <w:rsid w:val="00F24115"/>
    <w:rsid w:val="00F2441D"/>
    <w:rsid w:val="00F2490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ACD"/>
    <w:rsid w:val="00F365BF"/>
    <w:rsid w:val="00F36BF8"/>
    <w:rsid w:val="00F375BA"/>
    <w:rsid w:val="00F37760"/>
    <w:rsid w:val="00F403D1"/>
    <w:rsid w:val="00F4170B"/>
    <w:rsid w:val="00F43921"/>
    <w:rsid w:val="00F44E1B"/>
    <w:rsid w:val="00F45222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9EE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6CA8"/>
    <w:rsid w:val="00F67BDA"/>
    <w:rsid w:val="00F70309"/>
    <w:rsid w:val="00F7078A"/>
    <w:rsid w:val="00F70C8E"/>
    <w:rsid w:val="00F70E45"/>
    <w:rsid w:val="00F727D5"/>
    <w:rsid w:val="00F72F44"/>
    <w:rsid w:val="00F73A0C"/>
    <w:rsid w:val="00F7593B"/>
    <w:rsid w:val="00F759DC"/>
    <w:rsid w:val="00F76563"/>
    <w:rsid w:val="00F76F35"/>
    <w:rsid w:val="00F7717C"/>
    <w:rsid w:val="00F771A5"/>
    <w:rsid w:val="00F77387"/>
    <w:rsid w:val="00F80021"/>
    <w:rsid w:val="00F80D1E"/>
    <w:rsid w:val="00F817A4"/>
    <w:rsid w:val="00F81C3A"/>
    <w:rsid w:val="00F83573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A76E1"/>
    <w:rsid w:val="00FB0A9A"/>
    <w:rsid w:val="00FB16AD"/>
    <w:rsid w:val="00FB1F21"/>
    <w:rsid w:val="00FB332E"/>
    <w:rsid w:val="00FB3763"/>
    <w:rsid w:val="00FB483B"/>
    <w:rsid w:val="00FB56F1"/>
    <w:rsid w:val="00FB5FD4"/>
    <w:rsid w:val="00FB6398"/>
    <w:rsid w:val="00FB67F3"/>
    <w:rsid w:val="00FB6AF4"/>
    <w:rsid w:val="00FB7710"/>
    <w:rsid w:val="00FC0D8A"/>
    <w:rsid w:val="00FC0E5F"/>
    <w:rsid w:val="00FC135D"/>
    <w:rsid w:val="00FC26FB"/>
    <w:rsid w:val="00FC2CF4"/>
    <w:rsid w:val="00FC3C84"/>
    <w:rsid w:val="00FC3EED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262"/>
    <w:rsid w:val="00FD43A0"/>
    <w:rsid w:val="00FD473D"/>
    <w:rsid w:val="00FD55BA"/>
    <w:rsid w:val="00FD61C8"/>
    <w:rsid w:val="00FD63CE"/>
    <w:rsid w:val="00FD77BB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0A8"/>
    <w:rsid w:val="00FE688F"/>
    <w:rsid w:val="00FE705E"/>
    <w:rsid w:val="00FF02EB"/>
    <w:rsid w:val="00FF288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  <w:style w:type="character" w:customStyle="1" w:styleId="tabulka">
    <w:name w:val="tabulka"/>
    <w:basedOn w:val="Standardnpsmoodstavce"/>
    <w:rsid w:val="001C39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E7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A1"/>
    <w:rPr>
      <w:rFonts w:ascii="Arial" w:hAnsi="Arial"/>
      <w:b/>
      <w:bCs/>
    </w:rPr>
  </w:style>
  <w:style w:type="character" w:styleId="Zvraznn">
    <w:name w:val="Emphasis"/>
    <w:basedOn w:val="Standardnpsmoodstavce"/>
    <w:uiPriority w:val="20"/>
    <w:qFormat/>
    <w:locked/>
    <w:rsid w:val="005D7503"/>
    <w:rPr>
      <w:i/>
      <w:iCs/>
    </w:rPr>
  </w:style>
  <w:style w:type="paragraph" w:styleId="Revize">
    <w:name w:val="Revision"/>
    <w:hidden/>
    <w:uiPriority w:val="99"/>
    <w:semiHidden/>
    <w:rsid w:val="0079638B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09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4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47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48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4557159743329959E-2"/>
          <c:y val="2.1711264016310013E-2"/>
          <c:w val="0.93757303275920301"/>
          <c:h val="0.73130361364405116"/>
        </c:manualLayout>
      </c:layout>
      <c:barChart>
        <c:barDir val="col"/>
        <c:grouping val="clustered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multiLvlStrRef>
              <c:f>'Měnové podmínky 1'!$A$18:$B$77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'Měnové podmínky 1'!$C$18:$C$77</c:f>
              <c:numCache>
                <c:formatCode>0.00</c:formatCode>
                <c:ptCount val="60"/>
                <c:pt idx="0">
                  <c:v>5.00000000000001E-2</c:v>
                </c:pt>
                <c:pt idx="1">
                  <c:v>5.00000000000001E-2</c:v>
                </c:pt>
                <c:pt idx="2">
                  <c:v>5.00000000000001E-2</c:v>
                </c:pt>
                <c:pt idx="3">
                  <c:v>5.00000000000001E-2</c:v>
                </c:pt>
                <c:pt idx="4">
                  <c:v>5.00000000000001E-2</c:v>
                </c:pt>
                <c:pt idx="5">
                  <c:v>5.00000000000001E-2</c:v>
                </c:pt>
                <c:pt idx="6">
                  <c:v>5.00000000000001E-2</c:v>
                </c:pt>
                <c:pt idx="7">
                  <c:v>5.00000000000001E-2</c:v>
                </c:pt>
                <c:pt idx="8">
                  <c:v>5.00000000000001E-2</c:v>
                </c:pt>
                <c:pt idx="9">
                  <c:v>5.00000000000001E-2</c:v>
                </c:pt>
                <c:pt idx="10">
                  <c:v>5.00000000000001E-2</c:v>
                </c:pt>
                <c:pt idx="11">
                  <c:v>5.00000000000001E-2</c:v>
                </c:pt>
                <c:pt idx="12">
                  <c:v>5.00000000000001E-2</c:v>
                </c:pt>
                <c:pt idx="13">
                  <c:v>5.00000000000001E-2</c:v>
                </c:pt>
                <c:pt idx="14">
                  <c:v>5.00000000000001E-2</c:v>
                </c:pt>
                <c:pt idx="15">
                  <c:v>5.00000000000001E-2</c:v>
                </c:pt>
                <c:pt idx="16">
                  <c:v>5.00000000000001E-2</c:v>
                </c:pt>
                <c:pt idx="17">
                  <c:v>5.00000000000001E-2</c:v>
                </c:pt>
                <c:pt idx="18">
                  <c:v>5.00000000000001E-2</c:v>
                </c:pt>
                <c:pt idx="19">
                  <c:v>5.00000000000001E-2</c:v>
                </c:pt>
                <c:pt idx="20">
                  <c:v>5.00000000000001E-2</c:v>
                </c:pt>
                <c:pt idx="21">
                  <c:v>5.00000000000001E-2</c:v>
                </c:pt>
                <c:pt idx="22">
                  <c:v>5.00000000000001E-2</c:v>
                </c:pt>
                <c:pt idx="23">
                  <c:v>5.00000000000001E-2</c:v>
                </c:pt>
                <c:pt idx="24">
                  <c:v>5.00000000000001E-2</c:v>
                </c:pt>
                <c:pt idx="25">
                  <c:v>5.00000000000001E-2</c:v>
                </c:pt>
                <c:pt idx="26">
                  <c:v>5.00000000000001E-2</c:v>
                </c:pt>
                <c:pt idx="27">
                  <c:v>5.00000000000001E-2</c:v>
                </c:pt>
                <c:pt idx="28">
                  <c:v>5.00000000000001E-2</c:v>
                </c:pt>
                <c:pt idx="29">
                  <c:v>5.00000000000001E-2</c:v>
                </c:pt>
                <c:pt idx="30">
                  <c:v>5.00000000000001E-2</c:v>
                </c:pt>
                <c:pt idx="31">
                  <c:v>5.00000000000001E-2</c:v>
                </c:pt>
                <c:pt idx="32">
                  <c:v>5.00000000000001E-2</c:v>
                </c:pt>
                <c:pt idx="33">
                  <c:v>5.00000000000001E-2</c:v>
                </c:pt>
                <c:pt idx="34">
                  <c:v>5.00000000000001E-2</c:v>
                </c:pt>
                <c:pt idx="35">
                  <c:v>5.00000000000001E-2</c:v>
                </c:pt>
                <c:pt idx="36">
                  <c:v>5.00000000000001E-2</c:v>
                </c:pt>
                <c:pt idx="37">
                  <c:v>5.00000000000001E-2</c:v>
                </c:pt>
                <c:pt idx="38">
                  <c:v>5.00000000000001E-2</c:v>
                </c:pt>
                <c:pt idx="39">
                  <c:v>5.00000000000001E-2</c:v>
                </c:pt>
                <c:pt idx="40">
                  <c:v>5.00000000000001E-2</c:v>
                </c:pt>
                <c:pt idx="41">
                  <c:v>5.00000000000001E-2</c:v>
                </c:pt>
                <c:pt idx="42">
                  <c:v>5.00000000000001E-2</c:v>
                </c:pt>
                <c:pt idx="43">
                  <c:v>5.00000000000001E-2</c:v>
                </c:pt>
                <c:pt idx="44">
                  <c:v>5.00000000000001E-2</c:v>
                </c:pt>
                <c:pt idx="45">
                  <c:v>5.00000000000001E-2</c:v>
                </c:pt>
                <c:pt idx="46">
                  <c:v>5.00000000000001E-2</c:v>
                </c:pt>
                <c:pt idx="47">
                  <c:v>5.00000000000001E-2</c:v>
                </c:pt>
                <c:pt idx="48" formatCode="General">
                  <c:v>5.00000000000001E-2</c:v>
                </c:pt>
                <c:pt idx="49" formatCode="General">
                  <c:v>5.00000000000001E-2</c:v>
                </c:pt>
                <c:pt idx="50" formatCode="General">
                  <c:v>5.00000000000001E-2</c:v>
                </c:pt>
                <c:pt idx="51" formatCode="General">
                  <c:v>5.00000000000001E-2</c:v>
                </c:pt>
                <c:pt idx="52" formatCode="General">
                  <c:v>5.00000000000001E-2</c:v>
                </c:pt>
                <c:pt idx="53" formatCode="General">
                  <c:v>5.00000000000001E-2</c:v>
                </c:pt>
                <c:pt idx="54" formatCode="General">
                  <c:v>5.00000000000001E-2</c:v>
                </c:pt>
                <c:pt idx="55" formatCode="General">
                  <c:v>0.25</c:v>
                </c:pt>
                <c:pt idx="56" formatCode="General">
                  <c:v>0.25</c:v>
                </c:pt>
                <c:pt idx="57" formatCode="General">
                  <c:v>0.25</c:v>
                </c:pt>
                <c:pt idx="58" formatCode="General">
                  <c:v>0.5</c:v>
                </c:pt>
                <c:pt idx="59" formatCode="General">
                  <c:v>0.5</c:v>
                </c:pt>
              </c:numCache>
            </c:numRef>
          </c:val>
        </c:ser>
        <c:gapWidth val="31"/>
        <c:axId val="130056576"/>
        <c:axId val="130058112"/>
      </c:barChart>
      <c:lineChart>
        <c:grouping val="standard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'Měnové podmínky 1'!$F$18:$F$77</c:f>
              <c:numCache>
                <c:formatCode>0.00</c:formatCode>
                <c:ptCount val="60"/>
                <c:pt idx="0">
                  <c:v>0.30000000000000032</c:v>
                </c:pt>
                <c:pt idx="1">
                  <c:v>0.36000000000000032</c:v>
                </c:pt>
                <c:pt idx="2">
                  <c:v>0.31000000000000238</c:v>
                </c:pt>
                <c:pt idx="3">
                  <c:v>0.30000000000000032</c:v>
                </c:pt>
                <c:pt idx="4">
                  <c:v>0.29000000000000031</c:v>
                </c:pt>
                <c:pt idx="5">
                  <c:v>0.43000000000000038</c:v>
                </c:pt>
                <c:pt idx="6">
                  <c:v>0.41000000000000031</c:v>
                </c:pt>
                <c:pt idx="7">
                  <c:v>0.4</c:v>
                </c:pt>
                <c:pt idx="8">
                  <c:v>0.37000000000000038</c:v>
                </c:pt>
                <c:pt idx="9">
                  <c:v>0.33000000000000301</c:v>
                </c:pt>
                <c:pt idx="10">
                  <c:v>0.2</c:v>
                </c:pt>
                <c:pt idx="11">
                  <c:v>0.19000000000000022</c:v>
                </c:pt>
                <c:pt idx="12">
                  <c:v>0.23</c:v>
                </c:pt>
                <c:pt idx="13">
                  <c:v>0.28000000000000008</c:v>
                </c:pt>
                <c:pt idx="14">
                  <c:v>0.26</c:v>
                </c:pt>
                <c:pt idx="15">
                  <c:v>0.23</c:v>
                </c:pt>
                <c:pt idx="16">
                  <c:v>0.21000000000000021</c:v>
                </c:pt>
                <c:pt idx="17">
                  <c:v>0.24000000000000021</c:v>
                </c:pt>
                <c:pt idx="18">
                  <c:v>0.23</c:v>
                </c:pt>
                <c:pt idx="19">
                  <c:v>0.18000000000000024</c:v>
                </c:pt>
                <c:pt idx="20">
                  <c:v>0.14000000000000001</c:v>
                </c:pt>
                <c:pt idx="21">
                  <c:v>0.1</c:v>
                </c:pt>
                <c:pt idx="22">
                  <c:v>0.12000000000000002</c:v>
                </c:pt>
                <c:pt idx="23">
                  <c:v>0.13</c:v>
                </c:pt>
                <c:pt idx="24">
                  <c:v>9.0000000000000066E-2</c:v>
                </c:pt>
                <c:pt idx="25">
                  <c:v>6.000000000000013E-2</c:v>
                </c:pt>
                <c:pt idx="26">
                  <c:v>4.0000000000000105E-2</c:v>
                </c:pt>
                <c:pt idx="27">
                  <c:v>-3.0000000000000089E-2</c:v>
                </c:pt>
                <c:pt idx="28">
                  <c:v>4.0000000000000105E-2</c:v>
                </c:pt>
                <c:pt idx="29">
                  <c:v>0.1100000000000001</c:v>
                </c:pt>
                <c:pt idx="30">
                  <c:v>2.0000000000000052E-2</c:v>
                </c:pt>
                <c:pt idx="31">
                  <c:v>-7.0000000000000034E-2</c:v>
                </c:pt>
                <c:pt idx="32">
                  <c:v>-0.30000000000000032</c:v>
                </c:pt>
                <c:pt idx="33">
                  <c:v>-0.28000000000000008</c:v>
                </c:pt>
                <c:pt idx="34">
                  <c:v>-0.33000000000000301</c:v>
                </c:pt>
                <c:pt idx="35">
                  <c:v>-0.38000000000000267</c:v>
                </c:pt>
                <c:pt idx="36" formatCode="General">
                  <c:v>-0.21000000000000021</c:v>
                </c:pt>
                <c:pt idx="37" formatCode="General">
                  <c:v>-0.18000000000000024</c:v>
                </c:pt>
                <c:pt idx="38" formatCode="General">
                  <c:v>-0.17</c:v>
                </c:pt>
                <c:pt idx="39" formatCode="General">
                  <c:v>-8.0000000000000224E-2</c:v>
                </c:pt>
                <c:pt idx="40" formatCode="General">
                  <c:v>-4.0000000000000105E-2</c:v>
                </c:pt>
                <c:pt idx="41" formatCode="General">
                  <c:v>-5.00000000000001E-2</c:v>
                </c:pt>
                <c:pt idx="42" formatCode="General">
                  <c:v>-0.13</c:v>
                </c:pt>
                <c:pt idx="43" formatCode="General">
                  <c:v>-0.22000000000000022</c:v>
                </c:pt>
                <c:pt idx="44" formatCode="General">
                  <c:v>-0.5</c:v>
                </c:pt>
                <c:pt idx="45" formatCode="General">
                  <c:v>-0.74000000000000365</c:v>
                </c:pt>
                <c:pt idx="46" formatCode="General">
                  <c:v>-0.73000000000000065</c:v>
                </c:pt>
                <c:pt idx="47" formatCode="General">
                  <c:v>-0.81</c:v>
                </c:pt>
                <c:pt idx="48" formatCode="General">
                  <c:v>-0.88000000000000089</c:v>
                </c:pt>
                <c:pt idx="49" formatCode="General">
                  <c:v>-0.53</c:v>
                </c:pt>
                <c:pt idx="50" formatCode="General">
                  <c:v>-0.44000000000000039</c:v>
                </c:pt>
                <c:pt idx="51" formatCode="General">
                  <c:v>-0.23</c:v>
                </c:pt>
                <c:pt idx="52" formatCode="General">
                  <c:v>-0.24000000000000021</c:v>
                </c:pt>
                <c:pt idx="53" formatCode="General">
                  <c:v>-0.25</c:v>
                </c:pt>
                <c:pt idx="54" formatCode="General">
                  <c:v>-0.29000000000000031</c:v>
                </c:pt>
                <c:pt idx="55" formatCode="General">
                  <c:v>-0.33000000000000301</c:v>
                </c:pt>
                <c:pt idx="56" formatCode="General">
                  <c:v>-0.29000000000000031</c:v>
                </c:pt>
                <c:pt idx="57" formatCode="General">
                  <c:v>0.12000000000000002</c:v>
                </c:pt>
                <c:pt idx="58" formatCode="General">
                  <c:v>0.31000000000000238</c:v>
                </c:pt>
                <c:pt idx="59" formatCode="General">
                  <c:v>0.19000000000000022</c:v>
                </c:pt>
              </c:numCache>
            </c:numRef>
          </c:val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'Měnové podmínky 1'!$D$18:$D$77</c:f>
              <c:numCache>
                <c:formatCode>0.00</c:formatCode>
                <c:ptCount val="60"/>
                <c:pt idx="0">
                  <c:v>0.5</c:v>
                </c:pt>
                <c:pt idx="1">
                  <c:v>0.5</c:v>
                </c:pt>
                <c:pt idx="2">
                  <c:v>0.49000000000000032</c:v>
                </c:pt>
                <c:pt idx="3">
                  <c:v>0.47000000000000008</c:v>
                </c:pt>
                <c:pt idx="4">
                  <c:v>0.46</c:v>
                </c:pt>
                <c:pt idx="5">
                  <c:v>0.46</c:v>
                </c:pt>
                <c:pt idx="6">
                  <c:v>0.46</c:v>
                </c:pt>
                <c:pt idx="7">
                  <c:v>0.46</c:v>
                </c:pt>
                <c:pt idx="8">
                  <c:v>0.45</c:v>
                </c:pt>
                <c:pt idx="9">
                  <c:v>0.45</c:v>
                </c:pt>
                <c:pt idx="10">
                  <c:v>0.4</c:v>
                </c:pt>
                <c:pt idx="11">
                  <c:v>0.38000000000000267</c:v>
                </c:pt>
                <c:pt idx="12">
                  <c:v>0.37000000000000038</c:v>
                </c:pt>
                <c:pt idx="13">
                  <c:v>0.37000000000000038</c:v>
                </c:pt>
                <c:pt idx="14">
                  <c:v>0.37000000000000038</c:v>
                </c:pt>
                <c:pt idx="15">
                  <c:v>0.37000000000000038</c:v>
                </c:pt>
                <c:pt idx="16">
                  <c:v>0.37000000000000038</c:v>
                </c:pt>
                <c:pt idx="17">
                  <c:v>0.35000000000000031</c:v>
                </c:pt>
                <c:pt idx="18">
                  <c:v>0.35000000000000031</c:v>
                </c:pt>
                <c:pt idx="19">
                  <c:v>0.35000000000000031</c:v>
                </c:pt>
                <c:pt idx="20">
                  <c:v>0.35000000000000031</c:v>
                </c:pt>
                <c:pt idx="21">
                  <c:v>0.35000000000000031</c:v>
                </c:pt>
                <c:pt idx="22">
                  <c:v>0.34000000000000052</c:v>
                </c:pt>
                <c:pt idx="23">
                  <c:v>0.34000000000000052</c:v>
                </c:pt>
                <c:pt idx="24">
                  <c:v>0.33000000000000301</c:v>
                </c:pt>
                <c:pt idx="25">
                  <c:v>0.33000000000000301</c:v>
                </c:pt>
                <c:pt idx="26">
                  <c:v>0.32000000000000273</c:v>
                </c:pt>
                <c:pt idx="27">
                  <c:v>0.31000000000000238</c:v>
                </c:pt>
                <c:pt idx="28">
                  <c:v>0.31000000000000238</c:v>
                </c:pt>
                <c:pt idx="29">
                  <c:v>0.31000000000000238</c:v>
                </c:pt>
                <c:pt idx="30">
                  <c:v>0.31000000000000238</c:v>
                </c:pt>
                <c:pt idx="31">
                  <c:v>0.31000000000000238</c:v>
                </c:pt>
                <c:pt idx="32">
                  <c:v>0.30000000000000032</c:v>
                </c:pt>
                <c:pt idx="33">
                  <c:v>0.29000000000000031</c:v>
                </c:pt>
                <c:pt idx="34">
                  <c:v>0.29000000000000031</c:v>
                </c:pt>
                <c:pt idx="35">
                  <c:v>0.29000000000000031</c:v>
                </c:pt>
                <c:pt idx="36">
                  <c:v>0.29000000000000031</c:v>
                </c:pt>
                <c:pt idx="37">
                  <c:v>0.28000000000000008</c:v>
                </c:pt>
                <c:pt idx="38">
                  <c:v>0.29000000000000031</c:v>
                </c:pt>
                <c:pt idx="39">
                  <c:v>0.29000000000000031</c:v>
                </c:pt>
                <c:pt idx="40">
                  <c:v>0.29000000000000031</c:v>
                </c:pt>
                <c:pt idx="41">
                  <c:v>0.29000000000000031</c:v>
                </c:pt>
                <c:pt idx="42">
                  <c:v>0.29000000000000031</c:v>
                </c:pt>
                <c:pt idx="43">
                  <c:v>0.29000000000000031</c:v>
                </c:pt>
                <c:pt idx="44">
                  <c:v>0.29000000000000031</c:v>
                </c:pt>
                <c:pt idx="45">
                  <c:v>0.29000000000000031</c:v>
                </c:pt>
                <c:pt idx="46">
                  <c:v>0.29000000000000031</c:v>
                </c:pt>
                <c:pt idx="47">
                  <c:v>0.29000000000000031</c:v>
                </c:pt>
                <c:pt idx="48" formatCode="General">
                  <c:v>0.28000000000000008</c:v>
                </c:pt>
                <c:pt idx="49" formatCode="General">
                  <c:v>0.28000000000000008</c:v>
                </c:pt>
                <c:pt idx="50" formatCode="General">
                  <c:v>0.28000000000000008</c:v>
                </c:pt>
                <c:pt idx="51" formatCode="General">
                  <c:v>0.29000000000000031</c:v>
                </c:pt>
                <c:pt idx="52" formatCode="General">
                  <c:v>0.30000000000000032</c:v>
                </c:pt>
                <c:pt idx="53" formatCode="General">
                  <c:v>0.30000000000000032</c:v>
                </c:pt>
                <c:pt idx="54" formatCode="General">
                  <c:v>0.30000000000000032</c:v>
                </c:pt>
                <c:pt idx="55" formatCode="General">
                  <c:v>0.43000000000000038</c:v>
                </c:pt>
                <c:pt idx="56" formatCode="General">
                  <c:v>0.46</c:v>
                </c:pt>
                <c:pt idx="57" formatCode="General">
                  <c:v>0.51</c:v>
                </c:pt>
                <c:pt idx="58" formatCode="General">
                  <c:v>0.71000000000000063</c:v>
                </c:pt>
                <c:pt idx="59" formatCode="General">
                  <c:v>0.750000000000005</c:v>
                </c:pt>
              </c:numCache>
            </c:numRef>
          </c:val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'Měnové podmínky 1'!$G$18:$G$77</c:f>
              <c:numCache>
                <c:formatCode>0.00</c:formatCode>
                <c:ptCount val="60"/>
                <c:pt idx="0">
                  <c:v>0.98</c:v>
                </c:pt>
                <c:pt idx="1">
                  <c:v>0.99</c:v>
                </c:pt>
                <c:pt idx="2">
                  <c:v>1.08</c:v>
                </c:pt>
                <c:pt idx="3">
                  <c:v>0.98</c:v>
                </c:pt>
                <c:pt idx="4">
                  <c:v>0.9</c:v>
                </c:pt>
                <c:pt idx="5">
                  <c:v>1.23</c:v>
                </c:pt>
                <c:pt idx="6">
                  <c:v>1.3900000000000001</c:v>
                </c:pt>
                <c:pt idx="7">
                  <c:v>1.3900000000000001</c:v>
                </c:pt>
                <c:pt idx="8">
                  <c:v>1.23</c:v>
                </c:pt>
                <c:pt idx="9">
                  <c:v>1.25</c:v>
                </c:pt>
                <c:pt idx="10">
                  <c:v>1.03</c:v>
                </c:pt>
                <c:pt idx="11">
                  <c:v>0.97000000000000064</c:v>
                </c:pt>
                <c:pt idx="12">
                  <c:v>1.0900000000000001</c:v>
                </c:pt>
                <c:pt idx="13">
                  <c:v>1.2</c:v>
                </c:pt>
                <c:pt idx="14">
                  <c:v>1.139999999999989</c:v>
                </c:pt>
                <c:pt idx="15">
                  <c:v>0.99</c:v>
                </c:pt>
                <c:pt idx="16">
                  <c:v>0.8</c:v>
                </c:pt>
                <c:pt idx="17">
                  <c:v>0.68000000000000127</c:v>
                </c:pt>
                <c:pt idx="18">
                  <c:v>0.65000000000000568</c:v>
                </c:pt>
                <c:pt idx="19">
                  <c:v>0.62000000000000488</c:v>
                </c:pt>
                <c:pt idx="20">
                  <c:v>0.51</c:v>
                </c:pt>
                <c:pt idx="21">
                  <c:v>0.37000000000000038</c:v>
                </c:pt>
                <c:pt idx="22">
                  <c:v>0.24000000000000021</c:v>
                </c:pt>
                <c:pt idx="23">
                  <c:v>0.22000000000000022</c:v>
                </c:pt>
                <c:pt idx="24">
                  <c:v>0.13</c:v>
                </c:pt>
                <c:pt idx="25">
                  <c:v>0.17</c:v>
                </c:pt>
                <c:pt idx="26">
                  <c:v>0.14000000000000001</c:v>
                </c:pt>
                <c:pt idx="27">
                  <c:v>5.00000000000001E-2</c:v>
                </c:pt>
                <c:pt idx="28">
                  <c:v>0.22000000000000022</c:v>
                </c:pt>
                <c:pt idx="29">
                  <c:v>0.43000000000000038</c:v>
                </c:pt>
                <c:pt idx="30">
                  <c:v>0.35000000000000031</c:v>
                </c:pt>
                <c:pt idx="31">
                  <c:v>0.2</c:v>
                </c:pt>
                <c:pt idx="32">
                  <c:v>6.000000000000013E-2</c:v>
                </c:pt>
                <c:pt idx="33">
                  <c:v>-5.00000000000001E-2</c:v>
                </c:pt>
                <c:pt idx="34">
                  <c:v>-5.00000000000001E-2</c:v>
                </c:pt>
                <c:pt idx="35">
                  <c:v>-0.1100000000000001</c:v>
                </c:pt>
                <c:pt idx="36" formatCode="General">
                  <c:v>4.0000000000000105E-2</c:v>
                </c:pt>
                <c:pt idx="37" formatCode="General">
                  <c:v>-8.0000000000000224E-2</c:v>
                </c:pt>
                <c:pt idx="38" formatCode="General">
                  <c:v>-0.1</c:v>
                </c:pt>
                <c:pt idx="39" formatCode="General">
                  <c:v>4.0000000000000105E-2</c:v>
                </c:pt>
                <c:pt idx="40" formatCode="General">
                  <c:v>7.0000000000000034E-2</c:v>
                </c:pt>
                <c:pt idx="41" formatCode="General">
                  <c:v>5.00000000000001E-2</c:v>
                </c:pt>
                <c:pt idx="42" formatCode="General">
                  <c:v>-2.0000000000000052E-2</c:v>
                </c:pt>
                <c:pt idx="43" formatCode="General">
                  <c:v>-9.0000000000000066E-2</c:v>
                </c:pt>
                <c:pt idx="44" formatCode="General">
                  <c:v>-0.19000000000000022</c:v>
                </c:pt>
                <c:pt idx="45" formatCode="General">
                  <c:v>-0.17</c:v>
                </c:pt>
                <c:pt idx="46" formatCode="General">
                  <c:v>-0.17</c:v>
                </c:pt>
                <c:pt idx="47" formatCode="General">
                  <c:v>-0.21000000000000021</c:v>
                </c:pt>
                <c:pt idx="48" formatCode="General">
                  <c:v>-0.22000000000000022</c:v>
                </c:pt>
                <c:pt idx="49" formatCode="General">
                  <c:v>9.0000000000000066E-2</c:v>
                </c:pt>
                <c:pt idx="50" formatCode="General">
                  <c:v>0.1</c:v>
                </c:pt>
                <c:pt idx="51" formatCode="General">
                  <c:v>0.16000000000000023</c:v>
                </c:pt>
                <c:pt idx="52" formatCode="General">
                  <c:v>4.0000000000000105E-2</c:v>
                </c:pt>
                <c:pt idx="53" formatCode="General">
                  <c:v>-3.0000000000000089E-2</c:v>
                </c:pt>
                <c:pt idx="54" formatCode="General">
                  <c:v>0.14000000000000001</c:v>
                </c:pt>
                <c:pt idx="55" formatCode="General">
                  <c:v>9.0000000000000066E-2</c:v>
                </c:pt>
                <c:pt idx="56" formatCode="General">
                  <c:v>0.1</c:v>
                </c:pt>
                <c:pt idx="57" formatCode="General">
                  <c:v>0.63000000000000544</c:v>
                </c:pt>
                <c:pt idx="58" formatCode="General">
                  <c:v>0.87000000000000488</c:v>
                </c:pt>
                <c:pt idx="59" formatCode="General">
                  <c:v>0.68000000000000127</c:v>
                </c:pt>
              </c:numCache>
            </c:numRef>
          </c:val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'Měnové podmínky 1'!$E$18:$E$77</c:f>
              <c:numCache>
                <c:formatCode>0.00</c:formatCode>
                <c:ptCount val="60"/>
                <c:pt idx="0">
                  <c:v>0.86000000000000065</c:v>
                </c:pt>
                <c:pt idx="1">
                  <c:v>0.83000000000000063</c:v>
                </c:pt>
                <c:pt idx="2">
                  <c:v>0.78</c:v>
                </c:pt>
                <c:pt idx="3">
                  <c:v>0.76000000000000545</c:v>
                </c:pt>
                <c:pt idx="4">
                  <c:v>0.76000000000000545</c:v>
                </c:pt>
                <c:pt idx="5">
                  <c:v>0.76000000000000545</c:v>
                </c:pt>
                <c:pt idx="6">
                  <c:v>0.750000000000005</c:v>
                </c:pt>
                <c:pt idx="7">
                  <c:v>0.750000000000005</c:v>
                </c:pt>
                <c:pt idx="8">
                  <c:v>0.74000000000000365</c:v>
                </c:pt>
                <c:pt idx="9">
                  <c:v>0.73000000000000065</c:v>
                </c:pt>
                <c:pt idx="10">
                  <c:v>0.65000000000000568</c:v>
                </c:pt>
                <c:pt idx="11">
                  <c:v>0.61000000000000065</c:v>
                </c:pt>
                <c:pt idx="12">
                  <c:v>0.58000000000000052</c:v>
                </c:pt>
                <c:pt idx="13">
                  <c:v>0.55000000000000004</c:v>
                </c:pt>
                <c:pt idx="14">
                  <c:v>0.55000000000000004</c:v>
                </c:pt>
                <c:pt idx="15">
                  <c:v>0.55000000000000004</c:v>
                </c:pt>
                <c:pt idx="16">
                  <c:v>0.54</c:v>
                </c:pt>
                <c:pt idx="17">
                  <c:v>0.53</c:v>
                </c:pt>
                <c:pt idx="18">
                  <c:v>0.52</c:v>
                </c:pt>
                <c:pt idx="19">
                  <c:v>0.52</c:v>
                </c:pt>
                <c:pt idx="20">
                  <c:v>0.52</c:v>
                </c:pt>
                <c:pt idx="21">
                  <c:v>0.52</c:v>
                </c:pt>
                <c:pt idx="22">
                  <c:v>0.51</c:v>
                </c:pt>
                <c:pt idx="23">
                  <c:v>0.51</c:v>
                </c:pt>
                <c:pt idx="24">
                  <c:v>0.51</c:v>
                </c:pt>
                <c:pt idx="25">
                  <c:v>0.51</c:v>
                </c:pt>
                <c:pt idx="26">
                  <c:v>0.49000000000000032</c:v>
                </c:pt>
                <c:pt idx="27">
                  <c:v>0.48000000000000032</c:v>
                </c:pt>
                <c:pt idx="28">
                  <c:v>0.48000000000000032</c:v>
                </c:pt>
                <c:pt idx="29">
                  <c:v>0.48000000000000032</c:v>
                </c:pt>
                <c:pt idx="30">
                  <c:v>0.48000000000000032</c:v>
                </c:pt>
                <c:pt idx="31">
                  <c:v>0.48000000000000032</c:v>
                </c:pt>
                <c:pt idx="32">
                  <c:v>0.47000000000000008</c:v>
                </c:pt>
                <c:pt idx="33">
                  <c:v>0.46</c:v>
                </c:pt>
                <c:pt idx="34">
                  <c:v>0.46</c:v>
                </c:pt>
                <c:pt idx="35">
                  <c:v>0.46</c:v>
                </c:pt>
                <c:pt idx="36">
                  <c:v>0.45</c:v>
                </c:pt>
                <c:pt idx="37">
                  <c:v>0.45</c:v>
                </c:pt>
                <c:pt idx="38">
                  <c:v>0.45</c:v>
                </c:pt>
                <c:pt idx="39">
                  <c:v>0.45</c:v>
                </c:pt>
                <c:pt idx="40">
                  <c:v>0.45</c:v>
                </c:pt>
                <c:pt idx="41">
                  <c:v>0.45</c:v>
                </c:pt>
                <c:pt idx="42">
                  <c:v>0.45</c:v>
                </c:pt>
                <c:pt idx="43">
                  <c:v>0.45</c:v>
                </c:pt>
                <c:pt idx="44">
                  <c:v>0.45</c:v>
                </c:pt>
                <c:pt idx="45">
                  <c:v>0.45</c:v>
                </c:pt>
                <c:pt idx="46">
                  <c:v>0.45</c:v>
                </c:pt>
                <c:pt idx="47">
                  <c:v>0.45</c:v>
                </c:pt>
                <c:pt idx="48" formatCode="General">
                  <c:v>0.44000000000000039</c:v>
                </c:pt>
                <c:pt idx="49" formatCode="General">
                  <c:v>0.44000000000000039</c:v>
                </c:pt>
                <c:pt idx="50" formatCode="General">
                  <c:v>0.44000000000000039</c:v>
                </c:pt>
                <c:pt idx="51" formatCode="General">
                  <c:v>0.45</c:v>
                </c:pt>
                <c:pt idx="52" formatCode="General">
                  <c:v>0.46</c:v>
                </c:pt>
                <c:pt idx="53" formatCode="General">
                  <c:v>0.46</c:v>
                </c:pt>
                <c:pt idx="54" formatCode="General">
                  <c:v>0.47000000000000008</c:v>
                </c:pt>
                <c:pt idx="55" formatCode="General">
                  <c:v>0.60000000000000064</c:v>
                </c:pt>
                <c:pt idx="56" formatCode="General">
                  <c:v>0.64000000000000545</c:v>
                </c:pt>
                <c:pt idx="57" formatCode="General">
                  <c:v>0.69000000000000172</c:v>
                </c:pt>
                <c:pt idx="58" formatCode="General">
                  <c:v>0.91</c:v>
                </c:pt>
                <c:pt idx="59" formatCode="General">
                  <c:v>0.96000000000000063</c:v>
                </c:pt>
              </c:numCache>
            </c:numRef>
          </c:val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'Měnové podmínky 1'!$H$18:$H$77</c:f>
              <c:numCache>
                <c:formatCode>0.00</c:formatCode>
                <c:ptCount val="60"/>
                <c:pt idx="0">
                  <c:v>1.9600000000000082</c:v>
                </c:pt>
                <c:pt idx="1">
                  <c:v>2.0099999999999998</c:v>
                </c:pt>
                <c:pt idx="2">
                  <c:v>1.9800000000000091</c:v>
                </c:pt>
                <c:pt idx="3">
                  <c:v>1.82</c:v>
                </c:pt>
                <c:pt idx="4">
                  <c:v>1.6700000000000021</c:v>
                </c:pt>
                <c:pt idx="5">
                  <c:v>2.14</c:v>
                </c:pt>
                <c:pt idx="6">
                  <c:v>2.23</c:v>
                </c:pt>
                <c:pt idx="7">
                  <c:v>2.4</c:v>
                </c:pt>
                <c:pt idx="8">
                  <c:v>2.42</c:v>
                </c:pt>
                <c:pt idx="9">
                  <c:v>2.3299999999999987</c:v>
                </c:pt>
                <c:pt idx="10">
                  <c:v>2.1800000000000002</c:v>
                </c:pt>
                <c:pt idx="11">
                  <c:v>2.2000000000000002</c:v>
                </c:pt>
                <c:pt idx="12">
                  <c:v>2.4299999999999997</c:v>
                </c:pt>
                <c:pt idx="13">
                  <c:v>2.2799999999999998</c:v>
                </c:pt>
                <c:pt idx="14">
                  <c:v>2.2000000000000002</c:v>
                </c:pt>
                <c:pt idx="15">
                  <c:v>2</c:v>
                </c:pt>
                <c:pt idx="16">
                  <c:v>1.7300000000000015</c:v>
                </c:pt>
                <c:pt idx="17">
                  <c:v>1.55</c:v>
                </c:pt>
                <c:pt idx="18">
                  <c:v>1.49</c:v>
                </c:pt>
                <c:pt idx="19">
                  <c:v>1.3800000000000001</c:v>
                </c:pt>
                <c:pt idx="20">
                  <c:v>1.21</c:v>
                </c:pt>
                <c:pt idx="21">
                  <c:v>1.1000000000000001</c:v>
                </c:pt>
                <c:pt idx="22">
                  <c:v>0.87000000000000488</c:v>
                </c:pt>
                <c:pt idx="23">
                  <c:v>0.67000000000000626</c:v>
                </c:pt>
                <c:pt idx="24">
                  <c:v>0.35000000000000031</c:v>
                </c:pt>
                <c:pt idx="25">
                  <c:v>0.4</c:v>
                </c:pt>
                <c:pt idx="26">
                  <c:v>0.35000000000000031</c:v>
                </c:pt>
                <c:pt idx="27">
                  <c:v>0.26</c:v>
                </c:pt>
                <c:pt idx="28">
                  <c:v>0.60000000000000064</c:v>
                </c:pt>
                <c:pt idx="29">
                  <c:v>1.01</c:v>
                </c:pt>
                <c:pt idx="30">
                  <c:v>0.97000000000000064</c:v>
                </c:pt>
                <c:pt idx="31">
                  <c:v>0.74000000000000365</c:v>
                </c:pt>
                <c:pt idx="32">
                  <c:v>0.68000000000000127</c:v>
                </c:pt>
                <c:pt idx="33">
                  <c:v>0.56000000000000005</c:v>
                </c:pt>
                <c:pt idx="34">
                  <c:v>0.49000000000000032</c:v>
                </c:pt>
                <c:pt idx="35">
                  <c:v>0.49000000000000032</c:v>
                </c:pt>
                <c:pt idx="36" formatCode="General">
                  <c:v>0.62000000000000488</c:v>
                </c:pt>
                <c:pt idx="37" formatCode="General">
                  <c:v>0.46</c:v>
                </c:pt>
                <c:pt idx="38" formatCode="General">
                  <c:v>0.35000000000000031</c:v>
                </c:pt>
                <c:pt idx="39" formatCode="General">
                  <c:v>0.43000000000000038</c:v>
                </c:pt>
                <c:pt idx="40" formatCode="General">
                  <c:v>0.46</c:v>
                </c:pt>
                <c:pt idx="41" formatCode="General">
                  <c:v>0.45</c:v>
                </c:pt>
                <c:pt idx="42" formatCode="General">
                  <c:v>0.37000000000000038</c:v>
                </c:pt>
                <c:pt idx="43" formatCode="General">
                  <c:v>0.29000000000000031</c:v>
                </c:pt>
                <c:pt idx="44" formatCode="General">
                  <c:v>0.25</c:v>
                </c:pt>
                <c:pt idx="45" formatCode="General">
                  <c:v>0.37000000000000038</c:v>
                </c:pt>
                <c:pt idx="46" formatCode="General">
                  <c:v>0.55000000000000004</c:v>
                </c:pt>
                <c:pt idx="47" formatCode="General">
                  <c:v>0.53</c:v>
                </c:pt>
                <c:pt idx="48" formatCode="General">
                  <c:v>0.47000000000000008</c:v>
                </c:pt>
                <c:pt idx="49" formatCode="General">
                  <c:v>0.63000000000000544</c:v>
                </c:pt>
                <c:pt idx="50" formatCode="General">
                  <c:v>0.87000000000000488</c:v>
                </c:pt>
                <c:pt idx="51" formatCode="General">
                  <c:v>0.96000000000000063</c:v>
                </c:pt>
                <c:pt idx="52" formatCode="General">
                  <c:v>0.74000000000000365</c:v>
                </c:pt>
                <c:pt idx="53" formatCode="General">
                  <c:v>0.77000000000000479</c:v>
                </c:pt>
                <c:pt idx="54" formatCode="General">
                  <c:v>0.9</c:v>
                </c:pt>
                <c:pt idx="55" formatCode="General">
                  <c:v>0.83000000000000063</c:v>
                </c:pt>
                <c:pt idx="56" formatCode="General">
                  <c:v>0.97000000000000064</c:v>
                </c:pt>
                <c:pt idx="57" formatCode="General">
                  <c:v>1.45</c:v>
                </c:pt>
                <c:pt idx="58" formatCode="General">
                  <c:v>1.6800000000000097</c:v>
                </c:pt>
                <c:pt idx="59" formatCode="General">
                  <c:v>1.5</c:v>
                </c:pt>
              </c:numCache>
            </c:numRef>
          </c:val>
        </c:ser>
        <c:marker val="1"/>
        <c:axId val="130056576"/>
        <c:axId val="130058112"/>
      </c:lineChart>
      <c:catAx>
        <c:axId val="130056576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crossAx val="130058112"/>
        <c:crosses val="autoZero"/>
        <c:auto val="1"/>
        <c:lblAlgn val="ctr"/>
        <c:lblOffset val="100"/>
      </c:catAx>
      <c:valAx>
        <c:axId val="130058112"/>
        <c:scaling>
          <c:orientation val="minMax"/>
          <c:min val="-1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30056576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945900878081747E-2"/>
          <c:y val="0.87558269120103249"/>
          <c:w val="0.93886651469098281"/>
          <c:h val="0.11015705924459968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0EDE4-B818-4F29-B78B-0BBFA8520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3AB90-F40A-411A-9F9F-9BFFA218E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367FC1-21D2-42A7-BAB8-60C989485A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C21AEF-A52C-44A5-9E68-93016563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3</TotalTime>
  <Pages>2</Pages>
  <Words>1068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7360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4</cp:revision>
  <cp:lastPrinted>2018-03-14T17:02:00Z</cp:lastPrinted>
  <dcterms:created xsi:type="dcterms:W3CDTF">2018-03-22T15:44:00Z</dcterms:created>
  <dcterms:modified xsi:type="dcterms:W3CDTF">2018-03-22T15:58:00Z</dcterms:modified>
</cp:coreProperties>
</file>