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E5" w:rsidRPr="007052CC" w:rsidRDefault="00694FE5">
      <w:pPr>
        <w:pStyle w:val="Nzev"/>
        <w:rPr>
          <w:rFonts w:cs="Arial"/>
          <w:sz w:val="32"/>
        </w:rPr>
      </w:pPr>
      <w:bookmarkStart w:id="0" w:name="_GoBack"/>
      <w:bookmarkEnd w:id="0"/>
      <w:r w:rsidRPr="007052CC">
        <w:rPr>
          <w:rFonts w:cs="Arial"/>
          <w:sz w:val="32"/>
        </w:rPr>
        <w:t>Metodické vysvětlivky</w:t>
      </w:r>
    </w:p>
    <w:p w:rsidR="00694FE5" w:rsidRPr="007052CC" w:rsidRDefault="00694FE5">
      <w:pPr>
        <w:jc w:val="both"/>
        <w:rPr>
          <w:rFonts w:ascii="Arial" w:hAnsi="Arial" w:cs="Arial"/>
          <w:sz w:val="22"/>
          <w:szCs w:val="32"/>
        </w:rPr>
      </w:pPr>
    </w:p>
    <w:p w:rsidR="004B75DC" w:rsidRDefault="00694FE5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b/>
          <w:bCs/>
          <w:sz w:val="20"/>
        </w:rPr>
        <w:t xml:space="preserve">Indexy cen průmyslových výrobců </w:t>
      </w:r>
      <w:r w:rsidRPr="007052CC">
        <w:rPr>
          <w:rFonts w:ascii="Arial" w:hAnsi="Arial" w:cs="Arial"/>
          <w:sz w:val="20"/>
        </w:rPr>
        <w:t xml:space="preserve">zahrnují ceny výrobků vyrobených v odvětvích B až E podle Klasifikace ekonomických činností (CZ-NACE). Publikace obsahuje cenové indexy za oddíly a skupiny CZ-CPA, které jsou agregované do </w:t>
      </w:r>
      <w:proofErr w:type="spellStart"/>
      <w:r w:rsidRPr="007052CC">
        <w:rPr>
          <w:rFonts w:ascii="Arial" w:hAnsi="Arial" w:cs="Arial"/>
          <w:sz w:val="20"/>
        </w:rPr>
        <w:t>subsekcí</w:t>
      </w:r>
      <w:proofErr w:type="spellEnd"/>
      <w:r w:rsidRPr="007052CC">
        <w:rPr>
          <w:rFonts w:ascii="Arial" w:hAnsi="Arial" w:cs="Arial"/>
          <w:sz w:val="20"/>
        </w:rPr>
        <w:t xml:space="preserve"> a sekcí Klasifikace produkce (CZ-CPA 20</w:t>
      </w:r>
      <w:r w:rsidR="000C73F6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>) a průmyslu celkem.</w:t>
      </w:r>
    </w:p>
    <w:p w:rsidR="004B75DC" w:rsidRDefault="004B75DC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</w:p>
    <w:p w:rsidR="00694FE5" w:rsidRPr="007052CC" w:rsidRDefault="00694FE5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Za některé agregace nejsou indexy uváděny z důvodu ochrany individuálních dat. Průmyslem celkem se označuje součet sekcí B, C, D a E Klasifikace produkce (CZ-CPA) v aktuálním vydání, platném od 1. ledna 20</w:t>
      </w:r>
      <w:r w:rsidR="00D110EA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>, která je vypracovaná na bázi evropského standardu CPA 20</w:t>
      </w:r>
      <w:r w:rsidR="00D110EA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 xml:space="preserve"> (</w:t>
      </w:r>
      <w:proofErr w:type="spellStart"/>
      <w:r w:rsidRPr="007052CC">
        <w:rPr>
          <w:rFonts w:ascii="Arial" w:hAnsi="Arial" w:cs="Arial"/>
          <w:sz w:val="20"/>
        </w:rPr>
        <w:t>Classification</w:t>
      </w:r>
      <w:proofErr w:type="spellEnd"/>
      <w:r w:rsidRPr="007052CC">
        <w:rPr>
          <w:rFonts w:ascii="Arial" w:hAnsi="Arial" w:cs="Arial"/>
          <w:sz w:val="20"/>
        </w:rPr>
        <w:t xml:space="preserve"> </w:t>
      </w:r>
      <w:proofErr w:type="spellStart"/>
      <w:r w:rsidRPr="007052CC">
        <w:rPr>
          <w:rFonts w:ascii="Arial" w:hAnsi="Arial" w:cs="Arial"/>
          <w:sz w:val="20"/>
        </w:rPr>
        <w:t>of</w:t>
      </w:r>
      <w:proofErr w:type="spellEnd"/>
      <w:r w:rsidRPr="007052CC">
        <w:rPr>
          <w:rFonts w:ascii="Arial" w:hAnsi="Arial" w:cs="Arial"/>
          <w:sz w:val="20"/>
        </w:rPr>
        <w:t xml:space="preserve"> </w:t>
      </w:r>
      <w:proofErr w:type="spellStart"/>
      <w:r w:rsidRPr="007052CC">
        <w:rPr>
          <w:rFonts w:ascii="Arial" w:hAnsi="Arial" w:cs="Arial"/>
          <w:sz w:val="20"/>
        </w:rPr>
        <w:t>Products</w:t>
      </w:r>
      <w:proofErr w:type="spellEnd"/>
      <w:r w:rsidRPr="007052CC">
        <w:rPr>
          <w:rFonts w:ascii="Arial" w:hAnsi="Arial" w:cs="Arial"/>
          <w:sz w:val="20"/>
        </w:rPr>
        <w:t xml:space="preserve"> by </w:t>
      </w:r>
      <w:proofErr w:type="spellStart"/>
      <w:r w:rsidRPr="007052CC">
        <w:rPr>
          <w:rFonts w:ascii="Arial" w:hAnsi="Arial" w:cs="Arial"/>
          <w:sz w:val="20"/>
        </w:rPr>
        <w:t>Activity</w:t>
      </w:r>
      <w:proofErr w:type="spellEnd"/>
      <w:r w:rsidRPr="007052CC">
        <w:rPr>
          <w:rFonts w:ascii="Arial" w:hAnsi="Arial" w:cs="Arial"/>
          <w:sz w:val="20"/>
        </w:rPr>
        <w:t>).</w:t>
      </w:r>
    </w:p>
    <w:p w:rsidR="006F2310" w:rsidRPr="007052CC" w:rsidRDefault="006F2310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</w:p>
    <w:p w:rsidR="006F2310" w:rsidRPr="007052CC" w:rsidRDefault="006F2310" w:rsidP="006F2310">
      <w:pPr>
        <w:pStyle w:val="Zkladntext"/>
        <w:jc w:val="left"/>
        <w:rPr>
          <w:rFonts w:ascii="Arial" w:hAnsi="Arial" w:cs="Arial"/>
          <w:strike/>
          <w:color w:val="FF0000"/>
          <w:sz w:val="20"/>
        </w:rPr>
      </w:pPr>
      <w:r w:rsidRPr="007052CC">
        <w:rPr>
          <w:rFonts w:ascii="Arial" w:hAnsi="Arial" w:cs="Arial"/>
          <w:sz w:val="20"/>
        </w:rPr>
        <w:t>V průběhu roku 20</w:t>
      </w:r>
      <w:r w:rsidR="001760B8">
        <w:rPr>
          <w:rFonts w:ascii="Arial" w:hAnsi="Arial" w:cs="Arial"/>
          <w:sz w:val="20"/>
        </w:rPr>
        <w:t>22</w:t>
      </w:r>
      <w:r w:rsidRPr="007052CC">
        <w:rPr>
          <w:rFonts w:ascii="Arial" w:hAnsi="Arial" w:cs="Arial"/>
          <w:sz w:val="20"/>
        </w:rPr>
        <w:t xml:space="preserve"> proběhla standardní komplexní revize indexů cen průmyslových výrobců. Na jejím základě jsou cenové indexy od ledna 20</w:t>
      </w:r>
      <w:r w:rsidR="001760B8">
        <w:rPr>
          <w:rFonts w:ascii="Arial" w:hAnsi="Arial" w:cs="Arial"/>
          <w:sz w:val="20"/>
        </w:rPr>
        <w:t>23</w:t>
      </w:r>
      <w:r w:rsidRPr="007052CC">
        <w:rPr>
          <w:rFonts w:ascii="Arial" w:hAnsi="Arial" w:cs="Arial"/>
          <w:sz w:val="20"/>
        </w:rPr>
        <w:t xml:space="preserve"> počítány na no</w:t>
      </w:r>
      <w:r w:rsidRPr="007052CC">
        <w:rPr>
          <w:rFonts w:ascii="Arial" w:hAnsi="Arial" w:cs="Arial"/>
          <w:sz w:val="20"/>
          <w:szCs w:val="20"/>
        </w:rPr>
        <w:t>vých vahách za rok 20</w:t>
      </w:r>
      <w:r w:rsidR="001760B8">
        <w:rPr>
          <w:rFonts w:ascii="Arial" w:hAnsi="Arial" w:cs="Arial"/>
          <w:sz w:val="20"/>
          <w:szCs w:val="20"/>
        </w:rPr>
        <w:t>21</w:t>
      </w:r>
      <w:r w:rsidRPr="007052CC">
        <w:rPr>
          <w:rFonts w:ascii="Arial" w:hAnsi="Arial" w:cs="Arial"/>
          <w:sz w:val="20"/>
          <w:szCs w:val="20"/>
        </w:rPr>
        <w:t xml:space="preserve">. </w:t>
      </w:r>
      <w:r w:rsidRPr="007052CC">
        <w:rPr>
          <w:rFonts w:ascii="Arial" w:hAnsi="Arial" w:cs="Arial"/>
          <w:sz w:val="20"/>
        </w:rPr>
        <w:t>Váhy byly stanoveny na základě struktury tuzemských tržeb za rok 20</w:t>
      </w:r>
      <w:r w:rsidR="001760B8">
        <w:rPr>
          <w:rFonts w:ascii="Arial" w:hAnsi="Arial" w:cs="Arial"/>
          <w:sz w:val="20"/>
        </w:rPr>
        <w:t>21</w:t>
      </w:r>
      <w:r w:rsidRPr="007052CC">
        <w:rPr>
          <w:rFonts w:ascii="Arial" w:hAnsi="Arial" w:cs="Arial"/>
          <w:sz w:val="20"/>
        </w:rPr>
        <w:t xml:space="preserve"> z výkazu </w:t>
      </w:r>
      <w:proofErr w:type="spellStart"/>
      <w:r w:rsidRPr="007052CC">
        <w:rPr>
          <w:rFonts w:ascii="Arial" w:hAnsi="Arial" w:cs="Arial"/>
          <w:sz w:val="20"/>
        </w:rPr>
        <w:t>Prům</w:t>
      </w:r>
      <w:proofErr w:type="spellEnd"/>
      <w:r w:rsidRPr="007052CC">
        <w:rPr>
          <w:rFonts w:ascii="Arial" w:hAnsi="Arial" w:cs="Arial"/>
          <w:sz w:val="20"/>
        </w:rPr>
        <w:t xml:space="preserve"> 2-01</w:t>
      </w:r>
      <w:r w:rsidR="00EB373A" w:rsidRPr="007052CC">
        <w:rPr>
          <w:rFonts w:ascii="Arial" w:hAnsi="Arial" w:cs="Arial"/>
          <w:sz w:val="20"/>
        </w:rPr>
        <w:t xml:space="preserve">, </w:t>
      </w:r>
      <w:r w:rsidRPr="007052CC">
        <w:rPr>
          <w:rFonts w:ascii="Arial" w:hAnsi="Arial" w:cs="Arial"/>
          <w:sz w:val="20"/>
        </w:rPr>
        <w:t xml:space="preserve">Ceny </w:t>
      </w:r>
      <w:proofErr w:type="spellStart"/>
      <w:r w:rsidRPr="007052CC">
        <w:rPr>
          <w:rFonts w:ascii="Arial" w:hAnsi="Arial" w:cs="Arial"/>
          <w:sz w:val="20"/>
        </w:rPr>
        <w:t>Prům</w:t>
      </w:r>
      <w:proofErr w:type="spellEnd"/>
      <w:r w:rsidRPr="007052CC">
        <w:rPr>
          <w:rFonts w:ascii="Arial" w:hAnsi="Arial" w:cs="Arial"/>
          <w:sz w:val="20"/>
        </w:rPr>
        <w:t xml:space="preserve"> 1-12</w:t>
      </w:r>
      <w:r w:rsidR="00D110EA" w:rsidRPr="007052CC">
        <w:rPr>
          <w:rFonts w:ascii="Arial" w:hAnsi="Arial" w:cs="Arial"/>
          <w:sz w:val="20"/>
        </w:rPr>
        <w:t xml:space="preserve"> a administrativních dat výkazu P4-01.</w:t>
      </w:r>
    </w:p>
    <w:p w:rsidR="006F2310" w:rsidRPr="007052CC" w:rsidRDefault="006F2310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:rsidR="004B75DC" w:rsidRDefault="006F2310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sz w:val="20"/>
          <w:szCs w:val="20"/>
        </w:rPr>
        <w:t>Cenové indexy vypočítávané k základu prosinec 20</w:t>
      </w:r>
      <w:r w:rsidR="001760B8">
        <w:rPr>
          <w:rFonts w:ascii="Arial" w:hAnsi="Arial" w:cs="Arial"/>
          <w:sz w:val="20"/>
          <w:szCs w:val="20"/>
        </w:rPr>
        <w:t>15</w:t>
      </w:r>
      <w:r w:rsidRPr="007052CC">
        <w:rPr>
          <w:rFonts w:ascii="Arial" w:hAnsi="Arial" w:cs="Arial"/>
          <w:sz w:val="20"/>
          <w:szCs w:val="20"/>
        </w:rPr>
        <w:t xml:space="preserve"> = 100 byly nahrazeny novými technickými cenovými indexy se základem prosinec 20</w:t>
      </w:r>
      <w:r w:rsidR="001760B8">
        <w:rPr>
          <w:rFonts w:ascii="Arial" w:hAnsi="Arial" w:cs="Arial"/>
          <w:sz w:val="20"/>
          <w:szCs w:val="20"/>
        </w:rPr>
        <w:t>21</w:t>
      </w:r>
      <w:r w:rsidRPr="007052CC">
        <w:rPr>
          <w:rFonts w:ascii="Arial" w:hAnsi="Arial" w:cs="Arial"/>
          <w:sz w:val="20"/>
          <w:szCs w:val="20"/>
        </w:rPr>
        <w:t xml:space="preserve"> = 100. Takto vypočtené indexy jsou od čtyřmístné úrovně klasifikace CZ-CPA výše řetězeny k</w:t>
      </w:r>
      <w:r w:rsidR="00D110EA" w:rsidRPr="007052CC">
        <w:rPr>
          <w:rFonts w:ascii="Arial" w:hAnsi="Arial" w:cs="Arial"/>
          <w:sz w:val="20"/>
          <w:szCs w:val="20"/>
        </w:rPr>
        <w:t> </w:t>
      </w:r>
      <w:r w:rsidRPr="007052CC">
        <w:rPr>
          <w:rFonts w:ascii="Arial" w:hAnsi="Arial" w:cs="Arial"/>
          <w:sz w:val="20"/>
          <w:szCs w:val="20"/>
        </w:rPr>
        <w:t>bazickému základu průměr roku 20</w:t>
      </w:r>
      <w:r w:rsidR="00D110EA" w:rsidRPr="007052CC">
        <w:rPr>
          <w:rFonts w:ascii="Arial" w:hAnsi="Arial" w:cs="Arial"/>
          <w:sz w:val="20"/>
          <w:szCs w:val="20"/>
        </w:rPr>
        <w:t xml:space="preserve">15 </w:t>
      </w:r>
      <w:r w:rsidRPr="007052CC">
        <w:rPr>
          <w:rFonts w:ascii="Arial" w:hAnsi="Arial" w:cs="Arial"/>
          <w:sz w:val="20"/>
          <w:szCs w:val="20"/>
        </w:rPr>
        <w:t>= 100</w:t>
      </w:r>
      <w:r w:rsidR="001760B8">
        <w:rPr>
          <w:rFonts w:ascii="Arial" w:hAnsi="Arial" w:cs="Arial"/>
          <w:sz w:val="20"/>
          <w:szCs w:val="20"/>
        </w:rPr>
        <w:t xml:space="preserve">, </w:t>
      </w:r>
      <w:r w:rsidRPr="007052CC">
        <w:rPr>
          <w:rFonts w:ascii="Arial" w:hAnsi="Arial" w:cs="Arial"/>
          <w:sz w:val="20"/>
          <w:szCs w:val="20"/>
        </w:rPr>
        <w:t>čímž je zajištěno pokračování současných časových řad indexů.</w:t>
      </w:r>
      <w:r w:rsidR="00D110EA" w:rsidRPr="007052CC">
        <w:rPr>
          <w:rFonts w:ascii="Arial" w:hAnsi="Arial" w:cs="Arial"/>
          <w:sz w:val="20"/>
          <w:szCs w:val="20"/>
        </w:rPr>
        <w:t xml:space="preserve"> </w:t>
      </w:r>
    </w:p>
    <w:p w:rsidR="004B75DC" w:rsidRDefault="004B75DC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:rsidR="006F2310" w:rsidRDefault="00D37413" w:rsidP="006F2310">
      <w:pPr>
        <w:rPr>
          <w:rFonts w:ascii="Arial" w:hAnsi="Arial" w:cs="Arial"/>
          <w:sz w:val="20"/>
          <w:szCs w:val="20"/>
        </w:rPr>
      </w:pPr>
      <w:r w:rsidRPr="00254967">
        <w:rPr>
          <w:rFonts w:ascii="Arial" w:hAnsi="Arial" w:cs="Arial"/>
          <w:sz w:val="20"/>
          <w:szCs w:val="20"/>
        </w:rPr>
        <w:t>Z časové řady průměr 2015=100 b</w:t>
      </w:r>
      <w:r>
        <w:rPr>
          <w:rFonts w:ascii="Arial" w:hAnsi="Arial" w:cs="Arial"/>
          <w:sz w:val="20"/>
          <w:szCs w:val="20"/>
        </w:rPr>
        <w:t>yla</w:t>
      </w:r>
      <w:r w:rsidRPr="00254967">
        <w:rPr>
          <w:rFonts w:ascii="Arial" w:hAnsi="Arial" w:cs="Arial"/>
          <w:sz w:val="20"/>
          <w:szCs w:val="20"/>
        </w:rPr>
        <w:t xml:space="preserve"> spočtena časová řada průměr 2021 = 100, a to vydělením indexů časové řady průměr 2015 = 100 indexem průměr roku 2021.</w:t>
      </w:r>
      <w:r w:rsidR="001760B8" w:rsidRPr="00D17401">
        <w:rPr>
          <w:rFonts w:ascii="Arial" w:hAnsi="Arial" w:cs="Arial"/>
          <w:sz w:val="20"/>
          <w:szCs w:val="20"/>
        </w:rPr>
        <w:t xml:space="preserve"> Výpočet časových řad k základům průměr roku 2005</w:t>
      </w:r>
      <w:r w:rsidR="001760B8">
        <w:rPr>
          <w:rFonts w:ascii="Arial" w:hAnsi="Arial" w:cs="Arial"/>
          <w:sz w:val="20"/>
          <w:szCs w:val="20"/>
        </w:rPr>
        <w:t> </w:t>
      </w:r>
      <w:r w:rsidR="001760B8" w:rsidRPr="00D17401">
        <w:rPr>
          <w:rFonts w:ascii="Arial" w:hAnsi="Arial" w:cs="Arial"/>
          <w:sz w:val="20"/>
          <w:szCs w:val="20"/>
        </w:rPr>
        <w:t>=</w:t>
      </w:r>
      <w:r w:rsidR="001760B8">
        <w:rPr>
          <w:rFonts w:ascii="Arial" w:hAnsi="Arial" w:cs="Arial"/>
          <w:sz w:val="20"/>
          <w:szCs w:val="20"/>
        </w:rPr>
        <w:t> </w:t>
      </w:r>
      <w:r w:rsidR="001760B8" w:rsidRPr="00D17401">
        <w:rPr>
          <w:rFonts w:ascii="Arial" w:hAnsi="Arial" w:cs="Arial"/>
          <w:sz w:val="20"/>
          <w:szCs w:val="20"/>
        </w:rPr>
        <w:t>100  a</w:t>
      </w:r>
      <w:r w:rsidR="001760B8">
        <w:rPr>
          <w:rFonts w:ascii="Arial" w:hAnsi="Arial" w:cs="Arial"/>
          <w:sz w:val="20"/>
          <w:szCs w:val="20"/>
        </w:rPr>
        <w:t> </w:t>
      </w:r>
      <w:r w:rsidR="001760B8" w:rsidRPr="00D17401">
        <w:rPr>
          <w:rFonts w:ascii="Arial" w:hAnsi="Arial" w:cs="Arial"/>
          <w:sz w:val="20"/>
          <w:szCs w:val="20"/>
        </w:rPr>
        <w:t>průměr roku 2010</w:t>
      </w:r>
      <w:r w:rsidR="001760B8">
        <w:rPr>
          <w:rFonts w:ascii="Arial" w:hAnsi="Arial" w:cs="Arial"/>
          <w:sz w:val="20"/>
          <w:szCs w:val="20"/>
        </w:rPr>
        <w:t> </w:t>
      </w:r>
      <w:r w:rsidR="001760B8" w:rsidRPr="00D17401">
        <w:rPr>
          <w:rFonts w:ascii="Arial" w:hAnsi="Arial" w:cs="Arial"/>
          <w:sz w:val="20"/>
          <w:szCs w:val="20"/>
        </w:rPr>
        <w:t>=</w:t>
      </w:r>
      <w:r w:rsidR="001760B8">
        <w:rPr>
          <w:rFonts w:ascii="Arial" w:hAnsi="Arial" w:cs="Arial"/>
          <w:sz w:val="20"/>
          <w:szCs w:val="20"/>
        </w:rPr>
        <w:t> </w:t>
      </w:r>
      <w:r w:rsidR="001760B8" w:rsidRPr="00D17401">
        <w:rPr>
          <w:rFonts w:ascii="Arial" w:hAnsi="Arial" w:cs="Arial"/>
          <w:sz w:val="20"/>
          <w:szCs w:val="20"/>
        </w:rPr>
        <w:t>100 b</w:t>
      </w:r>
      <w:r w:rsidR="001760B8">
        <w:rPr>
          <w:rFonts w:ascii="Arial" w:hAnsi="Arial" w:cs="Arial"/>
          <w:sz w:val="20"/>
          <w:szCs w:val="20"/>
        </w:rPr>
        <w:t xml:space="preserve">yl </w:t>
      </w:r>
      <w:r w:rsidR="001760B8" w:rsidRPr="00D17401">
        <w:rPr>
          <w:rFonts w:ascii="Arial" w:hAnsi="Arial" w:cs="Arial"/>
          <w:sz w:val="20"/>
          <w:szCs w:val="20"/>
        </w:rPr>
        <w:t>v</w:t>
      </w:r>
      <w:r w:rsidR="001760B8">
        <w:rPr>
          <w:rFonts w:ascii="Arial" w:hAnsi="Arial" w:cs="Arial"/>
          <w:sz w:val="20"/>
          <w:szCs w:val="20"/>
        </w:rPr>
        <w:t> </w:t>
      </w:r>
      <w:r w:rsidR="001760B8" w:rsidRPr="00D17401">
        <w:rPr>
          <w:rFonts w:ascii="Arial" w:hAnsi="Arial" w:cs="Arial"/>
          <w:sz w:val="20"/>
          <w:szCs w:val="20"/>
        </w:rPr>
        <w:t>prosinci 2022 ukončen.</w:t>
      </w:r>
    </w:p>
    <w:p w:rsidR="00D37413" w:rsidRDefault="00D37413" w:rsidP="006F2310">
      <w:pPr>
        <w:rPr>
          <w:rFonts w:ascii="Arial" w:hAnsi="Arial" w:cs="Arial"/>
          <w:sz w:val="20"/>
          <w:szCs w:val="20"/>
        </w:rPr>
      </w:pPr>
    </w:p>
    <w:p w:rsidR="00D37413" w:rsidRDefault="00D37413" w:rsidP="006F2310">
      <w:pPr>
        <w:rPr>
          <w:rFonts w:ascii="Arial" w:hAnsi="Arial" w:cs="Arial"/>
          <w:sz w:val="20"/>
          <w:szCs w:val="20"/>
        </w:rPr>
      </w:pPr>
      <w:r w:rsidRPr="00254967">
        <w:rPr>
          <w:rFonts w:ascii="Arial" w:hAnsi="Arial" w:cs="Arial"/>
          <w:sz w:val="20"/>
          <w:szCs w:val="20"/>
        </w:rPr>
        <w:t xml:space="preserve">Odvozené indexy (meziměsíční, meziroční, podíl klouzavých průměrů) </w:t>
      </w:r>
      <w:r w:rsidR="001422C0">
        <w:rPr>
          <w:rFonts w:ascii="Arial" w:hAnsi="Arial" w:cs="Arial"/>
          <w:sz w:val="20"/>
          <w:szCs w:val="20"/>
        </w:rPr>
        <w:t xml:space="preserve">jsou stále </w:t>
      </w:r>
      <w:r w:rsidRPr="00254967">
        <w:rPr>
          <w:rFonts w:ascii="Arial" w:hAnsi="Arial" w:cs="Arial"/>
          <w:sz w:val="20"/>
          <w:szCs w:val="20"/>
        </w:rPr>
        <w:t>počítány z řady bazických indexů o základu průměr roku 2015 = 100.</w:t>
      </w:r>
    </w:p>
    <w:p w:rsidR="001760B8" w:rsidRPr="007052CC" w:rsidRDefault="001760B8" w:rsidP="006F2310">
      <w:pPr>
        <w:rPr>
          <w:rFonts w:ascii="Arial" w:hAnsi="Arial" w:cs="Arial"/>
          <w:sz w:val="20"/>
          <w:szCs w:val="20"/>
        </w:rPr>
      </w:pPr>
    </w:p>
    <w:p w:rsidR="001760B8" w:rsidRPr="001760B8" w:rsidRDefault="001760B8" w:rsidP="001760B8">
      <w:pPr>
        <w:rPr>
          <w:rFonts w:ascii="Arial" w:hAnsi="Arial" w:cs="Arial"/>
          <w:sz w:val="20"/>
          <w:szCs w:val="20"/>
        </w:rPr>
      </w:pPr>
      <w:r w:rsidRPr="001760B8">
        <w:rPr>
          <w:rFonts w:ascii="Arial" w:hAnsi="Arial" w:cs="Arial"/>
          <w:sz w:val="20"/>
          <w:szCs w:val="20"/>
        </w:rPr>
        <w:t>Ze sledování a z publikování b</w:t>
      </w:r>
      <w:r>
        <w:rPr>
          <w:rFonts w:ascii="Arial" w:hAnsi="Arial" w:cs="Arial"/>
          <w:sz w:val="20"/>
          <w:szCs w:val="20"/>
        </w:rPr>
        <w:t xml:space="preserve">yla </w:t>
      </w:r>
      <w:r w:rsidRPr="001760B8">
        <w:rPr>
          <w:rFonts w:ascii="Arial" w:hAnsi="Arial" w:cs="Arial"/>
          <w:b/>
          <w:sz w:val="20"/>
          <w:szCs w:val="20"/>
        </w:rPr>
        <w:t>vyřazeny</w:t>
      </w:r>
      <w:r w:rsidRPr="001760B8">
        <w:rPr>
          <w:rFonts w:ascii="Arial" w:hAnsi="Arial" w:cs="Arial"/>
          <w:sz w:val="20"/>
          <w:szCs w:val="20"/>
        </w:rPr>
        <w:t xml:space="preserve"> tyto agregace:</w:t>
      </w:r>
    </w:p>
    <w:p w:rsidR="001760B8" w:rsidRPr="001760B8" w:rsidRDefault="001760B8" w:rsidP="001760B8">
      <w:pPr>
        <w:rPr>
          <w:rFonts w:ascii="Arial" w:hAnsi="Arial" w:cs="Arial"/>
          <w:sz w:val="20"/>
          <w:szCs w:val="20"/>
        </w:rPr>
      </w:pPr>
      <w:r w:rsidRPr="001760B8">
        <w:rPr>
          <w:rFonts w:ascii="Arial" w:hAnsi="Arial" w:cs="Arial"/>
          <w:sz w:val="20"/>
          <w:szCs w:val="20"/>
        </w:rPr>
        <w:t>CA 12 – Tabákové výrobky, vč. subdodavatelských prací</w:t>
      </w:r>
    </w:p>
    <w:p w:rsidR="001760B8" w:rsidRPr="001760B8" w:rsidRDefault="001760B8" w:rsidP="001760B8">
      <w:pPr>
        <w:rPr>
          <w:rFonts w:ascii="Arial" w:hAnsi="Arial" w:cs="Arial"/>
          <w:sz w:val="20"/>
          <w:szCs w:val="20"/>
        </w:rPr>
      </w:pPr>
      <w:r w:rsidRPr="001760B8">
        <w:rPr>
          <w:rFonts w:ascii="Arial" w:hAnsi="Arial" w:cs="Arial"/>
          <w:sz w:val="20"/>
          <w:szCs w:val="20"/>
        </w:rPr>
        <w:t>CB 151 – Činěné a upravené usně (vyčiněné kůže); vč. subdodavatelských prací</w:t>
      </w:r>
    </w:p>
    <w:p w:rsidR="001760B8" w:rsidRDefault="001760B8" w:rsidP="001760B8">
      <w:pPr>
        <w:rPr>
          <w:rFonts w:ascii="Arial" w:hAnsi="Arial" w:cs="Arial"/>
          <w:sz w:val="20"/>
          <w:szCs w:val="20"/>
        </w:rPr>
      </w:pPr>
      <w:r w:rsidRPr="001760B8">
        <w:rPr>
          <w:rFonts w:ascii="Arial" w:hAnsi="Arial" w:cs="Arial"/>
          <w:sz w:val="20"/>
          <w:szCs w:val="20"/>
        </w:rPr>
        <w:t>CH 253 – Parní kotle, kromě kotlů k ústřednímu topení, vč. subdodavatelských prací</w:t>
      </w:r>
    </w:p>
    <w:p w:rsidR="001760B8" w:rsidRPr="001760B8" w:rsidRDefault="001760B8" w:rsidP="001760B8">
      <w:pPr>
        <w:rPr>
          <w:rFonts w:ascii="Arial" w:hAnsi="Arial" w:cs="Arial"/>
          <w:sz w:val="20"/>
          <w:szCs w:val="20"/>
        </w:rPr>
      </w:pPr>
    </w:p>
    <w:p w:rsidR="00D110EA" w:rsidRDefault="001760B8" w:rsidP="001760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Zároveň byly </w:t>
      </w:r>
      <w:r w:rsidRPr="001760B8">
        <w:rPr>
          <w:rFonts w:ascii="Arial" w:hAnsi="Arial" w:cs="Arial"/>
          <w:sz w:val="20"/>
          <w:szCs w:val="20"/>
        </w:rPr>
        <w:t xml:space="preserve">vyřazeny všechny </w:t>
      </w:r>
      <w:proofErr w:type="spellStart"/>
      <w:r w:rsidRPr="001760B8">
        <w:rPr>
          <w:rFonts w:ascii="Arial" w:hAnsi="Arial" w:cs="Arial"/>
          <w:sz w:val="20"/>
          <w:szCs w:val="20"/>
        </w:rPr>
        <w:t>subsekce</w:t>
      </w:r>
      <w:proofErr w:type="spellEnd"/>
      <w:r w:rsidRPr="001760B8">
        <w:rPr>
          <w:rFonts w:ascii="Arial" w:hAnsi="Arial" w:cs="Arial"/>
          <w:sz w:val="20"/>
          <w:szCs w:val="20"/>
        </w:rPr>
        <w:t xml:space="preserve"> CA až CM, které již nejsou součástí klasifikace.</w:t>
      </w:r>
    </w:p>
    <w:p w:rsidR="001760B8" w:rsidRPr="007052CC" w:rsidRDefault="001760B8" w:rsidP="001760B8">
      <w:pPr>
        <w:rPr>
          <w:rFonts w:ascii="Arial" w:hAnsi="Arial" w:cs="Arial"/>
          <w:sz w:val="20"/>
          <w:szCs w:val="20"/>
        </w:rPr>
      </w:pP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 xml:space="preserve">Cenové indexy jsou počítány na základě cen za výběrové soubory reprezentantů a vybrané zpravodajské jednotky agregací jednoduchých indexů cen reprezentantů do úhrnů pomocí výpočetního vzorce typu </w:t>
      </w:r>
      <w:r w:rsidRPr="007052CC">
        <w:rPr>
          <w:rFonts w:ascii="Arial" w:hAnsi="Arial" w:cs="Arial"/>
          <w:sz w:val="20"/>
          <w:lang w:val="fr-FR"/>
        </w:rPr>
        <w:t xml:space="preserve">Laspeyres </w:t>
      </w:r>
      <w:r w:rsidRPr="007052CC">
        <w:rPr>
          <w:rFonts w:ascii="Arial" w:hAnsi="Arial" w:cs="Arial"/>
          <w:sz w:val="20"/>
        </w:rPr>
        <w:t>v modifikované podobě. Pro výpočet se používají stálé váhy.</w:t>
      </w:r>
    </w:p>
    <w:p w:rsidR="00694FE5" w:rsidRPr="007052CC" w:rsidRDefault="00694FE5">
      <w:pPr>
        <w:ind w:firstLine="720"/>
        <w:rPr>
          <w:rFonts w:ascii="Arial" w:hAnsi="Arial" w:cs="Arial"/>
          <w:sz w:val="20"/>
          <w:szCs w:val="22"/>
        </w:rPr>
      </w:pPr>
    </w:p>
    <w:p w:rsidR="00694FE5" w:rsidRPr="007052CC" w:rsidRDefault="00694FE5">
      <w:pPr>
        <w:jc w:val="center"/>
        <w:rPr>
          <w:rFonts w:ascii="Arial" w:hAnsi="Arial" w:cs="Arial"/>
          <w:sz w:val="20"/>
          <w:szCs w:val="22"/>
        </w:rPr>
      </w:pPr>
      <w:r w:rsidRPr="007052CC">
        <w:rPr>
          <w:rFonts w:ascii="Arial" w:hAnsi="Arial" w:cs="Arial"/>
          <w:position w:val="-32"/>
          <w:sz w:val="20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9pt;height:51.95pt" o:ole="">
            <v:imagedata r:id="rId8" o:title=""/>
          </v:shape>
          <o:OLEObject Type="Embed" ProgID="Equation.3" ShapeID="_x0000_i1025" DrawAspect="Content" ObjectID="_1798961801" r:id="rId9"/>
        </w:object>
      </w:r>
    </w:p>
    <w:p w:rsidR="00694FE5" w:rsidRPr="007052CC" w:rsidRDefault="00694FE5">
      <w:pPr>
        <w:jc w:val="both"/>
        <w:rPr>
          <w:rFonts w:ascii="Arial" w:hAnsi="Arial" w:cs="Arial"/>
          <w:sz w:val="20"/>
          <w:szCs w:val="22"/>
        </w:rPr>
      </w:pPr>
    </w:p>
    <w:p w:rsidR="00694FE5" w:rsidRPr="007052CC" w:rsidRDefault="00694FE5">
      <w:pPr>
        <w:pStyle w:val="Zkladntext2"/>
        <w:tabs>
          <w:tab w:val="clear" w:pos="-1440"/>
          <w:tab w:val="clear" w:pos="-720"/>
          <w:tab w:val="clear" w:pos="0"/>
          <w:tab w:val="clear" w:pos="68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rPr>
          <w:rFonts w:cs="Arial"/>
          <w:sz w:val="20"/>
          <w:lang w:eastAsia="en-US"/>
        </w:rPr>
      </w:pPr>
      <w:r w:rsidRPr="007052CC">
        <w:rPr>
          <w:rFonts w:cs="Arial"/>
          <w:sz w:val="20"/>
          <w:lang w:eastAsia="en-US"/>
        </w:rPr>
        <w:t>kde:</w:t>
      </w:r>
    </w:p>
    <w:p w:rsidR="00694FE5" w:rsidRPr="007052CC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</w:t>
      </w:r>
      <w:r w:rsidRPr="007052CC">
        <w:rPr>
          <w:rFonts w:ascii="Arial" w:hAnsi="Arial" w:cs="Arial"/>
          <w:sz w:val="20"/>
          <w:vertAlign w:val="subscript"/>
        </w:rPr>
        <w:t>1</w:t>
      </w:r>
      <w:r w:rsidRPr="007052CC">
        <w:rPr>
          <w:rFonts w:ascii="Arial" w:hAnsi="Arial" w:cs="Arial"/>
          <w:sz w:val="20"/>
        </w:rPr>
        <w:tab/>
        <w:t xml:space="preserve">značí cenu ve sledovaném období </w:t>
      </w:r>
    </w:p>
    <w:p w:rsidR="00694FE5" w:rsidRPr="007052CC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</w:t>
      </w:r>
      <w:r w:rsidRPr="007052CC">
        <w:rPr>
          <w:rFonts w:ascii="Arial" w:hAnsi="Arial" w:cs="Arial"/>
          <w:sz w:val="20"/>
          <w:vertAlign w:val="subscript"/>
        </w:rPr>
        <w:t>0</w:t>
      </w:r>
      <w:r w:rsidRPr="007052CC">
        <w:rPr>
          <w:rFonts w:ascii="Arial" w:hAnsi="Arial" w:cs="Arial"/>
          <w:sz w:val="20"/>
        </w:rPr>
        <w:tab/>
        <w:t xml:space="preserve">značí cenu v základním období (prosinec </w:t>
      </w:r>
      <w:r w:rsidR="00940517" w:rsidRPr="007052CC">
        <w:rPr>
          <w:rFonts w:ascii="Arial" w:hAnsi="Arial" w:cs="Arial"/>
          <w:sz w:val="20"/>
        </w:rPr>
        <w:t>20</w:t>
      </w:r>
      <w:r w:rsidR="00B45469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>)</w:t>
      </w:r>
    </w:p>
    <w:p w:rsidR="00694FE5" w:rsidRPr="007052CC" w:rsidRDefault="00694FE5">
      <w:pPr>
        <w:pStyle w:val="Zkladntext"/>
        <w:tabs>
          <w:tab w:val="left" w:pos="720"/>
        </w:tabs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</w:t>
      </w:r>
      <w:r w:rsidRPr="007052CC">
        <w:rPr>
          <w:rFonts w:ascii="Arial" w:hAnsi="Arial" w:cs="Arial"/>
          <w:sz w:val="20"/>
          <w:vertAlign w:val="subscript"/>
        </w:rPr>
        <w:t>0</w:t>
      </w:r>
      <w:r w:rsidRPr="007052CC">
        <w:rPr>
          <w:rFonts w:ascii="Arial" w:hAnsi="Arial" w:cs="Arial"/>
          <w:sz w:val="20"/>
        </w:rPr>
        <w:t>q</w:t>
      </w:r>
      <w:r w:rsidRPr="007052CC">
        <w:rPr>
          <w:rFonts w:ascii="Arial" w:hAnsi="Arial" w:cs="Arial"/>
          <w:sz w:val="20"/>
          <w:vertAlign w:val="subscript"/>
        </w:rPr>
        <w:t>0</w:t>
      </w:r>
      <w:r w:rsidRPr="007052CC">
        <w:rPr>
          <w:rFonts w:ascii="Arial" w:hAnsi="Arial" w:cs="Arial"/>
          <w:sz w:val="20"/>
        </w:rPr>
        <w:tab/>
        <w:t xml:space="preserve">stálá váha - hodnotový ukazatel v promile (tuzemské tržby roku </w:t>
      </w:r>
      <w:r w:rsidR="00940517" w:rsidRPr="007052CC">
        <w:rPr>
          <w:rFonts w:ascii="Arial" w:hAnsi="Arial" w:cs="Arial"/>
          <w:sz w:val="20"/>
        </w:rPr>
        <w:t>20</w:t>
      </w:r>
      <w:r w:rsidR="00B45469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>)</w:t>
      </w:r>
    </w:p>
    <w:p w:rsidR="00694FE5" w:rsidRPr="007052CC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</w:p>
    <w:p w:rsidR="00694FE5" w:rsidRPr="007052CC" w:rsidRDefault="00694FE5">
      <w:pPr>
        <w:autoSpaceDE w:val="0"/>
        <w:autoSpaceDN w:val="0"/>
        <w:adjustRightInd w:val="0"/>
        <w:rPr>
          <w:rFonts w:ascii="Arial" w:hAnsi="Arial" w:cs="Arial"/>
          <w:strike/>
          <w:sz w:val="20"/>
          <w:szCs w:val="20"/>
          <w:lang w:eastAsia="cs-CZ"/>
        </w:rPr>
      </w:pPr>
      <w:r w:rsidRPr="007052CC">
        <w:rPr>
          <w:rFonts w:ascii="Arial" w:hAnsi="Arial" w:cs="Arial"/>
          <w:sz w:val="20"/>
        </w:rPr>
        <w:t>Index cen průmyslových výrobců se počítá měsíčně na základě cen zjištěných státním statistickým výkazem Ceny Prům 1-12. Tento výkaz vyplňují vybrané organizace (</w:t>
      </w:r>
      <w:r w:rsidR="00550726" w:rsidRPr="007052CC">
        <w:rPr>
          <w:rFonts w:ascii="Arial" w:hAnsi="Arial" w:cs="Arial"/>
          <w:sz w:val="20"/>
        </w:rPr>
        <w:t>cca 1200</w:t>
      </w:r>
      <w:r w:rsidR="008255DF" w:rsidRPr="007052CC">
        <w:rPr>
          <w:rFonts w:ascii="Arial" w:hAnsi="Arial" w:cs="Arial"/>
          <w:sz w:val="20"/>
        </w:rPr>
        <w:t xml:space="preserve">) </w:t>
      </w:r>
      <w:r w:rsidRPr="007052CC">
        <w:rPr>
          <w:rFonts w:ascii="Arial" w:hAnsi="Arial" w:cs="Arial"/>
          <w:sz w:val="20"/>
        </w:rPr>
        <w:t>za vybrané reprezentanty (</w:t>
      </w:r>
      <w:r w:rsidR="00550726" w:rsidRPr="007052CC">
        <w:rPr>
          <w:rFonts w:ascii="Arial" w:hAnsi="Arial" w:cs="Arial"/>
          <w:sz w:val="20"/>
        </w:rPr>
        <w:t xml:space="preserve">cca </w:t>
      </w:r>
      <w:r w:rsidR="003A1D18">
        <w:rPr>
          <w:rFonts w:ascii="Arial" w:hAnsi="Arial" w:cs="Arial"/>
          <w:sz w:val="20"/>
        </w:rPr>
        <w:t>5000</w:t>
      </w:r>
      <w:r w:rsidRPr="007052CC">
        <w:rPr>
          <w:rFonts w:ascii="Arial" w:hAnsi="Arial" w:cs="Arial"/>
          <w:sz w:val="20"/>
        </w:rPr>
        <w:t>). Vykazovaná cena je cena sjednaná mezi dodavatelem a odběratelem u výrobků určených na tuzemský trh (bez DPH, spotřební daně a bez nákladů na dopravu k zákazníkovi a nákladů s ní spojených). Období pro sledování ceny zahrnuje ceny mezi 1. až 18. kalendářním dnem sledovaného měsíce</w:t>
      </w:r>
      <w:r w:rsidR="00B45469" w:rsidRPr="007052CC">
        <w:rPr>
          <w:rFonts w:ascii="Arial" w:hAnsi="Arial" w:cs="Arial"/>
          <w:sz w:val="20"/>
        </w:rPr>
        <w:t>.</w:t>
      </w:r>
      <w:r w:rsidRPr="007052CC">
        <w:rPr>
          <w:rFonts w:ascii="Arial" w:hAnsi="Arial" w:cs="Arial"/>
          <w:sz w:val="20"/>
        </w:rPr>
        <w:t xml:space="preserve"> </w:t>
      </w:r>
    </w:p>
    <w:p w:rsidR="00694FE5" w:rsidRPr="007052CC" w:rsidRDefault="00694FE5">
      <w:pPr>
        <w:pStyle w:val="Zkladntext"/>
        <w:rPr>
          <w:rFonts w:ascii="Arial" w:hAnsi="Arial" w:cs="Arial"/>
          <w:color w:val="3366FF"/>
          <w:sz w:val="20"/>
        </w:rPr>
      </w:pPr>
    </w:p>
    <w:p w:rsidR="00694FE5" w:rsidRPr="007052CC" w:rsidRDefault="00694FE5">
      <w:pPr>
        <w:pStyle w:val="Zkladntext"/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Indexy cen průmyslových výrobců jsou počítány a publikovány k základům:</w:t>
      </w:r>
    </w:p>
    <w:p w:rsidR="00694FE5" w:rsidRPr="007052CC" w:rsidRDefault="008255DF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průměr roku 20</w:t>
      </w:r>
      <w:r w:rsidR="00B45469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 xml:space="preserve"> = 100 (</w:t>
      </w:r>
      <w:r w:rsidR="00694FE5" w:rsidRPr="007052CC">
        <w:rPr>
          <w:rFonts w:ascii="Arial" w:hAnsi="Arial" w:cs="Arial"/>
          <w:sz w:val="20"/>
        </w:rPr>
        <w:t>bazický index),</w:t>
      </w:r>
    </w:p>
    <w:p w:rsidR="00694FE5" w:rsidRPr="007052CC" w:rsidRDefault="00B45469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průměr roku 20</w:t>
      </w:r>
      <w:r w:rsidR="001422C0">
        <w:rPr>
          <w:rFonts w:ascii="Arial" w:hAnsi="Arial" w:cs="Arial"/>
          <w:sz w:val="20"/>
        </w:rPr>
        <w:t>21</w:t>
      </w:r>
      <w:r w:rsidRPr="007052CC">
        <w:rPr>
          <w:rFonts w:ascii="Arial" w:hAnsi="Arial" w:cs="Arial"/>
          <w:sz w:val="20"/>
        </w:rPr>
        <w:t xml:space="preserve"> = 100</w:t>
      </w:r>
      <w:r w:rsidR="008255DF" w:rsidRPr="007052CC">
        <w:rPr>
          <w:rFonts w:ascii="Arial" w:hAnsi="Arial" w:cs="Arial"/>
          <w:sz w:val="20"/>
        </w:rPr>
        <w:t xml:space="preserve"> </w:t>
      </w:r>
      <w:r w:rsidR="00694FE5" w:rsidRPr="007052CC">
        <w:rPr>
          <w:rFonts w:ascii="Arial" w:hAnsi="Arial" w:cs="Arial"/>
          <w:sz w:val="20"/>
        </w:rPr>
        <w:t>(odvozený bazický index),</w:t>
      </w:r>
    </w:p>
    <w:p w:rsidR="00694FE5" w:rsidRPr="007052CC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předchozí období = 100,</w:t>
      </w:r>
    </w:p>
    <w:p w:rsidR="00694FE5" w:rsidRPr="007052CC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stejné období předchozího roku = 100,</w:t>
      </w:r>
    </w:p>
    <w:p w:rsidR="00694FE5" w:rsidRPr="007052CC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 xml:space="preserve">podíl klouzavých průměrů indexů (průměr indexů za posledních 12 měsíců k průměru indexů za předchozích 12 měsíců, vypočteno z indexů k základu </w:t>
      </w:r>
      <w:r w:rsidR="00B45469" w:rsidRPr="007052CC">
        <w:rPr>
          <w:rFonts w:ascii="Arial" w:hAnsi="Arial" w:cs="Arial"/>
          <w:sz w:val="20"/>
        </w:rPr>
        <w:t>průměr roku 2015</w:t>
      </w:r>
      <w:r w:rsidRPr="007052CC">
        <w:rPr>
          <w:rFonts w:ascii="Arial" w:hAnsi="Arial" w:cs="Arial"/>
          <w:sz w:val="20"/>
        </w:rPr>
        <w:t xml:space="preserve"> = 100). </w:t>
      </w: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ab/>
      </w:r>
    </w:p>
    <w:p w:rsidR="00694FE5" w:rsidRPr="007052CC" w:rsidRDefault="00694FE5">
      <w:pPr>
        <w:rPr>
          <w:rFonts w:ascii="Arial" w:hAnsi="Arial" w:cs="Arial"/>
          <w:sz w:val="20"/>
          <w:szCs w:val="19"/>
        </w:rPr>
      </w:pPr>
      <w:r w:rsidRPr="007052CC">
        <w:rPr>
          <w:rFonts w:ascii="Arial" w:hAnsi="Arial" w:cs="Arial"/>
          <w:sz w:val="20"/>
          <w:szCs w:val="19"/>
        </w:rPr>
        <w:lastRenderedPageBreak/>
        <w:t>Od ledna 2003 jsou také publikovány indexy cen průmyslových výrobců podle Hlavních průmyslových skupin (Main Industrial Groupings MIGs). Jejich obsah byl definován v Nařízení Komise (EK) číslo 586/2001 ze dne 26. března 2001 realizující Nařízení Rady (EK) číslo 1165/98 o krátkodobých statistikách. V červnu 2007 došlo Nařízením Komise (ES) číslo 656/2007 ke změně obsahu jednotlivých průmyslových skupin. První výpočet a publikování podle aktuálního nařízení proběhl v lednu 2009. Přepočet časových řad byl proveden do roku 2000 včetně.</w:t>
      </w:r>
    </w:p>
    <w:p w:rsidR="00694FE5" w:rsidRPr="007052CC" w:rsidRDefault="00694FE5">
      <w:pPr>
        <w:rPr>
          <w:rFonts w:ascii="Arial" w:hAnsi="Arial" w:cs="Arial"/>
          <w:sz w:val="20"/>
          <w:szCs w:val="19"/>
        </w:rPr>
      </w:pPr>
    </w:p>
    <w:p w:rsidR="00694FE5" w:rsidRDefault="00694FE5" w:rsidP="004367B7">
      <w:pPr>
        <w:rPr>
          <w:rFonts w:ascii="Arial" w:hAnsi="Arial" w:cs="Arial"/>
          <w:b/>
          <w:bCs/>
          <w:sz w:val="20"/>
        </w:rPr>
      </w:pPr>
    </w:p>
    <w:p w:rsidR="004367B7" w:rsidRPr="007052CC" w:rsidRDefault="004367B7" w:rsidP="004367B7">
      <w:pPr>
        <w:rPr>
          <w:rFonts w:ascii="Arial" w:hAnsi="Arial" w:cs="Arial"/>
          <w:b/>
          <w:bCs/>
          <w:sz w:val="20"/>
        </w:rPr>
      </w:pPr>
    </w:p>
    <w:p w:rsidR="00694FE5" w:rsidRPr="007052CC" w:rsidRDefault="00694FE5" w:rsidP="009B3284">
      <w:pPr>
        <w:rPr>
          <w:rFonts w:ascii="Arial" w:hAnsi="Arial" w:cs="Arial"/>
          <w:b/>
          <w:bCs/>
          <w:sz w:val="20"/>
        </w:rPr>
      </w:pPr>
      <w:r w:rsidRPr="007052CC">
        <w:rPr>
          <w:rFonts w:ascii="Arial" w:hAnsi="Arial" w:cs="Arial"/>
          <w:b/>
          <w:bCs/>
          <w:sz w:val="20"/>
        </w:rPr>
        <w:t>Průměrné ceny zemního plynu</w:t>
      </w:r>
      <w:r w:rsidR="004367B7">
        <w:rPr>
          <w:rFonts w:ascii="Arial" w:hAnsi="Arial" w:cs="Arial"/>
          <w:b/>
          <w:bCs/>
          <w:sz w:val="20"/>
        </w:rPr>
        <w:t xml:space="preserve"> a elektřiny</w:t>
      </w:r>
    </w:p>
    <w:p w:rsidR="00694FE5" w:rsidRPr="007052CC" w:rsidRDefault="00694FE5">
      <w:pPr>
        <w:rPr>
          <w:rFonts w:ascii="Arial" w:hAnsi="Arial" w:cs="Arial"/>
          <w:sz w:val="20"/>
        </w:rPr>
      </w:pP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 xml:space="preserve">Od roku 2002 jsou publikovány </w:t>
      </w:r>
      <w:r w:rsidRPr="007052CC">
        <w:rPr>
          <w:rFonts w:ascii="Arial" w:hAnsi="Arial" w:cs="Arial"/>
          <w:b/>
          <w:bCs/>
          <w:sz w:val="20"/>
        </w:rPr>
        <w:t xml:space="preserve">průměrné ceny zemního plynu a elektrické energie. </w:t>
      </w:r>
      <w:r w:rsidRPr="007052CC">
        <w:rPr>
          <w:rFonts w:ascii="Arial" w:hAnsi="Arial" w:cs="Arial"/>
          <w:sz w:val="20"/>
        </w:rPr>
        <w:t>Tyto ceny jsou zároveň poskytovány Statistickému úřadu Evropské unie (Eurostat).</w:t>
      </w:r>
    </w:p>
    <w:p w:rsidR="00694FE5" w:rsidRPr="007052CC" w:rsidRDefault="00694FE5">
      <w:pPr>
        <w:rPr>
          <w:rFonts w:ascii="Arial" w:hAnsi="Arial" w:cs="Arial"/>
          <w:b/>
          <w:bCs/>
          <w:sz w:val="20"/>
        </w:rPr>
      </w:pP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Do konce roku 2007</w:t>
      </w:r>
      <w:r w:rsidRPr="007052CC">
        <w:rPr>
          <w:rFonts w:ascii="Arial" w:hAnsi="Arial" w:cs="Arial"/>
          <w:b/>
          <w:bCs/>
          <w:sz w:val="20"/>
        </w:rPr>
        <w:t xml:space="preserve"> </w:t>
      </w:r>
      <w:r w:rsidRPr="007052CC">
        <w:rPr>
          <w:rFonts w:ascii="Arial" w:hAnsi="Arial" w:cs="Arial"/>
          <w:sz w:val="20"/>
        </w:rPr>
        <w:t xml:space="preserve">se zveřejňovaly průměrné ceny za jednotlivé standardní spotřebitele platné k 1. lednu a k 1. červenci sledovaného roku. Standardní spotřebitelé jsou definováni ve směrnici Rady 90/377/EHS o postupu států EU ke zvýšení průhlednosti cen elektřiny a plynu účtovaných průmyslových spotřebitelům. </w:t>
      </w: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Od roku 2005 bylo rozšířeno publikování těchto cen, vždy k 1. dni ve čtvrtletí.</w:t>
      </w:r>
    </w:p>
    <w:p w:rsidR="00694FE5" w:rsidRPr="007052CC" w:rsidRDefault="00694FE5">
      <w:pPr>
        <w:rPr>
          <w:rFonts w:ascii="Arial" w:hAnsi="Arial" w:cs="Arial"/>
          <w:sz w:val="20"/>
        </w:rPr>
      </w:pPr>
    </w:p>
    <w:p w:rsidR="00FE4E5C" w:rsidRPr="007052CC" w:rsidRDefault="00694FE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 xml:space="preserve">Od 1. ledna 2008 byla směrnice rady 90/377/EHS novelizována směrnicí Evropského parlamentu a Rady 2008/92/ES ze dne 22. října 2008 o </w:t>
      </w:r>
      <w:r w:rsidRPr="007052CC">
        <w:rPr>
          <w:rFonts w:ascii="Arial" w:hAnsi="Arial" w:cs="Arial"/>
          <w:sz w:val="20"/>
          <w:szCs w:val="19"/>
        </w:rPr>
        <w:t xml:space="preserve">postupu v rámci Společenství pro zvýšení transparentnosti cen plynu a elektřiny účtovaných konečným průmyslovým velkoodběratelům. Standardní spotřebitelé byli nahrazeni </w:t>
      </w:r>
      <w:r w:rsidRPr="007052CC">
        <w:rPr>
          <w:rFonts w:ascii="Arial" w:hAnsi="Arial" w:cs="Arial"/>
          <w:sz w:val="20"/>
        </w:rPr>
        <w:t>standardními odběratelskými pásmy a průměrné ceny k 1. dni aktuálního čtvrtletí průměrnými cenami za předchozí čtvrtletí, respektive pololetí.</w:t>
      </w:r>
    </w:p>
    <w:p w:rsidR="00FE4E5C" w:rsidRPr="007052CC" w:rsidRDefault="00FE4E5C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94FE5" w:rsidRDefault="0042063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Směrnice 2008/92/ES byla zrušena s účinkem ke dni 1. března 2017 a byla nahrazena nařízením Evropského parlamentu a rady (EU) 2016/1952 ze dne 26. října o evropských statistikách cen zemního plynu a elektřiny a o zrušení směrnice 2008/92/ES.</w:t>
      </w:r>
    </w:p>
    <w:p w:rsidR="0042063A" w:rsidRDefault="0042063A">
      <w:pPr>
        <w:rPr>
          <w:rFonts w:ascii="Arial" w:hAnsi="Arial" w:cs="Arial"/>
          <w:sz w:val="20"/>
        </w:rPr>
      </w:pPr>
    </w:p>
    <w:p w:rsidR="0042063A" w:rsidRDefault="0042063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 změně metodiky (sledování, výpočet) se zavedením nového nařízení nedošlo, sledování cen elektřiny a zemního plynu bylo rozšířeno o standardní odběratelská pásma pro domácnosti.</w:t>
      </w:r>
    </w:p>
    <w:p w:rsidR="0042063A" w:rsidRPr="007052CC" w:rsidRDefault="0042063A">
      <w:pPr>
        <w:rPr>
          <w:rFonts w:ascii="Arial" w:hAnsi="Arial" w:cs="Arial"/>
          <w:sz w:val="20"/>
        </w:rPr>
      </w:pPr>
    </w:p>
    <w:p w:rsidR="00694FE5" w:rsidRPr="007052CC" w:rsidRDefault="00694FE5">
      <w:pPr>
        <w:pStyle w:val="Zkladntextodsazen2"/>
        <w:ind w:firstLine="0"/>
        <w:jc w:val="left"/>
      </w:pPr>
      <w:r w:rsidRPr="007052CC">
        <w:rPr>
          <w:b/>
          <w:bCs/>
        </w:rPr>
        <w:t xml:space="preserve">Ceny zemního plynu </w:t>
      </w:r>
      <w:r w:rsidRPr="007052CC">
        <w:t>se zjišťují státním statistick</w:t>
      </w:r>
      <w:r w:rsidR="00152B23" w:rsidRPr="007052CC">
        <w:t>ý</w:t>
      </w:r>
      <w:r w:rsidRPr="007052CC">
        <w:t>m výkazem Ceny E 6-04. Průměrné ceny plynu za pásmo celkem jsou vypočteny jako vážený aritmetický průměr z cen vykázaných nejvýznamnějšími obchodníky s plynem v daném pásmu, kde váhami jsou tržní podíly v jednotlivých pásmech. Vykazované ceny jsou ceny sjednané mezi obchodníkem a jeho konečným spotřebitelem v tuzemsku.</w:t>
      </w:r>
    </w:p>
    <w:p w:rsidR="00694FE5" w:rsidRPr="007052CC" w:rsidRDefault="00694FE5">
      <w:pPr>
        <w:pStyle w:val="Zkladntextodsazen2"/>
        <w:ind w:firstLine="0"/>
        <w:jc w:val="left"/>
      </w:pPr>
      <w:r w:rsidRPr="007052CC">
        <w:t xml:space="preserve"> </w:t>
      </w:r>
    </w:p>
    <w:p w:rsidR="00694FE5" w:rsidRPr="007052CC" w:rsidRDefault="00694FE5">
      <w:pPr>
        <w:pStyle w:val="Zkladntextodsazen2"/>
        <w:ind w:firstLine="0"/>
        <w:jc w:val="left"/>
      </w:pPr>
      <w:r w:rsidRPr="007052CC">
        <w:rPr>
          <w:b/>
          <w:bCs/>
        </w:rPr>
        <w:t xml:space="preserve">Ceny elektřiny </w:t>
      </w:r>
      <w:r w:rsidRPr="007052CC">
        <w:t xml:space="preserve">se zjišťují státním statistickým výkazem Ceny Elek 1-12, ve kterém nejvýznamnější obchodníci vykazují ceny účtované vybraným konečným spotřebitelům v tuzemsku. Koneční spotřebitelé jsou vybráni ze všech sítí napětí. Je vykazována jak cena silové elektřiny, tak cena celkem zahrnující silovou elektřinu, přenos, systém a distribuci. </w:t>
      </w:r>
    </w:p>
    <w:p w:rsidR="00694FE5" w:rsidRPr="007052CC" w:rsidRDefault="00694FE5">
      <w:pPr>
        <w:pStyle w:val="Zkladntextodsazen2"/>
        <w:ind w:firstLine="0"/>
        <w:jc w:val="left"/>
      </w:pPr>
      <w:r w:rsidRPr="007052CC">
        <w:t xml:space="preserve">Průměrné ceny elektřiny za jednotlivá spotřebitelská pásma jsou pak vypočteny jako vážený aritmetický průměr z cen jednotlivých konečných spotřebitelů pokrývajících celé požadované spektrum spotřeby. </w:t>
      </w:r>
    </w:p>
    <w:p w:rsidR="00694FE5" w:rsidRPr="007052CC" w:rsidRDefault="00694FE5">
      <w:pPr>
        <w:rPr>
          <w:rFonts w:ascii="Arial" w:hAnsi="Arial" w:cs="Arial"/>
          <w:color w:val="3366FF"/>
          <w:sz w:val="20"/>
        </w:rPr>
      </w:pPr>
    </w:p>
    <w:p w:rsidR="00694FE5" w:rsidRPr="007052CC" w:rsidRDefault="00694FE5">
      <w:pPr>
        <w:pStyle w:val="Zkladntextodsazen2"/>
        <w:ind w:firstLine="0"/>
        <w:jc w:val="left"/>
      </w:pPr>
      <w:r w:rsidRPr="007052CC">
        <w:t xml:space="preserve">Dále jsou od 1. čtvrtletí 2001 publikovány </w:t>
      </w:r>
      <w:r w:rsidRPr="007052CC">
        <w:rPr>
          <w:b/>
          <w:bCs/>
        </w:rPr>
        <w:t>průměrné čtvrtletní ceny elektrické energie a zemního plynu za průmysl celkem</w:t>
      </w:r>
      <w:r w:rsidRPr="007052CC">
        <w:t xml:space="preserve">. Za Česko, jako členský stát OECD, jsou předávány uvedené ceny Mezinárodní energetické agentuře IEA. Průměrné čtvrtletní ceny jsou počítány jako vážený aritmetický průměr z průměrných cen jednotlivých spotřebitelských pásem a jejich podílu na roční spotřebě. </w:t>
      </w:r>
    </w:p>
    <w:p w:rsidR="000E0EE5" w:rsidRDefault="000E0EE5" w:rsidP="000E0EE5">
      <w:pPr>
        <w:pStyle w:val="Zkladntextodsazen2"/>
        <w:ind w:firstLine="0"/>
      </w:pPr>
    </w:p>
    <w:p w:rsidR="000E0EE5" w:rsidRPr="000E0EE5" w:rsidRDefault="000E0EE5" w:rsidP="000E0EE5">
      <w:pPr>
        <w:pStyle w:val="Zkladntextodsazen2"/>
        <w:ind w:firstLine="0"/>
        <w:rPr>
          <w:b/>
        </w:rPr>
      </w:pPr>
      <w:r w:rsidRPr="000E0EE5">
        <w:rPr>
          <w:b/>
        </w:rPr>
        <w:t>Způsob výpočtu cen pro odběratele z nízkého napětí (elektřina) a maloodběr (zemní plyn) zavedený od roku 2024</w:t>
      </w:r>
    </w:p>
    <w:p w:rsidR="00B15E90" w:rsidRDefault="00B15E90" w:rsidP="000E0EE5">
      <w:pPr>
        <w:pStyle w:val="Zkladntextodsazen2"/>
        <w:ind w:firstLine="0"/>
      </w:pPr>
    </w:p>
    <w:p w:rsidR="000E0EE5" w:rsidRDefault="000E0EE5" w:rsidP="000E0EE5">
      <w:pPr>
        <w:pStyle w:val="Zkladntextodsazen2"/>
        <w:ind w:firstLine="0"/>
      </w:pPr>
      <w:r>
        <w:t>V roce 2023 proběhlo mimořádné šetření cen. Výpočet byl prováděn ČSÚ.</w:t>
      </w:r>
      <w:r w:rsidR="00B15E90">
        <w:t xml:space="preserve"> </w:t>
      </w:r>
      <w:r>
        <w:t>7 hlavních obchodníků plynu a elektřiny.</w:t>
      </w:r>
      <w:r w:rsidR="00B15E90">
        <w:t xml:space="preserve"> </w:t>
      </w:r>
      <w:r>
        <w:t>Sbírány údaje o tržbách (Kč) a prodejích ve fyzických jednotkách (</w:t>
      </w:r>
      <w:proofErr w:type="spellStart"/>
      <w:r>
        <w:t>MWh</w:t>
      </w:r>
      <w:proofErr w:type="spellEnd"/>
      <w:r>
        <w:t>).</w:t>
      </w:r>
      <w:r w:rsidR="00B15E90">
        <w:t xml:space="preserve"> </w:t>
      </w:r>
      <w:r>
        <w:t xml:space="preserve">Rozdělení získávaných údajů na standardizovaná odběrová pásma stanovená </w:t>
      </w:r>
      <w:proofErr w:type="spellStart"/>
      <w:r>
        <w:t>Eurostatem</w:t>
      </w:r>
      <w:proofErr w:type="spellEnd"/>
      <w:r>
        <w:t xml:space="preserve"> (podklady dodávají respondenti).</w:t>
      </w:r>
      <w:r w:rsidR="00B15E90">
        <w:t xml:space="preserve"> </w:t>
      </w:r>
      <w:r>
        <w:t>Výsledná jednotková cena pro dané pásmo je podílem tržeb (Kč) a fyzických jednotek (</w:t>
      </w:r>
      <w:proofErr w:type="spellStart"/>
      <w:r>
        <w:t>MWh</w:t>
      </w:r>
      <w:proofErr w:type="spellEnd"/>
      <w:r>
        <w:t>).</w:t>
      </w:r>
      <w:r w:rsidR="00B15E90">
        <w:t xml:space="preserve"> </w:t>
      </w:r>
      <w:r>
        <w:t>Probíhá separátní výpočet celkové ceny a ceny jen za silovou část (komoditu).</w:t>
      </w:r>
      <w:r w:rsidR="00B15E90">
        <w:t xml:space="preserve"> </w:t>
      </w:r>
      <w:r>
        <w:t>Zjišťování skutečně placených cen (průměr za dané pásmo spotřeby).</w:t>
      </w:r>
      <w:r w:rsidR="00B15E90">
        <w:t xml:space="preserve"> </w:t>
      </w:r>
      <w:r>
        <w:t xml:space="preserve">Od roku 2024 bylo zařazeno mezi standardní statistická zjišťování, je součástí výkazu o cenách elektřiny Ceny </w:t>
      </w:r>
      <w:proofErr w:type="spellStart"/>
      <w:r>
        <w:t>Elek</w:t>
      </w:r>
      <w:proofErr w:type="spellEnd"/>
      <w:r>
        <w:t xml:space="preserve"> 1-12 a o cenách zemního plynu Ceny E6-04.</w:t>
      </w:r>
    </w:p>
    <w:p w:rsidR="00B15E90" w:rsidRDefault="00B15E90" w:rsidP="000E0EE5">
      <w:pPr>
        <w:pStyle w:val="Zkladntextodsazen2"/>
        <w:ind w:firstLine="0"/>
      </w:pPr>
    </w:p>
    <w:p w:rsidR="000E0EE5" w:rsidRDefault="000E0EE5" w:rsidP="000E0EE5">
      <w:pPr>
        <w:pStyle w:val="Zkladntextodsazen2"/>
        <w:ind w:firstLine="0"/>
      </w:pPr>
      <w:r>
        <w:t>Data v nové metodice popisují realizované ceny energií pro odběratele z nízkého napětí.</w:t>
      </w:r>
    </w:p>
    <w:p w:rsidR="00694FE5" w:rsidRPr="007052CC" w:rsidRDefault="000E0EE5" w:rsidP="000E0EE5">
      <w:pPr>
        <w:pStyle w:val="Zkladntextodsazen2"/>
        <w:ind w:firstLine="0"/>
        <w:jc w:val="left"/>
      </w:pPr>
      <w:r>
        <w:t>Data v původní metodice popisují nabízené, ceníkové ceny energií pro odběratele z nízkého napětí.</w:t>
      </w:r>
    </w:p>
    <w:p w:rsidR="004367B7" w:rsidRDefault="004367B7">
      <w:pPr>
        <w:pStyle w:val="Zkladntextodsazen2"/>
        <w:ind w:firstLine="0"/>
        <w:jc w:val="left"/>
      </w:pPr>
    </w:p>
    <w:p w:rsidR="00EB373A" w:rsidRPr="007052CC" w:rsidRDefault="001E6D87">
      <w:pPr>
        <w:pStyle w:val="Zkladntextodsazen2"/>
        <w:ind w:firstLine="0"/>
        <w:jc w:val="left"/>
        <w:rPr>
          <w:b/>
        </w:rPr>
      </w:pPr>
      <w:r w:rsidRPr="007052CC">
        <w:rPr>
          <w:b/>
        </w:rPr>
        <w:lastRenderedPageBreak/>
        <w:t>Průměrné ceny za vybrané potravinářské výrobky</w:t>
      </w:r>
    </w:p>
    <w:p w:rsidR="009E030D" w:rsidRPr="007052CC" w:rsidRDefault="009E030D">
      <w:pPr>
        <w:pStyle w:val="Zkladntextodsazen2"/>
        <w:ind w:firstLine="0"/>
        <w:jc w:val="left"/>
        <w:rPr>
          <w:b/>
        </w:rPr>
      </w:pPr>
    </w:p>
    <w:p w:rsidR="009B3284" w:rsidRPr="007052CC" w:rsidRDefault="009B3284" w:rsidP="001E6D87">
      <w:pPr>
        <w:pStyle w:val="Zkladntextodsazen2"/>
        <w:ind w:firstLine="0"/>
      </w:pPr>
      <w:r w:rsidRPr="007052CC">
        <w:t xml:space="preserve">Od ledna 2017 jsou nově publikovány </w:t>
      </w:r>
      <w:r w:rsidR="001E6D87" w:rsidRPr="007052CC">
        <w:t xml:space="preserve">průměrné ceny za vybrané potravinářské výrobky. </w:t>
      </w:r>
      <w:r w:rsidRPr="007052CC">
        <w:t>Do prosince 2016 byly součástí publikace „Indexy cen zemědělských výrobců, průmyslových výrobců a indexy spotřebitelských cen potravinářského zboží“, kód publikace: 011034-16.</w:t>
      </w:r>
    </w:p>
    <w:p w:rsidR="00D67C2F" w:rsidRDefault="001E6D87" w:rsidP="001422C0">
      <w:pPr>
        <w:pStyle w:val="Zkladntextodsazen2"/>
        <w:ind w:firstLine="0"/>
        <w:rPr>
          <w:b/>
          <w:szCs w:val="20"/>
        </w:rPr>
      </w:pPr>
      <w:r w:rsidRPr="007052CC">
        <w:t>Jedná se o výstup z měsíčního zpracování Indexů cen průmyslových výrobců a výkazu Ceny prům 1-12. Publikované ceny jsou vypočteny jako vážený aritmetický průměr a jsou bez DPH a ostatních daní</w:t>
      </w:r>
      <w:r w:rsidR="00ED6F40">
        <w:t xml:space="preserve"> a za všechny formy dodání</w:t>
      </w:r>
      <w:r w:rsidRPr="007052CC">
        <w:t>. Aktualizace váhového schématu je prováděna na podkladě tuzemských tržeb vždy v lednu.</w:t>
      </w:r>
      <w:r w:rsidR="001422C0">
        <w:rPr>
          <w:b/>
          <w:szCs w:val="20"/>
        </w:rPr>
        <w:t xml:space="preserve"> </w:t>
      </w:r>
    </w:p>
    <w:p w:rsidR="00D67C2F" w:rsidRDefault="00D67C2F" w:rsidP="00D67C2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sectPr w:rsidR="00D67C2F" w:rsidSect="007E08F4">
      <w:headerReference w:type="even" r:id="rId10"/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D7C" w:rsidRDefault="00D77D7C">
      <w:r>
        <w:separator/>
      </w:r>
    </w:p>
  </w:endnote>
  <w:endnote w:type="continuationSeparator" w:id="0">
    <w:p w:rsidR="00D77D7C" w:rsidRDefault="00D7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D7C" w:rsidRDefault="00D77D7C">
      <w:r>
        <w:separator/>
      </w:r>
    </w:p>
  </w:footnote>
  <w:footnote w:type="continuationSeparator" w:id="0">
    <w:p w:rsidR="00D77D7C" w:rsidRDefault="00D77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E5" w:rsidRDefault="007E08F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94F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94FE5" w:rsidRDefault="00694F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E5" w:rsidRDefault="00694FE5" w:rsidP="004367B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0555"/>
    <w:multiLevelType w:val="hybridMultilevel"/>
    <w:tmpl w:val="F9E20A1C"/>
    <w:lvl w:ilvl="0" w:tplc="0405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06CD"/>
    <w:multiLevelType w:val="hybridMultilevel"/>
    <w:tmpl w:val="76C6E64E"/>
    <w:lvl w:ilvl="0" w:tplc="0405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F87D3B"/>
    <w:multiLevelType w:val="hybridMultilevel"/>
    <w:tmpl w:val="76C6E64E"/>
    <w:lvl w:ilvl="0" w:tplc="04050009">
      <w:start w:val="1"/>
      <w:numFmt w:val="bullet"/>
      <w:lvlText w:val="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B986D2E"/>
    <w:multiLevelType w:val="hybridMultilevel"/>
    <w:tmpl w:val="F9E20A1C"/>
    <w:lvl w:ilvl="0" w:tplc="1D9E7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B1C9A"/>
    <w:multiLevelType w:val="hybridMultilevel"/>
    <w:tmpl w:val="76C6E64E"/>
    <w:lvl w:ilvl="0" w:tplc="50125AB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A0169BD"/>
    <w:multiLevelType w:val="hybridMultilevel"/>
    <w:tmpl w:val="76C6E64E"/>
    <w:lvl w:ilvl="0" w:tplc="0405000B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8B4"/>
    <w:rsid w:val="0001364B"/>
    <w:rsid w:val="00013B89"/>
    <w:rsid w:val="00027EEA"/>
    <w:rsid w:val="000C73F6"/>
    <w:rsid w:val="000E0EE5"/>
    <w:rsid w:val="000F0ED6"/>
    <w:rsid w:val="000F2AD1"/>
    <w:rsid w:val="00103234"/>
    <w:rsid w:val="00105999"/>
    <w:rsid w:val="00133E37"/>
    <w:rsid w:val="001422C0"/>
    <w:rsid w:val="00152B23"/>
    <w:rsid w:val="001760B8"/>
    <w:rsid w:val="00183474"/>
    <w:rsid w:val="001D5A03"/>
    <w:rsid w:val="001E6D87"/>
    <w:rsid w:val="0021570D"/>
    <w:rsid w:val="00254967"/>
    <w:rsid w:val="002C0704"/>
    <w:rsid w:val="002C1BB6"/>
    <w:rsid w:val="0034018D"/>
    <w:rsid w:val="00340A29"/>
    <w:rsid w:val="003A1D18"/>
    <w:rsid w:val="003C1B68"/>
    <w:rsid w:val="00403583"/>
    <w:rsid w:val="0042063A"/>
    <w:rsid w:val="00420E5B"/>
    <w:rsid w:val="004349AC"/>
    <w:rsid w:val="004367B7"/>
    <w:rsid w:val="00451B22"/>
    <w:rsid w:val="00457A83"/>
    <w:rsid w:val="004B75DC"/>
    <w:rsid w:val="004E68B4"/>
    <w:rsid w:val="00500A0C"/>
    <w:rsid w:val="00505499"/>
    <w:rsid w:val="005500F6"/>
    <w:rsid w:val="00550726"/>
    <w:rsid w:val="005628D0"/>
    <w:rsid w:val="005B4E80"/>
    <w:rsid w:val="005C1900"/>
    <w:rsid w:val="00662507"/>
    <w:rsid w:val="00694FE5"/>
    <w:rsid w:val="006D64C8"/>
    <w:rsid w:val="006E31FF"/>
    <w:rsid w:val="006F2310"/>
    <w:rsid w:val="007052CC"/>
    <w:rsid w:val="00753E09"/>
    <w:rsid w:val="0077139C"/>
    <w:rsid w:val="0078011D"/>
    <w:rsid w:val="007E08F4"/>
    <w:rsid w:val="007E7324"/>
    <w:rsid w:val="007E7456"/>
    <w:rsid w:val="00825135"/>
    <w:rsid w:val="008255DF"/>
    <w:rsid w:val="0088381A"/>
    <w:rsid w:val="00940517"/>
    <w:rsid w:val="009B3284"/>
    <w:rsid w:val="009B4886"/>
    <w:rsid w:val="009E030D"/>
    <w:rsid w:val="00A27483"/>
    <w:rsid w:val="00A41958"/>
    <w:rsid w:val="00A9700C"/>
    <w:rsid w:val="00AA4FA2"/>
    <w:rsid w:val="00B15E90"/>
    <w:rsid w:val="00B339D8"/>
    <w:rsid w:val="00B35552"/>
    <w:rsid w:val="00B45469"/>
    <w:rsid w:val="00B51C2C"/>
    <w:rsid w:val="00B915D2"/>
    <w:rsid w:val="00BA6A60"/>
    <w:rsid w:val="00BF0C0F"/>
    <w:rsid w:val="00C0122C"/>
    <w:rsid w:val="00C029D6"/>
    <w:rsid w:val="00C2418C"/>
    <w:rsid w:val="00C335B0"/>
    <w:rsid w:val="00C7752B"/>
    <w:rsid w:val="00C91900"/>
    <w:rsid w:val="00C93B6B"/>
    <w:rsid w:val="00CE085F"/>
    <w:rsid w:val="00D05F77"/>
    <w:rsid w:val="00D110EA"/>
    <w:rsid w:val="00D37413"/>
    <w:rsid w:val="00D40464"/>
    <w:rsid w:val="00D602EE"/>
    <w:rsid w:val="00D67C2F"/>
    <w:rsid w:val="00D77D7C"/>
    <w:rsid w:val="00E36F15"/>
    <w:rsid w:val="00E541B2"/>
    <w:rsid w:val="00E57E1D"/>
    <w:rsid w:val="00EB373A"/>
    <w:rsid w:val="00ED6F40"/>
    <w:rsid w:val="00F212E5"/>
    <w:rsid w:val="00FC2166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B8A63"/>
  <w15:docId w15:val="{15C80953-D229-4437-BAE6-8689798B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08F4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801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9">
    <w:name w:val="heading 9"/>
    <w:basedOn w:val="Normln"/>
    <w:next w:val="Normln"/>
    <w:qFormat/>
    <w:rsid w:val="007E08F4"/>
    <w:pPr>
      <w:keepNext/>
      <w:jc w:val="center"/>
      <w:outlineLvl w:val="8"/>
    </w:pPr>
    <w:rPr>
      <w:rFonts w:ascii="Arial" w:hAnsi="Arial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E08F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E08F4"/>
  </w:style>
  <w:style w:type="paragraph" w:styleId="Nzev">
    <w:name w:val="Title"/>
    <w:basedOn w:val="Normln"/>
    <w:qFormat/>
    <w:rsid w:val="007E08F4"/>
    <w:pPr>
      <w:jc w:val="center"/>
    </w:pPr>
    <w:rPr>
      <w:rFonts w:ascii="Arial" w:hAnsi="Arial"/>
      <w:b/>
      <w:bCs/>
      <w:sz w:val="20"/>
      <w:szCs w:val="32"/>
      <w:lang w:eastAsia="cs-CZ"/>
    </w:rPr>
  </w:style>
  <w:style w:type="paragraph" w:styleId="Zkladntext">
    <w:name w:val="Body Text"/>
    <w:basedOn w:val="Normln"/>
    <w:semiHidden/>
    <w:rsid w:val="007E08F4"/>
    <w:pPr>
      <w:jc w:val="both"/>
    </w:pPr>
    <w:rPr>
      <w:lang w:eastAsia="cs-CZ"/>
    </w:rPr>
  </w:style>
  <w:style w:type="paragraph" w:styleId="Zkladntext2">
    <w:name w:val="Body Text 2"/>
    <w:basedOn w:val="Normln"/>
    <w:semiHidden/>
    <w:rsid w:val="007E08F4"/>
    <w:pPr>
      <w:tabs>
        <w:tab w:val="left" w:pos="-1440"/>
        <w:tab w:val="left" w:pos="-720"/>
        <w:tab w:val="left" w:pos="0"/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rFonts w:ascii="Arial" w:hAnsi="Arial"/>
      <w:sz w:val="22"/>
      <w:lang w:eastAsia="cs-CZ"/>
    </w:rPr>
  </w:style>
  <w:style w:type="paragraph" w:styleId="Zkladntextodsazen3">
    <w:name w:val="Body Text Indent 3"/>
    <w:basedOn w:val="Normln"/>
    <w:semiHidden/>
    <w:rsid w:val="007E08F4"/>
    <w:pPr>
      <w:ind w:firstLine="540"/>
    </w:pPr>
    <w:rPr>
      <w:lang w:eastAsia="cs-CZ"/>
    </w:rPr>
  </w:style>
  <w:style w:type="paragraph" w:styleId="Zkladntext3">
    <w:name w:val="Body Text 3"/>
    <w:basedOn w:val="Normln"/>
    <w:semiHidden/>
    <w:rsid w:val="007E08F4"/>
    <w:pPr>
      <w:jc w:val="both"/>
    </w:pPr>
    <w:rPr>
      <w:rFonts w:ascii="Arial" w:hAnsi="Arial"/>
      <w:sz w:val="20"/>
    </w:rPr>
  </w:style>
  <w:style w:type="paragraph" w:styleId="Zpat">
    <w:name w:val="footer"/>
    <w:basedOn w:val="Normln"/>
    <w:semiHidden/>
    <w:rsid w:val="007E08F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7E08F4"/>
    <w:pPr>
      <w:spacing w:before="240"/>
      <w:ind w:firstLine="708"/>
      <w:jc w:val="both"/>
    </w:pPr>
    <w:rPr>
      <w:rFonts w:ascii="Arial" w:hAnsi="Arial"/>
      <w:sz w:val="22"/>
      <w:szCs w:val="20"/>
      <w:lang w:val="en-GB" w:eastAsia="cs-CZ"/>
    </w:rPr>
  </w:style>
  <w:style w:type="paragraph" w:styleId="Zkladntextodsazen2">
    <w:name w:val="Body Text Indent 2"/>
    <w:basedOn w:val="Normln"/>
    <w:semiHidden/>
    <w:rsid w:val="007E08F4"/>
    <w:pPr>
      <w:ind w:firstLine="708"/>
      <w:jc w:val="both"/>
    </w:pPr>
    <w:rPr>
      <w:rFonts w:ascii="Arial" w:hAnsi="Arial" w:cs="Arial"/>
      <w:sz w:val="20"/>
    </w:rPr>
  </w:style>
  <w:style w:type="character" w:styleId="Hypertextovodkaz">
    <w:name w:val="Hyperlink"/>
    <w:semiHidden/>
    <w:rsid w:val="007E08F4"/>
    <w:rPr>
      <w:color w:val="0000FF"/>
      <w:u w:val="single"/>
    </w:rPr>
  </w:style>
  <w:style w:type="character" w:styleId="Sledovanodkaz">
    <w:name w:val="FollowedHyperlink"/>
    <w:semiHidden/>
    <w:rsid w:val="007E08F4"/>
    <w:rPr>
      <w:color w:val="800080"/>
      <w:u w:val="single"/>
    </w:rPr>
  </w:style>
  <w:style w:type="paragraph" w:styleId="Podnadpis">
    <w:name w:val="Subtitle"/>
    <w:basedOn w:val="Normln"/>
    <w:qFormat/>
    <w:rsid w:val="007E08F4"/>
    <w:rPr>
      <w:rFonts w:ascii="Arial" w:hAnsi="Arial" w:cs="Arial"/>
      <w:b/>
      <w:bCs/>
      <w:sz w:val="20"/>
      <w:lang w:eastAsia="cs-CZ"/>
    </w:rPr>
  </w:style>
  <w:style w:type="paragraph" w:styleId="Normlnweb">
    <w:name w:val="Normal (Web)"/>
    <w:basedOn w:val="Normln"/>
    <w:uiPriority w:val="99"/>
    <w:semiHidden/>
    <w:rsid w:val="007E08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eastAsia="cs-CZ"/>
    </w:rPr>
  </w:style>
  <w:style w:type="character" w:customStyle="1" w:styleId="clanadpis">
    <w:name w:val="clanadpis"/>
    <w:basedOn w:val="Standardnpsmoodstavce"/>
    <w:rsid w:val="007E08F4"/>
  </w:style>
  <w:style w:type="character" w:customStyle="1" w:styleId="malemodre">
    <w:name w:val="malemodre"/>
    <w:basedOn w:val="Standardnpsmoodstavce"/>
    <w:rsid w:val="007E08F4"/>
  </w:style>
  <w:style w:type="character" w:customStyle="1" w:styleId="clatext">
    <w:name w:val="clatext"/>
    <w:basedOn w:val="Standardnpsmoodstavce"/>
    <w:rsid w:val="007E08F4"/>
  </w:style>
  <w:style w:type="character" w:customStyle="1" w:styleId="Nadpis1Char">
    <w:name w:val="Nadpis 1 Char"/>
    <w:link w:val="Nadpis1"/>
    <w:uiPriority w:val="9"/>
    <w:rsid w:val="0078011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23449-A1B4-41AA-99D3-72C5F024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1204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ČSÚ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subject/>
  <dc:creator>Miloslav Beránek</dc:creator>
  <cp:keywords/>
  <dc:description/>
  <cp:lastModifiedBy>Beránek Miloslav</cp:lastModifiedBy>
  <cp:revision>31</cp:revision>
  <cp:lastPrinted>2008-03-17T08:03:00Z</cp:lastPrinted>
  <dcterms:created xsi:type="dcterms:W3CDTF">2013-12-04T09:30:00Z</dcterms:created>
  <dcterms:modified xsi:type="dcterms:W3CDTF">2025-01-21T09:50:00Z</dcterms:modified>
</cp:coreProperties>
</file>