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1A" w:rsidRPr="00412F61" w:rsidRDefault="00935BD4" w:rsidP="000D3058">
      <w:pPr>
        <w:pStyle w:val="Nadpis11"/>
        <w:rPr>
          <w:lang w:val="en-GB"/>
        </w:rPr>
      </w:pPr>
      <w:bookmarkStart w:id="0" w:name="_Toc525046025"/>
      <w:r w:rsidRPr="00412F61">
        <w:rPr>
          <w:lang w:val="en-GB"/>
        </w:rPr>
        <w:t>6</w:t>
      </w:r>
      <w:r w:rsidR="000D3058" w:rsidRPr="00412F61">
        <w:rPr>
          <w:lang w:val="en-GB"/>
        </w:rPr>
        <w:t xml:space="preserve">. </w:t>
      </w:r>
      <w:r w:rsidR="00214B75" w:rsidRPr="00412F61">
        <w:rPr>
          <w:lang w:val="en-GB"/>
        </w:rPr>
        <w:t>Labour Market</w:t>
      </w:r>
      <w:bookmarkEnd w:id="0"/>
    </w:p>
    <w:tbl>
      <w:tblPr>
        <w:tblW w:w="9639" w:type="dxa"/>
        <w:tblInd w:w="-15" w:type="dxa"/>
        <w:tblCellMar>
          <w:left w:w="0" w:type="dxa"/>
          <w:right w:w="0" w:type="dxa"/>
        </w:tblCellMar>
        <w:tblLook w:val="00A0"/>
      </w:tblPr>
      <w:tblGrid>
        <w:gridCol w:w="1878"/>
        <w:gridCol w:w="247"/>
        <w:gridCol w:w="7514"/>
      </w:tblGrid>
      <w:tr w:rsidR="00B4411A" w:rsidRPr="00412F61" w:rsidTr="004439A2">
        <w:trPr>
          <w:trHeight w:val="145"/>
        </w:trPr>
        <w:tc>
          <w:tcPr>
            <w:tcW w:w="1878" w:type="dxa"/>
            <w:shd w:val="clear" w:color="auto" w:fill="auto"/>
            <w:tcMar>
              <w:left w:w="0" w:type="dxa"/>
            </w:tcMar>
          </w:tcPr>
          <w:p w:rsidR="00B4411A" w:rsidRPr="00412F61" w:rsidRDefault="006E294F" w:rsidP="00B4411A">
            <w:pPr>
              <w:pStyle w:val="Marginlie"/>
              <w:rPr>
                <w:lang w:val="en-GB"/>
              </w:rPr>
            </w:pPr>
            <w:r w:rsidRPr="00412F61">
              <w:rPr>
                <w:lang w:val="en-GB"/>
              </w:rPr>
              <w:t xml:space="preserve">Excess robust demand for labour force is the main source of the rising tension on the labour market in the last quarters. </w:t>
            </w: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9D0670" w:rsidP="00B4411A">
            <w:pPr>
              <w:pStyle w:val="Marginlie"/>
              <w:rPr>
                <w:lang w:val="en-GB"/>
              </w:rPr>
            </w:pPr>
            <w:r w:rsidRPr="00412F61">
              <w:rPr>
                <w:lang w:val="en-GB"/>
              </w:rPr>
              <w:t>Despite shrinking reserves of potential labour force, the rate of growth of employment was not losing strength.</w:t>
            </w: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323EF6" w:rsidP="00754CAA">
            <w:pPr>
              <w:spacing w:after="200"/>
              <w:rPr>
                <w:spacing w:val="-4"/>
                <w:lang w:val="en-GB"/>
              </w:rPr>
            </w:pPr>
            <w:r w:rsidRPr="00412F61">
              <w:rPr>
                <w:spacing w:val="-4"/>
                <w:lang w:val="en-GB"/>
              </w:rPr>
              <w:t xml:space="preserve">Labour market was characterised by a growing tension stemming from the unmet </w:t>
            </w:r>
            <w:r w:rsidR="00CC09FD" w:rsidRPr="00412F61">
              <w:rPr>
                <w:spacing w:val="-4"/>
                <w:lang w:val="en-GB"/>
              </w:rPr>
              <w:t xml:space="preserve">robust </w:t>
            </w:r>
            <w:r w:rsidRPr="00412F61">
              <w:rPr>
                <w:spacing w:val="-4"/>
                <w:lang w:val="en-GB"/>
              </w:rPr>
              <w:t xml:space="preserve">demand </w:t>
            </w:r>
            <w:r w:rsidR="00CC09FD" w:rsidRPr="00412F61">
              <w:rPr>
                <w:spacing w:val="-4"/>
                <w:lang w:val="en-GB"/>
              </w:rPr>
              <w:t>for labour force in the Czech Republic in the first half of year 2018</w:t>
            </w:r>
            <w:r w:rsidR="00B4411A" w:rsidRPr="00412F61">
              <w:rPr>
                <w:spacing w:val="-4"/>
                <w:lang w:val="en-GB"/>
              </w:rPr>
              <w:t>. P</w:t>
            </w:r>
            <w:r w:rsidR="00AA3786" w:rsidRPr="00412F61">
              <w:rPr>
                <w:spacing w:val="-4"/>
                <w:lang w:val="en-GB"/>
              </w:rPr>
              <w:t xml:space="preserve">roportion of businesses experiencing the current lack of available labour force as a barrier to their growth was expanding in all the main branches of the economy. </w:t>
            </w:r>
            <w:r w:rsidR="008C17AF" w:rsidRPr="00412F61">
              <w:rPr>
                <w:spacing w:val="-4"/>
                <w:lang w:val="en-GB"/>
              </w:rPr>
              <w:t>In case of industry it represented the main growth barrier (already since the half of the last year</w:t>
            </w:r>
            <w:r w:rsidR="00B4411A" w:rsidRPr="00412F61">
              <w:rPr>
                <w:spacing w:val="-4"/>
                <w:lang w:val="en-GB"/>
              </w:rPr>
              <w:t>)</w:t>
            </w:r>
            <w:proofErr w:type="gramStart"/>
            <w:r w:rsidR="00B4411A" w:rsidRPr="00412F61">
              <w:rPr>
                <w:spacing w:val="-4"/>
                <w:lang w:val="en-GB"/>
              </w:rPr>
              <w:t>,</w:t>
            </w:r>
            <w:proofErr w:type="gramEnd"/>
            <w:r w:rsidR="00B4411A" w:rsidRPr="00412F61">
              <w:rPr>
                <w:spacing w:val="-4"/>
                <w:lang w:val="en-GB"/>
              </w:rPr>
              <w:t xml:space="preserve"> </w:t>
            </w:r>
            <w:r w:rsidR="00582B4B" w:rsidRPr="00412F61">
              <w:rPr>
                <w:spacing w:val="-4"/>
                <w:lang w:val="en-GB"/>
              </w:rPr>
              <w:t xml:space="preserve">in other branches (e.g. construction) the situation was already strongly nearing this state at the beginning of the summer period. </w:t>
            </w:r>
            <w:r w:rsidR="00360FA1" w:rsidRPr="00412F61">
              <w:rPr>
                <w:spacing w:val="-4"/>
                <w:lang w:val="en-GB"/>
              </w:rPr>
              <w:t xml:space="preserve">Despite shrinking reserves of the disposable labour force (primarily from the ranks of the unemployed), the rate of growth of employment </w:t>
            </w:r>
            <w:r w:rsidR="004863CE" w:rsidRPr="00412F61">
              <w:rPr>
                <w:spacing w:val="-4"/>
                <w:lang w:val="en-GB"/>
              </w:rPr>
              <w:t xml:space="preserve">was </w:t>
            </w:r>
            <w:r w:rsidR="00360FA1" w:rsidRPr="00412F61">
              <w:rPr>
                <w:spacing w:val="-4"/>
                <w:lang w:val="en-GB"/>
              </w:rPr>
              <w:t xml:space="preserve">still not losing strength. </w:t>
            </w:r>
            <w:r w:rsidR="000D6898" w:rsidRPr="00412F61">
              <w:rPr>
                <w:spacing w:val="-4"/>
                <w:lang w:val="en-GB"/>
              </w:rPr>
              <w:t>Number of workers</w:t>
            </w:r>
            <w:r w:rsidR="00B4411A" w:rsidRPr="00412F61">
              <w:rPr>
                <w:rStyle w:val="Znakapoznpodarou"/>
                <w:color w:val="0D0D0D" w:themeColor="text1" w:themeTint="F2"/>
                <w:spacing w:val="-4"/>
                <w:lang w:val="en-GB"/>
              </w:rPr>
              <w:footnoteReference w:id="1"/>
            </w:r>
            <w:r w:rsidR="00B4411A" w:rsidRPr="00412F61">
              <w:rPr>
                <w:spacing w:val="-4"/>
                <w:lang w:val="en-GB"/>
              </w:rPr>
              <w:t xml:space="preserve"> </w:t>
            </w:r>
            <w:r w:rsidR="009B2F02" w:rsidRPr="00412F61">
              <w:rPr>
                <w:spacing w:val="-4"/>
                <w:lang w:val="en-GB"/>
              </w:rPr>
              <w:t xml:space="preserve">grew </w:t>
            </w:r>
            <w:r w:rsidR="000D6898" w:rsidRPr="00412F61">
              <w:rPr>
                <w:spacing w:val="-4"/>
                <w:lang w:val="en-GB"/>
              </w:rPr>
              <w:t xml:space="preserve">by 0.6% quarter-on-quarter in Q2 and thus repeated the result of the first quarter of the year. Growth rate was in both cases slightly higher compared to the EU. </w:t>
            </w:r>
            <w:r w:rsidR="00BA51CD" w:rsidRPr="00412F61">
              <w:rPr>
                <w:spacing w:val="-4"/>
                <w:lang w:val="en-GB"/>
              </w:rPr>
              <w:t xml:space="preserve">Growth of employment </w:t>
            </w:r>
            <w:r w:rsidR="00B7220B" w:rsidRPr="00412F61">
              <w:rPr>
                <w:spacing w:val="-4"/>
                <w:lang w:val="en-GB"/>
              </w:rPr>
              <w:t xml:space="preserve">neared the 2% boundary in the year-on-year comparison. Physical number of workers in this country set the new maximum in the history of the CR </w:t>
            </w:r>
            <w:proofErr w:type="gramStart"/>
            <w:r w:rsidR="00B7220B" w:rsidRPr="00412F61">
              <w:rPr>
                <w:spacing w:val="-4"/>
                <w:lang w:val="en-GB"/>
              </w:rPr>
              <w:t>(</w:t>
            </w:r>
            <w:r w:rsidR="00B4411A" w:rsidRPr="00412F61">
              <w:rPr>
                <w:rFonts w:cs="Arial"/>
                <w:color w:val="0D0D0D" w:themeColor="text1" w:themeTint="F2"/>
                <w:spacing w:val="-4"/>
                <w:lang w:val="en-GB"/>
              </w:rPr>
              <w:t>5</w:t>
            </w:r>
            <w:r w:rsidR="00B7220B" w:rsidRPr="00412F61">
              <w:rPr>
                <w:rFonts w:cs="Arial"/>
                <w:color w:val="0D0D0D" w:themeColor="text1" w:themeTint="F2"/>
                <w:spacing w:val="-4"/>
                <w:lang w:val="en-GB"/>
              </w:rPr>
              <w:t>.</w:t>
            </w:r>
            <w:r w:rsidR="00B4411A" w:rsidRPr="00412F61">
              <w:rPr>
                <w:rFonts w:cs="Arial"/>
                <w:color w:val="0D0D0D" w:themeColor="text1" w:themeTint="F2"/>
                <w:spacing w:val="-4"/>
                <w:lang w:val="en-GB"/>
              </w:rPr>
              <w:t>44 mil)</w:t>
            </w:r>
            <w:proofErr w:type="gramEnd"/>
            <w:r w:rsidR="00B4411A" w:rsidRPr="00412F61">
              <w:rPr>
                <w:rFonts w:cs="Arial"/>
                <w:color w:val="0D0D0D" w:themeColor="text1" w:themeTint="F2"/>
                <w:spacing w:val="-4"/>
                <w:lang w:val="en-GB"/>
              </w:rPr>
              <w:t xml:space="preserve">. </w:t>
            </w:r>
            <w:r w:rsidR="00EC6EB1" w:rsidRPr="00412F61">
              <w:rPr>
                <w:rFonts w:cs="Arial"/>
                <w:color w:val="0D0D0D" w:themeColor="text1" w:themeTint="F2"/>
                <w:spacing w:val="-4"/>
                <w:lang w:val="en-GB"/>
              </w:rPr>
              <w:t>To a large extent, persons in one´s declining years stood behind this phenomenon, whose employment activity was affected by the lengthening age limit for the retirement. Labour market also with the assistance of the heightened supply of part-time work contracts</w:t>
            </w:r>
            <w:r w:rsidR="00B4411A" w:rsidRPr="00412F61">
              <w:rPr>
                <w:rStyle w:val="Znakapoznpodarou"/>
                <w:color w:val="0D0D0D" w:themeColor="text1" w:themeTint="F2"/>
                <w:spacing w:val="-4"/>
                <w:lang w:val="en-GB"/>
              </w:rPr>
              <w:footnoteReference w:id="2"/>
            </w:r>
            <w:r w:rsidR="00EC6EB1" w:rsidRPr="00412F61">
              <w:rPr>
                <w:rFonts w:cs="Arial"/>
                <w:color w:val="0D0D0D" w:themeColor="text1" w:themeTint="F2"/>
                <w:spacing w:val="-4"/>
                <w:lang w:val="en-GB"/>
              </w:rPr>
              <w:t xml:space="preserve"> absorbed also the numerically strong years of birth of economically inactive persons. </w:t>
            </w:r>
            <w:r w:rsidR="00522A51" w:rsidRPr="00412F61">
              <w:rPr>
                <w:rFonts w:cs="Arial"/>
                <w:color w:val="0D0D0D" w:themeColor="text1" w:themeTint="F2"/>
                <w:spacing w:val="-4"/>
                <w:lang w:val="en-GB"/>
              </w:rPr>
              <w:t>The decrease of the unemployment still had a significant effect, even though the role of this factor weakened</w:t>
            </w:r>
            <w:r w:rsidR="00B4411A" w:rsidRPr="00412F61">
              <w:rPr>
                <w:rStyle w:val="Znakapoznpodarou"/>
                <w:color w:val="0D0D0D" w:themeColor="text1" w:themeTint="F2"/>
                <w:spacing w:val="-4"/>
                <w:lang w:val="en-GB"/>
              </w:rPr>
              <w:footnoteReference w:id="3"/>
            </w:r>
            <w:r w:rsidR="00B4411A" w:rsidRPr="00412F61">
              <w:rPr>
                <w:rFonts w:cs="Arial"/>
                <w:color w:val="0D0D0D" w:themeColor="text1" w:themeTint="F2"/>
                <w:spacing w:val="-4"/>
                <w:lang w:val="en-GB"/>
              </w:rPr>
              <w:t xml:space="preserve">. </w:t>
            </w:r>
            <w:r w:rsidR="00536E4C" w:rsidRPr="00412F61">
              <w:rPr>
                <w:rFonts w:cs="Arial"/>
                <w:color w:val="0D0D0D" w:themeColor="text1" w:themeTint="F2"/>
                <w:spacing w:val="-4"/>
                <w:lang w:val="en-GB"/>
              </w:rPr>
              <w:t>On the contrary, the significance of the labour force from abroad kept further growing</w:t>
            </w:r>
            <w:r w:rsidR="00536E4C" w:rsidRPr="00412F61">
              <w:rPr>
                <w:rStyle w:val="Znakapoznpodarou"/>
                <w:color w:val="0D0D0D" w:themeColor="text1" w:themeTint="F2"/>
                <w:spacing w:val="-4"/>
                <w:lang w:val="en-GB"/>
              </w:rPr>
              <w:footnoteReference w:id="4"/>
            </w:r>
            <w:r w:rsidR="00536E4C" w:rsidRPr="00412F61">
              <w:rPr>
                <w:rFonts w:cs="Arial"/>
                <w:color w:val="0D0D0D" w:themeColor="text1" w:themeTint="F2"/>
                <w:spacing w:val="-4"/>
                <w:lang w:val="en-GB"/>
              </w:rPr>
              <w:t>.</w:t>
            </w:r>
          </w:p>
        </w:tc>
      </w:tr>
      <w:tr w:rsidR="00B4411A" w:rsidRPr="00412F61" w:rsidTr="004439A2">
        <w:trPr>
          <w:trHeight w:val="170"/>
        </w:trPr>
        <w:tc>
          <w:tcPr>
            <w:tcW w:w="1878" w:type="dxa"/>
            <w:vMerge w:val="restart"/>
            <w:shd w:val="clear" w:color="auto" w:fill="auto"/>
            <w:tcMar>
              <w:left w:w="0" w:type="dxa"/>
            </w:tcMar>
          </w:tcPr>
          <w:p w:rsidR="00B4411A" w:rsidRPr="00412F61" w:rsidRDefault="00B4411A" w:rsidP="00B4411A">
            <w:pPr>
              <w:pStyle w:val="Marginlie"/>
              <w:rPr>
                <w:lang w:val="en-GB"/>
              </w:rPr>
            </w:pPr>
          </w:p>
        </w:tc>
        <w:tc>
          <w:tcPr>
            <w:tcW w:w="247" w:type="dxa"/>
            <w:vMerge w:val="restart"/>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906682" w:rsidP="00436346">
            <w:pPr>
              <w:spacing w:after="0" w:line="240" w:lineRule="auto"/>
              <w:jc w:val="left"/>
              <w:rPr>
                <w:rFonts w:cs="Arial"/>
                <w:bCs/>
                <w:lang w:val="en-GB"/>
              </w:rPr>
            </w:pPr>
            <w:r w:rsidRPr="00412F61">
              <w:rPr>
                <w:rFonts w:cs="Arial"/>
                <w:b/>
                <w:bCs/>
                <w:color w:val="000000"/>
                <w:szCs w:val="20"/>
                <w:lang w:val="en-GB"/>
              </w:rPr>
              <w:t xml:space="preserve">Chart </w:t>
            </w:r>
            <w:r w:rsidR="007638BD" w:rsidRPr="00412F61">
              <w:rPr>
                <w:rFonts w:cs="Arial"/>
                <w:b/>
                <w:bCs/>
                <w:color w:val="000000"/>
                <w:szCs w:val="20"/>
                <w:lang w:val="en-GB"/>
              </w:rPr>
              <w:t>14</w:t>
            </w:r>
            <w:r w:rsidR="007638BD" w:rsidRPr="00412F61">
              <w:rPr>
                <w:rFonts w:cs="Arial"/>
                <w:b/>
                <w:bCs/>
                <w:color w:val="000000"/>
                <w:sz w:val="18"/>
                <w:szCs w:val="18"/>
                <w:lang w:val="en-GB"/>
              </w:rPr>
              <w:t xml:space="preserve"> Number</w:t>
            </w:r>
            <w:r w:rsidR="00436346" w:rsidRPr="00412F61">
              <w:rPr>
                <w:rFonts w:cs="Arial"/>
                <w:b/>
                <w:bCs/>
                <w:color w:val="000000"/>
                <w:sz w:val="18"/>
                <w:szCs w:val="18"/>
                <w:lang w:val="en-GB"/>
              </w:rPr>
              <w:t xml:space="preserve"> of employed in selected branches and total number of employees </w:t>
            </w:r>
            <w:r w:rsidR="00B4411A" w:rsidRPr="00412F61">
              <w:rPr>
                <w:spacing w:val="-4"/>
                <w:lang w:val="en-GB" w:eastAsia="en-US"/>
              </w:rPr>
              <w:t>(</w:t>
            </w:r>
            <w:r w:rsidR="00436346" w:rsidRPr="00412F61">
              <w:rPr>
                <w:spacing w:val="-4"/>
                <w:lang w:val="en-GB" w:eastAsia="en-US"/>
              </w:rPr>
              <w:t xml:space="preserve">based on national accounts, seasonally adjusted, year-on-year in </w:t>
            </w:r>
            <w:r w:rsidR="007B0E83" w:rsidRPr="00412F61">
              <w:rPr>
                <w:bCs/>
                <w:spacing w:val="-2"/>
                <w:lang w:val="en-GB"/>
              </w:rPr>
              <w:t>%</w:t>
            </w:r>
            <w:r w:rsidR="00B4411A" w:rsidRPr="00412F61">
              <w:rPr>
                <w:bCs/>
                <w:spacing w:val="-2"/>
                <w:lang w:val="en-GB"/>
              </w:rPr>
              <w:t>)</w:t>
            </w:r>
          </w:p>
        </w:tc>
      </w:tr>
      <w:tr w:rsidR="00B4411A" w:rsidRPr="00412F61" w:rsidTr="004439A2">
        <w:trPr>
          <w:trHeight w:val="170"/>
        </w:trPr>
        <w:tc>
          <w:tcPr>
            <w:tcW w:w="1878" w:type="dxa"/>
            <w:vMerge/>
            <w:shd w:val="clear" w:color="auto" w:fill="auto"/>
            <w:tcMar>
              <w:left w:w="0" w:type="dxa"/>
            </w:tcMar>
          </w:tcPr>
          <w:p w:rsidR="00B4411A" w:rsidRPr="00412F61" w:rsidRDefault="00B4411A" w:rsidP="00B4411A">
            <w:pPr>
              <w:pStyle w:val="Marginlie"/>
              <w:rPr>
                <w:lang w:val="en-GB"/>
              </w:rPr>
            </w:pPr>
          </w:p>
        </w:tc>
        <w:tc>
          <w:tcPr>
            <w:tcW w:w="247" w:type="dxa"/>
            <w:vMerge/>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754CAA" w:rsidP="00B4411A">
            <w:pPr>
              <w:spacing w:after="0"/>
              <w:rPr>
                <w:lang w:val="en-GB"/>
              </w:rPr>
            </w:pPr>
            <w:r w:rsidRPr="00754CAA">
              <w:rPr>
                <w:noProof/>
              </w:rPr>
              <w:drawing>
                <wp:inline distT="0" distB="0" distL="0" distR="0">
                  <wp:extent cx="4768850" cy="3378200"/>
                  <wp:effectExtent l="0" t="0" r="0" b="0"/>
                  <wp:docPr id="3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4411A" w:rsidRPr="00412F61" w:rsidTr="004439A2">
        <w:trPr>
          <w:trHeight w:val="170"/>
        </w:trPr>
        <w:tc>
          <w:tcPr>
            <w:tcW w:w="1878" w:type="dxa"/>
            <w:vMerge/>
            <w:shd w:val="clear" w:color="auto" w:fill="auto"/>
            <w:tcMar>
              <w:left w:w="0" w:type="dxa"/>
            </w:tcMar>
          </w:tcPr>
          <w:p w:rsidR="00B4411A" w:rsidRPr="00412F61" w:rsidRDefault="00B4411A" w:rsidP="00B4411A">
            <w:pPr>
              <w:pStyle w:val="Marginlie"/>
              <w:rPr>
                <w:lang w:val="en-GB"/>
              </w:rPr>
            </w:pPr>
          </w:p>
        </w:tc>
        <w:tc>
          <w:tcPr>
            <w:tcW w:w="247" w:type="dxa"/>
            <w:vMerge/>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436346" w:rsidRPr="00754CAA" w:rsidRDefault="00906682" w:rsidP="00754CAA">
            <w:pPr>
              <w:spacing w:after="0" w:line="240" w:lineRule="auto"/>
              <w:jc w:val="left"/>
              <w:rPr>
                <w:rFonts w:cs="Arial"/>
                <w:sz w:val="14"/>
                <w:szCs w:val="14"/>
                <w:lang w:val="en-GB"/>
              </w:rPr>
            </w:pPr>
            <w:r w:rsidRPr="00412F61">
              <w:rPr>
                <w:rFonts w:cs="Arial"/>
                <w:sz w:val="14"/>
                <w:szCs w:val="14"/>
                <w:lang w:val="en-GB"/>
              </w:rPr>
              <w:t>Source</w:t>
            </w:r>
            <w:r w:rsidR="00B4411A" w:rsidRPr="00412F61">
              <w:rPr>
                <w:rFonts w:cs="Arial"/>
                <w:sz w:val="14"/>
                <w:szCs w:val="14"/>
                <w:lang w:val="en-GB"/>
              </w:rPr>
              <w:t xml:space="preserve">: </w:t>
            </w:r>
            <w:r w:rsidRPr="00412F61">
              <w:rPr>
                <w:rFonts w:cs="Arial"/>
                <w:sz w:val="14"/>
                <w:szCs w:val="14"/>
                <w:lang w:val="en-GB"/>
              </w:rPr>
              <w:t>CZSO</w:t>
            </w:r>
            <w:r w:rsidR="00B4411A" w:rsidRPr="00412F61">
              <w:rPr>
                <w:rFonts w:cs="Arial"/>
                <w:sz w:val="14"/>
                <w:szCs w:val="14"/>
                <w:lang w:val="en-GB"/>
              </w:rPr>
              <w:t xml:space="preserve"> (n</w:t>
            </w:r>
            <w:r w:rsidRPr="00412F61">
              <w:rPr>
                <w:rFonts w:cs="Arial"/>
                <w:sz w:val="14"/>
                <w:szCs w:val="14"/>
                <w:lang w:val="en-GB"/>
              </w:rPr>
              <w:t>ational accounts</w:t>
            </w:r>
            <w:r w:rsidR="00B4411A" w:rsidRPr="00412F61">
              <w:rPr>
                <w:rFonts w:cs="Arial"/>
                <w:sz w:val="14"/>
                <w:szCs w:val="14"/>
                <w:lang w:val="en-GB"/>
              </w:rPr>
              <w:t>)</w:t>
            </w:r>
          </w:p>
        </w:tc>
      </w:tr>
      <w:tr w:rsidR="00B4411A" w:rsidRPr="00412F61" w:rsidTr="004439A2">
        <w:trPr>
          <w:trHeight w:val="145"/>
        </w:trPr>
        <w:tc>
          <w:tcPr>
            <w:tcW w:w="1878" w:type="dxa"/>
            <w:shd w:val="clear" w:color="auto" w:fill="auto"/>
            <w:tcMar>
              <w:left w:w="0" w:type="dxa"/>
            </w:tcMar>
          </w:tcPr>
          <w:p w:rsidR="00B4411A" w:rsidRPr="00412F61" w:rsidRDefault="00AE6DB7" w:rsidP="00B4411A">
            <w:pPr>
              <w:pStyle w:val="Marginlie"/>
              <w:rPr>
                <w:lang w:val="en-GB"/>
              </w:rPr>
            </w:pPr>
            <w:r w:rsidRPr="00412F61">
              <w:rPr>
                <w:lang w:val="en-GB"/>
              </w:rPr>
              <w:lastRenderedPageBreak/>
              <w:t xml:space="preserve">Employment rate of those aged 15 to 64 years was already nearing the 75% boundary. </w:t>
            </w:r>
            <w:r w:rsidR="00B4411A" w:rsidRPr="00412F61">
              <w:rPr>
                <w:lang w:val="en-GB"/>
              </w:rPr>
              <w:t xml:space="preserve"> </w:t>
            </w: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452637" w:rsidP="00B4411A">
            <w:pPr>
              <w:spacing w:after="220"/>
              <w:rPr>
                <w:spacing w:val="-3"/>
                <w:lang w:val="en-GB"/>
              </w:rPr>
            </w:pPr>
            <w:r w:rsidRPr="00412F61">
              <w:rPr>
                <w:spacing w:val="-3"/>
                <w:lang w:val="en-GB"/>
              </w:rPr>
              <w:t xml:space="preserve">Given the fact, that the frequency of population aged 15 to 64 years continuously falls in the CR after year 2008, the growing number of employed was driven by the effect of the strengthening participation. Employment rate of aged 15 to 64 years increased by 1.4 </w:t>
            </w:r>
            <w:r w:rsidR="00C777A6" w:rsidRPr="00412F61">
              <w:rPr>
                <w:spacing w:val="-3"/>
                <w:lang w:val="en-GB"/>
              </w:rPr>
              <w:t>p.p.</w:t>
            </w:r>
            <w:r w:rsidRPr="00412F61">
              <w:rPr>
                <w:spacing w:val="-3"/>
                <w:lang w:val="en-GB"/>
              </w:rPr>
              <w:t xml:space="preserve"> </w:t>
            </w:r>
            <w:proofErr w:type="gramStart"/>
            <w:r w:rsidRPr="00412F61">
              <w:rPr>
                <w:spacing w:val="-3"/>
                <w:lang w:val="en-GB"/>
              </w:rPr>
              <w:t>year-on-year</w:t>
            </w:r>
            <w:proofErr w:type="gramEnd"/>
            <w:r w:rsidRPr="00412F61">
              <w:rPr>
                <w:spacing w:val="-3"/>
                <w:lang w:val="en-GB"/>
              </w:rPr>
              <w:t xml:space="preserve"> and it already aimed at the 75% boundary in Q</w:t>
            </w:r>
            <w:r w:rsidR="00694CB5" w:rsidRPr="00412F61">
              <w:rPr>
                <w:spacing w:val="-3"/>
                <w:lang w:val="en-GB"/>
              </w:rPr>
              <w:t>2, which</w:t>
            </w:r>
            <w:r w:rsidRPr="00412F61">
              <w:rPr>
                <w:spacing w:val="-3"/>
                <w:lang w:val="en-GB"/>
              </w:rPr>
              <w:t xml:space="preserve"> brought the CR closer to the first five EU countries with the highest employment</w:t>
            </w:r>
            <w:r w:rsidR="004119D5">
              <w:rPr>
                <w:spacing w:val="-3"/>
                <w:lang w:val="en-GB"/>
              </w:rPr>
              <w:t xml:space="preserve"> rate</w:t>
            </w:r>
            <w:r w:rsidRPr="00412F61">
              <w:rPr>
                <w:spacing w:val="-3"/>
                <w:lang w:val="en-GB"/>
              </w:rPr>
              <w:t xml:space="preserve">. </w:t>
            </w:r>
            <w:r w:rsidR="00694CB5" w:rsidRPr="00412F61">
              <w:rPr>
                <w:spacing w:val="-3"/>
                <w:lang w:val="en-GB"/>
              </w:rPr>
              <w:t>Swifter growth of employment of females rather than males continued</w:t>
            </w:r>
            <w:r w:rsidR="00B4411A" w:rsidRPr="00412F61">
              <w:rPr>
                <w:rStyle w:val="Znakapoznpodarou"/>
                <w:spacing w:val="-3"/>
                <w:lang w:val="en-GB"/>
              </w:rPr>
              <w:footnoteReference w:id="5"/>
            </w:r>
            <w:r w:rsidR="00B4411A" w:rsidRPr="00412F61">
              <w:rPr>
                <w:spacing w:val="-3"/>
                <w:lang w:val="en-GB"/>
              </w:rPr>
              <w:t xml:space="preserve">. </w:t>
            </w:r>
            <w:r w:rsidR="00694CB5" w:rsidRPr="00412F61">
              <w:rPr>
                <w:spacing w:val="-3"/>
                <w:lang w:val="en-GB"/>
              </w:rPr>
              <w:t>Employment rate increased year-on-year in all age groups (apart from persons up to 25 years of age).</w:t>
            </w:r>
          </w:p>
        </w:tc>
      </w:tr>
      <w:tr w:rsidR="00B4411A" w:rsidRPr="00412F61" w:rsidTr="004439A2">
        <w:trPr>
          <w:trHeight w:val="145"/>
        </w:trPr>
        <w:tc>
          <w:tcPr>
            <w:tcW w:w="1878" w:type="dxa"/>
            <w:shd w:val="clear" w:color="auto" w:fill="auto"/>
            <w:tcMar>
              <w:left w:w="0" w:type="dxa"/>
            </w:tcMar>
          </w:tcPr>
          <w:p w:rsidR="00B4411A" w:rsidRPr="00412F61" w:rsidRDefault="00057450" w:rsidP="00FF7F31">
            <w:pPr>
              <w:pStyle w:val="Marginlie"/>
              <w:rPr>
                <w:lang w:val="en-GB"/>
              </w:rPr>
            </w:pPr>
            <w:r w:rsidRPr="00412F61">
              <w:rPr>
                <w:lang w:val="en-GB"/>
              </w:rPr>
              <w:t>Solely only employees contributed to the year-on-year growth of employment this year.</w:t>
            </w: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F95167" w:rsidP="00FF7F31">
            <w:pPr>
              <w:spacing w:after="220"/>
              <w:rPr>
                <w:rFonts w:cs="Arial"/>
                <w:color w:val="0D0D0D" w:themeColor="text1" w:themeTint="F2"/>
                <w:spacing w:val="-4"/>
                <w:lang w:val="en-GB"/>
              </w:rPr>
            </w:pPr>
            <w:r w:rsidRPr="00412F61">
              <w:rPr>
                <w:rFonts w:cs="Arial"/>
                <w:color w:val="0D0D0D" w:themeColor="text1" w:themeTint="F2"/>
                <w:spacing w:val="-4"/>
                <w:lang w:val="en-GB"/>
              </w:rPr>
              <w:t xml:space="preserve">In contrast to the first half of the last year, this year´s growth of employment in the </w:t>
            </w:r>
            <w:r w:rsidR="002F2C35" w:rsidRPr="00412F61">
              <w:rPr>
                <w:rFonts w:cs="Arial"/>
                <w:color w:val="0D0D0D" w:themeColor="text1" w:themeTint="F2"/>
                <w:spacing w:val="-4"/>
                <w:lang w:val="en-GB"/>
              </w:rPr>
              <w:t>economy was driven nearly solely by persons with the employment status. Number of self-employed stagnated</w:t>
            </w:r>
            <w:r w:rsidR="00B4411A" w:rsidRPr="00412F61">
              <w:rPr>
                <w:rStyle w:val="Znakapoznpodarou"/>
                <w:color w:val="0D0D0D" w:themeColor="text1" w:themeTint="F2"/>
                <w:spacing w:val="-4"/>
                <w:lang w:val="en-GB"/>
              </w:rPr>
              <w:footnoteReference w:id="6"/>
            </w:r>
            <w:r w:rsidR="00B4411A" w:rsidRPr="00412F61">
              <w:rPr>
                <w:rFonts w:cs="Arial"/>
                <w:color w:val="0D0D0D" w:themeColor="text1" w:themeTint="F2"/>
                <w:spacing w:val="-4"/>
                <w:lang w:val="en-GB"/>
              </w:rPr>
              <w:t xml:space="preserve">, </w:t>
            </w:r>
            <w:r w:rsidR="002F2C35" w:rsidRPr="00412F61">
              <w:rPr>
                <w:rFonts w:cs="Arial"/>
                <w:color w:val="0D0D0D" w:themeColor="text1" w:themeTint="F2"/>
                <w:spacing w:val="-4"/>
                <w:lang w:val="en-GB"/>
              </w:rPr>
              <w:t>since their moderate growth in manufacturing, real estate activities or a grouping trade, transportation, accommodation and food service activities was offset by the year-on-year decrease in other branches of services, in construction and in the primary sector</w:t>
            </w:r>
            <w:r w:rsidR="0000240D" w:rsidRPr="00412F61">
              <w:rPr>
                <w:rFonts w:cs="Arial"/>
                <w:color w:val="0D0D0D" w:themeColor="text1" w:themeTint="F2"/>
                <w:spacing w:val="-4"/>
                <w:lang w:val="en-GB"/>
              </w:rPr>
              <w:t>.</w:t>
            </w:r>
          </w:p>
        </w:tc>
      </w:tr>
      <w:tr w:rsidR="00FF7F31" w:rsidRPr="00412F61" w:rsidTr="004439A2">
        <w:trPr>
          <w:trHeight w:val="145"/>
        </w:trPr>
        <w:tc>
          <w:tcPr>
            <w:tcW w:w="1878" w:type="dxa"/>
            <w:shd w:val="clear" w:color="auto" w:fill="auto"/>
            <w:tcMar>
              <w:left w:w="0" w:type="dxa"/>
            </w:tcMar>
          </w:tcPr>
          <w:p w:rsidR="00FF7F31" w:rsidRPr="00412F61" w:rsidRDefault="00FF7F31" w:rsidP="00057450">
            <w:pPr>
              <w:pStyle w:val="Marginlie"/>
              <w:rPr>
                <w:lang w:val="en-GB"/>
              </w:rPr>
            </w:pPr>
            <w:r w:rsidRPr="00412F61">
              <w:rPr>
                <w:lang w:val="en-GB"/>
              </w:rPr>
              <w:t>Services secured more than two thirds of the addition from all branches</w:t>
            </w:r>
            <w:r>
              <w:rPr>
                <w:lang w:val="en-GB"/>
              </w:rPr>
              <w:t>.</w:t>
            </w:r>
          </w:p>
        </w:tc>
        <w:tc>
          <w:tcPr>
            <w:tcW w:w="247" w:type="dxa"/>
            <w:shd w:val="clear" w:color="auto" w:fill="auto"/>
            <w:tcMar>
              <w:left w:w="0" w:type="dxa"/>
            </w:tcMar>
          </w:tcPr>
          <w:p w:rsidR="00FF7F31" w:rsidRPr="00412F61" w:rsidRDefault="00FF7F31" w:rsidP="00B4411A">
            <w:pPr>
              <w:pStyle w:val="Textpoznpodarou"/>
              <w:jc w:val="both"/>
              <w:rPr>
                <w:spacing w:val="-4"/>
                <w:lang w:val="en-GB"/>
              </w:rPr>
            </w:pPr>
          </w:p>
        </w:tc>
        <w:tc>
          <w:tcPr>
            <w:tcW w:w="7514" w:type="dxa"/>
            <w:shd w:val="clear" w:color="auto" w:fill="auto"/>
            <w:tcMar>
              <w:left w:w="0" w:type="dxa"/>
            </w:tcMar>
          </w:tcPr>
          <w:p w:rsidR="00FF7F31" w:rsidRPr="00412F61" w:rsidRDefault="00FF7F31" w:rsidP="00B4411A">
            <w:pPr>
              <w:spacing w:after="220"/>
              <w:rPr>
                <w:rFonts w:cs="Arial"/>
                <w:color w:val="0D0D0D" w:themeColor="text1" w:themeTint="F2"/>
                <w:spacing w:val="-4"/>
                <w:lang w:val="en-GB"/>
              </w:rPr>
            </w:pPr>
            <w:r w:rsidRPr="00412F61">
              <w:rPr>
                <w:rFonts w:cs="Arial"/>
                <w:color w:val="0D0D0D" w:themeColor="text1" w:themeTint="F2"/>
                <w:spacing w:val="-4"/>
                <w:lang w:val="en-GB"/>
              </w:rPr>
              <w:t xml:space="preserve">From the view of branches, the tertiary sector contributed the most (+67 thousand) to the growth of the total employment (+96 thousand year-on-year) in H1 2018, i.e. similarly to the two preceding years. All branches of services were expanding their levels of workers, only financial and insurance activities stagnated (employment in this branch mildly oscillated already six years in a row). Information and communication were the most successful (+4.4%) and real estate activities (+3.3%). </w:t>
            </w:r>
            <w:proofErr w:type="gramStart"/>
            <w:r w:rsidRPr="00412F61">
              <w:rPr>
                <w:rFonts w:cs="Arial"/>
                <w:color w:val="0D0D0D" w:themeColor="text1" w:themeTint="F2"/>
                <w:spacing w:val="-4"/>
                <w:lang w:val="en-GB"/>
              </w:rPr>
              <w:t>Weight significant branch trade, transportation, accommodation and food service activities was</w:t>
            </w:r>
            <w:proofErr w:type="gramEnd"/>
            <w:r w:rsidRPr="00412F61">
              <w:rPr>
                <w:rFonts w:cs="Arial"/>
                <w:color w:val="0D0D0D" w:themeColor="text1" w:themeTint="F2"/>
                <w:spacing w:val="-4"/>
                <w:lang w:val="en-GB"/>
              </w:rPr>
              <w:t xml:space="preserve"> also hiring workers (+1.7%). Branches with the dominance of the public institutions added the most to the growth of the services sector (+2.6%)</w:t>
            </w:r>
            <w:proofErr w:type="gramStart"/>
            <w:r w:rsidRPr="00412F61">
              <w:rPr>
                <w:rFonts w:cs="Arial"/>
                <w:color w:val="0D0D0D" w:themeColor="text1" w:themeTint="F2"/>
                <w:spacing w:val="-4"/>
                <w:lang w:val="en-GB"/>
              </w:rPr>
              <w:t>,</w:t>
            </w:r>
            <w:proofErr w:type="gramEnd"/>
            <w:r w:rsidRPr="00412F61">
              <w:rPr>
                <w:rFonts w:cs="Arial"/>
                <w:color w:val="0D0D0D" w:themeColor="text1" w:themeTint="F2"/>
                <w:spacing w:val="-4"/>
                <w:lang w:val="en-GB"/>
              </w:rPr>
              <w:t xml:space="preserve"> employment was strengthening here in education as well as activities connected to the state security</w:t>
            </w:r>
            <w:r>
              <w:rPr>
                <w:rFonts w:cs="Arial"/>
                <w:color w:val="0D0D0D" w:themeColor="text1" w:themeTint="F2"/>
                <w:spacing w:val="-4"/>
                <w:lang w:val="en-GB"/>
              </w:rPr>
              <w:t>.</w:t>
            </w:r>
          </w:p>
        </w:tc>
      </w:tr>
      <w:tr w:rsidR="00B4411A" w:rsidRPr="00412F61" w:rsidTr="004439A2">
        <w:trPr>
          <w:trHeight w:val="145"/>
        </w:trPr>
        <w:tc>
          <w:tcPr>
            <w:tcW w:w="1878" w:type="dxa"/>
            <w:shd w:val="clear" w:color="auto" w:fill="auto"/>
            <w:tcMar>
              <w:left w:w="0" w:type="dxa"/>
            </w:tcMar>
          </w:tcPr>
          <w:p w:rsidR="00B4411A" w:rsidRPr="00412F61" w:rsidRDefault="00872A3A" w:rsidP="00B4411A">
            <w:pPr>
              <w:pStyle w:val="Marginlie"/>
              <w:rPr>
                <w:lang w:val="en-GB"/>
              </w:rPr>
            </w:pPr>
            <w:r w:rsidRPr="00412F61">
              <w:rPr>
                <w:lang w:val="en-GB"/>
              </w:rPr>
              <w:t xml:space="preserve">Despite obstacles with hiring of workers, employment grew in manufacturing. Job positions kept dwindling in construction as well as mining industry. </w:t>
            </w: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872A3A" w:rsidP="00B4411A">
            <w:pPr>
              <w:spacing w:after="220"/>
              <w:rPr>
                <w:rFonts w:cs="Arial"/>
                <w:color w:val="0D0D0D" w:themeColor="text1" w:themeTint="F2"/>
                <w:spacing w:val="-4"/>
                <w:lang w:val="en-GB"/>
              </w:rPr>
            </w:pPr>
            <w:r w:rsidRPr="00412F61">
              <w:rPr>
                <w:rFonts w:cs="Arial"/>
                <w:color w:val="0D0D0D" w:themeColor="text1" w:themeTint="F2"/>
                <w:spacing w:val="-4"/>
                <w:lang w:val="en-GB"/>
              </w:rPr>
              <w:t xml:space="preserve">Outside the area of services, strong demand for labour sources prevailed also in manufacturing. Despite the difficulties with filling the vacant job positions, the employment grew by 2.3% here. Reduction of employment in non-manufacturing industrial fields halted this year. </w:t>
            </w:r>
            <w:r w:rsidR="00D07FCA" w:rsidRPr="00412F61">
              <w:rPr>
                <w:rFonts w:cs="Arial"/>
                <w:color w:val="0D0D0D" w:themeColor="text1" w:themeTint="F2"/>
                <w:spacing w:val="-4"/>
                <w:lang w:val="en-GB"/>
              </w:rPr>
              <w:t xml:space="preserve">Slower reduction of job position in mining and quarrying with the simultaneous growth of employment in </w:t>
            </w:r>
            <w:proofErr w:type="spellStart"/>
            <w:r w:rsidR="00D07FCA" w:rsidRPr="00412F61">
              <w:rPr>
                <w:rFonts w:cs="Arial"/>
                <w:color w:val="0D0D0D" w:themeColor="text1" w:themeTint="F2"/>
                <w:spacing w:val="-4"/>
                <w:lang w:val="en-GB"/>
              </w:rPr>
              <w:t>energetics</w:t>
            </w:r>
            <w:proofErr w:type="spellEnd"/>
            <w:r w:rsidR="00D07FCA" w:rsidRPr="00412F61">
              <w:rPr>
                <w:rFonts w:cs="Arial"/>
                <w:color w:val="0D0D0D" w:themeColor="text1" w:themeTint="F2"/>
                <w:spacing w:val="-4"/>
                <w:lang w:val="en-GB"/>
              </w:rPr>
              <w:t xml:space="preserve"> as well as the area of water and waste management contributed to this result. On the contrary, number of employees slightly lowered in branch agriculture, forestry and fishing similarly to construction. </w:t>
            </w:r>
            <w:r w:rsidR="005E3D00" w:rsidRPr="00412F61">
              <w:rPr>
                <w:rFonts w:cs="Arial"/>
                <w:color w:val="0D0D0D" w:themeColor="text1" w:themeTint="F2"/>
                <w:spacing w:val="-4"/>
                <w:lang w:val="en-GB"/>
              </w:rPr>
              <w:t xml:space="preserve">Given the </w:t>
            </w:r>
            <w:r w:rsidR="006E4BB1" w:rsidRPr="00412F61">
              <w:rPr>
                <w:rFonts w:cs="Arial"/>
                <w:color w:val="0D0D0D" w:themeColor="text1" w:themeTint="F2"/>
                <w:spacing w:val="-4"/>
                <w:lang w:val="en-GB"/>
              </w:rPr>
              <w:t>minimal</w:t>
            </w:r>
            <w:r w:rsidR="004119D5">
              <w:rPr>
                <w:rFonts w:cs="Arial"/>
                <w:color w:val="0D0D0D" w:themeColor="text1" w:themeTint="F2"/>
                <w:spacing w:val="-4"/>
                <w:lang w:val="en-GB"/>
              </w:rPr>
              <w:t xml:space="preserve"> changes</w:t>
            </w:r>
            <w:r w:rsidR="005E3D00" w:rsidRPr="00412F61">
              <w:rPr>
                <w:rFonts w:cs="Arial"/>
                <w:color w:val="0D0D0D" w:themeColor="text1" w:themeTint="F2"/>
                <w:spacing w:val="-4"/>
                <w:lang w:val="en-GB"/>
              </w:rPr>
              <w:t xml:space="preserve"> in the employee segment, the lower number of self-employed was decisive factor in both cases.</w:t>
            </w:r>
            <w:r w:rsidR="00B4411A" w:rsidRPr="00412F61">
              <w:rPr>
                <w:rFonts w:cs="Arial"/>
                <w:color w:val="0D0D0D" w:themeColor="text1" w:themeTint="F2"/>
                <w:spacing w:val="-4"/>
                <w:lang w:val="en-GB"/>
              </w:rPr>
              <w:t xml:space="preserve"> </w:t>
            </w:r>
          </w:p>
        </w:tc>
      </w:tr>
      <w:tr w:rsidR="00FF7F31" w:rsidRPr="00412F61" w:rsidTr="004439A2">
        <w:trPr>
          <w:trHeight w:val="145"/>
        </w:trPr>
        <w:tc>
          <w:tcPr>
            <w:tcW w:w="1878" w:type="dxa"/>
            <w:shd w:val="clear" w:color="auto" w:fill="auto"/>
            <w:tcMar>
              <w:left w:w="0" w:type="dxa"/>
            </w:tcMar>
          </w:tcPr>
          <w:p w:rsidR="00FF7F31" w:rsidRPr="00412F61" w:rsidRDefault="00FF7F31" w:rsidP="00FF7F31">
            <w:pPr>
              <w:pStyle w:val="Marginlie"/>
              <w:rPr>
                <w:lang w:val="en-GB"/>
              </w:rPr>
            </w:pPr>
            <w:r w:rsidRPr="00412F61">
              <w:rPr>
                <w:lang w:val="en-GB"/>
              </w:rPr>
              <w:t>General unemployment rate fell only negligibly during the first half of the year. The number of long-term unemployed however kept shrinking.</w:t>
            </w:r>
          </w:p>
          <w:p w:rsidR="00FF7F31" w:rsidRPr="00412F61" w:rsidRDefault="00FF7F31" w:rsidP="00B4411A">
            <w:pPr>
              <w:pStyle w:val="Marginlie"/>
              <w:rPr>
                <w:lang w:val="en-GB"/>
              </w:rPr>
            </w:pPr>
          </w:p>
        </w:tc>
        <w:tc>
          <w:tcPr>
            <w:tcW w:w="247" w:type="dxa"/>
            <w:shd w:val="clear" w:color="auto" w:fill="auto"/>
            <w:tcMar>
              <w:left w:w="0" w:type="dxa"/>
            </w:tcMar>
          </w:tcPr>
          <w:p w:rsidR="00FF7F31" w:rsidRPr="00412F61" w:rsidRDefault="00FF7F31" w:rsidP="00B4411A">
            <w:pPr>
              <w:pStyle w:val="Textpoznpodarou"/>
              <w:jc w:val="both"/>
              <w:rPr>
                <w:spacing w:val="-4"/>
                <w:lang w:val="en-GB"/>
              </w:rPr>
            </w:pPr>
          </w:p>
        </w:tc>
        <w:tc>
          <w:tcPr>
            <w:tcW w:w="7514" w:type="dxa"/>
            <w:shd w:val="clear" w:color="auto" w:fill="auto"/>
            <w:tcMar>
              <w:left w:w="0" w:type="dxa"/>
            </w:tcMar>
          </w:tcPr>
          <w:p w:rsidR="00FF7F31" w:rsidRPr="00412F61" w:rsidRDefault="00FF7F31" w:rsidP="00FF7F31">
            <w:pPr>
              <w:spacing w:after="300"/>
              <w:rPr>
                <w:rFonts w:cs="Arial"/>
                <w:color w:val="0D0D0D" w:themeColor="text1" w:themeTint="F2"/>
                <w:spacing w:val="-4"/>
                <w:lang w:val="en-GB"/>
              </w:rPr>
            </w:pPr>
            <w:r w:rsidRPr="00412F61">
              <w:rPr>
                <w:rFonts w:cs="Arial"/>
                <w:color w:val="0D0D0D" w:themeColor="text1" w:themeTint="F2"/>
                <w:spacing w:val="-4"/>
                <w:lang w:val="en-GB"/>
              </w:rPr>
              <w:t>LFSS data suggest that the general unemployment rate (the lowest in the history of the independent CR) moved already close to its bottom in the 1</w:t>
            </w:r>
            <w:r w:rsidRPr="00412F61">
              <w:rPr>
                <w:rFonts w:cs="Arial"/>
                <w:color w:val="0D0D0D" w:themeColor="text1" w:themeTint="F2"/>
                <w:spacing w:val="-4"/>
                <w:vertAlign w:val="superscript"/>
                <w:lang w:val="en-GB"/>
              </w:rPr>
              <w:t>st</w:t>
            </w:r>
            <w:r w:rsidRPr="00412F61">
              <w:rPr>
                <w:rFonts w:cs="Arial"/>
                <w:color w:val="0D0D0D" w:themeColor="text1" w:themeTint="F2"/>
                <w:spacing w:val="-4"/>
                <w:lang w:val="en-GB"/>
              </w:rPr>
              <w:t xml:space="preserve"> half of 2018. Based on the seasonally adjusted data, the number of unemployed decreased only by 3 thousand between Q1 and 2 (similar result was also achieved in the first three months of the year). 2.9% of economically active females, resp. 2.0% of males aged 15 to 64 years were without a job in June. Year-on-year the unemployment rate was falling for females twice as fast as for males (where there is the potential of further reduction of unemployment apparently already very limited). Lower number of unemployed was from the vast extent the result of lower frequency of persons, who were out of job for more than one year (it lowered by 24 thousand to 36 thousand) in Q2. Their share in the total number of unemployed fell to 30% (the lowest since year 2009) and it was nearly by one third weaker than in the whole EU.</w:t>
            </w:r>
          </w:p>
        </w:tc>
      </w:tr>
      <w:tr w:rsidR="00B4411A" w:rsidRPr="00412F61" w:rsidTr="004439A2">
        <w:trPr>
          <w:trHeight w:val="145"/>
        </w:trPr>
        <w:tc>
          <w:tcPr>
            <w:tcW w:w="1878" w:type="dxa"/>
            <w:shd w:val="clear" w:color="auto" w:fill="auto"/>
            <w:tcMar>
              <w:left w:w="0" w:type="dxa"/>
            </w:tcMar>
          </w:tcPr>
          <w:p w:rsidR="00B4411A" w:rsidRPr="00412F61" w:rsidRDefault="00B4411A" w:rsidP="00B4411A">
            <w:pPr>
              <w:pStyle w:val="Marginlie"/>
              <w:rPr>
                <w:lang w:val="en-GB"/>
              </w:rPr>
            </w:pP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AE6DB7" w:rsidP="00D47481">
            <w:pPr>
              <w:pStyle w:val="Textpoznpodarou"/>
              <w:rPr>
                <w:spacing w:val="-2"/>
                <w:lang w:val="en-GB"/>
              </w:rPr>
            </w:pPr>
            <w:r w:rsidRPr="00412F61">
              <w:rPr>
                <w:b/>
                <w:spacing w:val="-2"/>
                <w:lang w:val="en-GB"/>
              </w:rPr>
              <w:t xml:space="preserve">Chart </w:t>
            </w:r>
            <w:r w:rsidR="00926D2D" w:rsidRPr="00412F61">
              <w:rPr>
                <w:b/>
                <w:spacing w:val="-2"/>
                <w:lang w:val="en-GB"/>
              </w:rPr>
              <w:t>15 General</w:t>
            </w:r>
            <w:r w:rsidR="00701397" w:rsidRPr="00412F61">
              <w:rPr>
                <w:rFonts w:cs="Arial"/>
                <w:b/>
                <w:bCs/>
                <w:spacing w:val="-2"/>
                <w:lang w:val="en-GB"/>
              </w:rPr>
              <w:t xml:space="preserve"> unemployment rate of males and females, </w:t>
            </w:r>
            <w:r w:rsidR="00EF22EA" w:rsidRPr="00412F61">
              <w:rPr>
                <w:rFonts w:cs="Arial"/>
                <w:b/>
                <w:bCs/>
                <w:spacing w:val="-2"/>
                <w:lang w:val="en-GB"/>
              </w:rPr>
              <w:t>share of selected groups of person</w:t>
            </w:r>
            <w:r w:rsidR="00926D2D" w:rsidRPr="00412F61">
              <w:rPr>
                <w:rFonts w:cs="Arial"/>
                <w:b/>
                <w:bCs/>
                <w:spacing w:val="-2"/>
                <w:lang w:val="en-GB"/>
              </w:rPr>
              <w:t>s</w:t>
            </w:r>
            <w:r w:rsidR="00EF22EA" w:rsidRPr="00412F61">
              <w:rPr>
                <w:rFonts w:cs="Arial"/>
                <w:b/>
                <w:bCs/>
                <w:spacing w:val="-2"/>
                <w:lang w:val="en-GB"/>
              </w:rPr>
              <w:t xml:space="preserve"> on all unemployed </w:t>
            </w:r>
            <w:r w:rsidR="00B4411A" w:rsidRPr="00412F61">
              <w:rPr>
                <w:rFonts w:cs="Arial"/>
                <w:bCs/>
                <w:spacing w:val="-2"/>
                <w:lang w:val="en-GB"/>
              </w:rPr>
              <w:t>(</w:t>
            </w:r>
            <w:r w:rsidR="00D47481" w:rsidRPr="00412F61">
              <w:rPr>
                <w:rFonts w:cs="Arial"/>
                <w:bCs/>
                <w:spacing w:val="-2"/>
                <w:lang w:val="en-GB"/>
              </w:rPr>
              <w:t>in</w:t>
            </w:r>
            <w:r w:rsidR="007B0E83" w:rsidRPr="00412F61">
              <w:rPr>
                <w:rFonts w:cs="Arial"/>
                <w:bCs/>
                <w:spacing w:val="-2"/>
                <w:lang w:val="en-GB"/>
              </w:rPr>
              <w:t> %</w:t>
            </w:r>
            <w:r w:rsidR="00B4411A" w:rsidRPr="00412F61">
              <w:rPr>
                <w:rFonts w:cs="Arial"/>
                <w:bCs/>
                <w:spacing w:val="-2"/>
                <w:lang w:val="en-GB"/>
              </w:rPr>
              <w:t xml:space="preserve">) </w:t>
            </w:r>
            <w:r w:rsidR="00B4411A" w:rsidRPr="00412F61">
              <w:rPr>
                <w:rFonts w:cs="Arial"/>
                <w:b/>
                <w:bCs/>
                <w:spacing w:val="-2"/>
                <w:lang w:val="en-GB"/>
              </w:rPr>
              <w:t>a</w:t>
            </w:r>
            <w:r w:rsidR="00D47481" w:rsidRPr="00412F61">
              <w:rPr>
                <w:rFonts w:cs="Arial"/>
                <w:b/>
                <w:bCs/>
                <w:spacing w:val="-2"/>
                <w:lang w:val="en-GB"/>
              </w:rPr>
              <w:t xml:space="preserve">nd economically inactive wanting to work </w:t>
            </w:r>
            <w:r w:rsidR="00B4411A" w:rsidRPr="00412F61">
              <w:rPr>
                <w:rFonts w:cs="Arial"/>
                <w:bCs/>
                <w:spacing w:val="-2"/>
                <w:lang w:val="en-GB"/>
              </w:rPr>
              <w:t>(</w:t>
            </w:r>
            <w:r w:rsidR="00D47481" w:rsidRPr="00412F61">
              <w:rPr>
                <w:rFonts w:cs="Arial"/>
                <w:bCs/>
                <w:spacing w:val="-2"/>
                <w:lang w:val="en-GB"/>
              </w:rPr>
              <w:t xml:space="preserve">in </w:t>
            </w:r>
            <w:r w:rsidR="00730715" w:rsidRPr="00412F61">
              <w:rPr>
                <w:rFonts w:cs="Arial"/>
                <w:bCs/>
                <w:spacing w:val="-2"/>
                <w:lang w:val="en-GB"/>
              </w:rPr>
              <w:t>thousand</w:t>
            </w:r>
            <w:r w:rsidR="00FF7F31">
              <w:rPr>
                <w:rFonts w:cs="Arial"/>
                <w:bCs/>
                <w:spacing w:val="-2"/>
                <w:lang w:val="en-GB"/>
              </w:rPr>
              <w:t>s</w:t>
            </w:r>
            <w:r w:rsidR="00730715" w:rsidRPr="00412F61">
              <w:rPr>
                <w:rFonts w:cs="Arial"/>
                <w:bCs/>
                <w:spacing w:val="-2"/>
                <w:lang w:val="en-GB"/>
              </w:rPr>
              <w:t>) *</w:t>
            </w:r>
          </w:p>
        </w:tc>
      </w:tr>
      <w:tr w:rsidR="00B4411A" w:rsidRPr="00412F61" w:rsidTr="004439A2">
        <w:trPr>
          <w:trHeight w:val="145"/>
        </w:trPr>
        <w:tc>
          <w:tcPr>
            <w:tcW w:w="1878" w:type="dxa"/>
            <w:shd w:val="clear" w:color="auto" w:fill="auto"/>
            <w:tcMar>
              <w:left w:w="0" w:type="dxa"/>
            </w:tcMar>
          </w:tcPr>
          <w:p w:rsidR="00B4411A" w:rsidRPr="00412F61" w:rsidRDefault="00B4411A" w:rsidP="00B4411A">
            <w:pPr>
              <w:pStyle w:val="Marginlie"/>
              <w:rPr>
                <w:lang w:val="en-GB"/>
              </w:rPr>
            </w:pP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FF7F31" w:rsidP="00B4411A">
            <w:pPr>
              <w:spacing w:after="0" w:line="240" w:lineRule="auto"/>
              <w:rPr>
                <w:spacing w:val="-2"/>
                <w:szCs w:val="20"/>
                <w:lang w:val="en-GB"/>
              </w:rPr>
            </w:pPr>
            <w:r w:rsidRPr="00FF7F31">
              <w:rPr>
                <w:noProof/>
                <w:spacing w:val="-2"/>
                <w:szCs w:val="20"/>
              </w:rPr>
              <w:drawing>
                <wp:inline distT="0" distB="0" distL="0" distR="0">
                  <wp:extent cx="4752000" cy="3528000"/>
                  <wp:effectExtent l="19050" t="0" r="0" b="0"/>
                  <wp:docPr id="3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4411A" w:rsidRPr="00412F61" w:rsidTr="004439A2">
        <w:trPr>
          <w:trHeight w:val="145"/>
        </w:trPr>
        <w:tc>
          <w:tcPr>
            <w:tcW w:w="1878" w:type="dxa"/>
            <w:shd w:val="clear" w:color="auto" w:fill="auto"/>
            <w:tcMar>
              <w:left w:w="0" w:type="dxa"/>
            </w:tcMar>
          </w:tcPr>
          <w:p w:rsidR="00B4411A" w:rsidRPr="00412F61" w:rsidRDefault="00B4411A" w:rsidP="00B4411A">
            <w:pPr>
              <w:pStyle w:val="Marginlie"/>
              <w:rPr>
                <w:lang w:val="en-GB"/>
              </w:rPr>
            </w:pP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C3471E" w:rsidP="00B4411A">
            <w:pPr>
              <w:spacing w:after="0" w:line="240" w:lineRule="auto"/>
              <w:rPr>
                <w:rFonts w:cs="Arial"/>
                <w:color w:val="0D0D0D" w:themeColor="text1" w:themeTint="F2"/>
                <w:sz w:val="14"/>
                <w:szCs w:val="14"/>
                <w:lang w:val="en-GB"/>
              </w:rPr>
            </w:pPr>
            <w:r w:rsidRPr="00412F61">
              <w:rPr>
                <w:rFonts w:cs="Arial"/>
                <w:color w:val="0D0D0D" w:themeColor="text1" w:themeTint="F2"/>
                <w:sz w:val="14"/>
                <w:szCs w:val="14"/>
                <w:lang w:val="en-GB"/>
              </w:rPr>
              <w:t>Note</w:t>
            </w:r>
            <w:r w:rsidR="00B4411A" w:rsidRPr="00412F61">
              <w:rPr>
                <w:rFonts w:cs="Arial"/>
                <w:color w:val="0D0D0D" w:themeColor="text1" w:themeTint="F2"/>
                <w:sz w:val="14"/>
                <w:szCs w:val="14"/>
                <w:lang w:val="en-GB"/>
              </w:rPr>
              <w:t xml:space="preserve">: </w:t>
            </w:r>
            <w:r w:rsidRPr="00412F61">
              <w:rPr>
                <w:rFonts w:cs="Arial"/>
                <w:color w:val="0D0D0D" w:themeColor="text1" w:themeTint="F2"/>
                <w:sz w:val="14"/>
                <w:szCs w:val="14"/>
                <w:lang w:val="en-GB"/>
              </w:rPr>
              <w:t xml:space="preserve">all data related to unemployment are seasonally adjusted. </w:t>
            </w:r>
          </w:p>
          <w:p w:rsidR="00FE5BDA" w:rsidRPr="00412F61" w:rsidRDefault="00B4411A" w:rsidP="00B4411A">
            <w:pPr>
              <w:spacing w:after="0" w:line="240" w:lineRule="auto"/>
              <w:rPr>
                <w:rFonts w:cs="Arial"/>
                <w:color w:val="0D0D0D" w:themeColor="text1" w:themeTint="F2"/>
                <w:sz w:val="14"/>
                <w:szCs w:val="14"/>
                <w:lang w:val="en-GB"/>
              </w:rPr>
            </w:pPr>
            <w:r w:rsidRPr="00412F61">
              <w:rPr>
                <w:rFonts w:cs="Arial"/>
                <w:color w:val="0D0D0D" w:themeColor="text1" w:themeTint="F2"/>
                <w:sz w:val="14"/>
                <w:szCs w:val="14"/>
                <w:lang w:val="en-GB"/>
              </w:rPr>
              <w:t>*</w:t>
            </w:r>
            <w:r w:rsidR="00980C49" w:rsidRPr="00412F61">
              <w:rPr>
                <w:rFonts w:cs="Arial"/>
                <w:color w:val="0D0D0D" w:themeColor="text1" w:themeTint="F2"/>
                <w:sz w:val="14"/>
                <w:szCs w:val="14"/>
                <w:lang w:val="en-GB"/>
              </w:rPr>
              <w:t xml:space="preserve">Persons </w:t>
            </w:r>
            <w:r w:rsidR="007D0493" w:rsidRPr="00412F61">
              <w:rPr>
                <w:rFonts w:cs="Arial"/>
                <w:color w:val="0D0D0D" w:themeColor="text1" w:themeTint="F2"/>
                <w:sz w:val="14"/>
                <w:szCs w:val="14"/>
                <w:lang w:val="en-GB"/>
              </w:rPr>
              <w:t xml:space="preserve">who are not part of the labour force, are not actively </w:t>
            </w:r>
            <w:r w:rsidR="00FE5BDA" w:rsidRPr="00412F61">
              <w:rPr>
                <w:rFonts w:cs="Arial"/>
                <w:color w:val="0D0D0D" w:themeColor="text1" w:themeTint="F2"/>
                <w:sz w:val="14"/>
                <w:szCs w:val="14"/>
                <w:lang w:val="en-GB"/>
              </w:rPr>
              <w:t>seeking</w:t>
            </w:r>
            <w:r w:rsidR="007D0493" w:rsidRPr="00412F61">
              <w:rPr>
                <w:rFonts w:cs="Arial"/>
                <w:color w:val="0D0D0D" w:themeColor="text1" w:themeTint="F2"/>
                <w:sz w:val="14"/>
                <w:szCs w:val="14"/>
                <w:lang w:val="en-GB"/>
              </w:rPr>
              <w:t xml:space="preserve"> </w:t>
            </w:r>
            <w:r w:rsidR="00FE5BDA" w:rsidRPr="00412F61">
              <w:rPr>
                <w:rFonts w:cs="Arial"/>
                <w:color w:val="0D0D0D" w:themeColor="text1" w:themeTint="F2"/>
                <w:sz w:val="14"/>
                <w:szCs w:val="14"/>
                <w:lang w:val="en-GB"/>
              </w:rPr>
              <w:t>employment</w:t>
            </w:r>
            <w:r w:rsidR="007D0493" w:rsidRPr="00412F61">
              <w:rPr>
                <w:rFonts w:cs="Arial"/>
                <w:color w:val="0D0D0D" w:themeColor="text1" w:themeTint="F2"/>
                <w:sz w:val="14"/>
                <w:szCs w:val="14"/>
                <w:lang w:val="en-GB"/>
              </w:rPr>
              <w:t xml:space="preserve"> (and thus do to meet the </w:t>
            </w:r>
            <w:r w:rsidR="00FE5BDA" w:rsidRPr="00412F61">
              <w:rPr>
                <w:rFonts w:cs="Arial"/>
                <w:color w:val="0D0D0D" w:themeColor="text1" w:themeTint="F2"/>
                <w:sz w:val="14"/>
                <w:szCs w:val="14"/>
                <w:lang w:val="en-GB"/>
              </w:rPr>
              <w:t>conditions</w:t>
            </w:r>
            <w:r w:rsidR="007D0493" w:rsidRPr="00412F61">
              <w:rPr>
                <w:rFonts w:cs="Arial"/>
                <w:color w:val="0D0D0D" w:themeColor="text1" w:themeTint="F2"/>
                <w:sz w:val="14"/>
                <w:szCs w:val="14"/>
                <w:lang w:val="en-GB"/>
              </w:rPr>
              <w:t xml:space="preserve"> of ILO for unemployed</w:t>
            </w:r>
            <w:r w:rsidR="00FE5BDA" w:rsidRPr="00412F61">
              <w:rPr>
                <w:rFonts w:cs="Arial"/>
                <w:color w:val="0D0D0D" w:themeColor="text1" w:themeTint="F2"/>
                <w:sz w:val="14"/>
                <w:szCs w:val="14"/>
                <w:lang w:val="en-GB"/>
              </w:rPr>
              <w:t>)</w:t>
            </w:r>
            <w:r w:rsidR="007D0493" w:rsidRPr="00412F61">
              <w:rPr>
                <w:rFonts w:cs="Arial"/>
                <w:color w:val="0D0D0D" w:themeColor="text1" w:themeTint="F2"/>
                <w:sz w:val="14"/>
                <w:szCs w:val="14"/>
                <w:lang w:val="en-GB"/>
              </w:rPr>
              <w:t xml:space="preserve">, </w:t>
            </w:r>
            <w:r w:rsidR="00FE5BDA" w:rsidRPr="00412F61">
              <w:rPr>
                <w:rFonts w:cs="Arial"/>
                <w:color w:val="0D0D0D" w:themeColor="text1" w:themeTint="F2"/>
                <w:sz w:val="14"/>
                <w:szCs w:val="14"/>
                <w:lang w:val="en-GB"/>
              </w:rPr>
              <w:t>however</w:t>
            </w:r>
            <w:r w:rsidR="007D0493" w:rsidRPr="00412F61">
              <w:rPr>
                <w:rFonts w:cs="Arial"/>
                <w:color w:val="0D0D0D" w:themeColor="text1" w:themeTint="F2"/>
                <w:sz w:val="14"/>
                <w:szCs w:val="14"/>
                <w:lang w:val="en-GB"/>
              </w:rPr>
              <w:t xml:space="preserve"> </w:t>
            </w:r>
            <w:r w:rsidR="00FE5BDA" w:rsidRPr="00412F61">
              <w:rPr>
                <w:rFonts w:cs="Arial"/>
                <w:color w:val="0D0D0D" w:themeColor="text1" w:themeTint="F2"/>
                <w:sz w:val="14"/>
                <w:szCs w:val="14"/>
                <w:lang w:val="en-GB"/>
              </w:rPr>
              <w:t>st</w:t>
            </w:r>
            <w:r w:rsidR="007D0493" w:rsidRPr="00412F61">
              <w:rPr>
                <w:rFonts w:cs="Arial"/>
                <w:color w:val="0D0D0D" w:themeColor="text1" w:themeTint="F2"/>
                <w:sz w:val="14"/>
                <w:szCs w:val="14"/>
                <w:lang w:val="en-GB"/>
              </w:rPr>
              <w:t>ate that they wou</w:t>
            </w:r>
            <w:r w:rsidR="00FE5BDA" w:rsidRPr="00412F61">
              <w:rPr>
                <w:rFonts w:cs="Arial"/>
                <w:color w:val="0D0D0D" w:themeColor="text1" w:themeTint="F2"/>
                <w:sz w:val="14"/>
                <w:szCs w:val="14"/>
                <w:lang w:val="en-GB"/>
              </w:rPr>
              <w:t>l</w:t>
            </w:r>
            <w:r w:rsidR="007D0493" w:rsidRPr="00412F61">
              <w:rPr>
                <w:rFonts w:cs="Arial"/>
                <w:color w:val="0D0D0D" w:themeColor="text1" w:themeTint="F2"/>
                <w:sz w:val="14"/>
                <w:szCs w:val="14"/>
                <w:lang w:val="en-GB"/>
              </w:rPr>
              <w:t xml:space="preserve">d like to work. </w:t>
            </w:r>
          </w:p>
          <w:p w:rsidR="00CA507F" w:rsidRPr="00412F61" w:rsidRDefault="00FE5BDA" w:rsidP="00B4411A">
            <w:pPr>
              <w:spacing w:after="0" w:line="240" w:lineRule="auto"/>
              <w:rPr>
                <w:rFonts w:cs="Arial"/>
                <w:color w:val="0D0D0D" w:themeColor="text1" w:themeTint="F2"/>
                <w:sz w:val="14"/>
                <w:szCs w:val="14"/>
                <w:lang w:val="en-GB"/>
              </w:rPr>
            </w:pPr>
            <w:r w:rsidRPr="00412F61">
              <w:rPr>
                <w:rFonts w:cs="Arial"/>
                <w:color w:val="0D0D0D" w:themeColor="text1" w:themeTint="F2"/>
                <w:sz w:val="14"/>
                <w:szCs w:val="14"/>
                <w:lang w:val="en-GB"/>
              </w:rPr>
              <w:t>Source</w:t>
            </w:r>
            <w:r w:rsidR="00B4411A" w:rsidRPr="00412F61">
              <w:rPr>
                <w:rFonts w:cs="Arial"/>
                <w:color w:val="0D0D0D" w:themeColor="text1" w:themeTint="F2"/>
                <w:sz w:val="14"/>
                <w:szCs w:val="14"/>
                <w:lang w:val="en-GB"/>
              </w:rPr>
              <w:t xml:space="preserve">: </w:t>
            </w:r>
            <w:r w:rsidRPr="00412F61">
              <w:rPr>
                <w:rFonts w:cs="Arial"/>
                <w:color w:val="0D0D0D" w:themeColor="text1" w:themeTint="F2"/>
                <w:sz w:val="14"/>
                <w:szCs w:val="14"/>
                <w:lang w:val="en-GB"/>
              </w:rPr>
              <w:t xml:space="preserve">CZSO </w:t>
            </w:r>
            <w:r w:rsidR="00B4411A" w:rsidRPr="00412F61">
              <w:rPr>
                <w:rFonts w:cs="Arial"/>
                <w:color w:val="0D0D0D" w:themeColor="text1" w:themeTint="F2"/>
                <w:sz w:val="14"/>
                <w:szCs w:val="14"/>
                <w:lang w:val="en-GB"/>
              </w:rPr>
              <w:t>(</w:t>
            </w:r>
            <w:r w:rsidRPr="00412F61">
              <w:rPr>
                <w:rFonts w:cs="Arial"/>
                <w:color w:val="0D0D0D" w:themeColor="text1" w:themeTint="F2"/>
                <w:sz w:val="14"/>
                <w:szCs w:val="14"/>
                <w:lang w:val="en-GB"/>
              </w:rPr>
              <w:t>LFSS – Labour Force Sample Survey</w:t>
            </w:r>
          </w:p>
          <w:p w:rsidR="00AE6DB7" w:rsidRPr="00412F61" w:rsidRDefault="00AE6DB7" w:rsidP="00B4411A">
            <w:pPr>
              <w:spacing w:after="0" w:line="240" w:lineRule="auto"/>
              <w:rPr>
                <w:rFonts w:cs="Arial"/>
                <w:color w:val="0D0D0D" w:themeColor="text1" w:themeTint="F2"/>
                <w:sz w:val="14"/>
                <w:szCs w:val="14"/>
                <w:lang w:val="en-GB"/>
              </w:rPr>
            </w:pPr>
          </w:p>
        </w:tc>
      </w:tr>
      <w:tr w:rsidR="00B4411A" w:rsidRPr="00412F61" w:rsidTr="004439A2">
        <w:trPr>
          <w:trHeight w:val="145"/>
        </w:trPr>
        <w:tc>
          <w:tcPr>
            <w:tcW w:w="1878" w:type="dxa"/>
            <w:shd w:val="clear" w:color="auto" w:fill="auto"/>
            <w:tcMar>
              <w:left w:w="0" w:type="dxa"/>
            </w:tcMar>
          </w:tcPr>
          <w:p w:rsidR="00B4411A" w:rsidRPr="00412F61" w:rsidRDefault="008C2313" w:rsidP="00B4411A">
            <w:pPr>
              <w:pStyle w:val="Marginlie"/>
              <w:rPr>
                <w:lang w:val="en-GB"/>
              </w:rPr>
            </w:pPr>
            <w:r w:rsidRPr="00412F61">
              <w:rPr>
                <w:lang w:val="en-GB"/>
              </w:rPr>
              <w:t xml:space="preserve">Number of economically inactive seeking job reached its minimum for the whole period of monitoring.  </w:t>
            </w:r>
          </w:p>
          <w:p w:rsidR="00B4411A" w:rsidRPr="00412F61" w:rsidRDefault="00B4411A" w:rsidP="00B4411A">
            <w:pPr>
              <w:pStyle w:val="Marginlie"/>
              <w:rPr>
                <w:lang w:val="en-GB"/>
              </w:rPr>
            </w:pP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8C2313" w:rsidP="00035106">
            <w:pPr>
              <w:spacing w:after="200"/>
              <w:rPr>
                <w:rFonts w:cs="Arial"/>
                <w:color w:val="0D0D0D" w:themeColor="text1" w:themeTint="F2"/>
                <w:spacing w:val="-4"/>
                <w:lang w:val="en-GB"/>
              </w:rPr>
            </w:pPr>
            <w:r w:rsidRPr="00412F61">
              <w:rPr>
                <w:rFonts w:cs="Arial"/>
                <w:color w:val="0D0D0D" w:themeColor="text1" w:themeTint="F2"/>
                <w:spacing w:val="-4"/>
                <w:lang w:val="en-GB"/>
              </w:rPr>
              <w:t>This development however also leads to the situation</w:t>
            </w:r>
            <w:r w:rsidR="002A5218" w:rsidRPr="00412F61">
              <w:rPr>
                <w:rFonts w:cs="Arial"/>
                <w:color w:val="0D0D0D" w:themeColor="text1" w:themeTint="F2"/>
                <w:spacing w:val="-4"/>
                <w:lang w:val="en-GB"/>
              </w:rPr>
              <w:t xml:space="preserve"> in the CR</w:t>
            </w:r>
            <w:r w:rsidRPr="00412F61">
              <w:rPr>
                <w:rFonts w:cs="Arial"/>
                <w:color w:val="0D0D0D" w:themeColor="text1" w:themeTint="F2"/>
                <w:spacing w:val="-4"/>
                <w:lang w:val="en-GB"/>
              </w:rPr>
              <w:t xml:space="preserve">, that still more often </w:t>
            </w:r>
            <w:r w:rsidR="002A5218" w:rsidRPr="00412F61">
              <w:rPr>
                <w:rFonts w:cs="Arial"/>
                <w:color w:val="0D0D0D" w:themeColor="text1" w:themeTint="F2"/>
                <w:spacing w:val="-4"/>
                <w:lang w:val="en-GB"/>
              </w:rPr>
              <w:t>person</w:t>
            </w:r>
            <w:r w:rsidR="00DE76D5" w:rsidRPr="00412F61">
              <w:rPr>
                <w:rFonts w:cs="Arial"/>
                <w:color w:val="0D0D0D" w:themeColor="text1" w:themeTint="F2"/>
                <w:spacing w:val="-4"/>
                <w:lang w:val="en-GB"/>
              </w:rPr>
              <w:t>s</w:t>
            </w:r>
            <w:r w:rsidR="002A5218" w:rsidRPr="00412F61">
              <w:rPr>
                <w:rFonts w:cs="Arial"/>
                <w:color w:val="0D0D0D" w:themeColor="text1" w:themeTint="F2"/>
                <w:spacing w:val="-4"/>
                <w:lang w:val="en-GB"/>
              </w:rPr>
              <w:t xml:space="preserve"> with minimal or obsolete work experience break through among the long-term unemployed</w:t>
            </w:r>
            <w:r w:rsidR="00B4411A" w:rsidRPr="00412F61">
              <w:rPr>
                <w:rStyle w:val="Znakapoznpodarou"/>
                <w:color w:val="0D0D0D" w:themeColor="text1" w:themeTint="F2"/>
                <w:spacing w:val="-4"/>
                <w:lang w:val="en-GB"/>
              </w:rPr>
              <w:footnoteReference w:id="7"/>
            </w:r>
            <w:r w:rsidR="00B4411A" w:rsidRPr="00412F61">
              <w:rPr>
                <w:rFonts w:cs="Arial"/>
                <w:color w:val="0D0D0D" w:themeColor="text1" w:themeTint="F2"/>
                <w:spacing w:val="-4"/>
                <w:lang w:val="en-GB"/>
              </w:rPr>
              <w:t>. S</w:t>
            </w:r>
            <w:r w:rsidR="002D1CE9" w:rsidRPr="00412F61">
              <w:rPr>
                <w:rFonts w:cs="Arial"/>
                <w:color w:val="0D0D0D" w:themeColor="text1" w:themeTint="F2"/>
                <w:spacing w:val="-4"/>
                <w:lang w:val="en-GB"/>
              </w:rPr>
              <w:t xml:space="preserve">trong absorption capability of the labour market is also evident from the drop of the number of economically inactive persons, who </w:t>
            </w:r>
            <w:r w:rsidR="00035106" w:rsidRPr="00412F61">
              <w:rPr>
                <w:rFonts w:cs="Arial"/>
                <w:color w:val="0D0D0D" w:themeColor="text1" w:themeTint="F2"/>
                <w:spacing w:val="-4"/>
                <w:lang w:val="en-GB"/>
              </w:rPr>
              <w:t>are not part of the labour force</w:t>
            </w:r>
            <w:r w:rsidR="002D1CE9" w:rsidRPr="00412F61">
              <w:rPr>
                <w:rFonts w:cs="Arial"/>
                <w:color w:val="0D0D0D" w:themeColor="text1" w:themeTint="F2"/>
                <w:spacing w:val="-4"/>
                <w:lang w:val="en-GB"/>
              </w:rPr>
              <w:t xml:space="preserve">, do not actively seek </w:t>
            </w:r>
            <w:proofErr w:type="gramStart"/>
            <w:r w:rsidR="002D1CE9" w:rsidRPr="00412F61">
              <w:rPr>
                <w:rFonts w:cs="Arial"/>
                <w:color w:val="0D0D0D" w:themeColor="text1" w:themeTint="F2"/>
                <w:spacing w:val="-4"/>
                <w:lang w:val="en-GB"/>
              </w:rPr>
              <w:t>employment,</w:t>
            </w:r>
            <w:proofErr w:type="gramEnd"/>
            <w:r w:rsidR="002D1CE9" w:rsidRPr="00412F61">
              <w:rPr>
                <w:rFonts w:cs="Arial"/>
                <w:color w:val="0D0D0D" w:themeColor="text1" w:themeTint="F2"/>
                <w:spacing w:val="-4"/>
                <w:lang w:val="en-GB"/>
              </w:rPr>
              <w:t xml:space="preserve"> however they state, that they would like to work. Their number was 108 thousand in Q2, t</w:t>
            </w:r>
            <w:r w:rsidR="00AA38E9" w:rsidRPr="00412F61">
              <w:rPr>
                <w:rFonts w:cs="Arial"/>
                <w:color w:val="0D0D0D" w:themeColor="text1" w:themeTint="F2"/>
                <w:szCs w:val="20"/>
                <w:lang w:val="en-GB"/>
              </w:rPr>
              <w:t xml:space="preserve">he least in the history of monitoring. Only just below one third of them was however able to quickly enter the employment, often these are persons </w:t>
            </w:r>
            <w:r w:rsidR="00E7152C" w:rsidRPr="00412F61">
              <w:rPr>
                <w:rFonts w:cs="Arial"/>
                <w:color w:val="0D0D0D" w:themeColor="text1" w:themeTint="F2"/>
                <w:szCs w:val="20"/>
                <w:lang w:val="en-GB"/>
              </w:rPr>
              <w:t xml:space="preserve">who </w:t>
            </w:r>
            <w:r w:rsidR="002D1CE9" w:rsidRPr="00412F61">
              <w:rPr>
                <w:rFonts w:cs="Arial"/>
                <w:color w:val="0D0D0D" w:themeColor="text1" w:themeTint="F2"/>
                <w:szCs w:val="20"/>
                <w:lang w:val="en-GB"/>
              </w:rPr>
              <w:t>have</w:t>
            </w:r>
            <w:r w:rsidR="00AA38E9" w:rsidRPr="00412F61">
              <w:rPr>
                <w:rFonts w:cs="Arial"/>
                <w:color w:val="0D0D0D" w:themeColor="text1" w:themeTint="F2"/>
                <w:szCs w:val="20"/>
                <w:lang w:val="en-GB"/>
              </w:rPr>
              <w:t xml:space="preserve"> specific demands on the job contracts.</w:t>
            </w:r>
            <w:r w:rsidR="00B4411A" w:rsidRPr="00412F61">
              <w:rPr>
                <w:rFonts w:cs="Arial"/>
                <w:color w:val="0D0D0D" w:themeColor="text1" w:themeTint="F2"/>
                <w:szCs w:val="20"/>
                <w:lang w:val="en-GB"/>
              </w:rPr>
              <w:t xml:space="preserve"> </w:t>
            </w:r>
          </w:p>
        </w:tc>
      </w:tr>
      <w:tr w:rsidR="00B4411A" w:rsidRPr="00412F61" w:rsidTr="004439A2">
        <w:trPr>
          <w:trHeight w:val="145"/>
        </w:trPr>
        <w:tc>
          <w:tcPr>
            <w:tcW w:w="1878" w:type="dxa"/>
            <w:shd w:val="clear" w:color="auto" w:fill="auto"/>
            <w:tcMar>
              <w:left w:w="0" w:type="dxa"/>
            </w:tcMar>
          </w:tcPr>
          <w:p w:rsidR="00B4411A" w:rsidRPr="00412F61" w:rsidRDefault="005612B9" w:rsidP="00B4411A">
            <w:pPr>
              <w:pStyle w:val="Marginlie"/>
              <w:rPr>
                <w:lang w:val="en-GB"/>
              </w:rPr>
            </w:pPr>
            <w:r w:rsidRPr="00412F61">
              <w:rPr>
                <w:lang w:val="en-GB"/>
              </w:rPr>
              <w:t>Supply o</w:t>
            </w:r>
            <w:r w:rsidR="00187026" w:rsidRPr="00412F61">
              <w:rPr>
                <w:lang w:val="en-GB"/>
              </w:rPr>
              <w:t>f</w:t>
            </w:r>
            <w:r w:rsidRPr="00412F61">
              <w:rPr>
                <w:lang w:val="en-GB"/>
              </w:rPr>
              <w:t xml:space="preserve"> vacancies on the LO set the new records from the view of both the size and dynamics. </w:t>
            </w: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0C1EA3" w:rsidP="00B4411A">
            <w:pPr>
              <w:pStyle w:val="Marginlie"/>
              <w:rPr>
                <w:lang w:val="en-GB"/>
              </w:rPr>
            </w:pPr>
            <w:r w:rsidRPr="00412F61">
              <w:rPr>
                <w:lang w:val="en-GB"/>
              </w:rPr>
              <w:t>Mostly positions with low demands on qualification accrued. Disproportion between vacancies and job applicants thus deepened.</w:t>
            </w: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F9539D" w:rsidP="003B65E5">
            <w:pPr>
              <w:spacing w:after="200"/>
              <w:rPr>
                <w:rFonts w:cs="Arial"/>
                <w:color w:val="0D0D0D" w:themeColor="text1" w:themeTint="F2"/>
                <w:spacing w:val="-4"/>
                <w:lang w:val="en-GB"/>
              </w:rPr>
            </w:pPr>
            <w:r w:rsidRPr="00412F61">
              <w:rPr>
                <w:rFonts w:cs="Arial"/>
                <w:color w:val="0D0D0D" w:themeColor="text1" w:themeTint="F2"/>
                <w:spacing w:val="-4"/>
                <w:lang w:val="en-GB"/>
              </w:rPr>
              <w:t xml:space="preserve">Supply of vacant job positions </w:t>
            </w:r>
            <w:r w:rsidR="00F47413" w:rsidRPr="00412F61">
              <w:rPr>
                <w:rFonts w:cs="Arial"/>
                <w:color w:val="0D0D0D" w:themeColor="text1" w:themeTint="F2"/>
                <w:spacing w:val="-4"/>
                <w:lang w:val="en-GB"/>
              </w:rPr>
              <w:t xml:space="preserve">via the labour offices (LO) overtook for the first time in history of their functioning the 300 thousand </w:t>
            </w:r>
            <w:proofErr w:type="gramStart"/>
            <w:r w:rsidR="00F47413" w:rsidRPr="00412F61">
              <w:rPr>
                <w:rFonts w:cs="Arial"/>
                <w:color w:val="0D0D0D" w:themeColor="text1" w:themeTint="F2"/>
                <w:spacing w:val="-4"/>
                <w:lang w:val="en-GB"/>
              </w:rPr>
              <w:t>boundary</w:t>
            </w:r>
            <w:proofErr w:type="gramEnd"/>
            <w:r w:rsidR="00F47413" w:rsidRPr="00412F61">
              <w:rPr>
                <w:rFonts w:cs="Arial"/>
                <w:color w:val="0D0D0D" w:themeColor="text1" w:themeTint="F2"/>
                <w:spacing w:val="-4"/>
                <w:lang w:val="en-GB"/>
              </w:rPr>
              <w:t xml:space="preserve"> during June. </w:t>
            </w:r>
            <w:r w:rsidR="008D76A0" w:rsidRPr="00412F61">
              <w:rPr>
                <w:rFonts w:cs="Arial"/>
                <w:color w:val="0D0D0D" w:themeColor="text1" w:themeTint="F2"/>
                <w:spacing w:val="-4"/>
                <w:lang w:val="en-GB"/>
              </w:rPr>
              <w:t xml:space="preserve">Month-on-month addition also accomplished a record </w:t>
            </w:r>
            <w:r w:rsidR="00B4411A" w:rsidRPr="00412F61">
              <w:rPr>
                <w:rFonts w:cs="Arial"/>
                <w:color w:val="0D0D0D" w:themeColor="text1" w:themeTint="F2"/>
                <w:spacing w:val="-4"/>
                <w:lang w:val="en-GB"/>
              </w:rPr>
              <w:t>(18</w:t>
            </w:r>
            <w:r w:rsidR="008D76A0" w:rsidRPr="00412F61">
              <w:rPr>
                <w:rFonts w:cs="Arial"/>
                <w:color w:val="0D0D0D" w:themeColor="text1" w:themeTint="F2"/>
                <w:spacing w:val="-4"/>
                <w:lang w:val="en-GB"/>
              </w:rPr>
              <w:t>.</w:t>
            </w:r>
            <w:r w:rsidR="00B4411A" w:rsidRPr="00412F61">
              <w:rPr>
                <w:rFonts w:cs="Arial"/>
                <w:color w:val="0D0D0D" w:themeColor="text1" w:themeTint="F2"/>
                <w:spacing w:val="-4"/>
                <w:lang w:val="en-GB"/>
              </w:rPr>
              <w:t>3 t</w:t>
            </w:r>
            <w:r w:rsidR="008D76A0" w:rsidRPr="00412F61">
              <w:rPr>
                <w:rFonts w:cs="Arial"/>
                <w:color w:val="0D0D0D" w:themeColor="text1" w:themeTint="F2"/>
                <w:spacing w:val="-4"/>
                <w:lang w:val="en-GB"/>
              </w:rPr>
              <w:t>housand</w:t>
            </w:r>
            <w:r w:rsidR="00B4411A" w:rsidRPr="00412F61">
              <w:rPr>
                <w:rFonts w:cs="Arial"/>
                <w:color w:val="0D0D0D" w:themeColor="text1" w:themeTint="F2"/>
                <w:spacing w:val="-4"/>
                <w:lang w:val="en-GB"/>
              </w:rPr>
              <w:t xml:space="preserve">), </w:t>
            </w:r>
            <w:r w:rsidR="00154B61" w:rsidRPr="00412F61">
              <w:rPr>
                <w:rFonts w:cs="Arial"/>
                <w:color w:val="0D0D0D" w:themeColor="text1" w:themeTint="F2"/>
                <w:spacing w:val="-4"/>
                <w:lang w:val="en-GB"/>
              </w:rPr>
              <w:t xml:space="preserve">it was partially also affected by the favourable weather. Despite seasonal factors, the month-on-month supply of vacancies expands continuously since the end of year 2016. </w:t>
            </w:r>
            <w:r w:rsidR="00C245AC" w:rsidRPr="00412F61">
              <w:rPr>
                <w:rFonts w:cs="Arial"/>
                <w:color w:val="0D0D0D" w:themeColor="text1" w:themeTint="F2"/>
                <w:spacing w:val="-4"/>
                <w:lang w:val="en-GB"/>
              </w:rPr>
              <w:t>The addition to vacancies was however from the view of demands on qualification as well as region considerably varied</w:t>
            </w:r>
            <w:r w:rsidR="00B4411A" w:rsidRPr="00412F61">
              <w:rPr>
                <w:rStyle w:val="Znakapoznpodarou"/>
                <w:color w:val="0D0D0D" w:themeColor="text1" w:themeTint="F2"/>
                <w:spacing w:val="-4"/>
                <w:lang w:val="en-GB"/>
              </w:rPr>
              <w:footnoteReference w:id="8"/>
            </w:r>
            <w:r w:rsidR="00B4411A" w:rsidRPr="00412F61">
              <w:rPr>
                <w:rFonts w:cs="Arial"/>
                <w:color w:val="0D0D0D" w:themeColor="text1" w:themeTint="F2"/>
                <w:spacing w:val="-4"/>
                <w:lang w:val="en-GB"/>
              </w:rPr>
              <w:t xml:space="preserve">. </w:t>
            </w:r>
            <w:r w:rsidR="000D60CA" w:rsidRPr="00412F61">
              <w:rPr>
                <w:rFonts w:cs="Arial"/>
                <w:color w:val="0D0D0D" w:themeColor="text1" w:themeTint="F2"/>
                <w:spacing w:val="-4"/>
                <w:lang w:val="en-GB"/>
              </w:rPr>
              <w:t>The disproportion between the structure of the supplied vacancies and registered job applicants thus deepened</w:t>
            </w:r>
            <w:r w:rsidR="00B4411A" w:rsidRPr="00412F61">
              <w:rPr>
                <w:rFonts w:cs="Arial"/>
                <w:color w:val="0D0D0D" w:themeColor="text1" w:themeTint="F2"/>
                <w:spacing w:val="-4"/>
                <w:lang w:val="en-GB"/>
              </w:rPr>
              <w:t xml:space="preserve">. </w:t>
            </w:r>
            <w:r w:rsidR="002D19CC" w:rsidRPr="00412F61">
              <w:rPr>
                <w:rFonts w:cs="Arial"/>
                <w:color w:val="0D0D0D" w:themeColor="text1" w:themeTint="F2"/>
                <w:spacing w:val="-4"/>
                <w:lang w:val="en-GB"/>
              </w:rPr>
              <w:t xml:space="preserve">From the macro view however a positive development prevailed, since </w:t>
            </w:r>
            <w:r w:rsidR="00AE3814" w:rsidRPr="00412F61">
              <w:rPr>
                <w:rFonts w:cs="Arial"/>
                <w:color w:val="0D0D0D" w:themeColor="text1" w:themeTint="F2"/>
                <w:spacing w:val="-4"/>
                <w:lang w:val="en-GB"/>
              </w:rPr>
              <w:t>starting this year´s April the total number of vacancies already exceeded the frequency of job applicants.</w:t>
            </w:r>
            <w:r w:rsidR="00B4411A" w:rsidRPr="00412F61">
              <w:rPr>
                <w:rFonts w:cs="Arial"/>
                <w:color w:val="0D0D0D" w:themeColor="text1" w:themeTint="F2"/>
                <w:spacing w:val="-4"/>
                <w:lang w:val="en-GB"/>
              </w:rPr>
              <w:t xml:space="preserve"> </w:t>
            </w:r>
            <w:r w:rsidR="00025903" w:rsidRPr="00412F61">
              <w:rPr>
                <w:rFonts w:cs="Arial"/>
                <w:color w:val="0D0D0D" w:themeColor="text1" w:themeTint="F2"/>
                <w:spacing w:val="-4"/>
                <w:lang w:val="en-GB"/>
              </w:rPr>
              <w:t xml:space="preserve">Nearly two thirds of </w:t>
            </w:r>
            <w:r w:rsidR="00152503">
              <w:rPr>
                <w:rFonts w:cs="Arial"/>
                <w:color w:val="0D0D0D" w:themeColor="text1" w:themeTint="F2"/>
                <w:spacing w:val="-4"/>
                <w:lang w:val="en-GB"/>
              </w:rPr>
              <w:t>district</w:t>
            </w:r>
            <w:r w:rsidR="00AE3814" w:rsidRPr="00412F61">
              <w:rPr>
                <w:rFonts w:cs="Arial"/>
                <w:color w:val="0D0D0D" w:themeColor="text1" w:themeTint="F2"/>
                <w:spacing w:val="-4"/>
                <w:lang w:val="en-GB"/>
              </w:rPr>
              <w:t>s</w:t>
            </w:r>
            <w:r w:rsidR="00025903" w:rsidRPr="00412F61">
              <w:rPr>
                <w:rFonts w:cs="Arial"/>
                <w:color w:val="0D0D0D" w:themeColor="text1" w:themeTint="F2"/>
                <w:spacing w:val="-4"/>
                <w:lang w:val="en-GB"/>
              </w:rPr>
              <w:t xml:space="preserve"> of the CR we</w:t>
            </w:r>
            <w:r w:rsidR="00132145" w:rsidRPr="00412F61">
              <w:rPr>
                <w:rFonts w:cs="Arial"/>
                <w:color w:val="0D0D0D" w:themeColor="text1" w:themeTint="F2"/>
                <w:spacing w:val="-4"/>
                <w:lang w:val="en-GB"/>
              </w:rPr>
              <w:t>r</w:t>
            </w:r>
            <w:r w:rsidR="00025903" w:rsidRPr="00412F61">
              <w:rPr>
                <w:rFonts w:cs="Arial"/>
                <w:color w:val="0D0D0D" w:themeColor="text1" w:themeTint="F2"/>
                <w:spacing w:val="-4"/>
                <w:lang w:val="en-GB"/>
              </w:rPr>
              <w:t>e in a similar situation at the end of June</w:t>
            </w:r>
            <w:r w:rsidR="00B4411A" w:rsidRPr="00412F61">
              <w:rPr>
                <w:rStyle w:val="Znakapoznpodarou"/>
                <w:color w:val="0D0D0D" w:themeColor="text1" w:themeTint="F2"/>
                <w:spacing w:val="-4"/>
                <w:lang w:val="en-GB"/>
              </w:rPr>
              <w:footnoteReference w:id="9"/>
            </w:r>
            <w:r w:rsidR="00B4411A" w:rsidRPr="00412F61">
              <w:rPr>
                <w:rFonts w:cs="Arial"/>
                <w:color w:val="0D0D0D" w:themeColor="text1" w:themeTint="F2"/>
                <w:spacing w:val="-4"/>
                <w:lang w:val="en-GB"/>
              </w:rPr>
              <w:t xml:space="preserve">. </w:t>
            </w:r>
            <w:r w:rsidR="00492819" w:rsidRPr="00412F61">
              <w:rPr>
                <w:rFonts w:cs="Arial"/>
                <w:color w:val="0D0D0D" w:themeColor="text1" w:themeTint="F2"/>
                <w:spacing w:val="-4"/>
                <w:lang w:val="en-GB"/>
              </w:rPr>
              <w:t>Manu</w:t>
            </w:r>
            <w:r w:rsidR="007A0E23" w:rsidRPr="00412F61">
              <w:rPr>
                <w:rFonts w:cs="Arial"/>
                <w:color w:val="0D0D0D" w:themeColor="text1" w:themeTint="F2"/>
                <w:spacing w:val="-4"/>
                <w:lang w:val="en-GB"/>
              </w:rPr>
              <w:t>a</w:t>
            </w:r>
            <w:r w:rsidR="00492819" w:rsidRPr="00412F61">
              <w:rPr>
                <w:rFonts w:cs="Arial"/>
                <w:color w:val="0D0D0D" w:themeColor="text1" w:themeTint="F2"/>
                <w:spacing w:val="-4"/>
                <w:lang w:val="en-GB"/>
              </w:rPr>
              <w:t>l workers had the hi</w:t>
            </w:r>
            <w:r w:rsidR="001B35DD" w:rsidRPr="00412F61">
              <w:rPr>
                <w:rFonts w:cs="Arial"/>
                <w:color w:val="0D0D0D" w:themeColor="text1" w:themeTint="F2"/>
                <w:spacing w:val="-4"/>
                <w:lang w:val="en-GB"/>
              </w:rPr>
              <w:t xml:space="preserve">ghest chance of </w:t>
            </w:r>
            <w:r w:rsidR="001B35DD" w:rsidRPr="00412F61">
              <w:rPr>
                <w:rFonts w:cs="Arial"/>
                <w:color w:val="0D0D0D" w:themeColor="text1" w:themeTint="F2"/>
                <w:spacing w:val="-4"/>
                <w:lang w:val="en-GB"/>
              </w:rPr>
              <w:lastRenderedPageBreak/>
              <w:t xml:space="preserve">securing employment regardless of their qualification </w:t>
            </w:r>
            <w:r w:rsidR="00B4411A" w:rsidRPr="00412F61">
              <w:rPr>
                <w:rFonts w:cs="Arial"/>
                <w:color w:val="0D0D0D" w:themeColor="text1" w:themeTint="F2"/>
                <w:spacing w:val="-4"/>
                <w:lang w:val="en-GB"/>
              </w:rPr>
              <w:t>(</w:t>
            </w:r>
            <w:r w:rsidR="007A0E23" w:rsidRPr="00412F61">
              <w:rPr>
                <w:rFonts w:cs="Arial"/>
                <w:color w:val="0D0D0D" w:themeColor="text1" w:themeTint="F2"/>
                <w:spacing w:val="-4"/>
                <w:lang w:val="en-GB"/>
              </w:rPr>
              <w:t>machine operators</w:t>
            </w:r>
            <w:r w:rsidR="007F78CC" w:rsidRPr="00412F61">
              <w:rPr>
                <w:rFonts w:cs="Arial"/>
                <w:color w:val="0D0D0D" w:themeColor="text1" w:themeTint="F2"/>
                <w:spacing w:val="-4"/>
                <w:lang w:val="en-GB"/>
              </w:rPr>
              <w:t xml:space="preserve">, craftsmen </w:t>
            </w:r>
            <w:r w:rsidR="00B4411A" w:rsidRPr="00412F61">
              <w:rPr>
                <w:rFonts w:cs="Arial"/>
                <w:color w:val="0D0D0D" w:themeColor="text1" w:themeTint="F2"/>
                <w:spacing w:val="-4"/>
                <w:lang w:val="en-GB"/>
              </w:rPr>
              <w:t>a</w:t>
            </w:r>
            <w:r w:rsidR="007A0E23" w:rsidRPr="00412F61">
              <w:rPr>
                <w:rFonts w:cs="Arial"/>
                <w:color w:val="0D0D0D" w:themeColor="text1" w:themeTint="F2"/>
                <w:spacing w:val="-4"/>
                <w:lang w:val="en-GB"/>
              </w:rPr>
              <w:t xml:space="preserve">nd repairmen or </w:t>
            </w:r>
            <w:r w:rsidR="005F1ED3" w:rsidRPr="00412F61">
              <w:rPr>
                <w:rFonts w:cs="Arial"/>
                <w:color w:val="0D0D0D" w:themeColor="text1" w:themeTint="F2"/>
                <w:spacing w:val="-4"/>
                <w:lang w:val="en-GB"/>
              </w:rPr>
              <w:t>supporting staff</w:t>
            </w:r>
            <w:r w:rsidR="00B4411A" w:rsidRPr="00412F61">
              <w:rPr>
                <w:rFonts w:cs="Arial"/>
                <w:color w:val="0D0D0D" w:themeColor="text1" w:themeTint="F2"/>
                <w:spacing w:val="-4"/>
                <w:lang w:val="en-GB"/>
              </w:rPr>
              <w:t xml:space="preserve">), resp. </w:t>
            </w:r>
            <w:r w:rsidR="007F78CC" w:rsidRPr="00412F61">
              <w:rPr>
                <w:rFonts w:cs="Arial"/>
                <w:color w:val="0D0D0D" w:themeColor="text1" w:themeTint="F2"/>
                <w:spacing w:val="-4"/>
                <w:lang w:val="en-GB"/>
              </w:rPr>
              <w:t>persons</w:t>
            </w:r>
            <w:r w:rsidR="001B35DD" w:rsidRPr="00412F61">
              <w:rPr>
                <w:rFonts w:cs="Arial"/>
                <w:color w:val="0D0D0D" w:themeColor="text1" w:themeTint="F2"/>
                <w:spacing w:val="-4"/>
                <w:lang w:val="en-GB"/>
              </w:rPr>
              <w:t xml:space="preserve"> with </w:t>
            </w:r>
            <w:r w:rsidR="007F78CC" w:rsidRPr="00412F61">
              <w:rPr>
                <w:rFonts w:cs="Arial"/>
                <w:color w:val="0D0D0D" w:themeColor="text1" w:themeTint="F2"/>
                <w:spacing w:val="-4"/>
                <w:lang w:val="en-GB"/>
              </w:rPr>
              <w:t xml:space="preserve">primary education and </w:t>
            </w:r>
            <w:r w:rsidR="003B65E5" w:rsidRPr="00412F61">
              <w:rPr>
                <w:rFonts w:cs="Arial"/>
                <w:color w:val="0D0D0D" w:themeColor="text1" w:themeTint="F2"/>
                <w:spacing w:val="-4"/>
                <w:lang w:val="en-GB"/>
              </w:rPr>
              <w:t xml:space="preserve">apprentices. </w:t>
            </w:r>
            <w:r w:rsidR="007F78CC" w:rsidRPr="00412F61">
              <w:rPr>
                <w:rFonts w:cs="Arial"/>
                <w:color w:val="0D0D0D" w:themeColor="text1" w:themeTint="F2"/>
                <w:spacing w:val="-4"/>
                <w:lang w:val="en-GB"/>
              </w:rPr>
              <w:t xml:space="preserve">On the contrary for persons with </w:t>
            </w:r>
            <w:r w:rsidR="003B65E5" w:rsidRPr="00412F61">
              <w:rPr>
                <w:rFonts w:cs="Arial"/>
                <w:color w:val="0D0D0D" w:themeColor="text1" w:themeTint="F2"/>
                <w:spacing w:val="-4"/>
                <w:lang w:val="en-GB"/>
              </w:rPr>
              <w:t xml:space="preserve">secondary education with the school leaving certificate </w:t>
            </w:r>
            <w:r w:rsidR="00B4411A" w:rsidRPr="00412F61">
              <w:rPr>
                <w:rFonts w:cs="Arial"/>
                <w:color w:val="0D0D0D" w:themeColor="text1" w:themeTint="F2"/>
                <w:spacing w:val="-4"/>
                <w:lang w:val="en-GB"/>
              </w:rPr>
              <w:t>a</w:t>
            </w:r>
            <w:r w:rsidR="007F78CC" w:rsidRPr="00412F61">
              <w:rPr>
                <w:rFonts w:cs="Arial"/>
                <w:color w:val="0D0D0D" w:themeColor="text1" w:themeTint="F2"/>
                <w:spacing w:val="-4"/>
                <w:lang w:val="en-GB"/>
              </w:rPr>
              <w:t>nd university degree registered at LO</w:t>
            </w:r>
            <w:r w:rsidR="003B65E5" w:rsidRPr="00412F61">
              <w:rPr>
                <w:rFonts w:cs="Arial"/>
                <w:color w:val="0D0D0D" w:themeColor="text1" w:themeTint="F2"/>
                <w:spacing w:val="-4"/>
                <w:lang w:val="en-GB"/>
              </w:rPr>
              <w:t xml:space="preserve">, </w:t>
            </w:r>
            <w:r w:rsidR="007F78CC" w:rsidRPr="00412F61">
              <w:rPr>
                <w:rFonts w:cs="Arial"/>
                <w:color w:val="0D0D0D" w:themeColor="text1" w:themeTint="F2"/>
                <w:spacing w:val="-4"/>
                <w:lang w:val="en-GB"/>
              </w:rPr>
              <w:t>the levels of unemployed still exceeded the vacant positions supplied to them.</w:t>
            </w:r>
            <w:r w:rsidR="00B4411A" w:rsidRPr="00412F61">
              <w:rPr>
                <w:rFonts w:cs="Arial"/>
                <w:color w:val="0D0D0D" w:themeColor="text1" w:themeTint="F2"/>
                <w:spacing w:val="-4"/>
                <w:lang w:val="en-GB"/>
              </w:rPr>
              <w:t xml:space="preserve"> </w:t>
            </w:r>
          </w:p>
        </w:tc>
      </w:tr>
      <w:tr w:rsidR="00B4411A" w:rsidRPr="00412F61" w:rsidTr="004439A2">
        <w:trPr>
          <w:trHeight w:val="145"/>
        </w:trPr>
        <w:tc>
          <w:tcPr>
            <w:tcW w:w="1878" w:type="dxa"/>
            <w:shd w:val="clear" w:color="auto" w:fill="auto"/>
            <w:tcMar>
              <w:left w:w="0" w:type="dxa"/>
            </w:tcMar>
          </w:tcPr>
          <w:p w:rsidR="00B4411A" w:rsidRPr="00412F61" w:rsidRDefault="00953F29" w:rsidP="00B4411A">
            <w:pPr>
              <w:pStyle w:val="Marginlie"/>
              <w:rPr>
                <w:lang w:val="en-GB"/>
              </w:rPr>
            </w:pPr>
            <w:r w:rsidRPr="00412F61">
              <w:rPr>
                <w:lang w:val="en-GB"/>
              </w:rPr>
              <w:lastRenderedPageBreak/>
              <w:t>The CR further kept its special position among the EU states with respect to the unemployment rate as well as the number of job vacancies.</w:t>
            </w: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7A0E23" w:rsidP="00B4411A">
            <w:pPr>
              <w:pStyle w:val="Marginlie"/>
              <w:rPr>
                <w:lang w:val="en-GB"/>
              </w:rPr>
            </w:pPr>
            <w:r w:rsidRPr="00412F61">
              <w:rPr>
                <w:lang w:val="en-GB"/>
              </w:rPr>
              <w:t>Unemploy</w:t>
            </w:r>
            <w:r w:rsidR="007465D8" w:rsidRPr="00412F61">
              <w:rPr>
                <w:lang w:val="en-GB"/>
              </w:rPr>
              <w:t>ment fell year-on-year in all states of</w:t>
            </w:r>
            <w:r w:rsidR="003D6527" w:rsidRPr="00412F61">
              <w:rPr>
                <w:lang w:val="en-GB"/>
              </w:rPr>
              <w:t xml:space="preserve"> </w:t>
            </w:r>
            <w:r w:rsidR="007465D8" w:rsidRPr="00412F61">
              <w:rPr>
                <w:lang w:val="en-GB"/>
              </w:rPr>
              <w:t xml:space="preserve">the </w:t>
            </w:r>
            <w:proofErr w:type="gramStart"/>
            <w:r w:rsidR="007465D8" w:rsidRPr="00412F61">
              <w:rPr>
                <w:lang w:val="en-GB"/>
              </w:rPr>
              <w:t>Union,</w:t>
            </w:r>
            <w:proofErr w:type="gramEnd"/>
            <w:r w:rsidR="007465D8" w:rsidRPr="00412F61">
              <w:rPr>
                <w:lang w:val="en-GB"/>
              </w:rPr>
              <w:t xml:space="preserve"> many of them however keep experiencing structural issues. </w:t>
            </w: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7465D8" w:rsidP="00033B83">
            <w:pPr>
              <w:spacing w:after="0"/>
              <w:rPr>
                <w:rFonts w:cs="Arial"/>
                <w:color w:val="0D0D0D" w:themeColor="text1" w:themeTint="F2"/>
                <w:spacing w:val="-4"/>
                <w:lang w:val="en-GB"/>
              </w:rPr>
            </w:pPr>
            <w:r w:rsidRPr="00412F61">
              <w:rPr>
                <w:rFonts w:cs="Arial"/>
                <w:color w:val="0D0D0D" w:themeColor="text1" w:themeTint="F2"/>
                <w:spacing w:val="-4"/>
                <w:lang w:val="en-GB"/>
              </w:rPr>
              <w:t xml:space="preserve">Rate of job vacancies </w:t>
            </w:r>
            <w:r w:rsidR="003D18C3" w:rsidRPr="00412F61">
              <w:rPr>
                <w:rFonts w:cs="Arial"/>
                <w:color w:val="0D0D0D" w:themeColor="text1" w:themeTint="F2"/>
                <w:spacing w:val="-4"/>
                <w:lang w:val="en-GB"/>
              </w:rPr>
              <w:t xml:space="preserve">increased year-on-year by one half and it equalled </w:t>
            </w:r>
            <w:r w:rsidR="00B4411A" w:rsidRPr="00412F61">
              <w:rPr>
                <w:rFonts w:cs="Arial"/>
                <w:color w:val="0D0D0D" w:themeColor="text1" w:themeTint="F2"/>
                <w:spacing w:val="-4"/>
                <w:lang w:val="en-GB"/>
              </w:rPr>
              <w:t>5</w:t>
            </w:r>
            <w:r w:rsidR="00822925" w:rsidRPr="00412F61">
              <w:rPr>
                <w:rFonts w:cs="Arial"/>
                <w:color w:val="0D0D0D" w:themeColor="text1" w:themeTint="F2"/>
                <w:spacing w:val="-4"/>
                <w:lang w:val="en-GB"/>
              </w:rPr>
              <w:t>.</w:t>
            </w:r>
            <w:r w:rsidR="00B4411A" w:rsidRPr="00412F61">
              <w:rPr>
                <w:rFonts w:cs="Arial"/>
                <w:color w:val="0D0D0D" w:themeColor="text1" w:themeTint="F2"/>
                <w:spacing w:val="-4"/>
                <w:lang w:val="en-GB"/>
              </w:rPr>
              <w:t>4</w:t>
            </w:r>
            <w:r w:rsidR="008F053B">
              <w:rPr>
                <w:rFonts w:cs="Arial"/>
                <w:color w:val="0D0D0D" w:themeColor="text1" w:themeTint="F2"/>
                <w:spacing w:val="-4"/>
                <w:lang w:val="en-GB"/>
              </w:rPr>
              <w:t xml:space="preserve"> %</w:t>
            </w:r>
            <w:r w:rsidR="00B4411A" w:rsidRPr="00412F61">
              <w:rPr>
                <w:rStyle w:val="Znakapoznpodarou"/>
                <w:color w:val="0D0D0D" w:themeColor="text1" w:themeTint="F2"/>
                <w:spacing w:val="-4"/>
                <w:lang w:val="en-GB"/>
              </w:rPr>
              <w:footnoteReference w:id="10"/>
            </w:r>
            <w:r w:rsidR="003D18C3" w:rsidRPr="00412F61">
              <w:rPr>
                <w:rFonts w:cs="Arial"/>
                <w:color w:val="0D0D0D" w:themeColor="text1" w:themeTint="F2"/>
                <w:spacing w:val="-4"/>
                <w:lang w:val="en-GB"/>
              </w:rPr>
              <w:t xml:space="preserve"> in Q2</w:t>
            </w:r>
            <w:r w:rsidR="00B4411A" w:rsidRPr="00412F61">
              <w:rPr>
                <w:rFonts w:cs="Arial"/>
                <w:color w:val="0D0D0D" w:themeColor="text1" w:themeTint="F2"/>
                <w:spacing w:val="-4"/>
                <w:lang w:val="en-GB"/>
              </w:rPr>
              <w:t xml:space="preserve">. </w:t>
            </w:r>
            <w:r w:rsidR="00A366AA" w:rsidRPr="00412F61">
              <w:rPr>
                <w:rFonts w:cs="Arial"/>
                <w:color w:val="0D0D0D" w:themeColor="text1" w:themeTint="F2"/>
                <w:spacing w:val="-4"/>
                <w:lang w:val="en-GB"/>
              </w:rPr>
              <w:t xml:space="preserve">The Czech Republic </w:t>
            </w:r>
            <w:r w:rsidR="005D4DC1" w:rsidRPr="00412F61">
              <w:rPr>
                <w:rFonts w:cs="Arial"/>
                <w:color w:val="0D0D0D" w:themeColor="text1" w:themeTint="F2"/>
                <w:spacing w:val="-4"/>
                <w:lang w:val="en-GB"/>
              </w:rPr>
              <w:t xml:space="preserve">was </w:t>
            </w:r>
            <w:r w:rsidR="00A366AA" w:rsidRPr="00412F61">
              <w:rPr>
                <w:rFonts w:cs="Arial"/>
                <w:color w:val="0D0D0D" w:themeColor="text1" w:themeTint="F2"/>
                <w:spacing w:val="-4"/>
                <w:lang w:val="en-GB"/>
              </w:rPr>
              <w:t xml:space="preserve">with a significant lead </w:t>
            </w:r>
            <w:r w:rsidR="00953503" w:rsidRPr="00412F61">
              <w:rPr>
                <w:rFonts w:cs="Arial"/>
                <w:color w:val="0D0D0D" w:themeColor="text1" w:themeTint="F2"/>
                <w:spacing w:val="-4"/>
                <w:lang w:val="en-GB"/>
              </w:rPr>
              <w:t>(ahead of Belgium and Germany) dominating all EU countries</w:t>
            </w:r>
            <w:r w:rsidR="00B4411A" w:rsidRPr="00412F61">
              <w:rPr>
                <w:rStyle w:val="Znakapoznpodarou"/>
                <w:color w:val="0D0D0D" w:themeColor="text1" w:themeTint="F2"/>
                <w:spacing w:val="-4"/>
                <w:lang w:val="en-GB"/>
              </w:rPr>
              <w:footnoteReference w:id="11"/>
            </w:r>
            <w:r w:rsidR="00B4411A" w:rsidRPr="00412F61">
              <w:rPr>
                <w:rFonts w:cs="Arial"/>
                <w:color w:val="0D0D0D" w:themeColor="text1" w:themeTint="F2"/>
                <w:spacing w:val="-4"/>
                <w:lang w:val="en-GB"/>
              </w:rPr>
              <w:t xml:space="preserve">. </w:t>
            </w:r>
            <w:r w:rsidR="00953503" w:rsidRPr="00412F61">
              <w:rPr>
                <w:rFonts w:cs="Arial"/>
                <w:color w:val="0D0D0D" w:themeColor="text1" w:themeTint="F2"/>
                <w:spacing w:val="-4"/>
                <w:lang w:val="en-GB"/>
              </w:rPr>
              <w:t xml:space="preserve">The CR holds a front position also in relation to the unemployment rate – and in addition for nearly three years already. Unemployment was reducing across all Union countries. </w:t>
            </w:r>
            <w:r w:rsidR="00665E49" w:rsidRPr="00412F61">
              <w:rPr>
                <w:rFonts w:cs="Arial"/>
                <w:color w:val="0D0D0D" w:themeColor="text1" w:themeTint="F2"/>
                <w:spacing w:val="-4"/>
                <w:lang w:val="en-GB"/>
              </w:rPr>
              <w:t>Compared to Q2 2017, it fell the most in Cyprus (by</w:t>
            </w:r>
            <w:r w:rsidR="00B4411A" w:rsidRPr="00412F61">
              <w:rPr>
                <w:rFonts w:cs="Arial"/>
                <w:color w:val="0D0D0D" w:themeColor="text1" w:themeTint="F2"/>
                <w:spacing w:val="-4"/>
                <w:lang w:val="en-GB"/>
              </w:rPr>
              <w:t xml:space="preserve"> 3</w:t>
            </w:r>
            <w:r w:rsidR="00665E49" w:rsidRPr="00412F61">
              <w:rPr>
                <w:rFonts w:cs="Arial"/>
                <w:color w:val="0D0D0D" w:themeColor="text1" w:themeTint="F2"/>
                <w:spacing w:val="-4"/>
                <w:lang w:val="en-GB"/>
              </w:rPr>
              <w:t>.</w:t>
            </w:r>
            <w:r w:rsidR="00B4411A" w:rsidRPr="00412F61">
              <w:rPr>
                <w:rFonts w:cs="Arial"/>
                <w:color w:val="0D0D0D" w:themeColor="text1" w:themeTint="F2"/>
                <w:spacing w:val="-4"/>
                <w:lang w:val="en-GB"/>
              </w:rPr>
              <w:t>3</w:t>
            </w:r>
            <w:r w:rsidR="00EA4402" w:rsidRPr="00412F61">
              <w:rPr>
                <w:rFonts w:cs="Arial"/>
                <w:color w:val="0D0D0D" w:themeColor="text1" w:themeTint="F2"/>
                <w:spacing w:val="-4"/>
                <w:lang w:val="en-GB"/>
              </w:rPr>
              <w:t> </w:t>
            </w:r>
            <w:r w:rsidR="00C777A6" w:rsidRPr="00412F61">
              <w:rPr>
                <w:rFonts w:cs="Arial"/>
                <w:color w:val="0D0D0D" w:themeColor="text1" w:themeTint="F2"/>
                <w:spacing w:val="-4"/>
                <w:lang w:val="en-GB"/>
              </w:rPr>
              <w:t>p.p.</w:t>
            </w:r>
            <w:r w:rsidR="00B4411A" w:rsidRPr="00412F61">
              <w:rPr>
                <w:rFonts w:cs="Arial"/>
                <w:color w:val="0D0D0D" w:themeColor="text1" w:themeTint="F2"/>
                <w:spacing w:val="-4"/>
                <w:lang w:val="en-GB"/>
              </w:rPr>
              <w:t xml:space="preserve"> </w:t>
            </w:r>
            <w:r w:rsidR="00665E49" w:rsidRPr="00412F61">
              <w:rPr>
                <w:rFonts w:cs="Arial"/>
                <w:color w:val="0D0D0D" w:themeColor="text1" w:themeTint="F2"/>
                <w:spacing w:val="-4"/>
                <w:lang w:val="en-GB"/>
              </w:rPr>
              <w:t>year-on-year</w:t>
            </w:r>
            <w:r w:rsidR="00B4411A" w:rsidRPr="00412F61">
              <w:rPr>
                <w:rFonts w:cs="Arial"/>
                <w:color w:val="0D0D0D" w:themeColor="text1" w:themeTint="F2"/>
                <w:spacing w:val="-4"/>
                <w:lang w:val="en-GB"/>
              </w:rPr>
              <w:t>) a</w:t>
            </w:r>
            <w:r w:rsidR="00665E49" w:rsidRPr="00412F61">
              <w:rPr>
                <w:rFonts w:cs="Arial"/>
                <w:color w:val="0D0D0D" w:themeColor="text1" w:themeTint="F2"/>
                <w:spacing w:val="-4"/>
                <w:lang w:val="en-GB"/>
              </w:rPr>
              <w:t xml:space="preserve">nd Croatia </w:t>
            </w:r>
            <w:r w:rsidR="00B4411A" w:rsidRPr="00412F61">
              <w:rPr>
                <w:rFonts w:cs="Arial"/>
                <w:color w:val="0D0D0D" w:themeColor="text1" w:themeTint="F2"/>
                <w:spacing w:val="-4"/>
                <w:lang w:val="en-GB"/>
              </w:rPr>
              <w:t>(2</w:t>
            </w:r>
            <w:r w:rsidR="00665E49" w:rsidRPr="00412F61">
              <w:rPr>
                <w:rFonts w:cs="Arial"/>
                <w:color w:val="0D0D0D" w:themeColor="text1" w:themeTint="F2"/>
                <w:spacing w:val="-4"/>
                <w:lang w:val="en-GB"/>
              </w:rPr>
              <w:t>.</w:t>
            </w:r>
            <w:r w:rsidR="00B4411A" w:rsidRPr="00412F61">
              <w:rPr>
                <w:rFonts w:cs="Arial"/>
                <w:color w:val="0D0D0D" w:themeColor="text1" w:themeTint="F2"/>
                <w:spacing w:val="-4"/>
                <w:lang w:val="en-GB"/>
              </w:rPr>
              <w:t>4</w:t>
            </w:r>
            <w:r w:rsidR="00EA4402" w:rsidRPr="00412F61">
              <w:rPr>
                <w:rFonts w:cs="Arial"/>
                <w:color w:val="0D0D0D" w:themeColor="text1" w:themeTint="F2"/>
                <w:spacing w:val="-4"/>
                <w:lang w:val="en-GB"/>
              </w:rPr>
              <w:t> </w:t>
            </w:r>
            <w:r w:rsidR="00C777A6" w:rsidRPr="00412F61">
              <w:rPr>
                <w:rFonts w:cs="Arial"/>
                <w:color w:val="0D0D0D" w:themeColor="text1" w:themeTint="F2"/>
                <w:spacing w:val="-4"/>
                <w:lang w:val="en-GB"/>
              </w:rPr>
              <w:t>p.p.</w:t>
            </w:r>
            <w:r w:rsidR="00B4411A" w:rsidRPr="00412F61">
              <w:rPr>
                <w:rFonts w:cs="Arial"/>
                <w:color w:val="0D0D0D" w:themeColor="text1" w:themeTint="F2"/>
                <w:spacing w:val="-4"/>
                <w:lang w:val="en-GB"/>
              </w:rPr>
              <w:t xml:space="preserve">), </w:t>
            </w:r>
            <w:r w:rsidR="00033B83" w:rsidRPr="00412F61">
              <w:rPr>
                <w:rFonts w:cs="Arial"/>
                <w:color w:val="0D0D0D" w:themeColor="text1" w:themeTint="F2"/>
                <w:spacing w:val="-4"/>
                <w:lang w:val="en-GB"/>
              </w:rPr>
              <w:t xml:space="preserve">which are nevertheless </w:t>
            </w:r>
            <w:r w:rsidR="00665E49" w:rsidRPr="00412F61">
              <w:rPr>
                <w:rFonts w:cs="Arial"/>
                <w:color w:val="0D0D0D" w:themeColor="text1" w:themeTint="F2"/>
                <w:spacing w:val="-4"/>
                <w:lang w:val="en-GB"/>
              </w:rPr>
              <w:t xml:space="preserve">still </w:t>
            </w:r>
            <w:r w:rsidR="00033B83" w:rsidRPr="00412F61">
              <w:rPr>
                <w:rFonts w:cs="Arial"/>
                <w:color w:val="0D0D0D" w:themeColor="text1" w:themeTint="F2"/>
                <w:spacing w:val="-4"/>
                <w:lang w:val="en-GB"/>
              </w:rPr>
              <w:t>t</w:t>
            </w:r>
            <w:r w:rsidR="00665E49" w:rsidRPr="00412F61">
              <w:rPr>
                <w:rFonts w:cs="Arial"/>
                <w:color w:val="0D0D0D" w:themeColor="text1" w:themeTint="F2"/>
                <w:spacing w:val="-4"/>
                <w:lang w:val="en-GB"/>
              </w:rPr>
              <w:t xml:space="preserve">he most hit economies (within the framework of states, that acceded </w:t>
            </w:r>
            <w:r w:rsidR="00033B83" w:rsidRPr="00412F61">
              <w:rPr>
                <w:rFonts w:cs="Arial"/>
                <w:color w:val="0D0D0D" w:themeColor="text1" w:themeTint="F2"/>
                <w:spacing w:val="-4"/>
                <w:lang w:val="en-GB"/>
              </w:rPr>
              <w:t xml:space="preserve">to </w:t>
            </w:r>
            <w:r w:rsidR="00665E49" w:rsidRPr="00412F61">
              <w:rPr>
                <w:rFonts w:cs="Arial"/>
                <w:color w:val="0D0D0D" w:themeColor="text1" w:themeTint="F2"/>
                <w:spacing w:val="-4"/>
                <w:lang w:val="en-GB"/>
              </w:rPr>
              <w:t xml:space="preserve">the EU after year 2000). </w:t>
            </w:r>
            <w:r w:rsidR="00C93216" w:rsidRPr="00412F61">
              <w:rPr>
                <w:rFonts w:cs="Arial"/>
                <w:color w:val="0D0D0D" w:themeColor="text1" w:themeTint="F2"/>
                <w:spacing w:val="-4"/>
                <w:lang w:val="en-GB"/>
              </w:rPr>
              <w:t xml:space="preserve">Among the larger states, Spain recorded a bigger shift </w:t>
            </w:r>
            <w:r w:rsidR="00B4411A" w:rsidRPr="00412F61">
              <w:rPr>
                <w:rFonts w:cs="Arial"/>
                <w:color w:val="0D0D0D" w:themeColor="text1" w:themeTint="F2"/>
                <w:spacing w:val="-4"/>
                <w:lang w:val="en-GB"/>
              </w:rPr>
              <w:t>(</w:t>
            </w:r>
            <w:r w:rsidR="00C93216" w:rsidRPr="00412F61">
              <w:rPr>
                <w:rFonts w:cs="Arial"/>
                <w:color w:val="0D0D0D" w:themeColor="text1" w:themeTint="F2"/>
                <w:spacing w:val="-4"/>
                <w:lang w:val="en-GB"/>
              </w:rPr>
              <w:t xml:space="preserve">from </w:t>
            </w:r>
            <w:r w:rsidR="00B4411A" w:rsidRPr="00412F61">
              <w:rPr>
                <w:rFonts w:cs="Arial"/>
                <w:color w:val="0D0D0D" w:themeColor="text1" w:themeTint="F2"/>
                <w:spacing w:val="-4"/>
                <w:lang w:val="en-GB"/>
              </w:rPr>
              <w:t>17</w:t>
            </w:r>
            <w:r w:rsidR="00033B83" w:rsidRPr="00412F61">
              <w:rPr>
                <w:rFonts w:cs="Arial"/>
                <w:color w:val="0D0D0D" w:themeColor="text1" w:themeTint="F2"/>
                <w:spacing w:val="-4"/>
                <w:lang w:val="en-GB"/>
              </w:rPr>
              <w:t>.</w:t>
            </w:r>
            <w:r w:rsidR="00B4411A" w:rsidRPr="00412F61">
              <w:rPr>
                <w:rFonts w:cs="Arial"/>
                <w:color w:val="0D0D0D" w:themeColor="text1" w:themeTint="F2"/>
                <w:spacing w:val="-4"/>
                <w:lang w:val="en-GB"/>
              </w:rPr>
              <w:t>2</w:t>
            </w:r>
            <w:r w:rsidR="007B0E83" w:rsidRPr="00412F61">
              <w:rPr>
                <w:rFonts w:cs="Arial"/>
                <w:color w:val="0D0D0D" w:themeColor="text1" w:themeTint="F2"/>
                <w:spacing w:val="-4"/>
                <w:lang w:val="en-GB"/>
              </w:rPr>
              <w:t>%</w:t>
            </w:r>
            <w:r w:rsidR="00B4411A" w:rsidRPr="00412F61">
              <w:rPr>
                <w:rFonts w:cs="Arial"/>
                <w:color w:val="0D0D0D" w:themeColor="text1" w:themeTint="F2"/>
                <w:spacing w:val="-4"/>
                <w:lang w:val="en-GB"/>
              </w:rPr>
              <w:t xml:space="preserve"> </w:t>
            </w:r>
            <w:r w:rsidR="00C93216" w:rsidRPr="00412F61">
              <w:rPr>
                <w:rFonts w:cs="Arial"/>
                <w:color w:val="0D0D0D" w:themeColor="text1" w:themeTint="F2"/>
                <w:spacing w:val="-4"/>
                <w:lang w:val="en-GB"/>
              </w:rPr>
              <w:t xml:space="preserve">to </w:t>
            </w:r>
            <w:r w:rsidR="00B4411A" w:rsidRPr="00412F61">
              <w:rPr>
                <w:rFonts w:cs="Arial"/>
                <w:color w:val="0D0D0D" w:themeColor="text1" w:themeTint="F2"/>
                <w:spacing w:val="-4"/>
                <w:lang w:val="en-GB"/>
              </w:rPr>
              <w:t>15</w:t>
            </w:r>
            <w:r w:rsidR="00C93216" w:rsidRPr="00412F61">
              <w:rPr>
                <w:rFonts w:cs="Arial"/>
                <w:color w:val="0D0D0D" w:themeColor="text1" w:themeTint="F2"/>
                <w:spacing w:val="-4"/>
                <w:lang w:val="en-GB"/>
              </w:rPr>
              <w:t>.</w:t>
            </w:r>
            <w:r w:rsidR="00B4411A" w:rsidRPr="00412F61">
              <w:rPr>
                <w:rFonts w:cs="Arial"/>
                <w:color w:val="0D0D0D" w:themeColor="text1" w:themeTint="F2"/>
                <w:spacing w:val="-4"/>
                <w:lang w:val="en-GB"/>
              </w:rPr>
              <w:t>3</w:t>
            </w:r>
            <w:r w:rsidR="007B0E83" w:rsidRPr="00412F61">
              <w:rPr>
                <w:rFonts w:cs="Arial"/>
                <w:color w:val="0D0D0D" w:themeColor="text1" w:themeTint="F2"/>
                <w:spacing w:val="-4"/>
                <w:lang w:val="en-GB"/>
              </w:rPr>
              <w:t>%</w:t>
            </w:r>
            <w:r w:rsidR="00B4411A" w:rsidRPr="00412F61">
              <w:rPr>
                <w:rFonts w:cs="Arial"/>
                <w:color w:val="0D0D0D" w:themeColor="text1" w:themeTint="F2"/>
                <w:spacing w:val="-4"/>
                <w:lang w:val="en-GB"/>
              </w:rPr>
              <w:t xml:space="preserve">), </w:t>
            </w:r>
            <w:r w:rsidR="00C93216" w:rsidRPr="00412F61">
              <w:rPr>
                <w:rFonts w:cs="Arial"/>
                <w:color w:val="0D0D0D" w:themeColor="text1" w:themeTint="F2"/>
                <w:spacing w:val="-4"/>
                <w:lang w:val="en-GB"/>
              </w:rPr>
              <w:t xml:space="preserve">in the opposite direction unemployment in Italy and France fell only a little </w:t>
            </w:r>
            <w:r w:rsidR="00B4411A" w:rsidRPr="00412F61">
              <w:rPr>
                <w:rFonts w:cs="Arial"/>
                <w:color w:val="0D0D0D" w:themeColor="text1" w:themeTint="F2"/>
                <w:spacing w:val="-4"/>
                <w:lang w:val="en-GB"/>
              </w:rPr>
              <w:t>(</w:t>
            </w:r>
            <w:r w:rsidR="00C93216" w:rsidRPr="00412F61">
              <w:rPr>
                <w:rFonts w:cs="Arial"/>
                <w:color w:val="0D0D0D" w:themeColor="text1" w:themeTint="F2"/>
                <w:spacing w:val="-4"/>
                <w:lang w:val="en-GB"/>
              </w:rPr>
              <w:t xml:space="preserve">by </w:t>
            </w:r>
            <w:r w:rsidR="00B4411A" w:rsidRPr="00412F61">
              <w:rPr>
                <w:rFonts w:cs="Arial"/>
                <w:color w:val="0D0D0D" w:themeColor="text1" w:themeTint="F2"/>
                <w:spacing w:val="-4"/>
                <w:lang w:val="en-GB"/>
              </w:rPr>
              <w:t>0</w:t>
            </w:r>
            <w:r w:rsidR="00C93216" w:rsidRPr="00412F61">
              <w:rPr>
                <w:rFonts w:cs="Arial"/>
                <w:color w:val="0D0D0D" w:themeColor="text1" w:themeTint="F2"/>
                <w:spacing w:val="-4"/>
                <w:lang w:val="en-GB"/>
              </w:rPr>
              <w:t>.</w:t>
            </w:r>
            <w:r w:rsidR="00B4411A" w:rsidRPr="00412F61">
              <w:rPr>
                <w:rFonts w:cs="Arial"/>
                <w:color w:val="0D0D0D" w:themeColor="text1" w:themeTint="F2"/>
                <w:spacing w:val="-4"/>
                <w:lang w:val="en-GB"/>
              </w:rPr>
              <w:t>4</w:t>
            </w:r>
            <w:r w:rsidR="00EA4402" w:rsidRPr="00412F61">
              <w:rPr>
                <w:rFonts w:cs="Arial"/>
                <w:color w:val="0D0D0D" w:themeColor="text1" w:themeTint="F2"/>
                <w:spacing w:val="-4"/>
                <w:lang w:val="en-GB"/>
              </w:rPr>
              <w:t> </w:t>
            </w:r>
            <w:r w:rsidR="00C777A6" w:rsidRPr="00412F61">
              <w:rPr>
                <w:rFonts w:cs="Arial"/>
                <w:color w:val="0D0D0D" w:themeColor="text1" w:themeTint="F2"/>
                <w:spacing w:val="-4"/>
                <w:lang w:val="en-GB"/>
              </w:rPr>
              <w:t>p.p.</w:t>
            </w:r>
            <w:r w:rsidR="00B4411A" w:rsidRPr="00412F61">
              <w:rPr>
                <w:rFonts w:cs="Arial"/>
                <w:color w:val="0D0D0D" w:themeColor="text1" w:themeTint="F2"/>
                <w:spacing w:val="-4"/>
                <w:lang w:val="en-GB"/>
              </w:rPr>
              <w:t xml:space="preserve">). </w:t>
            </w:r>
            <w:r w:rsidR="004439A2" w:rsidRPr="00412F61">
              <w:rPr>
                <w:rFonts w:cs="Arial"/>
                <w:color w:val="0D0D0D" w:themeColor="text1" w:themeTint="F2"/>
                <w:spacing w:val="-4"/>
                <w:lang w:val="en-GB"/>
              </w:rPr>
              <w:t xml:space="preserve">From the largest economies, both Germany (3.5%) and Great Britain (4.0%) kept the favourable position. Unemployment rate in the whole EU was (similarly to the CR) by 0.8 </w:t>
            </w:r>
            <w:r w:rsidR="00C777A6" w:rsidRPr="00412F61">
              <w:rPr>
                <w:rFonts w:cs="Arial"/>
                <w:color w:val="0D0D0D" w:themeColor="text1" w:themeTint="F2"/>
                <w:spacing w:val="-4"/>
                <w:lang w:val="en-GB"/>
              </w:rPr>
              <w:t>p.p.</w:t>
            </w:r>
            <w:r w:rsidR="004439A2" w:rsidRPr="00412F61">
              <w:rPr>
                <w:rFonts w:cs="Arial"/>
                <w:color w:val="0D0D0D" w:themeColor="text1" w:themeTint="F2"/>
                <w:spacing w:val="-4"/>
                <w:lang w:val="en-GB"/>
              </w:rPr>
              <w:t xml:space="preserve"> lower year-on-year and amounted to 6.8%. </w:t>
            </w:r>
            <w:r w:rsidR="00A81B71" w:rsidRPr="00412F61">
              <w:rPr>
                <w:rFonts w:cs="Arial"/>
                <w:color w:val="0D0D0D" w:themeColor="text1" w:themeTint="F2"/>
                <w:spacing w:val="-4"/>
                <w:lang w:val="en-GB"/>
              </w:rPr>
              <w:t xml:space="preserve">For the first time it equalled its minimum from year </w:t>
            </w:r>
            <w:r w:rsidR="00B4411A" w:rsidRPr="00412F61">
              <w:rPr>
                <w:rFonts w:cs="Arial"/>
                <w:color w:val="0D0D0D" w:themeColor="text1" w:themeTint="F2"/>
                <w:spacing w:val="-4"/>
                <w:lang w:val="en-GB"/>
              </w:rPr>
              <w:t xml:space="preserve">2008. </w:t>
            </w:r>
            <w:r w:rsidR="00A81B71" w:rsidRPr="00412F61">
              <w:rPr>
                <w:rFonts w:cs="Arial"/>
                <w:color w:val="0D0D0D" w:themeColor="text1" w:themeTint="F2"/>
                <w:spacing w:val="-4"/>
                <w:lang w:val="en-GB"/>
              </w:rPr>
              <w:t xml:space="preserve">In countries of the current euro area, it still remained by whole 1 </w:t>
            </w:r>
            <w:r w:rsidR="00C777A6" w:rsidRPr="00412F61">
              <w:rPr>
                <w:rFonts w:cs="Arial"/>
                <w:color w:val="0D0D0D" w:themeColor="text1" w:themeTint="F2"/>
                <w:spacing w:val="-4"/>
                <w:lang w:val="en-GB"/>
              </w:rPr>
              <w:t>p.p.</w:t>
            </w:r>
            <w:r w:rsidR="00A81B71" w:rsidRPr="00412F61">
              <w:rPr>
                <w:rFonts w:cs="Arial"/>
                <w:color w:val="0D0D0D" w:themeColor="text1" w:themeTint="F2"/>
                <w:spacing w:val="-4"/>
                <w:lang w:val="en-GB"/>
              </w:rPr>
              <w:t xml:space="preserve"> above the minimum from the previous expansion period (7.2%). </w:t>
            </w:r>
            <w:r w:rsidR="0009045D" w:rsidRPr="00412F61">
              <w:rPr>
                <w:rFonts w:cs="Arial"/>
                <w:color w:val="0D0D0D" w:themeColor="text1" w:themeTint="F2"/>
                <w:spacing w:val="-4"/>
                <w:lang w:val="en-GB"/>
              </w:rPr>
              <w:t xml:space="preserve">In some countries with a positive situation or development of the total unemployment </w:t>
            </w:r>
            <w:r w:rsidR="00AB34A5" w:rsidRPr="00412F61">
              <w:rPr>
                <w:rFonts w:cs="Arial"/>
                <w:color w:val="0D0D0D" w:themeColor="text1" w:themeTint="F2"/>
                <w:spacing w:val="-4"/>
                <w:lang w:val="en-GB"/>
              </w:rPr>
              <w:t xml:space="preserve">structural difficulties </w:t>
            </w:r>
            <w:r w:rsidR="0009045D" w:rsidRPr="00412F61">
              <w:rPr>
                <w:rFonts w:cs="Arial"/>
                <w:color w:val="0D0D0D" w:themeColor="text1" w:themeTint="F2"/>
                <w:spacing w:val="-4"/>
                <w:lang w:val="en-GB"/>
              </w:rPr>
              <w:t xml:space="preserve">persist, </w:t>
            </w:r>
            <w:r w:rsidR="00C667B3" w:rsidRPr="00412F61">
              <w:rPr>
                <w:rFonts w:cs="Arial"/>
                <w:color w:val="0D0D0D" w:themeColor="text1" w:themeTint="F2"/>
                <w:spacing w:val="-4"/>
                <w:lang w:val="en-GB"/>
              </w:rPr>
              <w:t>for example with long-</w:t>
            </w:r>
            <w:r w:rsidR="00D56D73" w:rsidRPr="00412F61">
              <w:rPr>
                <w:rFonts w:cs="Arial"/>
                <w:color w:val="0D0D0D" w:themeColor="text1" w:themeTint="F2"/>
                <w:spacing w:val="-4"/>
                <w:lang w:val="en-GB"/>
              </w:rPr>
              <w:t>t</w:t>
            </w:r>
            <w:r w:rsidR="00C667B3" w:rsidRPr="00412F61">
              <w:rPr>
                <w:rFonts w:cs="Arial"/>
                <w:color w:val="0D0D0D" w:themeColor="text1" w:themeTint="F2"/>
                <w:spacing w:val="-4"/>
                <w:lang w:val="en-GB"/>
              </w:rPr>
              <w:t xml:space="preserve">erm unemployment (Slovakia, Bulgaria, </w:t>
            </w:r>
            <w:proofErr w:type="gramStart"/>
            <w:r w:rsidR="00C667B3" w:rsidRPr="00412F61">
              <w:rPr>
                <w:rFonts w:cs="Arial"/>
                <w:color w:val="0D0D0D" w:themeColor="text1" w:themeTint="F2"/>
                <w:spacing w:val="-4"/>
                <w:lang w:val="en-GB"/>
              </w:rPr>
              <w:t>Belgium</w:t>
            </w:r>
            <w:proofErr w:type="gramEnd"/>
            <w:r w:rsidR="00C667B3" w:rsidRPr="00412F61">
              <w:rPr>
                <w:rFonts w:cs="Arial"/>
                <w:color w:val="0D0D0D" w:themeColor="text1" w:themeTint="F2"/>
                <w:spacing w:val="-4"/>
                <w:lang w:val="en-GB"/>
              </w:rPr>
              <w:t xml:space="preserve">) or participation of young people in the labour market </w:t>
            </w:r>
            <w:r w:rsidR="00B4411A" w:rsidRPr="00412F61">
              <w:rPr>
                <w:rFonts w:cs="Arial"/>
                <w:color w:val="0D0D0D" w:themeColor="text1" w:themeTint="F2"/>
                <w:spacing w:val="-4"/>
                <w:lang w:val="en-GB"/>
              </w:rPr>
              <w:t>(C</w:t>
            </w:r>
            <w:r w:rsidR="00C667B3" w:rsidRPr="00412F61">
              <w:rPr>
                <w:rFonts w:cs="Arial"/>
                <w:color w:val="0D0D0D" w:themeColor="text1" w:themeTint="F2"/>
                <w:spacing w:val="-4"/>
                <w:lang w:val="en-GB"/>
              </w:rPr>
              <w:t>roatia, Portugal</w:t>
            </w:r>
            <w:r w:rsidR="00B4411A" w:rsidRPr="00412F61">
              <w:rPr>
                <w:rFonts w:cs="Arial"/>
                <w:color w:val="0D0D0D" w:themeColor="text1" w:themeTint="F2"/>
                <w:spacing w:val="-4"/>
                <w:lang w:val="en-GB"/>
              </w:rPr>
              <w:t>).</w:t>
            </w:r>
          </w:p>
          <w:p w:rsidR="00D56D73" w:rsidRPr="00412F61" w:rsidRDefault="00D56D73" w:rsidP="00033B83">
            <w:pPr>
              <w:spacing w:after="0"/>
              <w:rPr>
                <w:rFonts w:cs="Arial"/>
                <w:color w:val="0D0D0D" w:themeColor="text1" w:themeTint="F2"/>
                <w:spacing w:val="-4"/>
                <w:lang w:val="en-GB"/>
              </w:rPr>
            </w:pPr>
          </w:p>
        </w:tc>
      </w:tr>
      <w:tr w:rsidR="00B4411A" w:rsidRPr="00412F61" w:rsidTr="004439A2">
        <w:trPr>
          <w:trHeight w:val="145"/>
        </w:trPr>
        <w:tc>
          <w:tcPr>
            <w:tcW w:w="1878" w:type="dxa"/>
            <w:shd w:val="clear" w:color="auto" w:fill="auto"/>
            <w:tcMar>
              <w:left w:w="0" w:type="dxa"/>
            </w:tcMar>
          </w:tcPr>
          <w:p w:rsidR="00B4411A" w:rsidRPr="00412F61" w:rsidRDefault="00B4411A" w:rsidP="00B4411A">
            <w:pPr>
              <w:pStyle w:val="Marginlie"/>
              <w:rPr>
                <w:lang w:val="en-GB"/>
              </w:rPr>
            </w:pP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1F1F0D" w:rsidP="00FA36BC">
            <w:pPr>
              <w:pStyle w:val="Textpoznpodarou"/>
              <w:rPr>
                <w:lang w:val="en-GB"/>
              </w:rPr>
            </w:pPr>
            <w:r w:rsidRPr="00412F61">
              <w:rPr>
                <w:b/>
                <w:lang w:val="en-GB"/>
              </w:rPr>
              <w:t xml:space="preserve">Chart </w:t>
            </w:r>
            <w:r w:rsidR="00B4411A" w:rsidRPr="00412F61">
              <w:rPr>
                <w:b/>
                <w:lang w:val="en-GB"/>
              </w:rPr>
              <w:t xml:space="preserve">16  </w:t>
            </w:r>
            <w:r w:rsidR="00A66B1F" w:rsidRPr="00412F61">
              <w:rPr>
                <w:b/>
                <w:lang w:val="en-GB"/>
              </w:rPr>
              <w:t>Average gross monthly wage</w:t>
            </w:r>
            <w:r w:rsidR="00B4411A" w:rsidRPr="00412F61">
              <w:rPr>
                <w:rFonts w:cs="Arial"/>
                <w:b/>
                <w:bCs/>
                <w:spacing w:val="-2"/>
                <w:lang w:val="en-GB"/>
              </w:rPr>
              <w:t xml:space="preserve">, </w:t>
            </w:r>
            <w:r w:rsidR="00FA36BC" w:rsidRPr="00412F61">
              <w:rPr>
                <w:rFonts w:cs="Arial"/>
                <w:b/>
                <w:bCs/>
                <w:spacing w:val="-2"/>
                <w:lang w:val="en-GB"/>
              </w:rPr>
              <w:t>span of its rate of growth across</w:t>
            </w:r>
            <w:r w:rsidR="00E1790A" w:rsidRPr="00412F61">
              <w:rPr>
                <w:rFonts w:cs="Arial"/>
                <w:b/>
                <w:bCs/>
                <w:spacing w:val="-2"/>
                <w:lang w:val="en-GB"/>
              </w:rPr>
              <w:t xml:space="preserve"> branches</w:t>
            </w:r>
            <w:r w:rsidR="00B4411A" w:rsidRPr="00412F61">
              <w:rPr>
                <w:rFonts w:cs="Arial"/>
                <w:b/>
                <w:bCs/>
                <w:spacing w:val="-2"/>
                <w:lang w:val="en-GB"/>
              </w:rPr>
              <w:t xml:space="preserve">*, </w:t>
            </w:r>
            <w:r w:rsidR="00A66B1F" w:rsidRPr="00412F61">
              <w:rPr>
                <w:rFonts w:cs="Arial"/>
                <w:b/>
                <w:bCs/>
                <w:spacing w:val="-2"/>
                <w:lang w:val="en-GB"/>
              </w:rPr>
              <w:t xml:space="preserve">wage median </w:t>
            </w:r>
            <w:r w:rsidR="00B4411A" w:rsidRPr="00412F61">
              <w:rPr>
                <w:rFonts w:cs="Arial"/>
                <w:bCs/>
                <w:spacing w:val="-2"/>
                <w:lang w:val="en-GB"/>
              </w:rPr>
              <w:t>(</w:t>
            </w:r>
            <w:r w:rsidR="00A66B1F" w:rsidRPr="00412F61">
              <w:rPr>
                <w:rFonts w:cs="Arial"/>
                <w:bCs/>
                <w:spacing w:val="-2"/>
                <w:lang w:val="en-GB"/>
              </w:rPr>
              <w:t>year-on-year</w:t>
            </w:r>
            <w:r w:rsidR="00B4411A" w:rsidRPr="00412F61">
              <w:rPr>
                <w:rFonts w:cs="Arial"/>
                <w:bCs/>
                <w:spacing w:val="-2"/>
                <w:lang w:val="en-GB"/>
              </w:rPr>
              <w:t xml:space="preserve">, </w:t>
            </w:r>
            <w:r w:rsidR="00A66B1F" w:rsidRPr="00412F61">
              <w:rPr>
                <w:rFonts w:cs="Arial"/>
                <w:bCs/>
                <w:spacing w:val="-2"/>
                <w:lang w:val="en-GB"/>
              </w:rPr>
              <w:t>in</w:t>
            </w:r>
            <w:r w:rsidR="007B0E83" w:rsidRPr="00412F61">
              <w:rPr>
                <w:rFonts w:cs="Arial"/>
                <w:bCs/>
                <w:spacing w:val="-2"/>
                <w:lang w:val="en-GB"/>
              </w:rPr>
              <w:t> %</w:t>
            </w:r>
            <w:r w:rsidR="00B4411A" w:rsidRPr="00412F61">
              <w:rPr>
                <w:rFonts w:cs="Arial"/>
                <w:bCs/>
                <w:spacing w:val="-2"/>
                <w:lang w:val="en-GB"/>
              </w:rPr>
              <w:t xml:space="preserve">) </w:t>
            </w:r>
            <w:r w:rsidR="00B4411A" w:rsidRPr="00412F61">
              <w:rPr>
                <w:rFonts w:cs="Arial"/>
                <w:b/>
                <w:bCs/>
                <w:spacing w:val="-2"/>
                <w:lang w:val="en-GB"/>
              </w:rPr>
              <w:t>a</w:t>
            </w:r>
            <w:r w:rsidR="00A66B1F" w:rsidRPr="00412F61">
              <w:rPr>
                <w:rFonts w:cs="Arial"/>
                <w:b/>
                <w:bCs/>
                <w:spacing w:val="-2"/>
                <w:lang w:val="en-GB"/>
              </w:rPr>
              <w:t>nd labour productivity</w:t>
            </w:r>
            <w:r w:rsidR="00B4411A" w:rsidRPr="00412F61">
              <w:rPr>
                <w:rFonts w:cs="Arial"/>
                <w:b/>
                <w:bCs/>
                <w:spacing w:val="-2"/>
                <w:lang w:val="en-GB"/>
              </w:rPr>
              <w:t>**</w:t>
            </w:r>
          </w:p>
        </w:tc>
      </w:tr>
      <w:tr w:rsidR="00B4411A" w:rsidRPr="00412F61" w:rsidTr="004439A2">
        <w:trPr>
          <w:trHeight w:val="145"/>
        </w:trPr>
        <w:tc>
          <w:tcPr>
            <w:tcW w:w="1878" w:type="dxa"/>
            <w:shd w:val="clear" w:color="auto" w:fill="auto"/>
            <w:tcMar>
              <w:left w:w="0" w:type="dxa"/>
            </w:tcMar>
          </w:tcPr>
          <w:p w:rsidR="00B4411A" w:rsidRPr="00412F61" w:rsidRDefault="00B4411A" w:rsidP="00B4411A">
            <w:pPr>
              <w:pStyle w:val="Marginlie"/>
              <w:rPr>
                <w:lang w:val="en-GB"/>
              </w:rPr>
            </w:pP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954D06" w:rsidP="00B4411A">
            <w:pPr>
              <w:spacing w:after="0" w:line="240" w:lineRule="auto"/>
              <w:rPr>
                <w:spacing w:val="-2"/>
                <w:szCs w:val="20"/>
                <w:lang w:val="en-GB"/>
              </w:rPr>
            </w:pPr>
            <w:r w:rsidRPr="00954D06">
              <w:rPr>
                <w:noProof/>
                <w:spacing w:val="-2"/>
                <w:szCs w:val="20"/>
              </w:rPr>
              <w:drawing>
                <wp:inline distT="0" distB="0" distL="0" distR="0">
                  <wp:extent cx="4729541" cy="3528000"/>
                  <wp:effectExtent l="19050" t="0" r="0" b="0"/>
                  <wp:docPr id="3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4411A" w:rsidRPr="00412F61" w:rsidTr="004439A2">
        <w:trPr>
          <w:trHeight w:val="145"/>
        </w:trPr>
        <w:tc>
          <w:tcPr>
            <w:tcW w:w="1878" w:type="dxa"/>
            <w:shd w:val="clear" w:color="auto" w:fill="auto"/>
            <w:tcMar>
              <w:left w:w="0" w:type="dxa"/>
            </w:tcMar>
          </w:tcPr>
          <w:p w:rsidR="00B4411A" w:rsidRPr="00412F61" w:rsidRDefault="00B4411A" w:rsidP="00B4411A">
            <w:pPr>
              <w:pStyle w:val="Marginlie"/>
              <w:rPr>
                <w:lang w:val="en-GB"/>
              </w:rPr>
            </w:pP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B4411A" w:rsidP="00B4411A">
            <w:pPr>
              <w:spacing w:after="0" w:line="240" w:lineRule="auto"/>
              <w:rPr>
                <w:rFonts w:cs="Arial"/>
                <w:sz w:val="14"/>
                <w:szCs w:val="14"/>
                <w:lang w:val="en-GB"/>
              </w:rPr>
            </w:pPr>
            <w:r w:rsidRPr="00412F61">
              <w:rPr>
                <w:rFonts w:cs="Arial"/>
                <w:sz w:val="14"/>
                <w:szCs w:val="14"/>
                <w:lang w:val="en-GB"/>
              </w:rPr>
              <w:t>*</w:t>
            </w:r>
            <w:r w:rsidR="00C96AEE" w:rsidRPr="00412F61">
              <w:rPr>
                <w:rFonts w:cs="Arial"/>
                <w:sz w:val="14"/>
                <w:szCs w:val="14"/>
                <w:lang w:val="en-GB"/>
              </w:rPr>
              <w:t>Branches with relatively highest, resp</w:t>
            </w:r>
            <w:r w:rsidR="009B65F5" w:rsidRPr="00412F61">
              <w:rPr>
                <w:rFonts w:cs="Arial"/>
                <w:sz w:val="14"/>
                <w:szCs w:val="14"/>
                <w:lang w:val="en-GB"/>
              </w:rPr>
              <w:t>.</w:t>
            </w:r>
            <w:r w:rsidR="00C96AEE" w:rsidRPr="00412F61">
              <w:rPr>
                <w:rFonts w:cs="Arial"/>
                <w:sz w:val="14"/>
                <w:szCs w:val="14"/>
                <w:lang w:val="en-GB"/>
              </w:rPr>
              <w:t xml:space="preserve"> lowest year-on-year ra</w:t>
            </w:r>
            <w:r w:rsidR="00504FF8" w:rsidRPr="00412F61">
              <w:rPr>
                <w:rFonts w:cs="Arial"/>
                <w:sz w:val="14"/>
                <w:szCs w:val="14"/>
                <w:lang w:val="en-GB"/>
              </w:rPr>
              <w:t>t</w:t>
            </w:r>
            <w:r w:rsidR="00C96AEE" w:rsidRPr="00412F61">
              <w:rPr>
                <w:rFonts w:cs="Arial"/>
                <w:sz w:val="14"/>
                <w:szCs w:val="14"/>
                <w:lang w:val="en-GB"/>
              </w:rPr>
              <w:t>e of growth of the avera</w:t>
            </w:r>
            <w:r w:rsidR="00312CD2">
              <w:rPr>
                <w:rFonts w:cs="Arial"/>
                <w:sz w:val="14"/>
                <w:szCs w:val="14"/>
                <w:lang w:val="en-GB"/>
              </w:rPr>
              <w:t xml:space="preserve">ge wage. Branches </w:t>
            </w:r>
            <w:proofErr w:type="spellStart"/>
            <w:r w:rsidR="00312CD2">
              <w:rPr>
                <w:rFonts w:cs="Arial"/>
                <w:sz w:val="14"/>
                <w:szCs w:val="14"/>
                <w:lang w:val="en-GB"/>
              </w:rPr>
              <w:t>energetics</w:t>
            </w:r>
            <w:proofErr w:type="spellEnd"/>
            <w:r w:rsidR="00312CD2">
              <w:rPr>
                <w:rFonts w:cs="Arial"/>
                <w:sz w:val="14"/>
                <w:szCs w:val="14"/>
                <w:lang w:val="en-GB"/>
              </w:rPr>
              <w:t xml:space="preserve"> as well as</w:t>
            </w:r>
            <w:r w:rsidR="00C96AEE" w:rsidRPr="00412F61">
              <w:rPr>
                <w:rFonts w:cs="Arial"/>
                <w:sz w:val="14"/>
                <w:szCs w:val="14"/>
                <w:lang w:val="en-GB"/>
              </w:rPr>
              <w:t xml:space="preserve"> </w:t>
            </w:r>
            <w:r w:rsidR="00504FF8" w:rsidRPr="00412F61">
              <w:rPr>
                <w:rFonts w:cs="Arial"/>
                <w:sz w:val="14"/>
                <w:szCs w:val="14"/>
                <w:lang w:val="en-GB"/>
              </w:rPr>
              <w:t>f</w:t>
            </w:r>
            <w:r w:rsidR="00C96AEE" w:rsidRPr="00412F61">
              <w:rPr>
                <w:rFonts w:cs="Arial"/>
                <w:sz w:val="14"/>
                <w:szCs w:val="14"/>
                <w:lang w:val="en-GB"/>
              </w:rPr>
              <w:t xml:space="preserve">inancial and insurance activities </w:t>
            </w:r>
            <w:proofErr w:type="gramStart"/>
            <w:r w:rsidR="00C96AEE" w:rsidRPr="00412F61">
              <w:rPr>
                <w:rFonts w:cs="Arial"/>
                <w:sz w:val="14"/>
                <w:szCs w:val="14"/>
                <w:lang w:val="en-GB"/>
              </w:rPr>
              <w:t>were</w:t>
            </w:r>
            <w:proofErr w:type="gramEnd"/>
            <w:r w:rsidR="00C96AEE" w:rsidRPr="00412F61">
              <w:rPr>
                <w:rFonts w:cs="Arial"/>
                <w:sz w:val="14"/>
                <w:szCs w:val="14"/>
                <w:lang w:val="en-GB"/>
              </w:rPr>
              <w:t xml:space="preserve"> not included </w:t>
            </w:r>
            <w:r w:rsidR="00312CD2">
              <w:rPr>
                <w:rFonts w:cs="Arial"/>
                <w:sz w:val="14"/>
                <w:szCs w:val="14"/>
                <w:lang w:val="en-GB"/>
              </w:rPr>
              <w:t>in the whole period (2010-2018) due to the</w:t>
            </w:r>
            <w:r w:rsidR="00C96AEE" w:rsidRPr="00412F61">
              <w:rPr>
                <w:rFonts w:cs="Arial"/>
                <w:sz w:val="14"/>
                <w:szCs w:val="14"/>
                <w:lang w:val="en-GB"/>
              </w:rPr>
              <w:t xml:space="preserve"> non-standard </w:t>
            </w:r>
            <w:r w:rsidR="00504FF8" w:rsidRPr="00412F61">
              <w:rPr>
                <w:rFonts w:cs="Arial"/>
                <w:sz w:val="14"/>
                <w:szCs w:val="14"/>
                <w:lang w:val="en-GB"/>
              </w:rPr>
              <w:t xml:space="preserve">development </w:t>
            </w:r>
            <w:r w:rsidR="009B65F5" w:rsidRPr="00412F61">
              <w:rPr>
                <w:rFonts w:cs="Arial"/>
                <w:sz w:val="14"/>
                <w:szCs w:val="14"/>
                <w:lang w:val="en-GB"/>
              </w:rPr>
              <w:t xml:space="preserve">at the turn of years 2012 and 2013, resp. 2013 and 2014. </w:t>
            </w:r>
          </w:p>
          <w:p w:rsidR="009D17C6" w:rsidRPr="00412F61" w:rsidRDefault="00B4411A" w:rsidP="009D17C6">
            <w:pPr>
              <w:spacing w:after="0"/>
              <w:rPr>
                <w:rFonts w:cs="Arial"/>
                <w:sz w:val="14"/>
                <w:szCs w:val="14"/>
                <w:lang w:val="en-GB"/>
              </w:rPr>
            </w:pPr>
            <w:r w:rsidRPr="00412F61">
              <w:rPr>
                <w:rFonts w:cs="Arial"/>
                <w:sz w:val="14"/>
                <w:szCs w:val="14"/>
                <w:lang w:val="en-GB"/>
              </w:rPr>
              <w:t>**</w:t>
            </w:r>
            <w:r w:rsidR="00003A69" w:rsidRPr="00412F61">
              <w:rPr>
                <w:rFonts w:cs="Arial"/>
                <w:sz w:val="14"/>
                <w:szCs w:val="14"/>
                <w:lang w:val="en-GB"/>
              </w:rPr>
              <w:t xml:space="preserve"> Share of seasonally non-adjusted GDP and employment (in the national accounts conception)            </w:t>
            </w:r>
            <w:r w:rsidRPr="00412F61">
              <w:rPr>
                <w:rFonts w:cs="Arial"/>
                <w:sz w:val="14"/>
                <w:szCs w:val="14"/>
                <w:lang w:val="en-GB"/>
              </w:rPr>
              <w:t xml:space="preserve">                                         </w:t>
            </w:r>
            <w:r w:rsidR="009D17C6" w:rsidRPr="00412F61">
              <w:rPr>
                <w:rFonts w:cs="Arial"/>
                <w:sz w:val="14"/>
                <w:szCs w:val="14"/>
                <w:lang w:val="en-GB"/>
              </w:rPr>
              <w:t xml:space="preserve">    </w:t>
            </w:r>
            <w:r w:rsidRPr="00412F61">
              <w:rPr>
                <w:rFonts w:cs="Arial"/>
                <w:sz w:val="14"/>
                <w:szCs w:val="14"/>
                <w:lang w:val="en-GB"/>
              </w:rPr>
              <w:t xml:space="preserve"> </w:t>
            </w:r>
          </w:p>
          <w:p w:rsidR="009D17C6" w:rsidRPr="00954D06" w:rsidRDefault="00675038" w:rsidP="00954D06">
            <w:pPr>
              <w:spacing w:after="0"/>
              <w:rPr>
                <w:rFonts w:cs="Arial"/>
                <w:sz w:val="14"/>
                <w:szCs w:val="14"/>
                <w:lang w:val="en-GB"/>
              </w:rPr>
            </w:pPr>
            <w:r w:rsidRPr="00412F61">
              <w:rPr>
                <w:rFonts w:cs="Arial"/>
                <w:sz w:val="14"/>
                <w:szCs w:val="14"/>
                <w:lang w:val="en-GB"/>
              </w:rPr>
              <w:t>Source</w:t>
            </w:r>
            <w:r w:rsidR="00B4411A" w:rsidRPr="00412F61">
              <w:rPr>
                <w:rFonts w:cs="Arial"/>
                <w:sz w:val="14"/>
                <w:szCs w:val="14"/>
                <w:lang w:val="en-GB"/>
              </w:rPr>
              <w:t xml:space="preserve">: </w:t>
            </w:r>
            <w:r w:rsidRPr="00412F61">
              <w:rPr>
                <w:rFonts w:cs="Arial"/>
                <w:sz w:val="14"/>
                <w:szCs w:val="14"/>
                <w:lang w:val="en-GB"/>
              </w:rPr>
              <w:t>CZSO</w:t>
            </w:r>
          </w:p>
        </w:tc>
      </w:tr>
      <w:tr w:rsidR="00B4411A" w:rsidRPr="00412F61" w:rsidTr="004439A2">
        <w:trPr>
          <w:trHeight w:val="145"/>
        </w:trPr>
        <w:tc>
          <w:tcPr>
            <w:tcW w:w="1878" w:type="dxa"/>
            <w:shd w:val="clear" w:color="auto" w:fill="auto"/>
            <w:tcMar>
              <w:left w:w="0" w:type="dxa"/>
            </w:tcMar>
          </w:tcPr>
          <w:p w:rsidR="00B4411A" w:rsidRPr="00412F61" w:rsidRDefault="00EF07E2" w:rsidP="00B4411A">
            <w:pPr>
              <w:pStyle w:val="Marginlie"/>
              <w:rPr>
                <w:lang w:val="en-GB"/>
              </w:rPr>
            </w:pPr>
            <w:r w:rsidRPr="00412F61">
              <w:rPr>
                <w:lang w:val="en-GB"/>
              </w:rPr>
              <w:lastRenderedPageBreak/>
              <w:t xml:space="preserve">Rate of growth of the average nominal wages kept expanding further and hit the </w:t>
            </w:r>
            <w:r w:rsidR="00897D51" w:rsidRPr="00412F61">
              <w:rPr>
                <w:lang w:val="en-GB"/>
              </w:rPr>
              <w:t>ten-year</w:t>
            </w:r>
            <w:r w:rsidRPr="00412F61">
              <w:rPr>
                <w:lang w:val="en-GB"/>
              </w:rPr>
              <w:t xml:space="preserve"> maximum. </w:t>
            </w: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EF07E2" w:rsidP="00DD0C3A">
            <w:pPr>
              <w:spacing w:after="220"/>
              <w:rPr>
                <w:rFonts w:cs="Arial"/>
                <w:color w:val="0D0D0D" w:themeColor="text1" w:themeTint="F2"/>
                <w:spacing w:val="-4"/>
                <w:lang w:val="en-GB"/>
              </w:rPr>
            </w:pPr>
            <w:r w:rsidRPr="00412F61">
              <w:rPr>
                <w:rFonts w:cs="Arial"/>
                <w:color w:val="0D0D0D" w:themeColor="text1" w:themeTint="F2"/>
                <w:spacing w:val="-4"/>
                <w:lang w:val="en-GB"/>
              </w:rPr>
              <w:t>Rate of growth of the average nominal wage was further increasing. It was similarly 8.6% in both Q1 and 2 according to the business statistics and it was the highest in the last ten years</w:t>
            </w:r>
            <w:r w:rsidR="00B4411A" w:rsidRPr="00412F61">
              <w:rPr>
                <w:rStyle w:val="Znakapoznpodarou"/>
                <w:color w:val="0D0D0D" w:themeColor="text1" w:themeTint="F2"/>
                <w:spacing w:val="-4"/>
                <w:lang w:val="en-GB"/>
              </w:rPr>
              <w:footnoteReference w:id="12"/>
            </w:r>
            <w:r w:rsidR="00B4411A" w:rsidRPr="00412F61">
              <w:rPr>
                <w:rFonts w:cs="Arial"/>
                <w:color w:val="0D0D0D" w:themeColor="text1" w:themeTint="F2"/>
                <w:spacing w:val="-4"/>
                <w:lang w:val="en-GB"/>
              </w:rPr>
              <w:t xml:space="preserve">. </w:t>
            </w:r>
            <w:r w:rsidRPr="00412F61">
              <w:rPr>
                <w:rFonts w:cs="Arial"/>
                <w:color w:val="0D0D0D" w:themeColor="text1" w:themeTint="F2"/>
                <w:spacing w:val="-4"/>
                <w:lang w:val="en-GB"/>
              </w:rPr>
              <w:t xml:space="preserve">Factors standing behind the wage </w:t>
            </w:r>
            <w:proofErr w:type="spellStart"/>
            <w:r w:rsidRPr="00412F61">
              <w:rPr>
                <w:rFonts w:cs="Arial"/>
                <w:color w:val="0D0D0D" w:themeColor="text1" w:themeTint="F2"/>
                <w:spacing w:val="-4"/>
                <w:lang w:val="en-GB"/>
              </w:rPr>
              <w:t>dynamization</w:t>
            </w:r>
            <w:proofErr w:type="spellEnd"/>
            <w:r w:rsidRPr="00412F61">
              <w:rPr>
                <w:rFonts w:cs="Arial"/>
                <w:color w:val="0D0D0D" w:themeColor="text1" w:themeTint="F2"/>
                <w:spacing w:val="-4"/>
                <w:lang w:val="en-GB"/>
              </w:rPr>
              <w:t xml:space="preserve"> remain the same in the las</w:t>
            </w:r>
            <w:r w:rsidR="000F54F2" w:rsidRPr="00412F61">
              <w:rPr>
                <w:rFonts w:cs="Arial"/>
                <w:color w:val="0D0D0D" w:themeColor="text1" w:themeTint="F2"/>
                <w:spacing w:val="-4"/>
                <w:lang w:val="en-GB"/>
              </w:rPr>
              <w:t>t</w:t>
            </w:r>
            <w:r w:rsidRPr="00412F61">
              <w:rPr>
                <w:rFonts w:cs="Arial"/>
                <w:color w:val="0D0D0D" w:themeColor="text1" w:themeTint="F2"/>
                <w:spacing w:val="-4"/>
                <w:lang w:val="en-GB"/>
              </w:rPr>
              <w:t xml:space="preserve"> quarters (good economic results of businesses, prevailing positive expectations in key branches of the economy, strengthening lack of available employees and from this springing competitive pressure, regular increases of the minimal wage impacting also the size of the guaranteed wage). </w:t>
            </w:r>
            <w:r w:rsidR="003F0F94" w:rsidRPr="00412F61">
              <w:rPr>
                <w:rFonts w:cs="Arial"/>
                <w:color w:val="0D0D0D" w:themeColor="text1" w:themeTint="F2"/>
                <w:spacing w:val="-4"/>
                <w:lang w:val="en-GB"/>
              </w:rPr>
              <w:t xml:space="preserve">While in the previous three years, the strong growth of the average earnings in branches with very low wage level represented the typical feature of the development, this year </w:t>
            </w:r>
            <w:r w:rsidR="00897D51" w:rsidRPr="00412F61">
              <w:rPr>
                <w:rFonts w:cs="Arial"/>
                <w:color w:val="0D0D0D" w:themeColor="text1" w:themeTint="F2"/>
                <w:spacing w:val="-4"/>
                <w:lang w:val="en-GB"/>
              </w:rPr>
              <w:t>the strong wage dynamics in branches with the predominant public sector presence showed of paramount importance.</w:t>
            </w:r>
          </w:p>
        </w:tc>
      </w:tr>
      <w:tr w:rsidR="00B4411A" w:rsidRPr="00412F61" w:rsidTr="004439A2">
        <w:trPr>
          <w:trHeight w:val="145"/>
        </w:trPr>
        <w:tc>
          <w:tcPr>
            <w:tcW w:w="1878" w:type="dxa"/>
            <w:shd w:val="clear" w:color="auto" w:fill="auto"/>
            <w:tcMar>
              <w:left w:w="0" w:type="dxa"/>
            </w:tcMar>
          </w:tcPr>
          <w:p w:rsidR="00B4411A" w:rsidRPr="00412F61" w:rsidRDefault="00C55027" w:rsidP="00B4411A">
            <w:pPr>
              <w:pStyle w:val="Marginlie"/>
              <w:rPr>
                <w:lang w:val="en-GB"/>
              </w:rPr>
            </w:pPr>
            <w:r w:rsidRPr="00412F61">
              <w:rPr>
                <w:lang w:val="en-GB"/>
              </w:rPr>
              <w:t>Wage growth accelerated in all branches with the predominan</w:t>
            </w:r>
            <w:r w:rsidR="00D84C89" w:rsidRPr="00412F61">
              <w:rPr>
                <w:lang w:val="en-GB"/>
              </w:rPr>
              <w:t>t p</w:t>
            </w:r>
            <w:r w:rsidRPr="00412F61">
              <w:rPr>
                <w:lang w:val="en-GB"/>
              </w:rPr>
              <w:t>ublic sector</w:t>
            </w:r>
            <w:r w:rsidR="00D84C89" w:rsidRPr="00412F61">
              <w:rPr>
                <w:lang w:val="en-GB"/>
              </w:rPr>
              <w:t>. In contrast it grew only slightly faster in manufacturing compared to last year.</w:t>
            </w: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p>
          <w:p w:rsidR="00B4411A" w:rsidRPr="00412F61" w:rsidRDefault="00B4411A" w:rsidP="00B4411A">
            <w:pPr>
              <w:pStyle w:val="Marginlie"/>
              <w:rPr>
                <w:lang w:val="en-GB"/>
              </w:rPr>
            </w:pPr>
            <w:r w:rsidRPr="00412F61">
              <w:rPr>
                <w:lang w:val="en-GB"/>
              </w:rPr>
              <w:t>Relativ</w:t>
            </w:r>
            <w:r w:rsidR="00D84C89" w:rsidRPr="00412F61">
              <w:rPr>
                <w:lang w:val="en-GB"/>
              </w:rPr>
              <w:t>e</w:t>
            </w:r>
            <w:r w:rsidR="004C5649" w:rsidRPr="00412F61">
              <w:rPr>
                <w:lang w:val="en-GB"/>
              </w:rPr>
              <w:t xml:space="preserve"> wage differences between branches or regions mildly shrank. </w:t>
            </w:r>
          </w:p>
        </w:tc>
        <w:tc>
          <w:tcPr>
            <w:tcW w:w="247" w:type="dxa"/>
            <w:shd w:val="clear" w:color="auto" w:fill="auto"/>
            <w:tcMar>
              <w:left w:w="0" w:type="dxa"/>
            </w:tcMar>
          </w:tcPr>
          <w:p w:rsidR="00B4411A" w:rsidRPr="00412F61" w:rsidRDefault="00B4411A" w:rsidP="00B4411A">
            <w:pPr>
              <w:pStyle w:val="Textpoznpodarou"/>
              <w:jc w:val="both"/>
              <w:rPr>
                <w:spacing w:val="-4"/>
                <w:lang w:val="en-GB"/>
              </w:rPr>
            </w:pPr>
          </w:p>
        </w:tc>
        <w:tc>
          <w:tcPr>
            <w:tcW w:w="7514" w:type="dxa"/>
            <w:shd w:val="clear" w:color="auto" w:fill="auto"/>
            <w:tcMar>
              <w:left w:w="0" w:type="dxa"/>
            </w:tcMar>
          </w:tcPr>
          <w:p w:rsidR="00B4411A" w:rsidRPr="00412F61" w:rsidRDefault="00FC1F20" w:rsidP="00B4411A">
            <w:pPr>
              <w:spacing w:after="0"/>
              <w:rPr>
                <w:color w:val="0D0D0D" w:themeColor="text1" w:themeTint="F2"/>
                <w:spacing w:val="-4"/>
                <w:lang w:val="en-GB"/>
              </w:rPr>
            </w:pPr>
            <w:r>
              <w:rPr>
                <w:rFonts w:cs="Arial"/>
                <w:color w:val="0D0D0D" w:themeColor="text1" w:themeTint="F2"/>
                <w:spacing w:val="-4"/>
                <w:lang w:val="en-GB"/>
              </w:rPr>
              <w:t>Arts, entertainment</w:t>
            </w:r>
            <w:r w:rsidR="00276494" w:rsidRPr="00412F61">
              <w:rPr>
                <w:rFonts w:cs="Arial"/>
                <w:color w:val="0D0D0D" w:themeColor="text1" w:themeTint="F2"/>
                <w:spacing w:val="-4"/>
                <w:lang w:val="en-GB"/>
              </w:rPr>
              <w:t xml:space="preserve"> and recreational activities </w:t>
            </w:r>
            <w:r w:rsidR="00DD0C3A" w:rsidRPr="00412F61">
              <w:rPr>
                <w:rFonts w:cs="Arial"/>
                <w:color w:val="0D0D0D" w:themeColor="text1" w:themeTint="F2"/>
                <w:spacing w:val="-4"/>
                <w:lang w:val="en-GB"/>
              </w:rPr>
              <w:t>(</w:t>
            </w:r>
            <w:r w:rsidR="00276494" w:rsidRPr="00412F61">
              <w:rPr>
                <w:rFonts w:cs="Arial"/>
                <w:color w:val="0D0D0D" w:themeColor="text1" w:themeTint="F2"/>
                <w:spacing w:val="-4"/>
                <w:lang w:val="en-GB"/>
              </w:rPr>
              <w:t xml:space="preserve">with the wage growth of 13.2% in H1) prove, that both </w:t>
            </w:r>
            <w:r>
              <w:rPr>
                <w:rFonts w:cs="Arial"/>
                <w:color w:val="0D0D0D" w:themeColor="text1" w:themeTint="F2"/>
                <w:spacing w:val="-4"/>
                <w:lang w:val="en-GB"/>
              </w:rPr>
              <w:t xml:space="preserve">above mentioned </w:t>
            </w:r>
            <w:r w:rsidR="00276494" w:rsidRPr="00412F61">
              <w:rPr>
                <w:rFonts w:cs="Arial"/>
                <w:color w:val="0D0D0D" w:themeColor="text1" w:themeTint="F2"/>
                <w:spacing w:val="-4"/>
                <w:lang w:val="en-GB"/>
              </w:rPr>
              <w:t xml:space="preserve">tendencies partially intersect. </w:t>
            </w:r>
            <w:r w:rsidR="0064369D" w:rsidRPr="00412F61">
              <w:rPr>
                <w:rFonts w:cs="Arial"/>
                <w:color w:val="0D0D0D" w:themeColor="text1" w:themeTint="F2"/>
                <w:spacing w:val="-4"/>
                <w:lang w:val="en-GB"/>
              </w:rPr>
              <w:t xml:space="preserve">Rate of growth of wages accelerated the most in education </w:t>
            </w:r>
            <w:r w:rsidR="00B4411A" w:rsidRPr="00412F61">
              <w:rPr>
                <w:rFonts w:cs="Arial"/>
                <w:color w:val="0D0D0D" w:themeColor="text1" w:themeTint="F2"/>
                <w:spacing w:val="-4"/>
                <w:lang w:val="en-GB"/>
              </w:rPr>
              <w:t>(12</w:t>
            </w:r>
            <w:r w:rsidR="0064369D" w:rsidRPr="00412F61">
              <w:rPr>
                <w:rFonts w:cs="Arial"/>
                <w:color w:val="0D0D0D" w:themeColor="text1" w:themeTint="F2"/>
                <w:spacing w:val="-4"/>
                <w:lang w:val="en-GB"/>
              </w:rPr>
              <w:t>.</w:t>
            </w:r>
            <w:r w:rsidR="00B4411A" w:rsidRPr="00412F61">
              <w:rPr>
                <w:rFonts w:cs="Arial"/>
                <w:color w:val="0D0D0D" w:themeColor="text1" w:themeTint="F2"/>
                <w:spacing w:val="-4"/>
                <w:lang w:val="en-GB"/>
              </w:rPr>
              <w:t>4</w:t>
            </w:r>
            <w:r w:rsidR="007B0E83" w:rsidRPr="00412F61">
              <w:rPr>
                <w:rFonts w:cs="Arial"/>
                <w:color w:val="0D0D0D" w:themeColor="text1" w:themeTint="F2"/>
                <w:spacing w:val="-4"/>
                <w:lang w:val="en-GB"/>
              </w:rPr>
              <w:t>%</w:t>
            </w:r>
            <w:r w:rsidR="00B4411A" w:rsidRPr="00412F61">
              <w:rPr>
                <w:rFonts w:cs="Arial"/>
                <w:color w:val="0D0D0D" w:themeColor="text1" w:themeTint="F2"/>
                <w:spacing w:val="-4"/>
                <w:lang w:val="en-GB"/>
              </w:rPr>
              <w:t xml:space="preserve">, </w:t>
            </w:r>
            <w:r w:rsidR="0064369D" w:rsidRPr="00412F61">
              <w:rPr>
                <w:rFonts w:cs="Arial"/>
                <w:color w:val="0D0D0D" w:themeColor="text1" w:themeTint="F2"/>
                <w:spacing w:val="-4"/>
                <w:lang w:val="en-GB"/>
              </w:rPr>
              <w:t>4.9% a year ago</w:t>
            </w:r>
            <w:r w:rsidR="00B4411A" w:rsidRPr="00412F61">
              <w:rPr>
                <w:rFonts w:cs="Arial"/>
                <w:color w:val="0D0D0D" w:themeColor="text1" w:themeTint="F2"/>
                <w:spacing w:val="-4"/>
                <w:lang w:val="en-GB"/>
              </w:rPr>
              <w:t xml:space="preserve">). </w:t>
            </w:r>
            <w:r w:rsidR="00571D1A" w:rsidRPr="00412F61">
              <w:rPr>
                <w:rFonts w:cs="Arial"/>
                <w:color w:val="0D0D0D" w:themeColor="text1" w:themeTint="F2"/>
                <w:spacing w:val="-4"/>
                <w:lang w:val="en-GB"/>
              </w:rPr>
              <w:t>Outside the public services other branches of services</w:t>
            </w:r>
            <w:r w:rsidR="0064369D" w:rsidRPr="00412F61">
              <w:rPr>
                <w:rFonts w:cs="Arial"/>
                <w:color w:val="0D0D0D" w:themeColor="text1" w:themeTint="F2"/>
                <w:spacing w:val="-4"/>
                <w:lang w:val="en-GB"/>
              </w:rPr>
              <w:t xml:space="preserve"> followed with a larger margin</w:t>
            </w:r>
            <w:r w:rsidR="00571D1A" w:rsidRPr="00412F61">
              <w:rPr>
                <w:rFonts w:cs="Arial"/>
                <w:color w:val="0D0D0D" w:themeColor="text1" w:themeTint="F2"/>
                <w:spacing w:val="-4"/>
                <w:lang w:val="en-GB"/>
              </w:rPr>
              <w:t xml:space="preserve">, where </w:t>
            </w:r>
            <w:r w:rsidR="0064369D" w:rsidRPr="00412F61">
              <w:rPr>
                <w:rFonts w:cs="Arial"/>
                <w:color w:val="0D0D0D" w:themeColor="text1" w:themeTint="F2"/>
                <w:spacing w:val="-4"/>
                <w:lang w:val="en-GB"/>
              </w:rPr>
              <w:t>the relatively weaker growth of average earnings (typically between 6 and 8%) was usually accompanied by a swift growth of employment</w:t>
            </w:r>
            <w:r w:rsidR="00B4411A" w:rsidRPr="00412F61">
              <w:rPr>
                <w:rFonts w:cs="Arial"/>
                <w:color w:val="0D0D0D" w:themeColor="text1" w:themeTint="F2"/>
                <w:spacing w:val="-4"/>
                <w:lang w:val="en-GB"/>
              </w:rPr>
              <w:t xml:space="preserve">. </w:t>
            </w:r>
            <w:r w:rsidR="00571D1A" w:rsidRPr="00412F61">
              <w:rPr>
                <w:rFonts w:cs="Arial"/>
                <w:color w:val="0D0D0D" w:themeColor="text1" w:themeTint="F2"/>
                <w:spacing w:val="-4"/>
                <w:lang w:val="en-GB"/>
              </w:rPr>
              <w:t>Growth of average wages fastened only mildly in manufacturing (to 7.8% from last year´s 6.5%), the volume of paid out wages lagged behind the pace in the whole economy for the first time in the last six years</w:t>
            </w:r>
            <w:r w:rsidR="00B4411A" w:rsidRPr="00412F61">
              <w:rPr>
                <w:rFonts w:cs="Arial"/>
                <w:color w:val="0D0D0D" w:themeColor="text1" w:themeTint="F2"/>
                <w:spacing w:val="-4"/>
                <w:lang w:val="en-GB"/>
              </w:rPr>
              <w:t xml:space="preserve">. </w:t>
            </w:r>
            <w:r w:rsidR="0084610D" w:rsidRPr="00412F61">
              <w:rPr>
                <w:rFonts w:cs="Arial"/>
                <w:color w:val="0D0D0D" w:themeColor="text1" w:themeTint="F2"/>
                <w:spacing w:val="-4"/>
                <w:lang w:val="en-GB"/>
              </w:rPr>
              <w:t xml:space="preserve">On the contrary in the smallest branch division – mining and quarrying – it increased for the first time in five years (thanks to the high rate of growth of the average wages </w:t>
            </w:r>
            <w:r w:rsidR="00B4411A" w:rsidRPr="00412F61">
              <w:rPr>
                <w:rFonts w:cs="Arial"/>
                <w:color w:val="0D0D0D" w:themeColor="text1" w:themeTint="F2"/>
                <w:spacing w:val="-4"/>
                <w:lang w:val="en-GB"/>
              </w:rPr>
              <w:t>9</w:t>
            </w:r>
            <w:r w:rsidR="0084610D" w:rsidRPr="00412F61">
              <w:rPr>
                <w:rFonts w:cs="Arial"/>
                <w:color w:val="0D0D0D" w:themeColor="text1" w:themeTint="F2"/>
                <w:spacing w:val="-4"/>
                <w:lang w:val="en-GB"/>
              </w:rPr>
              <w:t>.</w:t>
            </w:r>
            <w:r w:rsidR="00B4411A" w:rsidRPr="00412F61">
              <w:rPr>
                <w:rFonts w:cs="Arial"/>
                <w:color w:val="0D0D0D" w:themeColor="text1" w:themeTint="F2"/>
                <w:spacing w:val="-4"/>
                <w:lang w:val="en-GB"/>
              </w:rPr>
              <w:t>4</w:t>
            </w:r>
            <w:r w:rsidR="007B0E83" w:rsidRPr="00412F61">
              <w:rPr>
                <w:rFonts w:cs="Arial"/>
                <w:color w:val="0D0D0D" w:themeColor="text1" w:themeTint="F2"/>
                <w:spacing w:val="-4"/>
                <w:lang w:val="en-GB"/>
              </w:rPr>
              <w:t>%</w:t>
            </w:r>
            <w:r w:rsidR="00B4411A" w:rsidRPr="00412F61">
              <w:rPr>
                <w:rFonts w:cs="Arial"/>
                <w:color w:val="0D0D0D" w:themeColor="text1" w:themeTint="F2"/>
                <w:spacing w:val="-4"/>
                <w:lang w:val="en-GB"/>
              </w:rPr>
              <w:t xml:space="preserve">). </w:t>
            </w:r>
            <w:r w:rsidR="004C5649" w:rsidRPr="00412F61">
              <w:rPr>
                <w:rFonts w:cs="Arial"/>
                <w:color w:val="0D0D0D" w:themeColor="text1" w:themeTint="F2"/>
                <w:spacing w:val="-4"/>
                <w:lang w:val="en-GB"/>
              </w:rPr>
              <w:t xml:space="preserve">Even though the growth of earnings in financial and insurance activities lagged behind the pace in the whole economy already the fourth </w:t>
            </w:r>
            <w:r w:rsidR="00767450" w:rsidRPr="00412F61">
              <w:rPr>
                <w:rFonts w:cs="Arial"/>
                <w:color w:val="0D0D0D" w:themeColor="text1" w:themeTint="F2"/>
                <w:spacing w:val="-4"/>
                <w:lang w:val="en-GB"/>
              </w:rPr>
              <w:t xml:space="preserve">year in a row, still it represented the branch with the highest level of average gross monthly wages </w:t>
            </w:r>
            <w:r w:rsidR="00B4411A" w:rsidRPr="00412F61">
              <w:rPr>
                <w:rFonts w:cs="Arial"/>
                <w:color w:val="0D0D0D" w:themeColor="text1" w:themeTint="F2"/>
                <w:spacing w:val="-4"/>
                <w:lang w:val="en-GB"/>
              </w:rPr>
              <w:t>(57 t</w:t>
            </w:r>
            <w:r w:rsidR="00767450" w:rsidRPr="00412F61">
              <w:rPr>
                <w:rFonts w:cs="Arial"/>
                <w:color w:val="0D0D0D" w:themeColor="text1" w:themeTint="F2"/>
                <w:spacing w:val="-4"/>
                <w:lang w:val="en-GB"/>
              </w:rPr>
              <w:t>housand</w:t>
            </w:r>
            <w:r w:rsidR="00B4411A" w:rsidRPr="00412F61">
              <w:rPr>
                <w:rFonts w:cs="Arial"/>
                <w:color w:val="0D0D0D" w:themeColor="text1" w:themeTint="F2"/>
                <w:spacing w:val="-4"/>
                <w:lang w:val="en-GB"/>
              </w:rPr>
              <w:t>, 3</w:t>
            </w:r>
            <w:r w:rsidR="00767450" w:rsidRPr="00412F61">
              <w:rPr>
                <w:rFonts w:cs="Arial"/>
                <w:color w:val="0D0D0D" w:themeColor="text1" w:themeTint="F2"/>
                <w:spacing w:val="-4"/>
                <w:lang w:val="en-GB"/>
              </w:rPr>
              <w:t>.</w:t>
            </w:r>
            <w:r w:rsidR="00B4411A" w:rsidRPr="00412F61">
              <w:rPr>
                <w:rFonts w:cs="Arial"/>
                <w:color w:val="0D0D0D" w:themeColor="text1" w:themeTint="F2"/>
                <w:spacing w:val="-4"/>
                <w:lang w:val="en-GB"/>
              </w:rPr>
              <w:t>1</w:t>
            </w:r>
            <w:r w:rsidR="00767450" w:rsidRPr="00412F61">
              <w:rPr>
                <w:rFonts w:cs="Arial"/>
                <w:color w:val="0D0D0D" w:themeColor="text1" w:themeTint="F2"/>
                <w:spacing w:val="-4"/>
                <w:lang w:val="en-GB"/>
              </w:rPr>
              <w:t>times more than in accommodation, food service and restaurants</w:t>
            </w:r>
            <w:r w:rsidR="00B4411A" w:rsidRPr="00412F61">
              <w:rPr>
                <w:rFonts w:cs="Arial"/>
                <w:color w:val="0D0D0D" w:themeColor="text1" w:themeTint="F2"/>
                <w:spacing w:val="-4"/>
                <w:lang w:val="en-GB"/>
              </w:rPr>
              <w:t xml:space="preserve">). </w:t>
            </w:r>
            <w:r w:rsidR="00767450" w:rsidRPr="00412F61">
              <w:rPr>
                <w:rFonts w:cs="Arial"/>
                <w:color w:val="0D0D0D" w:themeColor="text1" w:themeTint="F2"/>
                <w:spacing w:val="-4"/>
                <w:lang w:val="en-GB"/>
              </w:rPr>
              <w:t xml:space="preserve">Wage differentiation between branches or regions mildly shrank. Median wage increased by 9.6% year-on-year in Q2 </w:t>
            </w:r>
            <w:r w:rsidR="00B4411A" w:rsidRPr="00412F61">
              <w:rPr>
                <w:rFonts w:cs="Arial"/>
                <w:color w:val="0D0D0D" w:themeColor="text1" w:themeTint="F2"/>
                <w:spacing w:val="-4"/>
                <w:lang w:val="en-GB"/>
              </w:rPr>
              <w:t>(</w:t>
            </w:r>
            <w:r w:rsidR="00767450" w:rsidRPr="00412F61">
              <w:rPr>
                <w:rFonts w:cs="Arial"/>
                <w:color w:val="0D0D0D" w:themeColor="text1" w:themeTint="F2"/>
                <w:spacing w:val="-4"/>
                <w:lang w:val="en-GB"/>
              </w:rPr>
              <w:t xml:space="preserve">for females even by </w:t>
            </w:r>
            <w:r w:rsidR="00B4411A" w:rsidRPr="00412F61">
              <w:rPr>
                <w:rFonts w:cs="Arial"/>
                <w:color w:val="0D0D0D" w:themeColor="text1" w:themeTint="F2"/>
                <w:spacing w:val="-4"/>
                <w:lang w:val="en-GB"/>
              </w:rPr>
              <w:t>10</w:t>
            </w:r>
            <w:r w:rsidR="00767450" w:rsidRPr="00412F61">
              <w:rPr>
                <w:rFonts w:cs="Arial"/>
                <w:color w:val="0D0D0D" w:themeColor="text1" w:themeTint="F2"/>
                <w:spacing w:val="-4"/>
                <w:lang w:val="en-GB"/>
              </w:rPr>
              <w:t>.</w:t>
            </w:r>
            <w:r w:rsidR="00B4411A" w:rsidRPr="00412F61">
              <w:rPr>
                <w:rFonts w:cs="Arial"/>
                <w:color w:val="0D0D0D" w:themeColor="text1" w:themeTint="F2"/>
                <w:spacing w:val="-4"/>
                <w:lang w:val="en-GB"/>
              </w:rPr>
              <w:t>1</w:t>
            </w:r>
            <w:r w:rsidR="007B0E83" w:rsidRPr="00412F61">
              <w:rPr>
                <w:rFonts w:cs="Arial"/>
                <w:color w:val="0D0D0D" w:themeColor="text1" w:themeTint="F2"/>
                <w:spacing w:val="-4"/>
                <w:lang w:val="en-GB"/>
              </w:rPr>
              <w:t>%</w:t>
            </w:r>
            <w:r w:rsidR="00B4411A" w:rsidRPr="00412F61">
              <w:rPr>
                <w:rFonts w:cs="Arial"/>
                <w:color w:val="0D0D0D" w:themeColor="text1" w:themeTint="F2"/>
                <w:spacing w:val="-4"/>
                <w:lang w:val="en-GB"/>
              </w:rPr>
              <w:t xml:space="preserve">). </w:t>
            </w:r>
            <w:r w:rsidR="00D010D1" w:rsidRPr="00412F61">
              <w:rPr>
                <w:rFonts w:cs="Arial"/>
                <w:color w:val="0D0D0D" w:themeColor="text1" w:themeTint="F2"/>
                <w:spacing w:val="-4"/>
                <w:lang w:val="en-GB"/>
              </w:rPr>
              <w:t xml:space="preserve">Lead of the growth of the median wage before the pace of the average wage prevails with small </w:t>
            </w:r>
            <w:r w:rsidR="004B7DB8" w:rsidRPr="00412F61">
              <w:rPr>
                <w:rFonts w:cs="Arial"/>
                <w:color w:val="0D0D0D" w:themeColor="text1" w:themeTint="F2"/>
                <w:spacing w:val="-4"/>
                <w:lang w:val="en-GB"/>
              </w:rPr>
              <w:t>fluctuations</w:t>
            </w:r>
            <w:r w:rsidR="00D010D1" w:rsidRPr="00412F61">
              <w:rPr>
                <w:rFonts w:cs="Arial"/>
                <w:color w:val="0D0D0D" w:themeColor="text1" w:themeTint="F2"/>
                <w:spacing w:val="-4"/>
                <w:lang w:val="en-GB"/>
              </w:rPr>
              <w:t xml:space="preserve"> already three years. </w:t>
            </w:r>
            <w:r w:rsidR="00A36969" w:rsidRPr="00412F61">
              <w:rPr>
                <w:rFonts w:cs="Arial"/>
                <w:color w:val="0D0D0D" w:themeColor="text1" w:themeTint="F2"/>
                <w:spacing w:val="-4"/>
                <w:lang w:val="en-GB"/>
              </w:rPr>
              <w:t xml:space="preserve">As a positive </w:t>
            </w:r>
            <w:r w:rsidR="002136EC" w:rsidRPr="00412F61">
              <w:rPr>
                <w:rFonts w:cs="Arial"/>
                <w:color w:val="0D0D0D" w:themeColor="text1" w:themeTint="F2"/>
                <w:spacing w:val="-4"/>
                <w:lang w:val="en-GB"/>
              </w:rPr>
              <w:t xml:space="preserve">fact, the purchasing power of wages strongly increased. It was by 6.4% higher year-on-year for the whole half-year and achieved the best result in the last 15 years. </w:t>
            </w:r>
            <w:r w:rsidR="00B4411A" w:rsidRPr="00412F61">
              <w:rPr>
                <w:color w:val="0D0D0D" w:themeColor="text1" w:themeTint="F2"/>
                <w:spacing w:val="-4"/>
                <w:lang w:val="en-GB"/>
              </w:rPr>
              <w:t xml:space="preserve"> </w:t>
            </w:r>
          </w:p>
        </w:tc>
      </w:tr>
    </w:tbl>
    <w:p w:rsidR="00935BD4" w:rsidRPr="00412F61" w:rsidRDefault="00935BD4" w:rsidP="00935BD4">
      <w:pPr>
        <w:rPr>
          <w:sz w:val="2"/>
          <w:szCs w:val="2"/>
          <w:lang w:val="en-GB"/>
        </w:rPr>
      </w:pPr>
    </w:p>
    <w:sectPr w:rsidR="00935BD4" w:rsidRPr="00412F61" w:rsidSect="0022456B">
      <w:headerReference w:type="even" r:id="rId12"/>
      <w:headerReference w:type="default" r:id="rId13"/>
      <w:footerReference w:type="even" r:id="rId14"/>
      <w:footerReference w:type="default" r:id="rId15"/>
      <w:pgSz w:w="11906" w:h="16838" w:code="9"/>
      <w:pgMar w:top="1134" w:right="1134" w:bottom="1418" w:left="1134" w:header="680" w:footer="737"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2C" w:rsidRDefault="00FC2C2C" w:rsidP="00E71A58">
      <w:r>
        <w:separator/>
      </w:r>
    </w:p>
  </w:endnote>
  <w:endnote w:type="continuationSeparator" w:id="0">
    <w:p w:rsidR="00FC2C2C" w:rsidRDefault="00FC2C2C"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932443" w:rsidRDefault="00BC49F5"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00A46830" w:rsidRPr="00932443">
      <w:rPr>
        <w:szCs w:val="16"/>
      </w:rPr>
      <w:fldChar w:fldCharType="begin"/>
    </w:r>
    <w:r w:rsidRPr="00932443">
      <w:rPr>
        <w:szCs w:val="16"/>
      </w:rPr>
      <w:instrText>PAGE   \* MERGEFORMAT</w:instrText>
    </w:r>
    <w:r w:rsidR="00A46830" w:rsidRPr="00932443">
      <w:rPr>
        <w:szCs w:val="16"/>
      </w:rPr>
      <w:fldChar w:fldCharType="separate"/>
    </w:r>
    <w:r w:rsidR="0022456B">
      <w:rPr>
        <w:szCs w:val="16"/>
      </w:rPr>
      <w:t>26</w:t>
    </w:r>
    <w:r w:rsidR="00A46830" w:rsidRPr="00932443">
      <w:rPr>
        <w:szCs w:val="16"/>
      </w:rPr>
      <w:fldChar w:fldCharType="end"/>
    </w:r>
    <w:r w:rsidRPr="00932443">
      <w:rPr>
        <w:szCs w:val="16"/>
      </w:rPr>
      <w:tab/>
    </w:r>
    <w:r>
      <w:t>1</w:t>
    </w:r>
    <w:r w:rsidRPr="009F6558">
      <w:rPr>
        <w:vertAlign w:val="superscript"/>
      </w:rPr>
      <w:t>st</w:t>
    </w:r>
    <w:r>
      <w:t xml:space="preserve"> Half of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932443" w:rsidRDefault="00D208E7" w:rsidP="00A418BC">
    <w:pPr>
      <w:pStyle w:val="Zpat"/>
      <w:rPr>
        <w:szCs w:val="16"/>
      </w:rPr>
    </w:pPr>
    <w:r w:rsidRPr="00D208E7">
      <w:rPr>
        <w:szCs w:val="16"/>
        <w:lang w:eastAsia="cs-CZ"/>
      </w:rPr>
      <w:drawing>
        <wp:anchor distT="0" distB="0" distL="114300" distR="114300" simplePos="0" relativeHeight="251660288" behindDoc="0" locked="0" layoutInCell="1" allowOverlap="1">
          <wp:simplePos x="0" y="0"/>
          <wp:positionH relativeFrom="column">
            <wp:posOffset>118262</wp:posOffset>
          </wp:positionH>
          <wp:positionV relativeFrom="paragraph">
            <wp:posOffset>-70841</wp:posOffset>
          </wp:positionV>
          <wp:extent cx="690525" cy="204826"/>
          <wp:effectExtent l="19050" t="0" r="0" b="0"/>
          <wp:wrapNone/>
          <wp:docPr id="4"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525" cy="204826"/>
                  </a:xfrm>
                  <a:prstGeom prst="rect">
                    <a:avLst/>
                  </a:prstGeom>
                  <a:noFill/>
                  <a:ln w="9525">
                    <a:noFill/>
                    <a:miter lim="800000"/>
                    <a:headEnd/>
                    <a:tailEnd/>
                  </a:ln>
                </pic:spPr>
              </pic:pic>
            </a:graphicData>
          </a:graphic>
        </wp:anchor>
      </w:drawing>
    </w:r>
    <w:r w:rsidR="00BC49F5" w:rsidRPr="00932443">
      <w:rPr>
        <w:szCs w:val="16"/>
      </w:rPr>
      <w:tab/>
    </w:r>
    <w:r w:rsidR="00BC49F5">
      <w:t>1</w:t>
    </w:r>
    <w:r w:rsidR="00BC49F5" w:rsidRPr="006C6E76">
      <w:rPr>
        <w:vertAlign w:val="superscript"/>
      </w:rPr>
      <w:t>st</w:t>
    </w:r>
    <w:r w:rsidR="00BC49F5">
      <w:t xml:space="preserve"> Half of 2018</w:t>
    </w:r>
    <w:r w:rsidR="00BC49F5" w:rsidRPr="00932443">
      <w:rPr>
        <w:szCs w:val="16"/>
      </w:rPr>
      <w:tab/>
    </w:r>
    <w:r w:rsidR="00A46830" w:rsidRPr="00932443">
      <w:rPr>
        <w:rStyle w:val="ZpatChar"/>
        <w:szCs w:val="16"/>
      </w:rPr>
      <w:fldChar w:fldCharType="begin"/>
    </w:r>
    <w:r w:rsidR="00BC49F5" w:rsidRPr="00932443">
      <w:rPr>
        <w:rStyle w:val="ZpatChar"/>
        <w:szCs w:val="16"/>
      </w:rPr>
      <w:instrText>PAGE   \* MERGEFORMAT</w:instrText>
    </w:r>
    <w:r w:rsidR="00A46830" w:rsidRPr="00932443">
      <w:rPr>
        <w:rStyle w:val="ZpatChar"/>
        <w:szCs w:val="16"/>
      </w:rPr>
      <w:fldChar w:fldCharType="separate"/>
    </w:r>
    <w:r w:rsidR="0022456B">
      <w:rPr>
        <w:rStyle w:val="ZpatChar"/>
        <w:szCs w:val="16"/>
      </w:rPr>
      <w:t>25</w:t>
    </w:r>
    <w:r w:rsidR="00A46830"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2C" w:rsidRDefault="00FC2C2C" w:rsidP="00E71A58">
      <w:r>
        <w:separator/>
      </w:r>
    </w:p>
  </w:footnote>
  <w:footnote w:type="continuationSeparator" w:id="0">
    <w:p w:rsidR="00FC2C2C" w:rsidRDefault="00FC2C2C" w:rsidP="00E71A58">
      <w:r>
        <w:continuationSeparator/>
      </w:r>
    </w:p>
  </w:footnote>
  <w:footnote w:id="1">
    <w:p w:rsidR="00BC49F5" w:rsidRPr="00350FB3" w:rsidRDefault="00BC49F5" w:rsidP="004863CE">
      <w:pPr>
        <w:pStyle w:val="Textpoznpodarou"/>
        <w:jc w:val="both"/>
        <w:rPr>
          <w:color w:val="0D0D0D" w:themeColor="text1" w:themeTint="F2"/>
          <w:spacing w:val="-4"/>
          <w:sz w:val="16"/>
          <w:szCs w:val="16"/>
          <w:lang w:val="en-GB"/>
        </w:rPr>
      </w:pPr>
      <w:r w:rsidRPr="00350FB3">
        <w:rPr>
          <w:rStyle w:val="Znakapoznpodarou"/>
          <w:color w:val="0D0D0D" w:themeColor="text1" w:themeTint="F2"/>
          <w:spacing w:val="-4"/>
          <w:sz w:val="16"/>
          <w:szCs w:val="16"/>
        </w:rPr>
        <w:footnoteRef/>
      </w:r>
      <w:r w:rsidRPr="00350FB3">
        <w:rPr>
          <w:color w:val="0D0D0D" w:themeColor="text1" w:themeTint="F2"/>
          <w:spacing w:val="-4"/>
          <w:sz w:val="16"/>
          <w:szCs w:val="16"/>
        </w:rPr>
        <w:t xml:space="preserve"> </w:t>
      </w:r>
      <w:r w:rsidRPr="00350FB3">
        <w:rPr>
          <w:color w:val="0D0D0D" w:themeColor="text1" w:themeTint="F2"/>
          <w:spacing w:val="-4"/>
          <w:sz w:val="16"/>
          <w:szCs w:val="16"/>
          <w:lang w:val="en-GB"/>
        </w:rPr>
        <w:t>Unless stated otherwise, data on employment are given in the national accounts conception adjusted for seasonal effects in this chapter.</w:t>
      </w:r>
    </w:p>
  </w:footnote>
  <w:footnote w:id="2">
    <w:p w:rsidR="00BC49F5" w:rsidRPr="00350FB3" w:rsidRDefault="00BC49F5" w:rsidP="004863CE">
      <w:pPr>
        <w:pStyle w:val="Textpoznpodarou"/>
        <w:jc w:val="both"/>
        <w:rPr>
          <w:color w:val="0D0D0D" w:themeColor="text1" w:themeTint="F2"/>
          <w:sz w:val="16"/>
          <w:szCs w:val="16"/>
          <w:lang w:val="en-GB"/>
        </w:rPr>
      </w:pPr>
      <w:r w:rsidRPr="00350FB3">
        <w:rPr>
          <w:rStyle w:val="Znakapoznpodarou"/>
          <w:color w:val="0D0D0D" w:themeColor="text1" w:themeTint="F2"/>
          <w:sz w:val="16"/>
          <w:szCs w:val="16"/>
          <w:lang w:val="en-GB"/>
        </w:rPr>
        <w:footnoteRef/>
      </w:r>
      <w:r w:rsidRPr="00350FB3">
        <w:rPr>
          <w:color w:val="0D0D0D" w:themeColor="text1" w:themeTint="F2"/>
          <w:sz w:val="16"/>
          <w:szCs w:val="16"/>
          <w:lang w:val="en-GB"/>
        </w:rPr>
        <w:t xml:space="preserve"> </w:t>
      </w:r>
      <w:proofErr w:type="gramStart"/>
      <w:r w:rsidRPr="00350FB3">
        <w:rPr>
          <w:color w:val="0D0D0D" w:themeColor="text1" w:themeTint="F2"/>
          <w:sz w:val="16"/>
          <w:szCs w:val="16"/>
          <w:lang w:val="en-GB"/>
        </w:rPr>
        <w:t>The number of employed working part time increased by 20 thousand year-on-year in Q2 2018.</w:t>
      </w:r>
      <w:proofErr w:type="gramEnd"/>
      <w:r w:rsidRPr="00350FB3">
        <w:rPr>
          <w:color w:val="0D0D0D" w:themeColor="text1" w:themeTint="F2"/>
          <w:sz w:val="16"/>
          <w:szCs w:val="16"/>
          <w:lang w:val="en-GB"/>
        </w:rPr>
        <w:t xml:space="preserve"> The persons aged 65 and more and also persons in the group aged 25-29 comprised the overwhelming majority of those who contributed. Still the CR belonged among one quarter of states with the lowest proportion of persons in the productive age working part time within the EU.</w:t>
      </w:r>
    </w:p>
  </w:footnote>
  <w:footnote w:id="3">
    <w:p w:rsidR="00BC49F5" w:rsidRPr="00350FB3" w:rsidRDefault="00BC49F5" w:rsidP="009A1A93">
      <w:pPr>
        <w:pStyle w:val="Textpoznpodarou"/>
        <w:jc w:val="both"/>
        <w:rPr>
          <w:color w:val="0D0D0D" w:themeColor="text1" w:themeTint="F2"/>
          <w:sz w:val="16"/>
          <w:szCs w:val="16"/>
          <w:lang w:val="en-GB"/>
        </w:rPr>
      </w:pPr>
      <w:r w:rsidRPr="00350FB3">
        <w:rPr>
          <w:rStyle w:val="Znakapoznpodarou"/>
          <w:color w:val="0D0D0D" w:themeColor="text1" w:themeTint="F2"/>
          <w:sz w:val="16"/>
          <w:szCs w:val="16"/>
        </w:rPr>
        <w:footnoteRef/>
      </w:r>
      <w:r w:rsidRPr="00350FB3">
        <w:rPr>
          <w:color w:val="0D0D0D" w:themeColor="text1" w:themeTint="F2"/>
          <w:sz w:val="16"/>
          <w:szCs w:val="16"/>
        </w:rPr>
        <w:t xml:space="preserve"> </w:t>
      </w:r>
      <w:r w:rsidRPr="00350FB3">
        <w:rPr>
          <w:color w:val="0D0D0D" w:themeColor="text1" w:themeTint="F2"/>
          <w:sz w:val="16"/>
          <w:szCs w:val="16"/>
          <w:lang w:val="en-GB"/>
        </w:rPr>
        <w:t>According to the newest so for not seasonally adjusted data from the Labour Force Sample Survey (LFSS) related to t</w:t>
      </w:r>
      <w:r w:rsidR="00350FB3">
        <w:rPr>
          <w:color w:val="0D0D0D" w:themeColor="text1" w:themeTint="F2"/>
          <w:sz w:val="16"/>
          <w:szCs w:val="16"/>
          <w:lang w:val="en-GB"/>
        </w:rPr>
        <w:t>he flows on the labour market, 3</w:t>
      </w:r>
      <w:r w:rsidRPr="00350FB3">
        <w:rPr>
          <w:color w:val="0D0D0D" w:themeColor="text1" w:themeTint="F2"/>
          <w:sz w:val="16"/>
          <w:szCs w:val="16"/>
          <w:lang w:val="en-GB"/>
        </w:rPr>
        <w:t xml:space="preserve">1 thousand persons transferred from unemployed into employed between Q4 2017 and Q1 2018 (nearly 40 thousand the year ago). On the contrary, 44 thousand persons headed from the economically inactive group to </w:t>
      </w:r>
      <w:proofErr w:type="gramStart"/>
      <w:r w:rsidRPr="00350FB3">
        <w:rPr>
          <w:color w:val="0D0D0D" w:themeColor="text1" w:themeTint="F2"/>
          <w:sz w:val="16"/>
          <w:szCs w:val="16"/>
          <w:lang w:val="en-GB"/>
        </w:rPr>
        <w:t>employed</w:t>
      </w:r>
      <w:proofErr w:type="gramEnd"/>
      <w:r w:rsidRPr="00350FB3">
        <w:rPr>
          <w:color w:val="0D0D0D" w:themeColor="text1" w:themeTint="F2"/>
          <w:sz w:val="16"/>
          <w:szCs w:val="16"/>
          <w:lang w:val="en-GB"/>
        </w:rPr>
        <w:t xml:space="preserve"> (similarly to the beginning of year 2017).</w:t>
      </w:r>
    </w:p>
  </w:footnote>
  <w:footnote w:id="4">
    <w:p w:rsidR="00BC49F5" w:rsidRPr="009A1A93" w:rsidRDefault="00BC49F5" w:rsidP="009A1A93">
      <w:pPr>
        <w:pStyle w:val="Textpoznpodarou"/>
        <w:jc w:val="both"/>
        <w:rPr>
          <w:color w:val="0D0D0D" w:themeColor="text1" w:themeTint="F2"/>
          <w:sz w:val="16"/>
          <w:szCs w:val="16"/>
          <w:lang w:val="en-GB"/>
        </w:rPr>
      </w:pPr>
      <w:r w:rsidRPr="00350FB3">
        <w:rPr>
          <w:rStyle w:val="Znakapoznpodarou"/>
          <w:color w:val="0D0D0D" w:themeColor="text1" w:themeTint="F2"/>
          <w:sz w:val="16"/>
          <w:szCs w:val="16"/>
          <w:lang w:val="en-GB"/>
        </w:rPr>
        <w:footnoteRef/>
      </w:r>
      <w:r w:rsidRPr="00350FB3">
        <w:rPr>
          <w:color w:val="0D0D0D" w:themeColor="text1" w:themeTint="F2"/>
          <w:sz w:val="16"/>
          <w:szCs w:val="16"/>
          <w:lang w:val="en-GB"/>
        </w:rPr>
        <w:t xml:space="preserve">Based on the preliminary data of the demographic statistics, the number of immigrated into the CR increased by more than one third in </w:t>
      </w:r>
      <w:r w:rsidR="00350FB3">
        <w:rPr>
          <w:color w:val="0D0D0D" w:themeColor="text1" w:themeTint="F2"/>
          <w:sz w:val="16"/>
          <w:szCs w:val="16"/>
          <w:lang w:val="en-GB"/>
        </w:rPr>
        <w:t>H1 2018. Positive balance of international migration</w:t>
      </w:r>
      <w:r w:rsidRPr="00350FB3">
        <w:rPr>
          <w:color w:val="0D0D0D" w:themeColor="text1" w:themeTint="F2"/>
          <w:sz w:val="16"/>
          <w:szCs w:val="16"/>
          <w:lang w:val="en-GB"/>
        </w:rPr>
        <w:t xml:space="preserve"> (17.7 thousand) was highest in the last nine years in this period of the year.</w:t>
      </w:r>
    </w:p>
  </w:footnote>
  <w:footnote w:id="5">
    <w:p w:rsidR="00BC49F5" w:rsidRPr="009A1A93" w:rsidRDefault="00BC49F5" w:rsidP="009A1A93">
      <w:pPr>
        <w:pStyle w:val="Textpoznpodarou"/>
        <w:jc w:val="both"/>
        <w:rPr>
          <w:spacing w:val="-3"/>
          <w:sz w:val="16"/>
          <w:szCs w:val="16"/>
          <w:lang w:val="en-GB"/>
        </w:rPr>
      </w:pPr>
      <w:r w:rsidRPr="009A1A93">
        <w:rPr>
          <w:rStyle w:val="Znakapoznpodarou"/>
          <w:spacing w:val="-3"/>
          <w:sz w:val="16"/>
          <w:szCs w:val="16"/>
          <w:lang w:val="en-GB"/>
        </w:rPr>
        <w:footnoteRef/>
      </w:r>
      <w:r w:rsidRPr="009A1A93">
        <w:rPr>
          <w:spacing w:val="-3"/>
          <w:sz w:val="16"/>
          <w:szCs w:val="16"/>
          <w:lang w:val="en-GB"/>
        </w:rPr>
        <w:t xml:space="preserve"> </w:t>
      </w:r>
      <w:r>
        <w:rPr>
          <w:spacing w:val="-3"/>
          <w:sz w:val="16"/>
          <w:szCs w:val="16"/>
          <w:lang w:val="en-GB"/>
        </w:rPr>
        <w:t>Based on the LFSS data, the employment rate for males was 81.8% (by 1.1 p.p. higher year-on-year), for females 67.6% (by 0.7 p.p.) in Q2 2018.</w:t>
      </w:r>
    </w:p>
  </w:footnote>
  <w:footnote w:id="6">
    <w:p w:rsidR="00BC49F5" w:rsidRPr="00F0056A" w:rsidRDefault="00BC49F5" w:rsidP="00F0056A">
      <w:pPr>
        <w:pStyle w:val="Textpoznpodarou"/>
        <w:jc w:val="both"/>
        <w:rPr>
          <w:spacing w:val="-2"/>
          <w:sz w:val="16"/>
          <w:szCs w:val="16"/>
          <w:lang w:val="en-GB"/>
        </w:rPr>
      </w:pPr>
      <w:r w:rsidRPr="00912E7F">
        <w:rPr>
          <w:rStyle w:val="Znakapoznpodarou"/>
          <w:spacing w:val="-2"/>
          <w:sz w:val="16"/>
          <w:szCs w:val="16"/>
        </w:rPr>
        <w:footnoteRef/>
      </w:r>
      <w:r w:rsidRPr="00912E7F">
        <w:rPr>
          <w:spacing w:val="-2"/>
          <w:sz w:val="16"/>
          <w:szCs w:val="16"/>
        </w:rPr>
        <w:t xml:space="preserve"> </w:t>
      </w:r>
      <w:r w:rsidRPr="00F0056A">
        <w:rPr>
          <w:spacing w:val="-2"/>
          <w:sz w:val="16"/>
          <w:szCs w:val="16"/>
          <w:lang w:val="en-GB"/>
        </w:rPr>
        <w:t>LFSS data suggest that the number of entrepreneurs with employees as well as the numerically larger group of entrepreneurs without employees stagnated this year.</w:t>
      </w:r>
    </w:p>
  </w:footnote>
  <w:footnote w:id="7">
    <w:p w:rsidR="00BC49F5" w:rsidRPr="00E7152C" w:rsidRDefault="00BC49F5" w:rsidP="00B0517E">
      <w:pPr>
        <w:pStyle w:val="Textpoznpodarou"/>
        <w:jc w:val="both"/>
        <w:rPr>
          <w:sz w:val="16"/>
          <w:szCs w:val="16"/>
          <w:lang w:val="en-GB"/>
        </w:rPr>
      </w:pPr>
      <w:r w:rsidRPr="00005745">
        <w:rPr>
          <w:rStyle w:val="Znakapoznpodarou"/>
          <w:sz w:val="16"/>
          <w:szCs w:val="16"/>
        </w:rPr>
        <w:footnoteRef/>
      </w:r>
      <w:r>
        <w:rPr>
          <w:sz w:val="16"/>
          <w:szCs w:val="16"/>
        </w:rPr>
        <w:t xml:space="preserve"> </w:t>
      </w:r>
      <w:r w:rsidRPr="00E7152C">
        <w:rPr>
          <w:sz w:val="16"/>
          <w:szCs w:val="16"/>
          <w:lang w:val="en-GB"/>
        </w:rPr>
        <w:t xml:space="preserve">Nearly 30% of all long-term unemployed were without a job for more than four years in Q1 2018. </w:t>
      </w:r>
    </w:p>
  </w:footnote>
  <w:footnote w:id="8">
    <w:p w:rsidR="00BC49F5" w:rsidRPr="00E7152C" w:rsidRDefault="00BC49F5" w:rsidP="00B0517E">
      <w:pPr>
        <w:pStyle w:val="Textpoznpodarou"/>
        <w:jc w:val="both"/>
        <w:rPr>
          <w:spacing w:val="-4"/>
          <w:sz w:val="16"/>
          <w:szCs w:val="16"/>
          <w:lang w:val="en-GB"/>
        </w:rPr>
      </w:pPr>
      <w:r w:rsidRPr="00E7152C">
        <w:rPr>
          <w:rStyle w:val="Znakapoznpodarou"/>
          <w:spacing w:val="-4"/>
          <w:sz w:val="16"/>
          <w:szCs w:val="16"/>
          <w:lang w:val="en-GB"/>
        </w:rPr>
        <w:footnoteRef/>
      </w:r>
      <w:r w:rsidRPr="00E7152C">
        <w:rPr>
          <w:spacing w:val="-4"/>
          <w:sz w:val="16"/>
          <w:szCs w:val="16"/>
          <w:lang w:val="en-GB"/>
        </w:rPr>
        <w:t xml:space="preserve"> </w:t>
      </w:r>
      <w:r>
        <w:rPr>
          <w:spacing w:val="-4"/>
          <w:sz w:val="16"/>
          <w:szCs w:val="16"/>
          <w:lang w:val="en-GB"/>
        </w:rPr>
        <w:t>81% of the total increase of vacancies between this year´s and last year´s June (118 thousand) belonged to positions, where the maximum primary education was adequate</w:t>
      </w:r>
      <w:r w:rsidRPr="00E7152C">
        <w:rPr>
          <w:spacing w:val="-4"/>
          <w:sz w:val="16"/>
          <w:szCs w:val="16"/>
          <w:lang w:val="en-GB"/>
        </w:rPr>
        <w:t xml:space="preserve">, </w:t>
      </w:r>
      <w:r>
        <w:rPr>
          <w:spacing w:val="-4"/>
          <w:sz w:val="16"/>
          <w:szCs w:val="16"/>
          <w:lang w:val="en-GB"/>
        </w:rPr>
        <w:t xml:space="preserve">on the contrary only </w:t>
      </w:r>
      <w:r w:rsidRPr="00E7152C">
        <w:rPr>
          <w:spacing w:val="-4"/>
          <w:sz w:val="16"/>
          <w:szCs w:val="16"/>
          <w:lang w:val="en-GB"/>
        </w:rPr>
        <w:t>2</w:t>
      </w:r>
      <w:r>
        <w:rPr>
          <w:spacing w:val="-4"/>
          <w:sz w:val="16"/>
          <w:szCs w:val="16"/>
          <w:lang w:val="en-GB"/>
        </w:rPr>
        <w:t>.</w:t>
      </w:r>
      <w:r w:rsidRPr="00E7152C">
        <w:rPr>
          <w:spacing w:val="-4"/>
          <w:sz w:val="16"/>
          <w:szCs w:val="16"/>
          <w:lang w:val="en-GB"/>
        </w:rPr>
        <w:t>5</w:t>
      </w:r>
      <w:r>
        <w:rPr>
          <w:spacing w:val="-4"/>
          <w:sz w:val="16"/>
          <w:szCs w:val="16"/>
          <w:lang w:val="en-GB"/>
        </w:rPr>
        <w:t>%</w:t>
      </w:r>
      <w:r w:rsidRPr="00E7152C">
        <w:rPr>
          <w:spacing w:val="-4"/>
          <w:sz w:val="16"/>
          <w:szCs w:val="16"/>
          <w:lang w:val="en-GB"/>
        </w:rPr>
        <w:t xml:space="preserve"> </w:t>
      </w:r>
      <w:r>
        <w:rPr>
          <w:spacing w:val="-4"/>
          <w:sz w:val="16"/>
          <w:szCs w:val="16"/>
          <w:lang w:val="en-GB"/>
        </w:rPr>
        <w:t xml:space="preserve">positions required tertiary education. Total supply of vacancies expanded the most in regions with the below average unemployment – only Prague, Central Bohemia region, Plzen and Pardubice regions created </w:t>
      </w:r>
      <w:r w:rsidR="00704B56">
        <w:rPr>
          <w:spacing w:val="-4"/>
          <w:sz w:val="16"/>
          <w:szCs w:val="16"/>
          <w:lang w:val="en-GB"/>
        </w:rPr>
        <w:t xml:space="preserve">in sum </w:t>
      </w:r>
      <w:r>
        <w:rPr>
          <w:spacing w:val="-4"/>
          <w:sz w:val="16"/>
          <w:szCs w:val="16"/>
          <w:lang w:val="en-GB"/>
        </w:rPr>
        <w:t xml:space="preserve">two thirds of the vacancy increase in the whole republic. </w:t>
      </w:r>
      <w:r w:rsidRPr="00E7152C">
        <w:rPr>
          <w:spacing w:val="-4"/>
          <w:sz w:val="16"/>
          <w:szCs w:val="16"/>
          <w:lang w:val="en-GB"/>
        </w:rPr>
        <w:t xml:space="preserve"> </w:t>
      </w:r>
    </w:p>
  </w:footnote>
  <w:footnote w:id="9">
    <w:p w:rsidR="00BC49F5" w:rsidRPr="00E7152C" w:rsidRDefault="00BC49F5" w:rsidP="00B0517E">
      <w:pPr>
        <w:pStyle w:val="Textpoznpodarou"/>
        <w:jc w:val="both"/>
        <w:rPr>
          <w:sz w:val="16"/>
          <w:szCs w:val="16"/>
          <w:lang w:val="en-GB"/>
        </w:rPr>
      </w:pPr>
      <w:r w:rsidRPr="00E7152C">
        <w:rPr>
          <w:rStyle w:val="Znakapoznpodarou"/>
          <w:sz w:val="16"/>
          <w:szCs w:val="16"/>
          <w:lang w:val="en-GB"/>
        </w:rPr>
        <w:footnoteRef/>
      </w:r>
      <w:r w:rsidRPr="00E7152C">
        <w:rPr>
          <w:sz w:val="16"/>
          <w:szCs w:val="16"/>
          <w:lang w:val="en-GB"/>
        </w:rPr>
        <w:t xml:space="preserve"> </w:t>
      </w:r>
      <w:r>
        <w:rPr>
          <w:sz w:val="16"/>
          <w:szCs w:val="16"/>
          <w:lang w:val="en-GB"/>
        </w:rPr>
        <w:t>LO registered more than 2.5 applicant per 1 vac</w:t>
      </w:r>
      <w:r w:rsidR="00152503">
        <w:rPr>
          <w:sz w:val="16"/>
          <w:szCs w:val="16"/>
          <w:lang w:val="en-GB"/>
        </w:rPr>
        <w:t>ancy already in only four district</w:t>
      </w:r>
      <w:r>
        <w:rPr>
          <w:sz w:val="16"/>
          <w:szCs w:val="16"/>
          <w:lang w:val="en-GB"/>
        </w:rPr>
        <w:t xml:space="preserve">s at the end of this year´s June - </w:t>
      </w:r>
      <w:r w:rsidRPr="00E7152C">
        <w:rPr>
          <w:sz w:val="16"/>
          <w:szCs w:val="16"/>
          <w:lang w:val="en-GB"/>
        </w:rPr>
        <w:t>Karvin</w:t>
      </w:r>
      <w:r>
        <w:rPr>
          <w:sz w:val="16"/>
          <w:szCs w:val="16"/>
          <w:lang w:val="en-GB"/>
        </w:rPr>
        <w:t>a</w:t>
      </w:r>
      <w:r w:rsidRPr="00E7152C">
        <w:rPr>
          <w:sz w:val="16"/>
          <w:szCs w:val="16"/>
          <w:lang w:val="en-GB"/>
        </w:rPr>
        <w:t xml:space="preserve"> (5</w:t>
      </w:r>
      <w:r>
        <w:rPr>
          <w:sz w:val="16"/>
          <w:szCs w:val="16"/>
          <w:lang w:val="en-GB"/>
        </w:rPr>
        <w:t>.</w:t>
      </w:r>
      <w:r w:rsidRPr="00E7152C">
        <w:rPr>
          <w:sz w:val="16"/>
          <w:szCs w:val="16"/>
          <w:lang w:val="en-GB"/>
        </w:rPr>
        <w:t>8), Most (4</w:t>
      </w:r>
      <w:r>
        <w:rPr>
          <w:sz w:val="16"/>
          <w:szCs w:val="16"/>
          <w:lang w:val="en-GB"/>
        </w:rPr>
        <w:t>.</w:t>
      </w:r>
      <w:r w:rsidRPr="00E7152C">
        <w:rPr>
          <w:sz w:val="16"/>
          <w:szCs w:val="16"/>
          <w:lang w:val="en-GB"/>
        </w:rPr>
        <w:t xml:space="preserve">1), </w:t>
      </w:r>
      <w:proofErr w:type="spellStart"/>
      <w:r w:rsidRPr="00E7152C">
        <w:rPr>
          <w:sz w:val="16"/>
          <w:szCs w:val="16"/>
          <w:lang w:val="en-GB"/>
        </w:rPr>
        <w:t>Úst</w:t>
      </w:r>
      <w:r>
        <w:rPr>
          <w:sz w:val="16"/>
          <w:szCs w:val="16"/>
          <w:lang w:val="en-GB"/>
        </w:rPr>
        <w:t>i</w:t>
      </w:r>
      <w:proofErr w:type="spellEnd"/>
      <w:r w:rsidRPr="00E7152C">
        <w:rPr>
          <w:sz w:val="16"/>
          <w:szCs w:val="16"/>
          <w:lang w:val="en-GB"/>
        </w:rPr>
        <w:t xml:space="preserve"> </w:t>
      </w:r>
      <w:proofErr w:type="spellStart"/>
      <w:r w:rsidRPr="00E7152C">
        <w:rPr>
          <w:sz w:val="16"/>
          <w:szCs w:val="16"/>
          <w:lang w:val="en-GB"/>
        </w:rPr>
        <w:t>nad</w:t>
      </w:r>
      <w:proofErr w:type="spellEnd"/>
      <w:r w:rsidRPr="00E7152C">
        <w:rPr>
          <w:sz w:val="16"/>
          <w:szCs w:val="16"/>
          <w:lang w:val="en-GB"/>
        </w:rPr>
        <w:t xml:space="preserve"> Labem (4</w:t>
      </w:r>
      <w:r>
        <w:rPr>
          <w:sz w:val="16"/>
          <w:szCs w:val="16"/>
          <w:lang w:val="en-GB"/>
        </w:rPr>
        <w:t>.</w:t>
      </w:r>
      <w:r w:rsidRPr="00E7152C">
        <w:rPr>
          <w:sz w:val="16"/>
          <w:szCs w:val="16"/>
          <w:lang w:val="en-GB"/>
        </w:rPr>
        <w:t>0) a</w:t>
      </w:r>
      <w:r>
        <w:rPr>
          <w:sz w:val="16"/>
          <w:szCs w:val="16"/>
          <w:lang w:val="en-GB"/>
        </w:rPr>
        <w:t>nd</w:t>
      </w:r>
      <w:r w:rsidRPr="00E7152C">
        <w:rPr>
          <w:sz w:val="16"/>
          <w:szCs w:val="16"/>
          <w:lang w:val="en-GB"/>
        </w:rPr>
        <w:t xml:space="preserve"> </w:t>
      </w:r>
      <w:proofErr w:type="spellStart"/>
      <w:r w:rsidRPr="00E7152C">
        <w:rPr>
          <w:sz w:val="16"/>
          <w:szCs w:val="16"/>
          <w:lang w:val="en-GB"/>
        </w:rPr>
        <w:t>Jesen</w:t>
      </w:r>
      <w:r>
        <w:rPr>
          <w:sz w:val="16"/>
          <w:szCs w:val="16"/>
          <w:lang w:val="en-GB"/>
        </w:rPr>
        <w:t>i</w:t>
      </w:r>
      <w:r w:rsidRPr="00E7152C">
        <w:rPr>
          <w:sz w:val="16"/>
          <w:szCs w:val="16"/>
          <w:lang w:val="en-GB"/>
        </w:rPr>
        <w:t>k</w:t>
      </w:r>
      <w:proofErr w:type="spellEnd"/>
      <w:r w:rsidRPr="00E7152C">
        <w:rPr>
          <w:sz w:val="16"/>
          <w:szCs w:val="16"/>
          <w:lang w:val="en-GB"/>
        </w:rPr>
        <w:t xml:space="preserve"> (3</w:t>
      </w:r>
      <w:r>
        <w:rPr>
          <w:sz w:val="16"/>
          <w:szCs w:val="16"/>
          <w:lang w:val="en-GB"/>
        </w:rPr>
        <w:t>.</w:t>
      </w:r>
      <w:r w:rsidRPr="00E7152C">
        <w:rPr>
          <w:sz w:val="16"/>
          <w:szCs w:val="16"/>
          <w:lang w:val="en-GB"/>
        </w:rPr>
        <w:t xml:space="preserve">4). </w:t>
      </w:r>
    </w:p>
  </w:footnote>
  <w:footnote w:id="10">
    <w:p w:rsidR="00BC49F5" w:rsidRPr="00E7152C" w:rsidRDefault="00BC49F5" w:rsidP="00E7152C">
      <w:pPr>
        <w:pStyle w:val="Textpoznpodarou"/>
        <w:jc w:val="both"/>
        <w:rPr>
          <w:spacing w:val="-4"/>
          <w:sz w:val="16"/>
          <w:szCs w:val="16"/>
          <w:lang w:val="en-GB"/>
        </w:rPr>
      </w:pPr>
      <w:r w:rsidRPr="00E7152C">
        <w:rPr>
          <w:rStyle w:val="Znakapoznpodarou"/>
          <w:spacing w:val="-4"/>
          <w:sz w:val="16"/>
          <w:szCs w:val="16"/>
          <w:lang w:val="en-GB"/>
        </w:rPr>
        <w:footnoteRef/>
      </w:r>
      <w:r w:rsidRPr="00E7152C">
        <w:rPr>
          <w:spacing w:val="-4"/>
          <w:sz w:val="16"/>
          <w:szCs w:val="16"/>
          <w:lang w:val="en-GB"/>
        </w:rPr>
        <w:t xml:space="preserve"> </w:t>
      </w:r>
      <w:r>
        <w:rPr>
          <w:rFonts w:cs="Arial"/>
          <w:color w:val="000000"/>
          <w:spacing w:val="-4"/>
          <w:sz w:val="16"/>
          <w:szCs w:val="16"/>
          <w:lang w:val="en-GB"/>
        </w:rPr>
        <w:t>It is the proportion of vacancies on the total number of positions (both</w:t>
      </w:r>
      <w:r w:rsidR="008F053B">
        <w:rPr>
          <w:rFonts w:cs="Arial"/>
          <w:color w:val="000000"/>
          <w:spacing w:val="-4"/>
          <w:sz w:val="16"/>
          <w:szCs w:val="16"/>
          <w:lang w:val="en-GB"/>
        </w:rPr>
        <w:t xml:space="preserve"> vacant and occupied).  Branch A</w:t>
      </w:r>
      <w:r>
        <w:rPr>
          <w:rFonts w:cs="Arial"/>
          <w:color w:val="000000"/>
          <w:spacing w:val="-4"/>
          <w:sz w:val="16"/>
          <w:szCs w:val="16"/>
          <w:lang w:val="en-GB"/>
        </w:rPr>
        <w:t xml:space="preserve">griculture, forestry and fishing is not included. </w:t>
      </w:r>
    </w:p>
  </w:footnote>
  <w:footnote w:id="11">
    <w:p w:rsidR="00BC49F5" w:rsidRPr="00E7152C" w:rsidRDefault="00BC49F5" w:rsidP="00E7152C">
      <w:pPr>
        <w:pStyle w:val="Textpoznpodarou"/>
        <w:jc w:val="both"/>
        <w:rPr>
          <w:sz w:val="16"/>
          <w:szCs w:val="16"/>
          <w:lang w:val="en-GB"/>
        </w:rPr>
      </w:pPr>
      <w:r w:rsidRPr="00E7152C">
        <w:rPr>
          <w:rStyle w:val="Znakapoznpodarou"/>
          <w:sz w:val="16"/>
          <w:szCs w:val="16"/>
          <w:lang w:val="en-GB"/>
        </w:rPr>
        <w:footnoteRef/>
      </w:r>
      <w:r w:rsidRPr="00E7152C">
        <w:rPr>
          <w:sz w:val="16"/>
          <w:szCs w:val="16"/>
          <w:lang w:val="en-GB"/>
        </w:rPr>
        <w:t xml:space="preserve"> </w:t>
      </w:r>
      <w:r>
        <w:rPr>
          <w:sz w:val="16"/>
          <w:szCs w:val="16"/>
          <w:lang w:val="en-GB"/>
        </w:rPr>
        <w:t xml:space="preserve">Comparison does not include Denmark, France, Italy and Malta, where the data are not available in the long term. </w:t>
      </w:r>
    </w:p>
  </w:footnote>
  <w:footnote w:id="12">
    <w:p w:rsidR="00BC49F5" w:rsidRPr="00E06CDC" w:rsidRDefault="00BC49F5" w:rsidP="00E06CDC">
      <w:pPr>
        <w:pStyle w:val="Textpoznpodarou"/>
        <w:jc w:val="both"/>
        <w:rPr>
          <w:sz w:val="16"/>
          <w:szCs w:val="16"/>
          <w:lang w:val="en-GB"/>
        </w:rPr>
      </w:pPr>
      <w:r w:rsidRPr="00435D59">
        <w:rPr>
          <w:rStyle w:val="Znakapoznpodarou"/>
          <w:sz w:val="16"/>
          <w:szCs w:val="16"/>
        </w:rPr>
        <w:footnoteRef/>
      </w:r>
      <w:r w:rsidRPr="00435D59">
        <w:rPr>
          <w:sz w:val="16"/>
          <w:szCs w:val="16"/>
        </w:rPr>
        <w:t xml:space="preserve"> </w:t>
      </w:r>
      <w:r w:rsidRPr="00E06CDC">
        <w:rPr>
          <w:sz w:val="16"/>
          <w:szCs w:val="16"/>
          <w:lang w:val="en-GB"/>
        </w:rPr>
        <w:t>Volume of paid out wages (also reflecting the development of the number of employees) was by 10.8% higher this ye</w:t>
      </w:r>
      <w:r>
        <w:rPr>
          <w:sz w:val="16"/>
          <w:szCs w:val="16"/>
          <w:lang w:val="en-GB"/>
        </w:rPr>
        <w:t>a</w:t>
      </w:r>
      <w:r w:rsidRPr="00E06CDC">
        <w:rPr>
          <w:sz w:val="16"/>
          <w:szCs w:val="16"/>
          <w:lang w:val="en-GB"/>
        </w:rPr>
        <w:t xml:space="preserve">r compared to H1 2017. </w:t>
      </w:r>
      <w:r>
        <w:rPr>
          <w:sz w:val="16"/>
          <w:szCs w:val="16"/>
          <w:lang w:val="en-GB"/>
        </w:rPr>
        <w:t xml:space="preserve">Within first half of the year, it was the highest nominal growth in the whole comparable time series (starting year 2000). </w:t>
      </w:r>
      <w:r w:rsidRPr="00E06CDC">
        <w:rPr>
          <w:sz w:val="16"/>
          <w:szCs w:val="16"/>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C156C9" w:rsidRDefault="00BC49F5" w:rsidP="00937AE2">
    <w:pPr>
      <w:pStyle w:val="Zhlav"/>
      <w:rPr>
        <w:lang w:val="en-GB"/>
      </w:rPr>
    </w:pPr>
    <w:r w:rsidRPr="00C156C9">
      <w:rPr>
        <w:lang w:val="en-GB"/>
      </w:rPr>
      <w:t xml:space="preserve">The Czech Economy Development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C156C9" w:rsidRDefault="00BC49F5" w:rsidP="00937AE2">
    <w:pPr>
      <w:pStyle w:val="Zhlav"/>
      <w:rPr>
        <w:lang w:val="en-GB"/>
      </w:rPr>
    </w:pPr>
    <w:r>
      <w:rPr>
        <w:lang w:val="en-GB"/>
      </w:rPr>
      <w:t xml:space="preserve">The </w:t>
    </w:r>
    <w:r w:rsidRPr="00C156C9">
      <w:rPr>
        <w:lang w:val="en-GB"/>
      </w:rPr>
      <w:t xml:space="preserve">Czech Economy Development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10242">
      <o:colormru v:ext="edit" colors="#ecf4dd,#eaecee,#fcec0a,#fcecdb,#f1daf5"/>
    </o:shapedefaults>
  </w:hdrShapeDefaults>
  <w:footnotePr>
    <w:footnote w:id="-1"/>
    <w:footnote w:id="0"/>
  </w:footnotePr>
  <w:endnotePr>
    <w:endnote w:id="-1"/>
    <w:endnote w:id="0"/>
  </w:endnotePr>
  <w:compat/>
  <w:rsids>
    <w:rsidRoot w:val="00C62828"/>
    <w:rsid w:val="000005AF"/>
    <w:rsid w:val="000012A5"/>
    <w:rsid w:val="0000209D"/>
    <w:rsid w:val="0000240D"/>
    <w:rsid w:val="000025CD"/>
    <w:rsid w:val="00002B56"/>
    <w:rsid w:val="00003A69"/>
    <w:rsid w:val="00003B28"/>
    <w:rsid w:val="00003B7A"/>
    <w:rsid w:val="00003F5C"/>
    <w:rsid w:val="00004D5A"/>
    <w:rsid w:val="000056D5"/>
    <w:rsid w:val="000056DC"/>
    <w:rsid w:val="00006190"/>
    <w:rsid w:val="000063D5"/>
    <w:rsid w:val="00006ABD"/>
    <w:rsid w:val="0000767A"/>
    <w:rsid w:val="00010002"/>
    <w:rsid w:val="00010256"/>
    <w:rsid w:val="000106D4"/>
    <w:rsid w:val="00010702"/>
    <w:rsid w:val="0001128E"/>
    <w:rsid w:val="00011912"/>
    <w:rsid w:val="00013A7A"/>
    <w:rsid w:val="00015EEC"/>
    <w:rsid w:val="00016420"/>
    <w:rsid w:val="00017B01"/>
    <w:rsid w:val="00020F22"/>
    <w:rsid w:val="0002195D"/>
    <w:rsid w:val="000225D8"/>
    <w:rsid w:val="000233D1"/>
    <w:rsid w:val="000234D6"/>
    <w:rsid w:val="00023D29"/>
    <w:rsid w:val="00025903"/>
    <w:rsid w:val="00026389"/>
    <w:rsid w:val="00031AE0"/>
    <w:rsid w:val="000322EF"/>
    <w:rsid w:val="00033B83"/>
    <w:rsid w:val="00033C1D"/>
    <w:rsid w:val="00033FCD"/>
    <w:rsid w:val="00034DF7"/>
    <w:rsid w:val="00034E68"/>
    <w:rsid w:val="00035021"/>
    <w:rsid w:val="00035106"/>
    <w:rsid w:val="00036195"/>
    <w:rsid w:val="000376C0"/>
    <w:rsid w:val="000403A7"/>
    <w:rsid w:val="00040632"/>
    <w:rsid w:val="00041CEC"/>
    <w:rsid w:val="000438DF"/>
    <w:rsid w:val="00044183"/>
    <w:rsid w:val="00046535"/>
    <w:rsid w:val="0004694F"/>
    <w:rsid w:val="00047AC4"/>
    <w:rsid w:val="00047D54"/>
    <w:rsid w:val="00047E74"/>
    <w:rsid w:val="00050B7F"/>
    <w:rsid w:val="00051ADB"/>
    <w:rsid w:val="00051E0D"/>
    <w:rsid w:val="000522E4"/>
    <w:rsid w:val="00052679"/>
    <w:rsid w:val="00053713"/>
    <w:rsid w:val="0005434E"/>
    <w:rsid w:val="00055CB6"/>
    <w:rsid w:val="000572DD"/>
    <w:rsid w:val="00057450"/>
    <w:rsid w:val="00057B1E"/>
    <w:rsid w:val="000610E1"/>
    <w:rsid w:val="00062EC5"/>
    <w:rsid w:val="00062F22"/>
    <w:rsid w:val="00063975"/>
    <w:rsid w:val="00063F01"/>
    <w:rsid w:val="000645FC"/>
    <w:rsid w:val="0006533F"/>
    <w:rsid w:val="00065348"/>
    <w:rsid w:val="00065A75"/>
    <w:rsid w:val="000666C1"/>
    <w:rsid w:val="00070A87"/>
    <w:rsid w:val="000712B3"/>
    <w:rsid w:val="00072CDE"/>
    <w:rsid w:val="00072F86"/>
    <w:rsid w:val="0007474E"/>
    <w:rsid w:val="00076193"/>
    <w:rsid w:val="00077059"/>
    <w:rsid w:val="00077FF0"/>
    <w:rsid w:val="00081A55"/>
    <w:rsid w:val="00081AEA"/>
    <w:rsid w:val="0008263E"/>
    <w:rsid w:val="00082C19"/>
    <w:rsid w:val="000837CD"/>
    <w:rsid w:val="00084BFF"/>
    <w:rsid w:val="00085395"/>
    <w:rsid w:val="00086AC1"/>
    <w:rsid w:val="000871C2"/>
    <w:rsid w:val="00087634"/>
    <w:rsid w:val="00087F2B"/>
    <w:rsid w:val="0009045D"/>
    <w:rsid w:val="00090694"/>
    <w:rsid w:val="000913B1"/>
    <w:rsid w:val="00094A84"/>
    <w:rsid w:val="00095025"/>
    <w:rsid w:val="00095135"/>
    <w:rsid w:val="00095A00"/>
    <w:rsid w:val="00097191"/>
    <w:rsid w:val="000974D1"/>
    <w:rsid w:val="0009799E"/>
    <w:rsid w:val="000A0D16"/>
    <w:rsid w:val="000A1183"/>
    <w:rsid w:val="000A256D"/>
    <w:rsid w:val="000A32FC"/>
    <w:rsid w:val="000A3A2C"/>
    <w:rsid w:val="000A41A2"/>
    <w:rsid w:val="000A4A54"/>
    <w:rsid w:val="000A6691"/>
    <w:rsid w:val="000A7377"/>
    <w:rsid w:val="000B03CC"/>
    <w:rsid w:val="000B4212"/>
    <w:rsid w:val="000B5381"/>
    <w:rsid w:val="000B59DD"/>
    <w:rsid w:val="000C0CF7"/>
    <w:rsid w:val="000C0EA8"/>
    <w:rsid w:val="000C1039"/>
    <w:rsid w:val="000C13A2"/>
    <w:rsid w:val="000C1EA3"/>
    <w:rsid w:val="000C3408"/>
    <w:rsid w:val="000C35AB"/>
    <w:rsid w:val="000C6AFD"/>
    <w:rsid w:val="000C6FC6"/>
    <w:rsid w:val="000D0B63"/>
    <w:rsid w:val="000D2E6A"/>
    <w:rsid w:val="000D3058"/>
    <w:rsid w:val="000D310A"/>
    <w:rsid w:val="000D5637"/>
    <w:rsid w:val="000D60CA"/>
    <w:rsid w:val="000D6898"/>
    <w:rsid w:val="000E0E96"/>
    <w:rsid w:val="000E23C1"/>
    <w:rsid w:val="000E2C7D"/>
    <w:rsid w:val="000E2D5A"/>
    <w:rsid w:val="000E4AC5"/>
    <w:rsid w:val="000E52F0"/>
    <w:rsid w:val="000E5DD6"/>
    <w:rsid w:val="000E6253"/>
    <w:rsid w:val="000E6875"/>
    <w:rsid w:val="000E6E8D"/>
    <w:rsid w:val="000E6FBD"/>
    <w:rsid w:val="000F1639"/>
    <w:rsid w:val="000F1863"/>
    <w:rsid w:val="000F3190"/>
    <w:rsid w:val="000F54F2"/>
    <w:rsid w:val="000F7775"/>
    <w:rsid w:val="00100F5C"/>
    <w:rsid w:val="00101CDA"/>
    <w:rsid w:val="00102037"/>
    <w:rsid w:val="00103907"/>
    <w:rsid w:val="00103DCB"/>
    <w:rsid w:val="00104442"/>
    <w:rsid w:val="00104C4C"/>
    <w:rsid w:val="001057C2"/>
    <w:rsid w:val="00110725"/>
    <w:rsid w:val="00110940"/>
    <w:rsid w:val="00110BF9"/>
    <w:rsid w:val="00110C91"/>
    <w:rsid w:val="00112CAB"/>
    <w:rsid w:val="00114ED6"/>
    <w:rsid w:val="00117623"/>
    <w:rsid w:val="00117E7B"/>
    <w:rsid w:val="00120D64"/>
    <w:rsid w:val="0012192F"/>
    <w:rsid w:val="00122994"/>
    <w:rsid w:val="00124B46"/>
    <w:rsid w:val="00125D69"/>
    <w:rsid w:val="00126FA0"/>
    <w:rsid w:val="0012799C"/>
    <w:rsid w:val="00130ADC"/>
    <w:rsid w:val="00130D9F"/>
    <w:rsid w:val="00131F7A"/>
    <w:rsid w:val="00132145"/>
    <w:rsid w:val="0013284D"/>
    <w:rsid w:val="00132C4D"/>
    <w:rsid w:val="00132D2D"/>
    <w:rsid w:val="00133FC1"/>
    <w:rsid w:val="001405FA"/>
    <w:rsid w:val="0014170D"/>
    <w:rsid w:val="0014203B"/>
    <w:rsid w:val="001425C3"/>
    <w:rsid w:val="0014262D"/>
    <w:rsid w:val="00143E9A"/>
    <w:rsid w:val="001459BC"/>
    <w:rsid w:val="00152503"/>
    <w:rsid w:val="001540E7"/>
    <w:rsid w:val="00154B61"/>
    <w:rsid w:val="001554C2"/>
    <w:rsid w:val="001571C0"/>
    <w:rsid w:val="0015753D"/>
    <w:rsid w:val="001612F4"/>
    <w:rsid w:val="00161553"/>
    <w:rsid w:val="0016256B"/>
    <w:rsid w:val="00163793"/>
    <w:rsid w:val="00167193"/>
    <w:rsid w:val="00167CB9"/>
    <w:rsid w:val="001705AD"/>
    <w:rsid w:val="001706D6"/>
    <w:rsid w:val="001714F2"/>
    <w:rsid w:val="00171FEA"/>
    <w:rsid w:val="00172BE8"/>
    <w:rsid w:val="00173E0F"/>
    <w:rsid w:val="001744C7"/>
    <w:rsid w:val="00175B9F"/>
    <w:rsid w:val="001762F4"/>
    <w:rsid w:val="00177026"/>
    <w:rsid w:val="00181BBC"/>
    <w:rsid w:val="0018385F"/>
    <w:rsid w:val="00184017"/>
    <w:rsid w:val="00184B08"/>
    <w:rsid w:val="00185010"/>
    <w:rsid w:val="00185484"/>
    <w:rsid w:val="00187026"/>
    <w:rsid w:val="0019036A"/>
    <w:rsid w:val="00192E51"/>
    <w:rsid w:val="00192F05"/>
    <w:rsid w:val="001944B7"/>
    <w:rsid w:val="00194729"/>
    <w:rsid w:val="00195234"/>
    <w:rsid w:val="00195DB8"/>
    <w:rsid w:val="00197A70"/>
    <w:rsid w:val="00197C04"/>
    <w:rsid w:val="00197C0F"/>
    <w:rsid w:val="001A0487"/>
    <w:rsid w:val="001A3555"/>
    <w:rsid w:val="001A4191"/>
    <w:rsid w:val="001A552F"/>
    <w:rsid w:val="001A67E6"/>
    <w:rsid w:val="001A6F88"/>
    <w:rsid w:val="001B1FF7"/>
    <w:rsid w:val="001B2CA9"/>
    <w:rsid w:val="001B3110"/>
    <w:rsid w:val="001B35DD"/>
    <w:rsid w:val="001B3E38"/>
    <w:rsid w:val="001B3EF1"/>
    <w:rsid w:val="001B4729"/>
    <w:rsid w:val="001B4B0D"/>
    <w:rsid w:val="001B4F0E"/>
    <w:rsid w:val="001B6310"/>
    <w:rsid w:val="001B6C09"/>
    <w:rsid w:val="001C05CD"/>
    <w:rsid w:val="001C0F17"/>
    <w:rsid w:val="001C199C"/>
    <w:rsid w:val="001C1B66"/>
    <w:rsid w:val="001C31A2"/>
    <w:rsid w:val="001C4905"/>
    <w:rsid w:val="001C6A0F"/>
    <w:rsid w:val="001D22C2"/>
    <w:rsid w:val="001D2AFF"/>
    <w:rsid w:val="001D3DDA"/>
    <w:rsid w:val="001D54C1"/>
    <w:rsid w:val="001D556E"/>
    <w:rsid w:val="001D5DF2"/>
    <w:rsid w:val="001D68B2"/>
    <w:rsid w:val="001D6BF1"/>
    <w:rsid w:val="001D7F60"/>
    <w:rsid w:val="001E0ECB"/>
    <w:rsid w:val="001E1A0E"/>
    <w:rsid w:val="001E2D8C"/>
    <w:rsid w:val="001E4A87"/>
    <w:rsid w:val="001E504C"/>
    <w:rsid w:val="001E5A17"/>
    <w:rsid w:val="001F0598"/>
    <w:rsid w:val="001F1769"/>
    <w:rsid w:val="001F1F0D"/>
    <w:rsid w:val="001F336D"/>
    <w:rsid w:val="001F4597"/>
    <w:rsid w:val="001F5777"/>
    <w:rsid w:val="001F6C7C"/>
    <w:rsid w:val="00200085"/>
    <w:rsid w:val="00203332"/>
    <w:rsid w:val="00203CD5"/>
    <w:rsid w:val="00203D8F"/>
    <w:rsid w:val="00203DA4"/>
    <w:rsid w:val="00204EBA"/>
    <w:rsid w:val="00205C64"/>
    <w:rsid w:val="002071D5"/>
    <w:rsid w:val="00207942"/>
    <w:rsid w:val="00207C95"/>
    <w:rsid w:val="002118B9"/>
    <w:rsid w:val="00211D49"/>
    <w:rsid w:val="00212741"/>
    <w:rsid w:val="002136EC"/>
    <w:rsid w:val="002142C0"/>
    <w:rsid w:val="00214B75"/>
    <w:rsid w:val="00214FC7"/>
    <w:rsid w:val="00217C5B"/>
    <w:rsid w:val="00220A43"/>
    <w:rsid w:val="0022139E"/>
    <w:rsid w:val="00222017"/>
    <w:rsid w:val="00222729"/>
    <w:rsid w:val="00223344"/>
    <w:rsid w:val="0022441D"/>
    <w:rsid w:val="0022456B"/>
    <w:rsid w:val="0022468F"/>
    <w:rsid w:val="002252E0"/>
    <w:rsid w:val="002255F6"/>
    <w:rsid w:val="00227605"/>
    <w:rsid w:val="00227850"/>
    <w:rsid w:val="00227A53"/>
    <w:rsid w:val="00227ADF"/>
    <w:rsid w:val="00227E2E"/>
    <w:rsid w:val="00230C6E"/>
    <w:rsid w:val="002318F2"/>
    <w:rsid w:val="00232C2B"/>
    <w:rsid w:val="00232C53"/>
    <w:rsid w:val="00233603"/>
    <w:rsid w:val="00235033"/>
    <w:rsid w:val="00235456"/>
    <w:rsid w:val="00235B5D"/>
    <w:rsid w:val="00236443"/>
    <w:rsid w:val="002372E9"/>
    <w:rsid w:val="00240F80"/>
    <w:rsid w:val="00241B06"/>
    <w:rsid w:val="00242166"/>
    <w:rsid w:val="002436BA"/>
    <w:rsid w:val="00244A15"/>
    <w:rsid w:val="002452D9"/>
    <w:rsid w:val="002458A9"/>
    <w:rsid w:val="00247319"/>
    <w:rsid w:val="0024799E"/>
    <w:rsid w:val="00247E60"/>
    <w:rsid w:val="00250C08"/>
    <w:rsid w:val="002517C1"/>
    <w:rsid w:val="00252AB9"/>
    <w:rsid w:val="00252E4A"/>
    <w:rsid w:val="002530A2"/>
    <w:rsid w:val="00253C0F"/>
    <w:rsid w:val="002558C1"/>
    <w:rsid w:val="00256207"/>
    <w:rsid w:val="002603E1"/>
    <w:rsid w:val="00260A6C"/>
    <w:rsid w:val="0026291D"/>
    <w:rsid w:val="00264889"/>
    <w:rsid w:val="0026676C"/>
    <w:rsid w:val="002675F3"/>
    <w:rsid w:val="00267B49"/>
    <w:rsid w:val="0027025F"/>
    <w:rsid w:val="00271022"/>
    <w:rsid w:val="00271465"/>
    <w:rsid w:val="00272DF4"/>
    <w:rsid w:val="00275004"/>
    <w:rsid w:val="0027583D"/>
    <w:rsid w:val="00275DEF"/>
    <w:rsid w:val="00276494"/>
    <w:rsid w:val="00276B33"/>
    <w:rsid w:val="002812E3"/>
    <w:rsid w:val="002837AE"/>
    <w:rsid w:val="002844CE"/>
    <w:rsid w:val="002853FA"/>
    <w:rsid w:val="00285412"/>
    <w:rsid w:val="002854F5"/>
    <w:rsid w:val="0028777E"/>
    <w:rsid w:val="002901C9"/>
    <w:rsid w:val="00291640"/>
    <w:rsid w:val="0029237E"/>
    <w:rsid w:val="00292997"/>
    <w:rsid w:val="00293C34"/>
    <w:rsid w:val="0029588F"/>
    <w:rsid w:val="00296684"/>
    <w:rsid w:val="00296E19"/>
    <w:rsid w:val="00297256"/>
    <w:rsid w:val="00297D51"/>
    <w:rsid w:val="002A0122"/>
    <w:rsid w:val="002A016B"/>
    <w:rsid w:val="002A16D4"/>
    <w:rsid w:val="002A1E4F"/>
    <w:rsid w:val="002A230C"/>
    <w:rsid w:val="002A268C"/>
    <w:rsid w:val="002A2AF7"/>
    <w:rsid w:val="002A3EA2"/>
    <w:rsid w:val="002A4FB0"/>
    <w:rsid w:val="002A5218"/>
    <w:rsid w:val="002A532A"/>
    <w:rsid w:val="002A5846"/>
    <w:rsid w:val="002A58A8"/>
    <w:rsid w:val="002A5D97"/>
    <w:rsid w:val="002A5DB7"/>
    <w:rsid w:val="002A69B3"/>
    <w:rsid w:val="002B4845"/>
    <w:rsid w:val="002C27A6"/>
    <w:rsid w:val="002C2EE3"/>
    <w:rsid w:val="002C43BD"/>
    <w:rsid w:val="002C62EC"/>
    <w:rsid w:val="002C6BB4"/>
    <w:rsid w:val="002C6DDE"/>
    <w:rsid w:val="002D0E59"/>
    <w:rsid w:val="002D19CC"/>
    <w:rsid w:val="002D1CE9"/>
    <w:rsid w:val="002E02A1"/>
    <w:rsid w:val="002E0989"/>
    <w:rsid w:val="002E196A"/>
    <w:rsid w:val="002E20C7"/>
    <w:rsid w:val="002E222E"/>
    <w:rsid w:val="002E37D1"/>
    <w:rsid w:val="002E3BEE"/>
    <w:rsid w:val="002E4E4C"/>
    <w:rsid w:val="002E4EA7"/>
    <w:rsid w:val="002E5846"/>
    <w:rsid w:val="002F0EF0"/>
    <w:rsid w:val="002F2C35"/>
    <w:rsid w:val="002F333D"/>
    <w:rsid w:val="002F498A"/>
    <w:rsid w:val="002F4AD8"/>
    <w:rsid w:val="002F54AD"/>
    <w:rsid w:val="002F5820"/>
    <w:rsid w:val="002F624E"/>
    <w:rsid w:val="00301565"/>
    <w:rsid w:val="00301CCA"/>
    <w:rsid w:val="00301CDB"/>
    <w:rsid w:val="00304771"/>
    <w:rsid w:val="00304E73"/>
    <w:rsid w:val="003052D4"/>
    <w:rsid w:val="00306C5B"/>
    <w:rsid w:val="00307DB3"/>
    <w:rsid w:val="00307ED2"/>
    <w:rsid w:val="0031076D"/>
    <w:rsid w:val="00311AA6"/>
    <w:rsid w:val="00311C4D"/>
    <w:rsid w:val="003121AB"/>
    <w:rsid w:val="00312CD2"/>
    <w:rsid w:val="003153C8"/>
    <w:rsid w:val="00315524"/>
    <w:rsid w:val="003209B6"/>
    <w:rsid w:val="003209D6"/>
    <w:rsid w:val="003217B9"/>
    <w:rsid w:val="00321924"/>
    <w:rsid w:val="00321EB6"/>
    <w:rsid w:val="003220A5"/>
    <w:rsid w:val="00323EF6"/>
    <w:rsid w:val="0032656E"/>
    <w:rsid w:val="003309E4"/>
    <w:rsid w:val="00330C03"/>
    <w:rsid w:val="00331404"/>
    <w:rsid w:val="00332190"/>
    <w:rsid w:val="003327F1"/>
    <w:rsid w:val="00333CD0"/>
    <w:rsid w:val="0033599C"/>
    <w:rsid w:val="00336EC0"/>
    <w:rsid w:val="003370C5"/>
    <w:rsid w:val="0033750D"/>
    <w:rsid w:val="00341F05"/>
    <w:rsid w:val="00342AD7"/>
    <w:rsid w:val="0034335E"/>
    <w:rsid w:val="003441C3"/>
    <w:rsid w:val="00344668"/>
    <w:rsid w:val="003462D9"/>
    <w:rsid w:val="00350FB3"/>
    <w:rsid w:val="0035259F"/>
    <w:rsid w:val="00352C28"/>
    <w:rsid w:val="0035341A"/>
    <w:rsid w:val="00356D48"/>
    <w:rsid w:val="0036077F"/>
    <w:rsid w:val="00360C86"/>
    <w:rsid w:val="00360FA1"/>
    <w:rsid w:val="00360FBC"/>
    <w:rsid w:val="00361537"/>
    <w:rsid w:val="0036242A"/>
    <w:rsid w:val="00362E90"/>
    <w:rsid w:val="00364FA0"/>
    <w:rsid w:val="0036534A"/>
    <w:rsid w:val="003657F3"/>
    <w:rsid w:val="00367F84"/>
    <w:rsid w:val="003704D6"/>
    <w:rsid w:val="00372DD2"/>
    <w:rsid w:val="003738BD"/>
    <w:rsid w:val="0037431C"/>
    <w:rsid w:val="00374A20"/>
    <w:rsid w:val="00374E21"/>
    <w:rsid w:val="00374E37"/>
    <w:rsid w:val="00375EEC"/>
    <w:rsid w:val="003766E6"/>
    <w:rsid w:val="003770EA"/>
    <w:rsid w:val="0038040F"/>
    <w:rsid w:val="003818DC"/>
    <w:rsid w:val="00383388"/>
    <w:rsid w:val="003834F8"/>
    <w:rsid w:val="003838D0"/>
    <w:rsid w:val="00384327"/>
    <w:rsid w:val="00385D98"/>
    <w:rsid w:val="003908A6"/>
    <w:rsid w:val="00391230"/>
    <w:rsid w:val="003927F6"/>
    <w:rsid w:val="00393122"/>
    <w:rsid w:val="00394DBD"/>
    <w:rsid w:val="003976F8"/>
    <w:rsid w:val="00397852"/>
    <w:rsid w:val="003A04F6"/>
    <w:rsid w:val="003A2B4D"/>
    <w:rsid w:val="003A2D12"/>
    <w:rsid w:val="003A45E3"/>
    <w:rsid w:val="003A478C"/>
    <w:rsid w:val="003A5525"/>
    <w:rsid w:val="003A6B38"/>
    <w:rsid w:val="003A6B83"/>
    <w:rsid w:val="003A722F"/>
    <w:rsid w:val="003B0DF4"/>
    <w:rsid w:val="003B1F9D"/>
    <w:rsid w:val="003B3E56"/>
    <w:rsid w:val="003B461F"/>
    <w:rsid w:val="003B4938"/>
    <w:rsid w:val="003B4998"/>
    <w:rsid w:val="003B59F5"/>
    <w:rsid w:val="003B5A32"/>
    <w:rsid w:val="003B65E5"/>
    <w:rsid w:val="003B6955"/>
    <w:rsid w:val="003B75EA"/>
    <w:rsid w:val="003B7F3C"/>
    <w:rsid w:val="003C26DF"/>
    <w:rsid w:val="003C2D85"/>
    <w:rsid w:val="003C30AC"/>
    <w:rsid w:val="003C3490"/>
    <w:rsid w:val="003C42C1"/>
    <w:rsid w:val="003C4489"/>
    <w:rsid w:val="003C6221"/>
    <w:rsid w:val="003C7E62"/>
    <w:rsid w:val="003D18C3"/>
    <w:rsid w:val="003D242B"/>
    <w:rsid w:val="003D2492"/>
    <w:rsid w:val="003D2A99"/>
    <w:rsid w:val="003D33D6"/>
    <w:rsid w:val="003D4B53"/>
    <w:rsid w:val="003D6042"/>
    <w:rsid w:val="003D6527"/>
    <w:rsid w:val="003D6920"/>
    <w:rsid w:val="003E4337"/>
    <w:rsid w:val="003E4C22"/>
    <w:rsid w:val="003E4C91"/>
    <w:rsid w:val="003E52D8"/>
    <w:rsid w:val="003E6753"/>
    <w:rsid w:val="003E6B4D"/>
    <w:rsid w:val="003F0F94"/>
    <w:rsid w:val="003F313C"/>
    <w:rsid w:val="003F37FC"/>
    <w:rsid w:val="003F46B6"/>
    <w:rsid w:val="003F4B2C"/>
    <w:rsid w:val="003F4C71"/>
    <w:rsid w:val="003F551C"/>
    <w:rsid w:val="003F72ED"/>
    <w:rsid w:val="003F7D23"/>
    <w:rsid w:val="003F7DC1"/>
    <w:rsid w:val="00400050"/>
    <w:rsid w:val="00400468"/>
    <w:rsid w:val="0040099D"/>
    <w:rsid w:val="00402ADB"/>
    <w:rsid w:val="004059D2"/>
    <w:rsid w:val="00405F95"/>
    <w:rsid w:val="00406C2E"/>
    <w:rsid w:val="00406EB0"/>
    <w:rsid w:val="00407C13"/>
    <w:rsid w:val="00410638"/>
    <w:rsid w:val="004119D5"/>
    <w:rsid w:val="00412511"/>
    <w:rsid w:val="004125C2"/>
    <w:rsid w:val="00412F61"/>
    <w:rsid w:val="00413465"/>
    <w:rsid w:val="004135B2"/>
    <w:rsid w:val="0041501E"/>
    <w:rsid w:val="0041506A"/>
    <w:rsid w:val="004159C3"/>
    <w:rsid w:val="00415A05"/>
    <w:rsid w:val="00415D75"/>
    <w:rsid w:val="00415DE5"/>
    <w:rsid w:val="00416D6D"/>
    <w:rsid w:val="00416DAC"/>
    <w:rsid w:val="00416EF1"/>
    <w:rsid w:val="004171C0"/>
    <w:rsid w:val="0042006A"/>
    <w:rsid w:val="00420880"/>
    <w:rsid w:val="0042115C"/>
    <w:rsid w:val="00422433"/>
    <w:rsid w:val="00423F6F"/>
    <w:rsid w:val="004307ED"/>
    <w:rsid w:val="00430A4F"/>
    <w:rsid w:val="00432A58"/>
    <w:rsid w:val="004331A0"/>
    <w:rsid w:val="004331C3"/>
    <w:rsid w:val="00434537"/>
    <w:rsid w:val="00434617"/>
    <w:rsid w:val="00434BFC"/>
    <w:rsid w:val="00435051"/>
    <w:rsid w:val="00435C69"/>
    <w:rsid w:val="00436346"/>
    <w:rsid w:val="00437CED"/>
    <w:rsid w:val="0044082A"/>
    <w:rsid w:val="00440900"/>
    <w:rsid w:val="0044121D"/>
    <w:rsid w:val="00441BF6"/>
    <w:rsid w:val="00441F3F"/>
    <w:rsid w:val="004427D3"/>
    <w:rsid w:val="004439A2"/>
    <w:rsid w:val="004441A0"/>
    <w:rsid w:val="00445827"/>
    <w:rsid w:val="00446865"/>
    <w:rsid w:val="00446D44"/>
    <w:rsid w:val="0045078A"/>
    <w:rsid w:val="0045086D"/>
    <w:rsid w:val="00451EF1"/>
    <w:rsid w:val="00452637"/>
    <w:rsid w:val="00457189"/>
    <w:rsid w:val="00457953"/>
    <w:rsid w:val="00457EA6"/>
    <w:rsid w:val="00460FB3"/>
    <w:rsid w:val="00464241"/>
    <w:rsid w:val="00464851"/>
    <w:rsid w:val="00467B14"/>
    <w:rsid w:val="00470369"/>
    <w:rsid w:val="004707FE"/>
    <w:rsid w:val="0047276D"/>
    <w:rsid w:val="00472AF6"/>
    <w:rsid w:val="00473B54"/>
    <w:rsid w:val="00474A04"/>
    <w:rsid w:val="00474E1D"/>
    <w:rsid w:val="00476240"/>
    <w:rsid w:val="00476439"/>
    <w:rsid w:val="0047735C"/>
    <w:rsid w:val="004776BC"/>
    <w:rsid w:val="00477820"/>
    <w:rsid w:val="00477B96"/>
    <w:rsid w:val="0048139F"/>
    <w:rsid w:val="00481E40"/>
    <w:rsid w:val="00482405"/>
    <w:rsid w:val="004826A7"/>
    <w:rsid w:val="0048368C"/>
    <w:rsid w:val="00484ECE"/>
    <w:rsid w:val="004852D8"/>
    <w:rsid w:val="00485919"/>
    <w:rsid w:val="00485CC8"/>
    <w:rsid w:val="004863CE"/>
    <w:rsid w:val="00486A4D"/>
    <w:rsid w:val="004900C3"/>
    <w:rsid w:val="004915CB"/>
    <w:rsid w:val="004924DC"/>
    <w:rsid w:val="00492819"/>
    <w:rsid w:val="00492879"/>
    <w:rsid w:val="00492A96"/>
    <w:rsid w:val="00493399"/>
    <w:rsid w:val="00495893"/>
    <w:rsid w:val="004A14E4"/>
    <w:rsid w:val="004A27F0"/>
    <w:rsid w:val="004A3212"/>
    <w:rsid w:val="004A40D9"/>
    <w:rsid w:val="004A4F8A"/>
    <w:rsid w:val="004A5494"/>
    <w:rsid w:val="004A61C5"/>
    <w:rsid w:val="004A62A0"/>
    <w:rsid w:val="004A6867"/>
    <w:rsid w:val="004A77DF"/>
    <w:rsid w:val="004B11E0"/>
    <w:rsid w:val="004B1417"/>
    <w:rsid w:val="004B339A"/>
    <w:rsid w:val="004B3991"/>
    <w:rsid w:val="004B55B7"/>
    <w:rsid w:val="004B57D5"/>
    <w:rsid w:val="004B6468"/>
    <w:rsid w:val="004B6EF8"/>
    <w:rsid w:val="004B7125"/>
    <w:rsid w:val="004B756A"/>
    <w:rsid w:val="004B7DB8"/>
    <w:rsid w:val="004B7FB1"/>
    <w:rsid w:val="004C384C"/>
    <w:rsid w:val="004C3867"/>
    <w:rsid w:val="004C3DB0"/>
    <w:rsid w:val="004C4720"/>
    <w:rsid w:val="004C4CD0"/>
    <w:rsid w:val="004C5165"/>
    <w:rsid w:val="004C5649"/>
    <w:rsid w:val="004C6E0E"/>
    <w:rsid w:val="004C70DC"/>
    <w:rsid w:val="004D0211"/>
    <w:rsid w:val="004D0794"/>
    <w:rsid w:val="004D1B48"/>
    <w:rsid w:val="004D2EFC"/>
    <w:rsid w:val="004D3C90"/>
    <w:rsid w:val="004D426F"/>
    <w:rsid w:val="004D5D2F"/>
    <w:rsid w:val="004E0CAF"/>
    <w:rsid w:val="004E1A40"/>
    <w:rsid w:val="004E200A"/>
    <w:rsid w:val="004E23FC"/>
    <w:rsid w:val="004E6DE6"/>
    <w:rsid w:val="004E765E"/>
    <w:rsid w:val="004E77FE"/>
    <w:rsid w:val="004F06F5"/>
    <w:rsid w:val="004F12A4"/>
    <w:rsid w:val="004F1E20"/>
    <w:rsid w:val="004F253F"/>
    <w:rsid w:val="004F2E6F"/>
    <w:rsid w:val="004F33A0"/>
    <w:rsid w:val="004F3BD2"/>
    <w:rsid w:val="00501893"/>
    <w:rsid w:val="005024D5"/>
    <w:rsid w:val="0050277C"/>
    <w:rsid w:val="00502795"/>
    <w:rsid w:val="00504FF8"/>
    <w:rsid w:val="0050689D"/>
    <w:rsid w:val="00510210"/>
    <w:rsid w:val="005108C0"/>
    <w:rsid w:val="0051094F"/>
    <w:rsid w:val="0051139D"/>
    <w:rsid w:val="00511873"/>
    <w:rsid w:val="00512461"/>
    <w:rsid w:val="00512A2F"/>
    <w:rsid w:val="00513B7E"/>
    <w:rsid w:val="0051413D"/>
    <w:rsid w:val="0051475D"/>
    <w:rsid w:val="00514B11"/>
    <w:rsid w:val="005152D1"/>
    <w:rsid w:val="00515BE9"/>
    <w:rsid w:val="00515C74"/>
    <w:rsid w:val="005160B8"/>
    <w:rsid w:val="00517113"/>
    <w:rsid w:val="005177AA"/>
    <w:rsid w:val="0052007E"/>
    <w:rsid w:val="00522A51"/>
    <w:rsid w:val="00522E01"/>
    <w:rsid w:val="0052337A"/>
    <w:rsid w:val="00523B40"/>
    <w:rsid w:val="00524578"/>
    <w:rsid w:val="005245F9"/>
    <w:rsid w:val="005246BE"/>
    <w:rsid w:val="00525137"/>
    <w:rsid w:val="005251DD"/>
    <w:rsid w:val="00525E7F"/>
    <w:rsid w:val="00526F36"/>
    <w:rsid w:val="005277AE"/>
    <w:rsid w:val="00527C4D"/>
    <w:rsid w:val="00530A68"/>
    <w:rsid w:val="00532CE7"/>
    <w:rsid w:val="00532D8B"/>
    <w:rsid w:val="0053324C"/>
    <w:rsid w:val="00534515"/>
    <w:rsid w:val="00534A28"/>
    <w:rsid w:val="00535018"/>
    <w:rsid w:val="00536E4C"/>
    <w:rsid w:val="00537571"/>
    <w:rsid w:val="00541508"/>
    <w:rsid w:val="00541AE3"/>
    <w:rsid w:val="00543498"/>
    <w:rsid w:val="00544BE5"/>
    <w:rsid w:val="00545668"/>
    <w:rsid w:val="00550160"/>
    <w:rsid w:val="00552F2C"/>
    <w:rsid w:val="005547EB"/>
    <w:rsid w:val="00555684"/>
    <w:rsid w:val="0055599F"/>
    <w:rsid w:val="005564B8"/>
    <w:rsid w:val="0055696D"/>
    <w:rsid w:val="00556D68"/>
    <w:rsid w:val="005570D6"/>
    <w:rsid w:val="00560AF1"/>
    <w:rsid w:val="005612B9"/>
    <w:rsid w:val="00563EB8"/>
    <w:rsid w:val="005647BF"/>
    <w:rsid w:val="00564AF1"/>
    <w:rsid w:val="00564C07"/>
    <w:rsid w:val="005655DB"/>
    <w:rsid w:val="005679CD"/>
    <w:rsid w:val="00570BC3"/>
    <w:rsid w:val="0057182A"/>
    <w:rsid w:val="00571D1A"/>
    <w:rsid w:val="00572079"/>
    <w:rsid w:val="00572A10"/>
    <w:rsid w:val="00573602"/>
    <w:rsid w:val="0057364B"/>
    <w:rsid w:val="00574773"/>
    <w:rsid w:val="00577C07"/>
    <w:rsid w:val="00577DB1"/>
    <w:rsid w:val="00580DE7"/>
    <w:rsid w:val="005825E6"/>
    <w:rsid w:val="00582B4B"/>
    <w:rsid w:val="00583E52"/>
    <w:rsid w:val="00583FFD"/>
    <w:rsid w:val="0058519A"/>
    <w:rsid w:val="00585552"/>
    <w:rsid w:val="005856BD"/>
    <w:rsid w:val="00590B28"/>
    <w:rsid w:val="005911BE"/>
    <w:rsid w:val="00591273"/>
    <w:rsid w:val="005927A4"/>
    <w:rsid w:val="00592938"/>
    <w:rsid w:val="00592F83"/>
    <w:rsid w:val="00593152"/>
    <w:rsid w:val="005956A3"/>
    <w:rsid w:val="00595CAB"/>
    <w:rsid w:val="00597BBF"/>
    <w:rsid w:val="005A03AD"/>
    <w:rsid w:val="005A10F2"/>
    <w:rsid w:val="005A1476"/>
    <w:rsid w:val="005A21E0"/>
    <w:rsid w:val="005A28FF"/>
    <w:rsid w:val="005A2C09"/>
    <w:rsid w:val="005A3778"/>
    <w:rsid w:val="005A3DD8"/>
    <w:rsid w:val="005A3DF8"/>
    <w:rsid w:val="005A48DE"/>
    <w:rsid w:val="005A5549"/>
    <w:rsid w:val="005B000D"/>
    <w:rsid w:val="005B121D"/>
    <w:rsid w:val="005B2020"/>
    <w:rsid w:val="005B2F08"/>
    <w:rsid w:val="005B4853"/>
    <w:rsid w:val="005B6CA1"/>
    <w:rsid w:val="005B770C"/>
    <w:rsid w:val="005C06ED"/>
    <w:rsid w:val="005C11B8"/>
    <w:rsid w:val="005C2609"/>
    <w:rsid w:val="005C45DD"/>
    <w:rsid w:val="005D2F0B"/>
    <w:rsid w:val="005D3F06"/>
    <w:rsid w:val="005D4B73"/>
    <w:rsid w:val="005D4DC1"/>
    <w:rsid w:val="005D5802"/>
    <w:rsid w:val="005D5AA9"/>
    <w:rsid w:val="005D66E6"/>
    <w:rsid w:val="005D6D59"/>
    <w:rsid w:val="005D7119"/>
    <w:rsid w:val="005D76C8"/>
    <w:rsid w:val="005D7890"/>
    <w:rsid w:val="005E19C1"/>
    <w:rsid w:val="005E2194"/>
    <w:rsid w:val="005E24F0"/>
    <w:rsid w:val="005E38C0"/>
    <w:rsid w:val="005E3D00"/>
    <w:rsid w:val="005E490F"/>
    <w:rsid w:val="005E4BC9"/>
    <w:rsid w:val="005E5314"/>
    <w:rsid w:val="005E7C78"/>
    <w:rsid w:val="005F04A7"/>
    <w:rsid w:val="005F114F"/>
    <w:rsid w:val="005F18C5"/>
    <w:rsid w:val="005F1ED3"/>
    <w:rsid w:val="005F1F86"/>
    <w:rsid w:val="005F2A08"/>
    <w:rsid w:val="005F36CC"/>
    <w:rsid w:val="005F3EB1"/>
    <w:rsid w:val="005F466B"/>
    <w:rsid w:val="005F46D8"/>
    <w:rsid w:val="005F5469"/>
    <w:rsid w:val="005F63F3"/>
    <w:rsid w:val="005F6961"/>
    <w:rsid w:val="005F6D7F"/>
    <w:rsid w:val="005F6FCF"/>
    <w:rsid w:val="00603525"/>
    <w:rsid w:val="00604307"/>
    <w:rsid w:val="0060487F"/>
    <w:rsid w:val="00604EAD"/>
    <w:rsid w:val="006102D5"/>
    <w:rsid w:val="006104FB"/>
    <w:rsid w:val="00610E6D"/>
    <w:rsid w:val="00611D01"/>
    <w:rsid w:val="00611E90"/>
    <w:rsid w:val="00612A2F"/>
    <w:rsid w:val="00612AAE"/>
    <w:rsid w:val="00613CAD"/>
    <w:rsid w:val="006156B4"/>
    <w:rsid w:val="0061652B"/>
    <w:rsid w:val="00616E05"/>
    <w:rsid w:val="00617985"/>
    <w:rsid w:val="00623490"/>
    <w:rsid w:val="00624093"/>
    <w:rsid w:val="00624345"/>
    <w:rsid w:val="0063044E"/>
    <w:rsid w:val="00630604"/>
    <w:rsid w:val="00631365"/>
    <w:rsid w:val="00631698"/>
    <w:rsid w:val="00631BCB"/>
    <w:rsid w:val="00631E44"/>
    <w:rsid w:val="00633582"/>
    <w:rsid w:val="00634C57"/>
    <w:rsid w:val="00634CE7"/>
    <w:rsid w:val="006350D5"/>
    <w:rsid w:val="0063642C"/>
    <w:rsid w:val="006373C7"/>
    <w:rsid w:val="00637858"/>
    <w:rsid w:val="006404A7"/>
    <w:rsid w:val="00640A38"/>
    <w:rsid w:val="0064369D"/>
    <w:rsid w:val="00644137"/>
    <w:rsid w:val="00644B91"/>
    <w:rsid w:val="006451E4"/>
    <w:rsid w:val="00645B33"/>
    <w:rsid w:val="00647301"/>
    <w:rsid w:val="006516CB"/>
    <w:rsid w:val="00653E0B"/>
    <w:rsid w:val="00654110"/>
    <w:rsid w:val="00655D2D"/>
    <w:rsid w:val="00656CFB"/>
    <w:rsid w:val="00657E87"/>
    <w:rsid w:val="00661FB0"/>
    <w:rsid w:val="00662469"/>
    <w:rsid w:val="006630EA"/>
    <w:rsid w:val="0066460C"/>
    <w:rsid w:val="00664647"/>
    <w:rsid w:val="00664803"/>
    <w:rsid w:val="00665BA4"/>
    <w:rsid w:val="00665E49"/>
    <w:rsid w:val="00667A81"/>
    <w:rsid w:val="00667AF2"/>
    <w:rsid w:val="006710C9"/>
    <w:rsid w:val="00672E56"/>
    <w:rsid w:val="006741CD"/>
    <w:rsid w:val="00674D29"/>
    <w:rsid w:val="00674D89"/>
    <w:rsid w:val="00675038"/>
    <w:rsid w:val="00675E37"/>
    <w:rsid w:val="00676736"/>
    <w:rsid w:val="00676D76"/>
    <w:rsid w:val="00676F9F"/>
    <w:rsid w:val="00677591"/>
    <w:rsid w:val="00677594"/>
    <w:rsid w:val="0068032F"/>
    <w:rsid w:val="00680D37"/>
    <w:rsid w:val="0068174E"/>
    <w:rsid w:val="00681DCE"/>
    <w:rsid w:val="0068260E"/>
    <w:rsid w:val="006832DD"/>
    <w:rsid w:val="006846B3"/>
    <w:rsid w:val="00684BE4"/>
    <w:rsid w:val="00684D59"/>
    <w:rsid w:val="00684E25"/>
    <w:rsid w:val="00685734"/>
    <w:rsid w:val="006858A4"/>
    <w:rsid w:val="00686718"/>
    <w:rsid w:val="00686BFA"/>
    <w:rsid w:val="00686DED"/>
    <w:rsid w:val="006875A0"/>
    <w:rsid w:val="00687D27"/>
    <w:rsid w:val="006909FE"/>
    <w:rsid w:val="00694B2C"/>
    <w:rsid w:val="00694CB5"/>
    <w:rsid w:val="00695065"/>
    <w:rsid w:val="00695BEF"/>
    <w:rsid w:val="006968C1"/>
    <w:rsid w:val="006977F6"/>
    <w:rsid w:val="00697836"/>
    <w:rsid w:val="00697A13"/>
    <w:rsid w:val="006A109C"/>
    <w:rsid w:val="006A6565"/>
    <w:rsid w:val="006A7691"/>
    <w:rsid w:val="006A7EE2"/>
    <w:rsid w:val="006B0514"/>
    <w:rsid w:val="006B0F92"/>
    <w:rsid w:val="006B179D"/>
    <w:rsid w:val="006B2604"/>
    <w:rsid w:val="006B2622"/>
    <w:rsid w:val="006B2785"/>
    <w:rsid w:val="006B344A"/>
    <w:rsid w:val="006B4A07"/>
    <w:rsid w:val="006B58C9"/>
    <w:rsid w:val="006B74AC"/>
    <w:rsid w:val="006B78D8"/>
    <w:rsid w:val="006C113F"/>
    <w:rsid w:val="006C123E"/>
    <w:rsid w:val="006C15A1"/>
    <w:rsid w:val="006C1752"/>
    <w:rsid w:val="006C1C86"/>
    <w:rsid w:val="006C28CA"/>
    <w:rsid w:val="006C4355"/>
    <w:rsid w:val="006C469D"/>
    <w:rsid w:val="006C52EC"/>
    <w:rsid w:val="006C56D4"/>
    <w:rsid w:val="006C6681"/>
    <w:rsid w:val="006C6924"/>
    <w:rsid w:val="006C6E76"/>
    <w:rsid w:val="006C7CA6"/>
    <w:rsid w:val="006D18B3"/>
    <w:rsid w:val="006D190B"/>
    <w:rsid w:val="006D2A33"/>
    <w:rsid w:val="006D3E8A"/>
    <w:rsid w:val="006D4194"/>
    <w:rsid w:val="006D4F88"/>
    <w:rsid w:val="006D61F6"/>
    <w:rsid w:val="006D6893"/>
    <w:rsid w:val="006D7436"/>
    <w:rsid w:val="006E1332"/>
    <w:rsid w:val="006E279A"/>
    <w:rsid w:val="006E294F"/>
    <w:rsid w:val="006E313B"/>
    <w:rsid w:val="006E3937"/>
    <w:rsid w:val="006E4BB1"/>
    <w:rsid w:val="006E5151"/>
    <w:rsid w:val="006E61C5"/>
    <w:rsid w:val="006E7227"/>
    <w:rsid w:val="006F0741"/>
    <w:rsid w:val="006F1C27"/>
    <w:rsid w:val="006F42BB"/>
    <w:rsid w:val="006F438E"/>
    <w:rsid w:val="006F440B"/>
    <w:rsid w:val="006F4803"/>
    <w:rsid w:val="006F4D90"/>
    <w:rsid w:val="006F5416"/>
    <w:rsid w:val="006F624B"/>
    <w:rsid w:val="006F7566"/>
    <w:rsid w:val="00701397"/>
    <w:rsid w:val="007017EB"/>
    <w:rsid w:val="0070398A"/>
    <w:rsid w:val="00704B56"/>
    <w:rsid w:val="00705242"/>
    <w:rsid w:val="0070592A"/>
    <w:rsid w:val="007065C5"/>
    <w:rsid w:val="00706AD4"/>
    <w:rsid w:val="00707150"/>
    <w:rsid w:val="00712077"/>
    <w:rsid w:val="00713549"/>
    <w:rsid w:val="007140BE"/>
    <w:rsid w:val="00715E4D"/>
    <w:rsid w:val="00716F48"/>
    <w:rsid w:val="00717114"/>
    <w:rsid w:val="0071779F"/>
    <w:rsid w:val="007211F5"/>
    <w:rsid w:val="00723295"/>
    <w:rsid w:val="007240E2"/>
    <w:rsid w:val="0072504F"/>
    <w:rsid w:val="0072583E"/>
    <w:rsid w:val="00725BB5"/>
    <w:rsid w:val="00727D92"/>
    <w:rsid w:val="00730715"/>
    <w:rsid w:val="00730AE8"/>
    <w:rsid w:val="00730F1B"/>
    <w:rsid w:val="0073186D"/>
    <w:rsid w:val="00732013"/>
    <w:rsid w:val="007343D9"/>
    <w:rsid w:val="00737E3C"/>
    <w:rsid w:val="00741493"/>
    <w:rsid w:val="00741E38"/>
    <w:rsid w:val="007434E5"/>
    <w:rsid w:val="00743593"/>
    <w:rsid w:val="007465D8"/>
    <w:rsid w:val="00746FF6"/>
    <w:rsid w:val="007511C3"/>
    <w:rsid w:val="00751434"/>
    <w:rsid w:val="00752180"/>
    <w:rsid w:val="00752323"/>
    <w:rsid w:val="007532B7"/>
    <w:rsid w:val="00753CAB"/>
    <w:rsid w:val="00754A70"/>
    <w:rsid w:val="00754CAA"/>
    <w:rsid w:val="00754E74"/>
    <w:rsid w:val="00755202"/>
    <w:rsid w:val="00755C51"/>
    <w:rsid w:val="00755D3A"/>
    <w:rsid w:val="00755F50"/>
    <w:rsid w:val="0075751D"/>
    <w:rsid w:val="007578D3"/>
    <w:rsid w:val="00760391"/>
    <w:rsid w:val="007609C6"/>
    <w:rsid w:val="007615F3"/>
    <w:rsid w:val="0076175D"/>
    <w:rsid w:val="007638BD"/>
    <w:rsid w:val="00763B85"/>
    <w:rsid w:val="00764974"/>
    <w:rsid w:val="007651A4"/>
    <w:rsid w:val="0076521E"/>
    <w:rsid w:val="00765DD1"/>
    <w:rsid w:val="007661E9"/>
    <w:rsid w:val="00767062"/>
    <w:rsid w:val="00767450"/>
    <w:rsid w:val="00771972"/>
    <w:rsid w:val="00774A86"/>
    <w:rsid w:val="00774D2C"/>
    <w:rsid w:val="00776169"/>
    <w:rsid w:val="00776527"/>
    <w:rsid w:val="00777040"/>
    <w:rsid w:val="00780EF1"/>
    <w:rsid w:val="007826FD"/>
    <w:rsid w:val="007839A2"/>
    <w:rsid w:val="00784AF5"/>
    <w:rsid w:val="00786C87"/>
    <w:rsid w:val="007877C9"/>
    <w:rsid w:val="00790764"/>
    <w:rsid w:val="0079085F"/>
    <w:rsid w:val="00790BC5"/>
    <w:rsid w:val="00793D78"/>
    <w:rsid w:val="0079453C"/>
    <w:rsid w:val="00794677"/>
    <w:rsid w:val="0079524F"/>
    <w:rsid w:val="007959B2"/>
    <w:rsid w:val="00795EF4"/>
    <w:rsid w:val="007A0E23"/>
    <w:rsid w:val="007A177D"/>
    <w:rsid w:val="007A1CB7"/>
    <w:rsid w:val="007A33E2"/>
    <w:rsid w:val="007A3CAF"/>
    <w:rsid w:val="007A4DD0"/>
    <w:rsid w:val="007A516D"/>
    <w:rsid w:val="007A5E65"/>
    <w:rsid w:val="007A5EAA"/>
    <w:rsid w:val="007A6AEB"/>
    <w:rsid w:val="007A775D"/>
    <w:rsid w:val="007B0834"/>
    <w:rsid w:val="007B0E83"/>
    <w:rsid w:val="007B0F89"/>
    <w:rsid w:val="007B11FA"/>
    <w:rsid w:val="007B1396"/>
    <w:rsid w:val="007B2011"/>
    <w:rsid w:val="007B2810"/>
    <w:rsid w:val="007B2CFE"/>
    <w:rsid w:val="007B3196"/>
    <w:rsid w:val="007B3DCB"/>
    <w:rsid w:val="007B4B76"/>
    <w:rsid w:val="007B6689"/>
    <w:rsid w:val="007B6A80"/>
    <w:rsid w:val="007B6F72"/>
    <w:rsid w:val="007C096B"/>
    <w:rsid w:val="007C0BD4"/>
    <w:rsid w:val="007C1654"/>
    <w:rsid w:val="007C1FFB"/>
    <w:rsid w:val="007C2D94"/>
    <w:rsid w:val="007C4EAA"/>
    <w:rsid w:val="007C5F92"/>
    <w:rsid w:val="007C6227"/>
    <w:rsid w:val="007C62CA"/>
    <w:rsid w:val="007C66A5"/>
    <w:rsid w:val="007C6BBD"/>
    <w:rsid w:val="007C7EE7"/>
    <w:rsid w:val="007D0382"/>
    <w:rsid w:val="007D0439"/>
    <w:rsid w:val="007D0493"/>
    <w:rsid w:val="007D1A1F"/>
    <w:rsid w:val="007D40DF"/>
    <w:rsid w:val="007D4458"/>
    <w:rsid w:val="007E03B3"/>
    <w:rsid w:val="007E0D4A"/>
    <w:rsid w:val="007E1788"/>
    <w:rsid w:val="007E289C"/>
    <w:rsid w:val="007E29B4"/>
    <w:rsid w:val="007E36DC"/>
    <w:rsid w:val="007E435A"/>
    <w:rsid w:val="007E451A"/>
    <w:rsid w:val="007E49F7"/>
    <w:rsid w:val="007E4C70"/>
    <w:rsid w:val="007E600F"/>
    <w:rsid w:val="007E7E61"/>
    <w:rsid w:val="007F068E"/>
    <w:rsid w:val="007F0845"/>
    <w:rsid w:val="007F20F3"/>
    <w:rsid w:val="007F234C"/>
    <w:rsid w:val="007F2390"/>
    <w:rsid w:val="007F414D"/>
    <w:rsid w:val="007F4E6B"/>
    <w:rsid w:val="007F708D"/>
    <w:rsid w:val="007F78CC"/>
    <w:rsid w:val="00801187"/>
    <w:rsid w:val="00801E13"/>
    <w:rsid w:val="00802266"/>
    <w:rsid w:val="00803069"/>
    <w:rsid w:val="00803242"/>
    <w:rsid w:val="0080734C"/>
    <w:rsid w:val="00807C82"/>
    <w:rsid w:val="008117CC"/>
    <w:rsid w:val="00813781"/>
    <w:rsid w:val="00813876"/>
    <w:rsid w:val="00813D63"/>
    <w:rsid w:val="00813DCA"/>
    <w:rsid w:val="00815C95"/>
    <w:rsid w:val="008161A6"/>
    <w:rsid w:val="00816905"/>
    <w:rsid w:val="00817914"/>
    <w:rsid w:val="00817A17"/>
    <w:rsid w:val="00817EC1"/>
    <w:rsid w:val="0082112D"/>
    <w:rsid w:val="00821DEB"/>
    <w:rsid w:val="00821FF6"/>
    <w:rsid w:val="00822446"/>
    <w:rsid w:val="00822574"/>
    <w:rsid w:val="00822925"/>
    <w:rsid w:val="0082320C"/>
    <w:rsid w:val="0082418C"/>
    <w:rsid w:val="00825C4D"/>
    <w:rsid w:val="00827186"/>
    <w:rsid w:val="00827C8E"/>
    <w:rsid w:val="00830AEA"/>
    <w:rsid w:val="00830E86"/>
    <w:rsid w:val="0083143E"/>
    <w:rsid w:val="008315D5"/>
    <w:rsid w:val="00831CDE"/>
    <w:rsid w:val="00833B71"/>
    <w:rsid w:val="00834304"/>
    <w:rsid w:val="00834FAA"/>
    <w:rsid w:val="008354FB"/>
    <w:rsid w:val="00836086"/>
    <w:rsid w:val="00836446"/>
    <w:rsid w:val="00836A06"/>
    <w:rsid w:val="00836D42"/>
    <w:rsid w:val="008374BC"/>
    <w:rsid w:val="00840293"/>
    <w:rsid w:val="00840AF3"/>
    <w:rsid w:val="00840F26"/>
    <w:rsid w:val="008417B5"/>
    <w:rsid w:val="00841901"/>
    <w:rsid w:val="00844C58"/>
    <w:rsid w:val="00844CD2"/>
    <w:rsid w:val="00845638"/>
    <w:rsid w:val="0084610D"/>
    <w:rsid w:val="00846121"/>
    <w:rsid w:val="008466C6"/>
    <w:rsid w:val="00846D34"/>
    <w:rsid w:val="0084708F"/>
    <w:rsid w:val="008477C8"/>
    <w:rsid w:val="00850D25"/>
    <w:rsid w:val="0085114D"/>
    <w:rsid w:val="00851F9A"/>
    <w:rsid w:val="008520A8"/>
    <w:rsid w:val="00852217"/>
    <w:rsid w:val="00852D4D"/>
    <w:rsid w:val="00852DE1"/>
    <w:rsid w:val="008536FF"/>
    <w:rsid w:val="00855408"/>
    <w:rsid w:val="00855F8B"/>
    <w:rsid w:val="00856D65"/>
    <w:rsid w:val="00861B41"/>
    <w:rsid w:val="00861B9F"/>
    <w:rsid w:val="00861BE3"/>
    <w:rsid w:val="008625D3"/>
    <w:rsid w:val="00862F36"/>
    <w:rsid w:val="00863434"/>
    <w:rsid w:val="00863D64"/>
    <w:rsid w:val="00865E4C"/>
    <w:rsid w:val="0086792D"/>
    <w:rsid w:val="00867DAB"/>
    <w:rsid w:val="008701E4"/>
    <w:rsid w:val="00872A3A"/>
    <w:rsid w:val="00872B96"/>
    <w:rsid w:val="008734E7"/>
    <w:rsid w:val="0087368D"/>
    <w:rsid w:val="00873DDD"/>
    <w:rsid w:val="00874960"/>
    <w:rsid w:val="00874BBC"/>
    <w:rsid w:val="00874FE8"/>
    <w:rsid w:val="00875A32"/>
    <w:rsid w:val="00876086"/>
    <w:rsid w:val="00876E83"/>
    <w:rsid w:val="008772BC"/>
    <w:rsid w:val="00880C76"/>
    <w:rsid w:val="008820DF"/>
    <w:rsid w:val="00882911"/>
    <w:rsid w:val="00883648"/>
    <w:rsid w:val="00883897"/>
    <w:rsid w:val="00885577"/>
    <w:rsid w:val="00885D40"/>
    <w:rsid w:val="00886048"/>
    <w:rsid w:val="008873D4"/>
    <w:rsid w:val="00887BA7"/>
    <w:rsid w:val="00891EDF"/>
    <w:rsid w:val="00892872"/>
    <w:rsid w:val="0089296D"/>
    <w:rsid w:val="00893E85"/>
    <w:rsid w:val="00894031"/>
    <w:rsid w:val="00894C5D"/>
    <w:rsid w:val="00895508"/>
    <w:rsid w:val="008964F5"/>
    <w:rsid w:val="00896606"/>
    <w:rsid w:val="00897086"/>
    <w:rsid w:val="008972D2"/>
    <w:rsid w:val="00897791"/>
    <w:rsid w:val="00897D51"/>
    <w:rsid w:val="00897F81"/>
    <w:rsid w:val="008A0ADD"/>
    <w:rsid w:val="008A388E"/>
    <w:rsid w:val="008A3CBA"/>
    <w:rsid w:val="008A4B59"/>
    <w:rsid w:val="008A587F"/>
    <w:rsid w:val="008A7A8F"/>
    <w:rsid w:val="008B02A3"/>
    <w:rsid w:val="008B1560"/>
    <w:rsid w:val="008B1EAF"/>
    <w:rsid w:val="008B39E6"/>
    <w:rsid w:val="008B3F7B"/>
    <w:rsid w:val="008B540D"/>
    <w:rsid w:val="008B6106"/>
    <w:rsid w:val="008B7C02"/>
    <w:rsid w:val="008B7D2B"/>
    <w:rsid w:val="008B7EF9"/>
    <w:rsid w:val="008C0049"/>
    <w:rsid w:val="008C0E88"/>
    <w:rsid w:val="008C1114"/>
    <w:rsid w:val="008C17AF"/>
    <w:rsid w:val="008C2313"/>
    <w:rsid w:val="008C4B01"/>
    <w:rsid w:val="008C4B50"/>
    <w:rsid w:val="008C52BC"/>
    <w:rsid w:val="008C6836"/>
    <w:rsid w:val="008C7569"/>
    <w:rsid w:val="008C7F30"/>
    <w:rsid w:val="008D0DBD"/>
    <w:rsid w:val="008D127E"/>
    <w:rsid w:val="008D1E6A"/>
    <w:rsid w:val="008D2A16"/>
    <w:rsid w:val="008D33F5"/>
    <w:rsid w:val="008D35E4"/>
    <w:rsid w:val="008D48F2"/>
    <w:rsid w:val="008D76A0"/>
    <w:rsid w:val="008E292B"/>
    <w:rsid w:val="008E2C57"/>
    <w:rsid w:val="008E31FF"/>
    <w:rsid w:val="008E5E00"/>
    <w:rsid w:val="008E6BA9"/>
    <w:rsid w:val="008E6C9C"/>
    <w:rsid w:val="008E6DCB"/>
    <w:rsid w:val="008E6F06"/>
    <w:rsid w:val="008E7B8E"/>
    <w:rsid w:val="008E7FC9"/>
    <w:rsid w:val="008F029B"/>
    <w:rsid w:val="008F053B"/>
    <w:rsid w:val="008F068B"/>
    <w:rsid w:val="008F1781"/>
    <w:rsid w:val="008F2A5D"/>
    <w:rsid w:val="008F3636"/>
    <w:rsid w:val="008F3FC9"/>
    <w:rsid w:val="008F420A"/>
    <w:rsid w:val="008F4E83"/>
    <w:rsid w:val="008F585B"/>
    <w:rsid w:val="008F5C15"/>
    <w:rsid w:val="008F61FE"/>
    <w:rsid w:val="009003A8"/>
    <w:rsid w:val="0090092B"/>
    <w:rsid w:val="009021DA"/>
    <w:rsid w:val="00902500"/>
    <w:rsid w:val="00902EFF"/>
    <w:rsid w:val="0090432C"/>
    <w:rsid w:val="00904F96"/>
    <w:rsid w:val="009052A3"/>
    <w:rsid w:val="009056D7"/>
    <w:rsid w:val="00905B8D"/>
    <w:rsid w:val="00906401"/>
    <w:rsid w:val="009065A0"/>
    <w:rsid w:val="00906682"/>
    <w:rsid w:val="0090786F"/>
    <w:rsid w:val="00910196"/>
    <w:rsid w:val="009110F7"/>
    <w:rsid w:val="0091155E"/>
    <w:rsid w:val="009127EA"/>
    <w:rsid w:val="00912A92"/>
    <w:rsid w:val="00912DF2"/>
    <w:rsid w:val="00914D2E"/>
    <w:rsid w:val="00915D07"/>
    <w:rsid w:val="009160B0"/>
    <w:rsid w:val="009162AE"/>
    <w:rsid w:val="00916E6C"/>
    <w:rsid w:val="00917251"/>
    <w:rsid w:val="0091728D"/>
    <w:rsid w:val="00920EC4"/>
    <w:rsid w:val="0092180B"/>
    <w:rsid w:val="00921F14"/>
    <w:rsid w:val="00923CB0"/>
    <w:rsid w:val="0092468E"/>
    <w:rsid w:val="00924871"/>
    <w:rsid w:val="00924AC8"/>
    <w:rsid w:val="00925429"/>
    <w:rsid w:val="0092597A"/>
    <w:rsid w:val="00926520"/>
    <w:rsid w:val="00926D2D"/>
    <w:rsid w:val="0093033E"/>
    <w:rsid w:val="009305FC"/>
    <w:rsid w:val="00930FB1"/>
    <w:rsid w:val="0093139F"/>
    <w:rsid w:val="00931579"/>
    <w:rsid w:val="00932443"/>
    <w:rsid w:val="009326BA"/>
    <w:rsid w:val="0093277A"/>
    <w:rsid w:val="00933114"/>
    <w:rsid w:val="00933F4A"/>
    <w:rsid w:val="00935BD4"/>
    <w:rsid w:val="00936CC8"/>
    <w:rsid w:val="009373B2"/>
    <w:rsid w:val="00937AE2"/>
    <w:rsid w:val="0094416B"/>
    <w:rsid w:val="0094427A"/>
    <w:rsid w:val="00944C7C"/>
    <w:rsid w:val="00945157"/>
    <w:rsid w:val="00945245"/>
    <w:rsid w:val="00951239"/>
    <w:rsid w:val="00952759"/>
    <w:rsid w:val="00953503"/>
    <w:rsid w:val="00953F29"/>
    <w:rsid w:val="0095403F"/>
    <w:rsid w:val="00954D06"/>
    <w:rsid w:val="009568DC"/>
    <w:rsid w:val="009569EB"/>
    <w:rsid w:val="0095759C"/>
    <w:rsid w:val="009618EE"/>
    <w:rsid w:val="009624D2"/>
    <w:rsid w:val="009628D9"/>
    <w:rsid w:val="00962BA4"/>
    <w:rsid w:val="0096365F"/>
    <w:rsid w:val="009637AE"/>
    <w:rsid w:val="00964776"/>
    <w:rsid w:val="00964A4E"/>
    <w:rsid w:val="00964B35"/>
    <w:rsid w:val="009650CD"/>
    <w:rsid w:val="009651C7"/>
    <w:rsid w:val="00965797"/>
    <w:rsid w:val="00965A10"/>
    <w:rsid w:val="009670A3"/>
    <w:rsid w:val="009674BE"/>
    <w:rsid w:val="00972FCD"/>
    <w:rsid w:val="00973878"/>
    <w:rsid w:val="00973CCC"/>
    <w:rsid w:val="009741FC"/>
    <w:rsid w:val="00974923"/>
    <w:rsid w:val="00975B23"/>
    <w:rsid w:val="00977C3D"/>
    <w:rsid w:val="009802D4"/>
    <w:rsid w:val="00980C49"/>
    <w:rsid w:val="00980D3D"/>
    <w:rsid w:val="00983101"/>
    <w:rsid w:val="00983E41"/>
    <w:rsid w:val="00984FA7"/>
    <w:rsid w:val="00987A30"/>
    <w:rsid w:val="00990A91"/>
    <w:rsid w:val="0099182E"/>
    <w:rsid w:val="00992242"/>
    <w:rsid w:val="00992314"/>
    <w:rsid w:val="00992CF3"/>
    <w:rsid w:val="00994355"/>
    <w:rsid w:val="00994385"/>
    <w:rsid w:val="00994868"/>
    <w:rsid w:val="009963AA"/>
    <w:rsid w:val="00996676"/>
    <w:rsid w:val="009968D6"/>
    <w:rsid w:val="009A084E"/>
    <w:rsid w:val="009A10A0"/>
    <w:rsid w:val="009A1A93"/>
    <w:rsid w:val="009A1CAB"/>
    <w:rsid w:val="009A2359"/>
    <w:rsid w:val="009A24E4"/>
    <w:rsid w:val="009A2DBC"/>
    <w:rsid w:val="009A4B71"/>
    <w:rsid w:val="009A4D57"/>
    <w:rsid w:val="009A5811"/>
    <w:rsid w:val="009A60D1"/>
    <w:rsid w:val="009B05B3"/>
    <w:rsid w:val="009B13B3"/>
    <w:rsid w:val="009B18B6"/>
    <w:rsid w:val="009B21C8"/>
    <w:rsid w:val="009B29AF"/>
    <w:rsid w:val="009B2F02"/>
    <w:rsid w:val="009B3764"/>
    <w:rsid w:val="009B3FD9"/>
    <w:rsid w:val="009B45E0"/>
    <w:rsid w:val="009B5BD9"/>
    <w:rsid w:val="009B6347"/>
    <w:rsid w:val="009B65F5"/>
    <w:rsid w:val="009B66CE"/>
    <w:rsid w:val="009B6FD3"/>
    <w:rsid w:val="009C1750"/>
    <w:rsid w:val="009C24E4"/>
    <w:rsid w:val="009C2E29"/>
    <w:rsid w:val="009C3E8F"/>
    <w:rsid w:val="009C4C38"/>
    <w:rsid w:val="009C554B"/>
    <w:rsid w:val="009C64C9"/>
    <w:rsid w:val="009C719E"/>
    <w:rsid w:val="009C7799"/>
    <w:rsid w:val="009D0199"/>
    <w:rsid w:val="009D0670"/>
    <w:rsid w:val="009D07A9"/>
    <w:rsid w:val="009D17C6"/>
    <w:rsid w:val="009D3ACD"/>
    <w:rsid w:val="009D3C10"/>
    <w:rsid w:val="009D406F"/>
    <w:rsid w:val="009D459E"/>
    <w:rsid w:val="009D4626"/>
    <w:rsid w:val="009D7731"/>
    <w:rsid w:val="009E1922"/>
    <w:rsid w:val="009E3BDA"/>
    <w:rsid w:val="009E4715"/>
    <w:rsid w:val="009E5273"/>
    <w:rsid w:val="009E58E4"/>
    <w:rsid w:val="009E5DDB"/>
    <w:rsid w:val="009E72C3"/>
    <w:rsid w:val="009F4982"/>
    <w:rsid w:val="009F4CA7"/>
    <w:rsid w:val="009F6558"/>
    <w:rsid w:val="009F7D36"/>
    <w:rsid w:val="00A00E71"/>
    <w:rsid w:val="00A015AD"/>
    <w:rsid w:val="00A026F4"/>
    <w:rsid w:val="00A02852"/>
    <w:rsid w:val="00A03B10"/>
    <w:rsid w:val="00A04616"/>
    <w:rsid w:val="00A04717"/>
    <w:rsid w:val="00A05E0D"/>
    <w:rsid w:val="00A05EE4"/>
    <w:rsid w:val="00A10D66"/>
    <w:rsid w:val="00A12D1B"/>
    <w:rsid w:val="00A13B8B"/>
    <w:rsid w:val="00A14114"/>
    <w:rsid w:val="00A16413"/>
    <w:rsid w:val="00A16545"/>
    <w:rsid w:val="00A16AED"/>
    <w:rsid w:val="00A16E1D"/>
    <w:rsid w:val="00A17A15"/>
    <w:rsid w:val="00A17D5B"/>
    <w:rsid w:val="00A212E9"/>
    <w:rsid w:val="00A23459"/>
    <w:rsid w:val="00A23E43"/>
    <w:rsid w:val="00A2428B"/>
    <w:rsid w:val="00A2451B"/>
    <w:rsid w:val="00A24ED9"/>
    <w:rsid w:val="00A25216"/>
    <w:rsid w:val="00A261D9"/>
    <w:rsid w:val="00A2623A"/>
    <w:rsid w:val="00A2628E"/>
    <w:rsid w:val="00A2731E"/>
    <w:rsid w:val="00A309AC"/>
    <w:rsid w:val="00A30F65"/>
    <w:rsid w:val="00A3279E"/>
    <w:rsid w:val="00A34190"/>
    <w:rsid w:val="00A35900"/>
    <w:rsid w:val="00A366AA"/>
    <w:rsid w:val="00A36969"/>
    <w:rsid w:val="00A369A9"/>
    <w:rsid w:val="00A36CDB"/>
    <w:rsid w:val="00A40EAC"/>
    <w:rsid w:val="00A4113D"/>
    <w:rsid w:val="00A418BC"/>
    <w:rsid w:val="00A434FC"/>
    <w:rsid w:val="00A43CF8"/>
    <w:rsid w:val="00A43DF2"/>
    <w:rsid w:val="00A445A8"/>
    <w:rsid w:val="00A44B0D"/>
    <w:rsid w:val="00A45087"/>
    <w:rsid w:val="00A450EA"/>
    <w:rsid w:val="00A45489"/>
    <w:rsid w:val="00A46830"/>
    <w:rsid w:val="00A46DE0"/>
    <w:rsid w:val="00A50D73"/>
    <w:rsid w:val="00A51C25"/>
    <w:rsid w:val="00A523B8"/>
    <w:rsid w:val="00A52CAD"/>
    <w:rsid w:val="00A53FC7"/>
    <w:rsid w:val="00A574F8"/>
    <w:rsid w:val="00A61382"/>
    <w:rsid w:val="00A626FF"/>
    <w:rsid w:val="00A62CE1"/>
    <w:rsid w:val="00A655D3"/>
    <w:rsid w:val="00A66B1F"/>
    <w:rsid w:val="00A6741E"/>
    <w:rsid w:val="00A67A55"/>
    <w:rsid w:val="00A7016A"/>
    <w:rsid w:val="00A7018D"/>
    <w:rsid w:val="00A722F9"/>
    <w:rsid w:val="00A72437"/>
    <w:rsid w:val="00A72A13"/>
    <w:rsid w:val="00A72D42"/>
    <w:rsid w:val="00A75E40"/>
    <w:rsid w:val="00A76B89"/>
    <w:rsid w:val="00A7792E"/>
    <w:rsid w:val="00A77A0F"/>
    <w:rsid w:val="00A77AF6"/>
    <w:rsid w:val="00A77B06"/>
    <w:rsid w:val="00A77D1D"/>
    <w:rsid w:val="00A80036"/>
    <w:rsid w:val="00A81652"/>
    <w:rsid w:val="00A81B71"/>
    <w:rsid w:val="00A83150"/>
    <w:rsid w:val="00A83398"/>
    <w:rsid w:val="00A83D62"/>
    <w:rsid w:val="00A857C0"/>
    <w:rsid w:val="00A8591D"/>
    <w:rsid w:val="00A85CE2"/>
    <w:rsid w:val="00A86834"/>
    <w:rsid w:val="00A86F9E"/>
    <w:rsid w:val="00A870FD"/>
    <w:rsid w:val="00A876EF"/>
    <w:rsid w:val="00A901FB"/>
    <w:rsid w:val="00A90FED"/>
    <w:rsid w:val="00A9189D"/>
    <w:rsid w:val="00A91E71"/>
    <w:rsid w:val="00A93407"/>
    <w:rsid w:val="00A96116"/>
    <w:rsid w:val="00A9614E"/>
    <w:rsid w:val="00A96C0F"/>
    <w:rsid w:val="00AA212F"/>
    <w:rsid w:val="00AA2996"/>
    <w:rsid w:val="00AA2AF4"/>
    <w:rsid w:val="00AA3786"/>
    <w:rsid w:val="00AA3872"/>
    <w:rsid w:val="00AA38E9"/>
    <w:rsid w:val="00AA52BF"/>
    <w:rsid w:val="00AA559A"/>
    <w:rsid w:val="00AA6C31"/>
    <w:rsid w:val="00AA7CE8"/>
    <w:rsid w:val="00AB2A8D"/>
    <w:rsid w:val="00AB2AF1"/>
    <w:rsid w:val="00AB34A5"/>
    <w:rsid w:val="00AB5527"/>
    <w:rsid w:val="00AB5A64"/>
    <w:rsid w:val="00AB6456"/>
    <w:rsid w:val="00AC044E"/>
    <w:rsid w:val="00AC2395"/>
    <w:rsid w:val="00AC2960"/>
    <w:rsid w:val="00AC2AC4"/>
    <w:rsid w:val="00AC4284"/>
    <w:rsid w:val="00AC45BD"/>
    <w:rsid w:val="00AC45BF"/>
    <w:rsid w:val="00AD0BF8"/>
    <w:rsid w:val="00AD0EE7"/>
    <w:rsid w:val="00AD168E"/>
    <w:rsid w:val="00AD1C31"/>
    <w:rsid w:val="00AD2AF0"/>
    <w:rsid w:val="00AD306C"/>
    <w:rsid w:val="00AD3621"/>
    <w:rsid w:val="00AD3FC3"/>
    <w:rsid w:val="00AD42D3"/>
    <w:rsid w:val="00AD4E2D"/>
    <w:rsid w:val="00AD5AD2"/>
    <w:rsid w:val="00AD6462"/>
    <w:rsid w:val="00AD68C4"/>
    <w:rsid w:val="00AD71F9"/>
    <w:rsid w:val="00AE09B3"/>
    <w:rsid w:val="00AE1A83"/>
    <w:rsid w:val="00AE3180"/>
    <w:rsid w:val="00AE3814"/>
    <w:rsid w:val="00AE56B4"/>
    <w:rsid w:val="00AE6DB7"/>
    <w:rsid w:val="00AE7CE7"/>
    <w:rsid w:val="00AE7FAB"/>
    <w:rsid w:val="00AF17F8"/>
    <w:rsid w:val="00AF1893"/>
    <w:rsid w:val="00AF1E87"/>
    <w:rsid w:val="00AF3C66"/>
    <w:rsid w:val="00AF436B"/>
    <w:rsid w:val="00AF5179"/>
    <w:rsid w:val="00AF560F"/>
    <w:rsid w:val="00AF5CC2"/>
    <w:rsid w:val="00AF6F98"/>
    <w:rsid w:val="00B002B7"/>
    <w:rsid w:val="00B00913"/>
    <w:rsid w:val="00B01593"/>
    <w:rsid w:val="00B016D3"/>
    <w:rsid w:val="00B01AB8"/>
    <w:rsid w:val="00B01FAD"/>
    <w:rsid w:val="00B01FF9"/>
    <w:rsid w:val="00B023F2"/>
    <w:rsid w:val="00B047D8"/>
    <w:rsid w:val="00B0517E"/>
    <w:rsid w:val="00B06DB4"/>
    <w:rsid w:val="00B07217"/>
    <w:rsid w:val="00B07E66"/>
    <w:rsid w:val="00B10A4D"/>
    <w:rsid w:val="00B10C90"/>
    <w:rsid w:val="00B11002"/>
    <w:rsid w:val="00B11655"/>
    <w:rsid w:val="00B121B2"/>
    <w:rsid w:val="00B14BC1"/>
    <w:rsid w:val="00B15175"/>
    <w:rsid w:val="00B154DB"/>
    <w:rsid w:val="00B169AC"/>
    <w:rsid w:val="00B16EB8"/>
    <w:rsid w:val="00B17E71"/>
    <w:rsid w:val="00B17FDE"/>
    <w:rsid w:val="00B20632"/>
    <w:rsid w:val="00B210D1"/>
    <w:rsid w:val="00B22920"/>
    <w:rsid w:val="00B2379C"/>
    <w:rsid w:val="00B23D5D"/>
    <w:rsid w:val="00B256B6"/>
    <w:rsid w:val="00B2687D"/>
    <w:rsid w:val="00B323A7"/>
    <w:rsid w:val="00B32DDB"/>
    <w:rsid w:val="00B32F57"/>
    <w:rsid w:val="00B3345C"/>
    <w:rsid w:val="00B34528"/>
    <w:rsid w:val="00B34CC9"/>
    <w:rsid w:val="00B3563B"/>
    <w:rsid w:val="00B40106"/>
    <w:rsid w:val="00B402FC"/>
    <w:rsid w:val="00B422E2"/>
    <w:rsid w:val="00B439DA"/>
    <w:rsid w:val="00B4411A"/>
    <w:rsid w:val="00B46604"/>
    <w:rsid w:val="00B46C88"/>
    <w:rsid w:val="00B46D04"/>
    <w:rsid w:val="00B47089"/>
    <w:rsid w:val="00B52151"/>
    <w:rsid w:val="00B529DD"/>
    <w:rsid w:val="00B530CD"/>
    <w:rsid w:val="00B553B0"/>
    <w:rsid w:val="00B55F5E"/>
    <w:rsid w:val="00B563B3"/>
    <w:rsid w:val="00B56B6F"/>
    <w:rsid w:val="00B5752E"/>
    <w:rsid w:val="00B61479"/>
    <w:rsid w:val="00B62316"/>
    <w:rsid w:val="00B6258B"/>
    <w:rsid w:val="00B63A11"/>
    <w:rsid w:val="00B641BE"/>
    <w:rsid w:val="00B64425"/>
    <w:rsid w:val="00B64C24"/>
    <w:rsid w:val="00B65CEF"/>
    <w:rsid w:val="00B6608F"/>
    <w:rsid w:val="00B679FB"/>
    <w:rsid w:val="00B71A2C"/>
    <w:rsid w:val="00B7220B"/>
    <w:rsid w:val="00B726A5"/>
    <w:rsid w:val="00B76D1D"/>
    <w:rsid w:val="00B76D1E"/>
    <w:rsid w:val="00B77543"/>
    <w:rsid w:val="00B80EC6"/>
    <w:rsid w:val="00B80F7E"/>
    <w:rsid w:val="00B81D70"/>
    <w:rsid w:val="00B83E07"/>
    <w:rsid w:val="00B84144"/>
    <w:rsid w:val="00B8470F"/>
    <w:rsid w:val="00B84CF6"/>
    <w:rsid w:val="00B85016"/>
    <w:rsid w:val="00B854EC"/>
    <w:rsid w:val="00B8561A"/>
    <w:rsid w:val="00B90484"/>
    <w:rsid w:val="00B9248B"/>
    <w:rsid w:val="00B92D1D"/>
    <w:rsid w:val="00B92F4E"/>
    <w:rsid w:val="00B938C5"/>
    <w:rsid w:val="00B94C62"/>
    <w:rsid w:val="00B9544E"/>
    <w:rsid w:val="00B95940"/>
    <w:rsid w:val="00B95ACA"/>
    <w:rsid w:val="00B96F2C"/>
    <w:rsid w:val="00B97ACC"/>
    <w:rsid w:val="00B97DEB"/>
    <w:rsid w:val="00BA21A9"/>
    <w:rsid w:val="00BA3787"/>
    <w:rsid w:val="00BA46E8"/>
    <w:rsid w:val="00BA51CD"/>
    <w:rsid w:val="00BA6C2B"/>
    <w:rsid w:val="00BA7B64"/>
    <w:rsid w:val="00BB0351"/>
    <w:rsid w:val="00BB15C3"/>
    <w:rsid w:val="00BB1AF4"/>
    <w:rsid w:val="00BB2475"/>
    <w:rsid w:val="00BB3F82"/>
    <w:rsid w:val="00BB46F3"/>
    <w:rsid w:val="00BB4CB1"/>
    <w:rsid w:val="00BB4F87"/>
    <w:rsid w:val="00BB4F98"/>
    <w:rsid w:val="00BB5ABF"/>
    <w:rsid w:val="00BB6194"/>
    <w:rsid w:val="00BB6EA2"/>
    <w:rsid w:val="00BB7B27"/>
    <w:rsid w:val="00BB7B5B"/>
    <w:rsid w:val="00BC003F"/>
    <w:rsid w:val="00BC327F"/>
    <w:rsid w:val="00BC44DD"/>
    <w:rsid w:val="00BC49F5"/>
    <w:rsid w:val="00BC5332"/>
    <w:rsid w:val="00BC5C12"/>
    <w:rsid w:val="00BC7154"/>
    <w:rsid w:val="00BC731E"/>
    <w:rsid w:val="00BC7614"/>
    <w:rsid w:val="00BD0F72"/>
    <w:rsid w:val="00BD25BB"/>
    <w:rsid w:val="00BD2AF8"/>
    <w:rsid w:val="00BD366B"/>
    <w:rsid w:val="00BD3C0D"/>
    <w:rsid w:val="00BD514B"/>
    <w:rsid w:val="00BD6D50"/>
    <w:rsid w:val="00BE0AD1"/>
    <w:rsid w:val="00BE0EF9"/>
    <w:rsid w:val="00BE18B9"/>
    <w:rsid w:val="00BE2495"/>
    <w:rsid w:val="00BE33E5"/>
    <w:rsid w:val="00BE6124"/>
    <w:rsid w:val="00BE62E5"/>
    <w:rsid w:val="00BF02C8"/>
    <w:rsid w:val="00BF09B2"/>
    <w:rsid w:val="00BF1578"/>
    <w:rsid w:val="00BF1D12"/>
    <w:rsid w:val="00BF1D3A"/>
    <w:rsid w:val="00BF214F"/>
    <w:rsid w:val="00BF4A96"/>
    <w:rsid w:val="00BF4E43"/>
    <w:rsid w:val="00BF5C30"/>
    <w:rsid w:val="00BF5C4C"/>
    <w:rsid w:val="00BF7E4B"/>
    <w:rsid w:val="00C01410"/>
    <w:rsid w:val="00C034DC"/>
    <w:rsid w:val="00C04DF1"/>
    <w:rsid w:val="00C052AA"/>
    <w:rsid w:val="00C06EE3"/>
    <w:rsid w:val="00C07749"/>
    <w:rsid w:val="00C0782C"/>
    <w:rsid w:val="00C11D48"/>
    <w:rsid w:val="00C11E05"/>
    <w:rsid w:val="00C156C9"/>
    <w:rsid w:val="00C15BDE"/>
    <w:rsid w:val="00C21430"/>
    <w:rsid w:val="00C21E61"/>
    <w:rsid w:val="00C21F94"/>
    <w:rsid w:val="00C23127"/>
    <w:rsid w:val="00C237DA"/>
    <w:rsid w:val="00C245AC"/>
    <w:rsid w:val="00C24930"/>
    <w:rsid w:val="00C2590D"/>
    <w:rsid w:val="00C261C2"/>
    <w:rsid w:val="00C2645D"/>
    <w:rsid w:val="00C26A2B"/>
    <w:rsid w:val="00C27913"/>
    <w:rsid w:val="00C30797"/>
    <w:rsid w:val="00C30DE4"/>
    <w:rsid w:val="00C31357"/>
    <w:rsid w:val="00C318AA"/>
    <w:rsid w:val="00C324DE"/>
    <w:rsid w:val="00C3372B"/>
    <w:rsid w:val="00C33B68"/>
    <w:rsid w:val="00C3409C"/>
    <w:rsid w:val="00C3471E"/>
    <w:rsid w:val="00C35570"/>
    <w:rsid w:val="00C36A79"/>
    <w:rsid w:val="00C37133"/>
    <w:rsid w:val="00C3724B"/>
    <w:rsid w:val="00C401D2"/>
    <w:rsid w:val="00C4031A"/>
    <w:rsid w:val="00C405D4"/>
    <w:rsid w:val="00C419D5"/>
    <w:rsid w:val="00C41BBD"/>
    <w:rsid w:val="00C429AE"/>
    <w:rsid w:val="00C42EA5"/>
    <w:rsid w:val="00C4513B"/>
    <w:rsid w:val="00C45488"/>
    <w:rsid w:val="00C46C1B"/>
    <w:rsid w:val="00C507AE"/>
    <w:rsid w:val="00C5147D"/>
    <w:rsid w:val="00C53372"/>
    <w:rsid w:val="00C5390B"/>
    <w:rsid w:val="00C54697"/>
    <w:rsid w:val="00C55027"/>
    <w:rsid w:val="00C553A5"/>
    <w:rsid w:val="00C55402"/>
    <w:rsid w:val="00C5603B"/>
    <w:rsid w:val="00C56E9C"/>
    <w:rsid w:val="00C61F47"/>
    <w:rsid w:val="00C621D6"/>
    <w:rsid w:val="00C62828"/>
    <w:rsid w:val="00C62E08"/>
    <w:rsid w:val="00C64998"/>
    <w:rsid w:val="00C667B3"/>
    <w:rsid w:val="00C71BC3"/>
    <w:rsid w:val="00C71D2F"/>
    <w:rsid w:val="00C725B7"/>
    <w:rsid w:val="00C72984"/>
    <w:rsid w:val="00C734DC"/>
    <w:rsid w:val="00C73885"/>
    <w:rsid w:val="00C73C93"/>
    <w:rsid w:val="00C73EAC"/>
    <w:rsid w:val="00C7435A"/>
    <w:rsid w:val="00C7446C"/>
    <w:rsid w:val="00C747B1"/>
    <w:rsid w:val="00C76229"/>
    <w:rsid w:val="00C7747F"/>
    <w:rsid w:val="00C777A6"/>
    <w:rsid w:val="00C82191"/>
    <w:rsid w:val="00C823CA"/>
    <w:rsid w:val="00C83134"/>
    <w:rsid w:val="00C832F3"/>
    <w:rsid w:val="00C85545"/>
    <w:rsid w:val="00C855B5"/>
    <w:rsid w:val="00C85F0E"/>
    <w:rsid w:val="00C90CF4"/>
    <w:rsid w:val="00C91CC2"/>
    <w:rsid w:val="00C922DE"/>
    <w:rsid w:val="00C92843"/>
    <w:rsid w:val="00C92EB6"/>
    <w:rsid w:val="00C93216"/>
    <w:rsid w:val="00C93389"/>
    <w:rsid w:val="00C95CCD"/>
    <w:rsid w:val="00C96AEE"/>
    <w:rsid w:val="00CA0346"/>
    <w:rsid w:val="00CA37FF"/>
    <w:rsid w:val="00CA4C36"/>
    <w:rsid w:val="00CA507F"/>
    <w:rsid w:val="00CA5BD5"/>
    <w:rsid w:val="00CA5D0F"/>
    <w:rsid w:val="00CA6AB4"/>
    <w:rsid w:val="00CB0AED"/>
    <w:rsid w:val="00CB2351"/>
    <w:rsid w:val="00CB2949"/>
    <w:rsid w:val="00CB4537"/>
    <w:rsid w:val="00CB4930"/>
    <w:rsid w:val="00CB497F"/>
    <w:rsid w:val="00CB5618"/>
    <w:rsid w:val="00CB5E10"/>
    <w:rsid w:val="00CB6A89"/>
    <w:rsid w:val="00CB792B"/>
    <w:rsid w:val="00CC0834"/>
    <w:rsid w:val="00CC09FD"/>
    <w:rsid w:val="00CC20FE"/>
    <w:rsid w:val="00CC2E7D"/>
    <w:rsid w:val="00CC4726"/>
    <w:rsid w:val="00CC4856"/>
    <w:rsid w:val="00CC655F"/>
    <w:rsid w:val="00CC6C34"/>
    <w:rsid w:val="00CC76BD"/>
    <w:rsid w:val="00CD10A5"/>
    <w:rsid w:val="00CD1129"/>
    <w:rsid w:val="00CD203A"/>
    <w:rsid w:val="00CD2076"/>
    <w:rsid w:val="00CD24CE"/>
    <w:rsid w:val="00CD29B5"/>
    <w:rsid w:val="00CD2B78"/>
    <w:rsid w:val="00CD5C3E"/>
    <w:rsid w:val="00CD5CAB"/>
    <w:rsid w:val="00CD6331"/>
    <w:rsid w:val="00CD6B63"/>
    <w:rsid w:val="00CE0CA9"/>
    <w:rsid w:val="00CE62FA"/>
    <w:rsid w:val="00CE670B"/>
    <w:rsid w:val="00CE70EE"/>
    <w:rsid w:val="00CF19D8"/>
    <w:rsid w:val="00CF4908"/>
    <w:rsid w:val="00CF51EC"/>
    <w:rsid w:val="00CF545D"/>
    <w:rsid w:val="00CF546A"/>
    <w:rsid w:val="00CF5873"/>
    <w:rsid w:val="00CF6222"/>
    <w:rsid w:val="00CF73AE"/>
    <w:rsid w:val="00D010D1"/>
    <w:rsid w:val="00D01418"/>
    <w:rsid w:val="00D01A32"/>
    <w:rsid w:val="00D03A72"/>
    <w:rsid w:val="00D040DD"/>
    <w:rsid w:val="00D041F9"/>
    <w:rsid w:val="00D046FA"/>
    <w:rsid w:val="00D05C65"/>
    <w:rsid w:val="00D06D68"/>
    <w:rsid w:val="00D06FAB"/>
    <w:rsid w:val="00D075BE"/>
    <w:rsid w:val="00D07FCA"/>
    <w:rsid w:val="00D104A5"/>
    <w:rsid w:val="00D10652"/>
    <w:rsid w:val="00D11C2D"/>
    <w:rsid w:val="00D124E1"/>
    <w:rsid w:val="00D1291A"/>
    <w:rsid w:val="00D12C25"/>
    <w:rsid w:val="00D133B4"/>
    <w:rsid w:val="00D13986"/>
    <w:rsid w:val="00D14C5B"/>
    <w:rsid w:val="00D15FED"/>
    <w:rsid w:val="00D17C3D"/>
    <w:rsid w:val="00D208E7"/>
    <w:rsid w:val="00D214EF"/>
    <w:rsid w:val="00D21D6D"/>
    <w:rsid w:val="00D21D83"/>
    <w:rsid w:val="00D235B7"/>
    <w:rsid w:val="00D25F28"/>
    <w:rsid w:val="00D26071"/>
    <w:rsid w:val="00D27973"/>
    <w:rsid w:val="00D31E1E"/>
    <w:rsid w:val="00D334E2"/>
    <w:rsid w:val="00D35BBB"/>
    <w:rsid w:val="00D35E1A"/>
    <w:rsid w:val="00D36C04"/>
    <w:rsid w:val="00D36DFB"/>
    <w:rsid w:val="00D36E1C"/>
    <w:rsid w:val="00D37342"/>
    <w:rsid w:val="00D373AF"/>
    <w:rsid w:val="00D40556"/>
    <w:rsid w:val="00D41F74"/>
    <w:rsid w:val="00D4284D"/>
    <w:rsid w:val="00D43348"/>
    <w:rsid w:val="00D43ED2"/>
    <w:rsid w:val="00D44B89"/>
    <w:rsid w:val="00D47481"/>
    <w:rsid w:val="00D50F46"/>
    <w:rsid w:val="00D52814"/>
    <w:rsid w:val="00D53528"/>
    <w:rsid w:val="00D544E7"/>
    <w:rsid w:val="00D54FDE"/>
    <w:rsid w:val="00D55B51"/>
    <w:rsid w:val="00D56D73"/>
    <w:rsid w:val="00D56FBF"/>
    <w:rsid w:val="00D57677"/>
    <w:rsid w:val="00D57A24"/>
    <w:rsid w:val="00D60415"/>
    <w:rsid w:val="00D60903"/>
    <w:rsid w:val="00D62DA6"/>
    <w:rsid w:val="00D62E59"/>
    <w:rsid w:val="00D63BE5"/>
    <w:rsid w:val="00D63D69"/>
    <w:rsid w:val="00D64E8F"/>
    <w:rsid w:val="00D66223"/>
    <w:rsid w:val="00D66630"/>
    <w:rsid w:val="00D70229"/>
    <w:rsid w:val="00D70822"/>
    <w:rsid w:val="00D70B9A"/>
    <w:rsid w:val="00D70D26"/>
    <w:rsid w:val="00D71FCB"/>
    <w:rsid w:val="00D72076"/>
    <w:rsid w:val="00D730BF"/>
    <w:rsid w:val="00D743E0"/>
    <w:rsid w:val="00D748BE"/>
    <w:rsid w:val="00D77252"/>
    <w:rsid w:val="00D77B7E"/>
    <w:rsid w:val="00D8084C"/>
    <w:rsid w:val="00D82EF1"/>
    <w:rsid w:val="00D82FE8"/>
    <w:rsid w:val="00D84C89"/>
    <w:rsid w:val="00D84F43"/>
    <w:rsid w:val="00D85821"/>
    <w:rsid w:val="00D8598C"/>
    <w:rsid w:val="00D878AC"/>
    <w:rsid w:val="00D87C06"/>
    <w:rsid w:val="00D9115F"/>
    <w:rsid w:val="00D915EA"/>
    <w:rsid w:val="00D918D2"/>
    <w:rsid w:val="00D928BE"/>
    <w:rsid w:val="00D931CB"/>
    <w:rsid w:val="00D947E0"/>
    <w:rsid w:val="00D95C5D"/>
    <w:rsid w:val="00D9793F"/>
    <w:rsid w:val="00D97C81"/>
    <w:rsid w:val="00D97D00"/>
    <w:rsid w:val="00DA096C"/>
    <w:rsid w:val="00DA1AB6"/>
    <w:rsid w:val="00DA439F"/>
    <w:rsid w:val="00DA467C"/>
    <w:rsid w:val="00DA47EA"/>
    <w:rsid w:val="00DA6364"/>
    <w:rsid w:val="00DA6428"/>
    <w:rsid w:val="00DA694D"/>
    <w:rsid w:val="00DA7114"/>
    <w:rsid w:val="00DA7A18"/>
    <w:rsid w:val="00DA7C0C"/>
    <w:rsid w:val="00DB08A9"/>
    <w:rsid w:val="00DB2DFA"/>
    <w:rsid w:val="00DB2EC8"/>
    <w:rsid w:val="00DB3CD3"/>
    <w:rsid w:val="00DB4532"/>
    <w:rsid w:val="00DC17D0"/>
    <w:rsid w:val="00DC1D3B"/>
    <w:rsid w:val="00DC2B41"/>
    <w:rsid w:val="00DC435B"/>
    <w:rsid w:val="00DC56FE"/>
    <w:rsid w:val="00DC5B3B"/>
    <w:rsid w:val="00DC6C2D"/>
    <w:rsid w:val="00DC7B1A"/>
    <w:rsid w:val="00DD001B"/>
    <w:rsid w:val="00DD02B4"/>
    <w:rsid w:val="00DD0C3A"/>
    <w:rsid w:val="00DD129F"/>
    <w:rsid w:val="00DD1892"/>
    <w:rsid w:val="00DD2222"/>
    <w:rsid w:val="00DD32DD"/>
    <w:rsid w:val="00DD3365"/>
    <w:rsid w:val="00DD358B"/>
    <w:rsid w:val="00DD5C92"/>
    <w:rsid w:val="00DD649D"/>
    <w:rsid w:val="00DE0D8B"/>
    <w:rsid w:val="00DE2D19"/>
    <w:rsid w:val="00DE6995"/>
    <w:rsid w:val="00DE76D5"/>
    <w:rsid w:val="00DF05EE"/>
    <w:rsid w:val="00DF1AE5"/>
    <w:rsid w:val="00DF2BD4"/>
    <w:rsid w:val="00DF3643"/>
    <w:rsid w:val="00DF42FF"/>
    <w:rsid w:val="00DF5D1E"/>
    <w:rsid w:val="00DF74E3"/>
    <w:rsid w:val="00E01C0E"/>
    <w:rsid w:val="00E026EA"/>
    <w:rsid w:val="00E02A11"/>
    <w:rsid w:val="00E03477"/>
    <w:rsid w:val="00E0368F"/>
    <w:rsid w:val="00E03D73"/>
    <w:rsid w:val="00E03F9A"/>
    <w:rsid w:val="00E04694"/>
    <w:rsid w:val="00E06CDC"/>
    <w:rsid w:val="00E06ED3"/>
    <w:rsid w:val="00E129E7"/>
    <w:rsid w:val="00E12ABE"/>
    <w:rsid w:val="00E12B1E"/>
    <w:rsid w:val="00E1444C"/>
    <w:rsid w:val="00E15860"/>
    <w:rsid w:val="00E15C16"/>
    <w:rsid w:val="00E17262"/>
    <w:rsid w:val="00E1790A"/>
    <w:rsid w:val="00E20016"/>
    <w:rsid w:val="00E2009B"/>
    <w:rsid w:val="00E21D4C"/>
    <w:rsid w:val="00E2251C"/>
    <w:rsid w:val="00E2363D"/>
    <w:rsid w:val="00E253A2"/>
    <w:rsid w:val="00E25D19"/>
    <w:rsid w:val="00E27127"/>
    <w:rsid w:val="00E27233"/>
    <w:rsid w:val="00E30205"/>
    <w:rsid w:val="00E31771"/>
    <w:rsid w:val="00E32080"/>
    <w:rsid w:val="00E3309D"/>
    <w:rsid w:val="00E37146"/>
    <w:rsid w:val="00E37446"/>
    <w:rsid w:val="00E37ED2"/>
    <w:rsid w:val="00E40573"/>
    <w:rsid w:val="00E417BE"/>
    <w:rsid w:val="00E41CD5"/>
    <w:rsid w:val="00E43A9E"/>
    <w:rsid w:val="00E44C70"/>
    <w:rsid w:val="00E453F9"/>
    <w:rsid w:val="00E45D7D"/>
    <w:rsid w:val="00E47854"/>
    <w:rsid w:val="00E47EBA"/>
    <w:rsid w:val="00E50156"/>
    <w:rsid w:val="00E5076C"/>
    <w:rsid w:val="00E50D53"/>
    <w:rsid w:val="00E51151"/>
    <w:rsid w:val="00E51B88"/>
    <w:rsid w:val="00E53470"/>
    <w:rsid w:val="00E539F6"/>
    <w:rsid w:val="00E55791"/>
    <w:rsid w:val="00E564DD"/>
    <w:rsid w:val="00E56587"/>
    <w:rsid w:val="00E578A2"/>
    <w:rsid w:val="00E61740"/>
    <w:rsid w:val="00E61EB5"/>
    <w:rsid w:val="00E6519D"/>
    <w:rsid w:val="00E67305"/>
    <w:rsid w:val="00E67696"/>
    <w:rsid w:val="00E704B5"/>
    <w:rsid w:val="00E7152C"/>
    <w:rsid w:val="00E71A58"/>
    <w:rsid w:val="00E71D50"/>
    <w:rsid w:val="00E72A26"/>
    <w:rsid w:val="00E72A7A"/>
    <w:rsid w:val="00E735CE"/>
    <w:rsid w:val="00E747DC"/>
    <w:rsid w:val="00E75C94"/>
    <w:rsid w:val="00E76B9B"/>
    <w:rsid w:val="00E76E61"/>
    <w:rsid w:val="00E80CA3"/>
    <w:rsid w:val="00E82618"/>
    <w:rsid w:val="00E83099"/>
    <w:rsid w:val="00E92543"/>
    <w:rsid w:val="00E930A1"/>
    <w:rsid w:val="00E93820"/>
    <w:rsid w:val="00E94A86"/>
    <w:rsid w:val="00E96143"/>
    <w:rsid w:val="00E96833"/>
    <w:rsid w:val="00EA0C68"/>
    <w:rsid w:val="00EA2261"/>
    <w:rsid w:val="00EA32BC"/>
    <w:rsid w:val="00EA35A7"/>
    <w:rsid w:val="00EA4402"/>
    <w:rsid w:val="00EA513E"/>
    <w:rsid w:val="00EA7B9D"/>
    <w:rsid w:val="00EB0C26"/>
    <w:rsid w:val="00EB0E32"/>
    <w:rsid w:val="00EB2510"/>
    <w:rsid w:val="00EB3543"/>
    <w:rsid w:val="00EB3E07"/>
    <w:rsid w:val="00EB4511"/>
    <w:rsid w:val="00EB4A8E"/>
    <w:rsid w:val="00EB5BF7"/>
    <w:rsid w:val="00EB5CBE"/>
    <w:rsid w:val="00EB5E79"/>
    <w:rsid w:val="00EB6FAC"/>
    <w:rsid w:val="00EC03D7"/>
    <w:rsid w:val="00EC13A7"/>
    <w:rsid w:val="00EC26AA"/>
    <w:rsid w:val="00EC4C77"/>
    <w:rsid w:val="00EC6EB1"/>
    <w:rsid w:val="00ED0EF0"/>
    <w:rsid w:val="00ED12B9"/>
    <w:rsid w:val="00ED16B8"/>
    <w:rsid w:val="00ED19BA"/>
    <w:rsid w:val="00ED2B77"/>
    <w:rsid w:val="00ED2EA1"/>
    <w:rsid w:val="00ED45F2"/>
    <w:rsid w:val="00ED4D04"/>
    <w:rsid w:val="00ED62C6"/>
    <w:rsid w:val="00ED64C1"/>
    <w:rsid w:val="00ED794B"/>
    <w:rsid w:val="00EE22E9"/>
    <w:rsid w:val="00EE3446"/>
    <w:rsid w:val="00EE3E78"/>
    <w:rsid w:val="00EE4B1B"/>
    <w:rsid w:val="00EF07BE"/>
    <w:rsid w:val="00EF07E2"/>
    <w:rsid w:val="00EF0F6B"/>
    <w:rsid w:val="00EF150D"/>
    <w:rsid w:val="00EF19A8"/>
    <w:rsid w:val="00EF1F5A"/>
    <w:rsid w:val="00EF22EA"/>
    <w:rsid w:val="00EF2DCB"/>
    <w:rsid w:val="00EF4782"/>
    <w:rsid w:val="00EF47BF"/>
    <w:rsid w:val="00EF55D6"/>
    <w:rsid w:val="00EF5A13"/>
    <w:rsid w:val="00EF5FF9"/>
    <w:rsid w:val="00EF6866"/>
    <w:rsid w:val="00F0056A"/>
    <w:rsid w:val="00F0160B"/>
    <w:rsid w:val="00F02EA2"/>
    <w:rsid w:val="00F03F8D"/>
    <w:rsid w:val="00F04811"/>
    <w:rsid w:val="00F0488C"/>
    <w:rsid w:val="00F04D7F"/>
    <w:rsid w:val="00F05DAA"/>
    <w:rsid w:val="00F073ED"/>
    <w:rsid w:val="00F07C4C"/>
    <w:rsid w:val="00F10A85"/>
    <w:rsid w:val="00F10F11"/>
    <w:rsid w:val="00F12CFB"/>
    <w:rsid w:val="00F150FC"/>
    <w:rsid w:val="00F15AAA"/>
    <w:rsid w:val="00F15BEF"/>
    <w:rsid w:val="00F15D99"/>
    <w:rsid w:val="00F17898"/>
    <w:rsid w:val="00F207C2"/>
    <w:rsid w:val="00F219A1"/>
    <w:rsid w:val="00F23E20"/>
    <w:rsid w:val="00F24407"/>
    <w:rsid w:val="00F24FAA"/>
    <w:rsid w:val="00F25040"/>
    <w:rsid w:val="00F256C9"/>
    <w:rsid w:val="00F26B41"/>
    <w:rsid w:val="00F27331"/>
    <w:rsid w:val="00F30852"/>
    <w:rsid w:val="00F30C65"/>
    <w:rsid w:val="00F31B1A"/>
    <w:rsid w:val="00F3364D"/>
    <w:rsid w:val="00F33751"/>
    <w:rsid w:val="00F347FE"/>
    <w:rsid w:val="00F349BF"/>
    <w:rsid w:val="00F34C7D"/>
    <w:rsid w:val="00F3720E"/>
    <w:rsid w:val="00F41A03"/>
    <w:rsid w:val="00F425F8"/>
    <w:rsid w:val="00F42755"/>
    <w:rsid w:val="00F42C11"/>
    <w:rsid w:val="00F437CC"/>
    <w:rsid w:val="00F44537"/>
    <w:rsid w:val="00F44D78"/>
    <w:rsid w:val="00F44F83"/>
    <w:rsid w:val="00F46185"/>
    <w:rsid w:val="00F46423"/>
    <w:rsid w:val="00F46561"/>
    <w:rsid w:val="00F465F4"/>
    <w:rsid w:val="00F4696A"/>
    <w:rsid w:val="00F46C86"/>
    <w:rsid w:val="00F47067"/>
    <w:rsid w:val="00F47413"/>
    <w:rsid w:val="00F524C4"/>
    <w:rsid w:val="00F525EB"/>
    <w:rsid w:val="00F53324"/>
    <w:rsid w:val="00F555DE"/>
    <w:rsid w:val="00F56432"/>
    <w:rsid w:val="00F60EE8"/>
    <w:rsid w:val="00F61111"/>
    <w:rsid w:val="00F6160D"/>
    <w:rsid w:val="00F63AAE"/>
    <w:rsid w:val="00F63DDE"/>
    <w:rsid w:val="00F63FB7"/>
    <w:rsid w:val="00F6421B"/>
    <w:rsid w:val="00F649D2"/>
    <w:rsid w:val="00F658CA"/>
    <w:rsid w:val="00F6602B"/>
    <w:rsid w:val="00F7150B"/>
    <w:rsid w:val="00F72D2E"/>
    <w:rsid w:val="00F73A0C"/>
    <w:rsid w:val="00F74563"/>
    <w:rsid w:val="00F756DB"/>
    <w:rsid w:val="00F767A8"/>
    <w:rsid w:val="00F80764"/>
    <w:rsid w:val="00F81380"/>
    <w:rsid w:val="00F83297"/>
    <w:rsid w:val="00F8416A"/>
    <w:rsid w:val="00F8469E"/>
    <w:rsid w:val="00F84E7D"/>
    <w:rsid w:val="00F85066"/>
    <w:rsid w:val="00F87A4D"/>
    <w:rsid w:val="00F90C60"/>
    <w:rsid w:val="00F93688"/>
    <w:rsid w:val="00F939F3"/>
    <w:rsid w:val="00F9481E"/>
    <w:rsid w:val="00F94EA6"/>
    <w:rsid w:val="00F95139"/>
    <w:rsid w:val="00F95167"/>
    <w:rsid w:val="00F952EE"/>
    <w:rsid w:val="00F9539D"/>
    <w:rsid w:val="00F95717"/>
    <w:rsid w:val="00F9672C"/>
    <w:rsid w:val="00F96BFA"/>
    <w:rsid w:val="00F97CDD"/>
    <w:rsid w:val="00FA0250"/>
    <w:rsid w:val="00FA03BB"/>
    <w:rsid w:val="00FA04BB"/>
    <w:rsid w:val="00FA05A0"/>
    <w:rsid w:val="00FA17CC"/>
    <w:rsid w:val="00FA1F01"/>
    <w:rsid w:val="00FA36BC"/>
    <w:rsid w:val="00FA456C"/>
    <w:rsid w:val="00FA4FEB"/>
    <w:rsid w:val="00FA5112"/>
    <w:rsid w:val="00FA5526"/>
    <w:rsid w:val="00FA5D4D"/>
    <w:rsid w:val="00FA6549"/>
    <w:rsid w:val="00FA70D3"/>
    <w:rsid w:val="00FA7D28"/>
    <w:rsid w:val="00FB0EE2"/>
    <w:rsid w:val="00FB1A79"/>
    <w:rsid w:val="00FB208B"/>
    <w:rsid w:val="00FB2B2D"/>
    <w:rsid w:val="00FB542E"/>
    <w:rsid w:val="00FB6F10"/>
    <w:rsid w:val="00FC05F8"/>
    <w:rsid w:val="00FC0696"/>
    <w:rsid w:val="00FC0E5F"/>
    <w:rsid w:val="00FC13E6"/>
    <w:rsid w:val="00FC1A95"/>
    <w:rsid w:val="00FC1F20"/>
    <w:rsid w:val="00FC2C2C"/>
    <w:rsid w:val="00FC3BEC"/>
    <w:rsid w:val="00FC440B"/>
    <w:rsid w:val="00FC56DE"/>
    <w:rsid w:val="00FC64DE"/>
    <w:rsid w:val="00FC684B"/>
    <w:rsid w:val="00FC7179"/>
    <w:rsid w:val="00FC7723"/>
    <w:rsid w:val="00FC7D98"/>
    <w:rsid w:val="00FD1135"/>
    <w:rsid w:val="00FD3265"/>
    <w:rsid w:val="00FD34FA"/>
    <w:rsid w:val="00FD3CF7"/>
    <w:rsid w:val="00FD4916"/>
    <w:rsid w:val="00FD4D12"/>
    <w:rsid w:val="00FD69FC"/>
    <w:rsid w:val="00FD7CD9"/>
    <w:rsid w:val="00FE05D3"/>
    <w:rsid w:val="00FE1837"/>
    <w:rsid w:val="00FE27C7"/>
    <w:rsid w:val="00FE2C7E"/>
    <w:rsid w:val="00FE2F78"/>
    <w:rsid w:val="00FE3137"/>
    <w:rsid w:val="00FE48E4"/>
    <w:rsid w:val="00FE50A9"/>
    <w:rsid w:val="00FE5BDA"/>
    <w:rsid w:val="00FE634C"/>
    <w:rsid w:val="00FE790C"/>
    <w:rsid w:val="00FF01C3"/>
    <w:rsid w:val="00FF3C76"/>
    <w:rsid w:val="00FF580E"/>
    <w:rsid w:val="00FF7427"/>
    <w:rsid w:val="00FF7B96"/>
    <w:rsid w:val="00FF7F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vrendokumentu">
    <w:name w:val="Document Map"/>
    <w:basedOn w:val="Normln"/>
    <w:link w:val="RozvrendokumentuChar"/>
    <w:uiPriority w:val="99"/>
    <w:semiHidden/>
    <w:rsid w:val="00AD5AD2"/>
    <w:pPr>
      <w:spacing w:after="0" w:line="288" w:lineRule="auto"/>
      <w:jc w:val="left"/>
    </w:pPr>
    <w:rPr>
      <w:rFonts w:ascii="Tahoma" w:eastAsia="Calibri" w:hAnsi="Tahoma" w:cs="Tahoma"/>
      <w:sz w:val="16"/>
      <w:szCs w:val="16"/>
    </w:rPr>
  </w:style>
  <w:style w:type="character" w:customStyle="1" w:styleId="RozvrendokumentuChar">
    <w:name w:val="Rozvržení dokumentu Char"/>
    <w:basedOn w:val="Standardnpsmoodstavce"/>
    <w:link w:val="Rozvr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8\QMakro\1.pololet&#237;-2018\Anglick&#225;%20verze\ENGL-Grafy-trh%20pr&#225;ce-2018-2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8\QMakro\1.pololet&#237;-2018\Anglick&#225;%20verze\ENGL-Grafy-trh%20pr&#225;ce-2018-2q.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18\QMakro\1.pololet&#237;-2018\Anglick&#225;%20verze\ENGL-Grafy-trh%20pr&#225;ce-2018-2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3306663279993532E-2"/>
          <c:y val="1.6549886621315353E-2"/>
          <c:w val="0.92698007507126057"/>
          <c:h val="0.73872874149660062"/>
        </c:manualLayout>
      </c:layout>
      <c:barChart>
        <c:barDir val="col"/>
        <c:grouping val="clustered"/>
        <c:ser>
          <c:idx val="0"/>
          <c:order val="0"/>
          <c:tx>
            <c:strRef>
              <c:f>'Trh práce 1'!$C$7</c:f>
              <c:strCache>
                <c:ptCount val="1"/>
                <c:pt idx="0">
                  <c:v>Total employment</c:v>
                </c:pt>
              </c:strCache>
            </c:strRef>
          </c:tx>
          <c:spPr>
            <a:solidFill>
              <a:schemeClr val="bg1">
                <a:lumMod val="50000"/>
              </a:schemeClr>
            </a:solidFill>
          </c:spPr>
          <c:cat>
            <c:multiLvlStrRef>
              <c:f>'Trh práce 1'!$A$8:$B$41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1'!$C$8:$C$41</c:f>
              <c:numCache>
                <c:formatCode>#,##0.0</c:formatCode>
                <c:ptCount val="34"/>
                <c:pt idx="0" formatCode="0.0">
                  <c:v>-2.7381041866623446</c:v>
                </c:pt>
                <c:pt idx="1">
                  <c:v>-1.2505567915665665</c:v>
                </c:pt>
                <c:pt idx="2">
                  <c:v>-0.17427926968461802</c:v>
                </c:pt>
                <c:pt idx="3">
                  <c:v>6.0614151097240714E-2</c:v>
                </c:pt>
                <c:pt idx="4" formatCode="0.0">
                  <c:v>0.11145596456296393</c:v>
                </c:pt>
                <c:pt idx="5">
                  <c:v>-4.6137088139772704E-3</c:v>
                </c:pt>
                <c:pt idx="6">
                  <c:v>-0.42422240518249127</c:v>
                </c:pt>
                <c:pt idx="7">
                  <c:v>-0.77006647161285002</c:v>
                </c:pt>
                <c:pt idx="8" formatCode="0.0">
                  <c:v>-5.1815959871305502E-2</c:v>
                </c:pt>
                <c:pt idx="9">
                  <c:v>0.17631913605207258</c:v>
                </c:pt>
                <c:pt idx="10">
                  <c:v>0.66708744164915945</c:v>
                </c:pt>
                <c:pt idx="11">
                  <c:v>0.88890301106958802</c:v>
                </c:pt>
                <c:pt idx="12" formatCode="0.0">
                  <c:v>0.4561612444818901</c:v>
                </c:pt>
                <c:pt idx="13">
                  <c:v>0.7108747107537291</c:v>
                </c:pt>
                <c:pt idx="14">
                  <c:v>0.10068664831696604</c:v>
                </c:pt>
                <c:pt idx="15">
                  <c:v>2.3089733040947628E-2</c:v>
                </c:pt>
                <c:pt idx="16" formatCode="0.0">
                  <c:v>0.5716938793137718</c:v>
                </c:pt>
                <c:pt idx="17">
                  <c:v>8.8541257752993485E-2</c:v>
                </c:pt>
                <c:pt idx="18">
                  <c:v>0.60803248290413592</c:v>
                </c:pt>
                <c:pt idx="19">
                  <c:v>0.94037946192678135</c:v>
                </c:pt>
                <c:pt idx="20" formatCode="0.0">
                  <c:v>1.2799033071129144</c:v>
                </c:pt>
                <c:pt idx="21">
                  <c:v>1.7553744025418319</c:v>
                </c:pt>
                <c:pt idx="22">
                  <c:v>1.3207067653574698</c:v>
                </c:pt>
                <c:pt idx="23">
                  <c:v>1.3555691727477779</c:v>
                </c:pt>
                <c:pt idx="24" formatCode="0.0">
                  <c:v>1.5606007684247203</c:v>
                </c:pt>
                <c:pt idx="25">
                  <c:v>1.4363180243380798</c:v>
                </c:pt>
                <c:pt idx="26">
                  <c:v>1.5066818180591337</c:v>
                </c:pt>
                <c:pt idx="27">
                  <c:v>1.8553413510311998</c:v>
                </c:pt>
                <c:pt idx="28" formatCode="0.0">
                  <c:v>1.4581308045513321</c:v>
                </c:pt>
                <c:pt idx="29">
                  <c:v>1.3544793041543386</c:v>
                </c:pt>
                <c:pt idx="30">
                  <c:v>1.971163799571116</c:v>
                </c:pt>
                <c:pt idx="31">
                  <c:v>1.4311104245249311</c:v>
                </c:pt>
                <c:pt idx="32" formatCode="0.0">
                  <c:v>1.72449313954057</c:v>
                </c:pt>
                <c:pt idx="33">
                  <c:v>1.8987362225993958</c:v>
                </c:pt>
              </c:numCache>
            </c:numRef>
          </c:val>
        </c:ser>
        <c:ser>
          <c:idx val="1"/>
          <c:order val="1"/>
          <c:tx>
            <c:strRef>
              <c:f>'Trh práce 1'!$D$7</c:f>
              <c:strCache>
                <c:ptCount val="1"/>
                <c:pt idx="0">
                  <c:v>In that employees</c:v>
                </c:pt>
              </c:strCache>
            </c:strRef>
          </c:tx>
          <c:spPr>
            <a:solidFill>
              <a:srgbClr val="B4B4B4"/>
            </a:solidFill>
          </c:spPr>
          <c:cat>
            <c:multiLvlStrRef>
              <c:f>'Trh práce 1'!$A$8:$B$41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1'!$D$8:$D$41</c:f>
              <c:numCache>
                <c:formatCode>#,##0.0</c:formatCode>
                <c:ptCount val="34"/>
                <c:pt idx="0" formatCode="0.0">
                  <c:v>-3.7238599978920948</c:v>
                </c:pt>
                <c:pt idx="1">
                  <c:v>-2.2250199470258591</c:v>
                </c:pt>
                <c:pt idx="2">
                  <c:v>-0.93022834124350595</c:v>
                </c:pt>
                <c:pt idx="3">
                  <c:v>-0.89032927193726075</c:v>
                </c:pt>
                <c:pt idx="4" formatCode="0.0">
                  <c:v>-0.12341609911226215</c:v>
                </c:pt>
                <c:pt idx="5">
                  <c:v>-0.18672815126416278</c:v>
                </c:pt>
                <c:pt idx="6">
                  <c:v>-0.66709420391367935</c:v>
                </c:pt>
                <c:pt idx="7">
                  <c:v>-1.0192253136113998</c:v>
                </c:pt>
                <c:pt idx="8" formatCode="0.0">
                  <c:v>-0.29166536743647958</c:v>
                </c:pt>
                <c:pt idx="9">
                  <c:v>9.4588410678824217E-2</c:v>
                </c:pt>
                <c:pt idx="10">
                  <c:v>1.1245661662085542</c:v>
                </c:pt>
                <c:pt idx="11">
                  <c:v>1.4587153264166661</c:v>
                </c:pt>
                <c:pt idx="12" formatCode="0.0">
                  <c:v>1.3720202353557625</c:v>
                </c:pt>
                <c:pt idx="13">
                  <c:v>1.637001199501342</c:v>
                </c:pt>
                <c:pt idx="14">
                  <c:v>0.33183104158504806</c:v>
                </c:pt>
                <c:pt idx="15">
                  <c:v>0.47892798705022765</c:v>
                </c:pt>
                <c:pt idx="16" formatCode="0.0">
                  <c:v>0.6628196747670646</c:v>
                </c:pt>
                <c:pt idx="17">
                  <c:v>0.1890145714189515</c:v>
                </c:pt>
                <c:pt idx="18">
                  <c:v>1.256531434938978</c:v>
                </c:pt>
                <c:pt idx="19">
                  <c:v>1.433287010929547</c:v>
                </c:pt>
                <c:pt idx="20" formatCode="0.0">
                  <c:v>1.7993583769695363</c:v>
                </c:pt>
                <c:pt idx="21">
                  <c:v>2.2053914248097755</c:v>
                </c:pt>
                <c:pt idx="22">
                  <c:v>1.7713405899241366</c:v>
                </c:pt>
                <c:pt idx="23">
                  <c:v>2.0227470417809208</c:v>
                </c:pt>
                <c:pt idx="24" formatCode="0.0">
                  <c:v>2.3559401045087696</c:v>
                </c:pt>
                <c:pt idx="25">
                  <c:v>1.8360439848082593</c:v>
                </c:pt>
                <c:pt idx="26">
                  <c:v>1.6567099736308266</c:v>
                </c:pt>
                <c:pt idx="27">
                  <c:v>1.5009092671482298</c:v>
                </c:pt>
                <c:pt idx="28" formatCode="0.0">
                  <c:v>1.1774496686166742</c:v>
                </c:pt>
                <c:pt idx="29">
                  <c:v>1.5793912477550947</c:v>
                </c:pt>
                <c:pt idx="30">
                  <c:v>2.2718731045776366</c:v>
                </c:pt>
                <c:pt idx="31">
                  <c:v>2.2289851379571988</c:v>
                </c:pt>
                <c:pt idx="32" formatCode="0.0">
                  <c:v>2.1005323013383492</c:v>
                </c:pt>
                <c:pt idx="33">
                  <c:v>2.2242234310416791</c:v>
                </c:pt>
              </c:numCache>
            </c:numRef>
          </c:val>
        </c:ser>
        <c:gapWidth val="39"/>
        <c:axId val="146676736"/>
        <c:axId val="146728064"/>
      </c:barChart>
      <c:lineChart>
        <c:grouping val="standard"/>
        <c:ser>
          <c:idx val="2"/>
          <c:order val="2"/>
          <c:tx>
            <c:strRef>
              <c:f>'Trh práce 1'!$E$7</c:f>
              <c:strCache>
                <c:ptCount val="1"/>
                <c:pt idx="0">
                  <c:v>Manufacturing</c:v>
                </c:pt>
              </c:strCache>
            </c:strRef>
          </c:tx>
          <c:spPr>
            <a:ln w="19050">
              <a:solidFill>
                <a:srgbClr val="0071BC"/>
              </a:solidFill>
            </a:ln>
          </c:spPr>
          <c:marker>
            <c:symbol val="none"/>
          </c:marker>
          <c:cat>
            <c:multiLvlStrRef>
              <c:f>'Trh práce 1'!$A$8:$B$41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1'!$E$8:$E$41</c:f>
              <c:numCache>
                <c:formatCode>#,##0.0</c:formatCode>
                <c:ptCount val="34"/>
                <c:pt idx="0" formatCode="0.0">
                  <c:v>-7.1332078462748711</c:v>
                </c:pt>
                <c:pt idx="1">
                  <c:v>-3.3482411734364477</c:v>
                </c:pt>
                <c:pt idx="2">
                  <c:v>-1.2052631661814672</c:v>
                </c:pt>
                <c:pt idx="3">
                  <c:v>-0.57107831908665219</c:v>
                </c:pt>
                <c:pt idx="4" formatCode="0.0">
                  <c:v>3.9580574022400277</c:v>
                </c:pt>
                <c:pt idx="5">
                  <c:v>4.2919823025534782</c:v>
                </c:pt>
                <c:pt idx="6">
                  <c:v>3.8646896455003912</c:v>
                </c:pt>
                <c:pt idx="7">
                  <c:v>2.3288126114159979</c:v>
                </c:pt>
                <c:pt idx="8" formatCode="0.0">
                  <c:v>0.6016137349142241</c:v>
                </c:pt>
                <c:pt idx="9">
                  <c:v>0.50971749516826037</c:v>
                </c:pt>
                <c:pt idx="10">
                  <c:v>1.203496561438385</c:v>
                </c:pt>
                <c:pt idx="11">
                  <c:v>1.6445011338308591</c:v>
                </c:pt>
                <c:pt idx="12" formatCode="0.0">
                  <c:v>-0.18120299422963626</c:v>
                </c:pt>
                <c:pt idx="13">
                  <c:v>0.16218486178085792</c:v>
                </c:pt>
                <c:pt idx="14">
                  <c:v>-0.4013981847250393</c:v>
                </c:pt>
                <c:pt idx="15">
                  <c:v>-0.21393208859125015</c:v>
                </c:pt>
                <c:pt idx="16" formatCode="0.0">
                  <c:v>0.79071862165065454</c:v>
                </c:pt>
                <c:pt idx="17">
                  <c:v>0.76464129428227234</c:v>
                </c:pt>
                <c:pt idx="18">
                  <c:v>1.5390716097192718</c:v>
                </c:pt>
                <c:pt idx="19">
                  <c:v>2.0806847032475599</c:v>
                </c:pt>
                <c:pt idx="20" formatCode="0.0">
                  <c:v>3.4865140664336582</c:v>
                </c:pt>
                <c:pt idx="21">
                  <c:v>3.6924773080814952</c:v>
                </c:pt>
                <c:pt idx="22">
                  <c:v>3.1131166772233891</c:v>
                </c:pt>
                <c:pt idx="23">
                  <c:v>3.7778262652801153</c:v>
                </c:pt>
                <c:pt idx="24" formatCode="0.0">
                  <c:v>3.3181239122508397</c:v>
                </c:pt>
                <c:pt idx="25">
                  <c:v>2.4934494064047881</c:v>
                </c:pt>
                <c:pt idx="26">
                  <c:v>2.752988522793018</c:v>
                </c:pt>
                <c:pt idx="27">
                  <c:v>2.2496840818432142</c:v>
                </c:pt>
                <c:pt idx="28" formatCode="0.0">
                  <c:v>0.71909348215268665</c:v>
                </c:pt>
                <c:pt idx="29">
                  <c:v>1.1727323562576828</c:v>
                </c:pt>
                <c:pt idx="30">
                  <c:v>1.6495621401575846</c:v>
                </c:pt>
                <c:pt idx="31">
                  <c:v>1.6025319425267821</c:v>
                </c:pt>
                <c:pt idx="32" formatCode="0.0">
                  <c:v>2.4397042593575158</c:v>
                </c:pt>
                <c:pt idx="33">
                  <c:v>2.0667152655168772</c:v>
                </c:pt>
              </c:numCache>
            </c:numRef>
          </c:val>
        </c:ser>
        <c:ser>
          <c:idx val="3"/>
          <c:order val="3"/>
          <c:tx>
            <c:strRef>
              <c:f>'Trh práce 1'!$F$7</c:f>
              <c:strCache>
                <c:ptCount val="1"/>
                <c:pt idx="0">
                  <c:v>Construction</c:v>
                </c:pt>
              </c:strCache>
            </c:strRef>
          </c:tx>
          <c:spPr>
            <a:ln w="19050">
              <a:solidFill>
                <a:srgbClr val="7DBB2D"/>
              </a:solidFill>
            </a:ln>
          </c:spPr>
          <c:marker>
            <c:symbol val="none"/>
          </c:marker>
          <c:cat>
            <c:multiLvlStrRef>
              <c:f>'Trh práce 1'!$A$8:$B$41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1'!$F$8:$F$41</c:f>
              <c:numCache>
                <c:formatCode>#,##0.0</c:formatCode>
                <c:ptCount val="34"/>
                <c:pt idx="0" formatCode="0.0">
                  <c:v>1.017150907000584</c:v>
                </c:pt>
                <c:pt idx="1">
                  <c:v>1.5693791045548409</c:v>
                </c:pt>
                <c:pt idx="2">
                  <c:v>2.0348623615295187</c:v>
                </c:pt>
                <c:pt idx="3">
                  <c:v>2.0719031464400643</c:v>
                </c:pt>
                <c:pt idx="4" formatCode="0.0">
                  <c:v>-4.9720244150559552</c:v>
                </c:pt>
                <c:pt idx="5">
                  <c:v>-4.9425484989163522</c:v>
                </c:pt>
                <c:pt idx="6">
                  <c:v>-5.3929895160436265</c:v>
                </c:pt>
                <c:pt idx="7">
                  <c:v>-5.2321963671733158</c:v>
                </c:pt>
                <c:pt idx="8" formatCode="0.0">
                  <c:v>-0.97885721932289116</c:v>
                </c:pt>
                <c:pt idx="9">
                  <c:v>-0.65027723873348164</c:v>
                </c:pt>
                <c:pt idx="10">
                  <c:v>-1.6611184117737869</c:v>
                </c:pt>
                <c:pt idx="11">
                  <c:v>-1.8463324339587106</c:v>
                </c:pt>
                <c:pt idx="12" formatCode="0.0">
                  <c:v>-2.4007243390068709</c:v>
                </c:pt>
                <c:pt idx="13">
                  <c:v>-3.6830996837470344</c:v>
                </c:pt>
                <c:pt idx="14">
                  <c:v>-2.212549542761014</c:v>
                </c:pt>
                <c:pt idx="15">
                  <c:v>-1.1077701445443751</c:v>
                </c:pt>
                <c:pt idx="16" formatCode="0.0">
                  <c:v>-5.0446309065566295</c:v>
                </c:pt>
                <c:pt idx="17">
                  <c:v>-3.6409800448530012</c:v>
                </c:pt>
                <c:pt idx="18">
                  <c:v>-4.2835724994645625</c:v>
                </c:pt>
                <c:pt idx="19">
                  <c:v>-5.2633644622470541</c:v>
                </c:pt>
                <c:pt idx="20" formatCode="0.0">
                  <c:v>-0.14824824046351659</c:v>
                </c:pt>
                <c:pt idx="21">
                  <c:v>-6.0303844188425174E-2</c:v>
                </c:pt>
                <c:pt idx="22">
                  <c:v>-0.63237568953272261</c:v>
                </c:pt>
                <c:pt idx="23">
                  <c:v>-1.015969411254372</c:v>
                </c:pt>
                <c:pt idx="24" formatCode="0.0">
                  <c:v>-2.1868656629233243</c:v>
                </c:pt>
                <c:pt idx="25">
                  <c:v>-2.5342897300441067</c:v>
                </c:pt>
                <c:pt idx="26">
                  <c:v>-1.1176165346544309</c:v>
                </c:pt>
                <c:pt idx="27">
                  <c:v>-0.83584044433720861</c:v>
                </c:pt>
                <c:pt idx="28" formatCode="0.0">
                  <c:v>-2.8864553084645195E-2</c:v>
                </c:pt>
                <c:pt idx="29">
                  <c:v>-9.1247681513266329E-2</c:v>
                </c:pt>
                <c:pt idx="30">
                  <c:v>0.82503675906350793</c:v>
                </c:pt>
                <c:pt idx="31">
                  <c:v>-1.0750205445612142</c:v>
                </c:pt>
                <c:pt idx="32" formatCode="0.0">
                  <c:v>-0.5702395205109525</c:v>
                </c:pt>
                <c:pt idx="33">
                  <c:v>-0.71770751676683664</c:v>
                </c:pt>
              </c:numCache>
            </c:numRef>
          </c:val>
        </c:ser>
        <c:ser>
          <c:idx val="4"/>
          <c:order val="4"/>
          <c:tx>
            <c:strRef>
              <c:f>'Trh práce 1'!$G$7</c:f>
              <c:strCache>
                <c:ptCount val="1"/>
                <c:pt idx="0">
                  <c:v>Trade,transport,accommod.,food service</c:v>
                </c:pt>
              </c:strCache>
            </c:strRef>
          </c:tx>
          <c:spPr>
            <a:ln w="19050">
              <a:solidFill>
                <a:srgbClr val="BD1B21"/>
              </a:solidFill>
            </a:ln>
          </c:spPr>
          <c:marker>
            <c:symbol val="none"/>
          </c:marker>
          <c:cat>
            <c:multiLvlStrRef>
              <c:f>'Trh práce 1'!$A$8:$B$41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1'!$G$8:$G$41</c:f>
              <c:numCache>
                <c:formatCode>#,##0.0</c:formatCode>
                <c:ptCount val="34"/>
                <c:pt idx="0" formatCode="0.0">
                  <c:v>-1.3633198763318581</c:v>
                </c:pt>
                <c:pt idx="1">
                  <c:v>-0.54035622593067956</c:v>
                </c:pt>
                <c:pt idx="2">
                  <c:v>0.5593068728222611</c:v>
                </c:pt>
                <c:pt idx="3">
                  <c:v>1.0934620603885901</c:v>
                </c:pt>
                <c:pt idx="4" formatCode="0.0">
                  <c:v>-0.18173575863548327</c:v>
                </c:pt>
                <c:pt idx="5">
                  <c:v>-0.33952721098037891</c:v>
                </c:pt>
                <c:pt idx="6">
                  <c:v>-0.36432124495425533</c:v>
                </c:pt>
                <c:pt idx="7">
                  <c:v>-0.6939121701334301</c:v>
                </c:pt>
                <c:pt idx="8" formatCode="0.0">
                  <c:v>-0.53508939107021547</c:v>
                </c:pt>
                <c:pt idx="9">
                  <c:v>-0.40325191670119359</c:v>
                </c:pt>
                <c:pt idx="10">
                  <c:v>-0.34067487144116632</c:v>
                </c:pt>
                <c:pt idx="11">
                  <c:v>-0.81199507383202274</c:v>
                </c:pt>
                <c:pt idx="12" formatCode="0.0">
                  <c:v>0.85701449774025207</c:v>
                </c:pt>
                <c:pt idx="13">
                  <c:v>0.65405689189694249</c:v>
                </c:pt>
                <c:pt idx="14">
                  <c:v>5.1664001267752696E-2</c:v>
                </c:pt>
                <c:pt idx="15">
                  <c:v>6.9114625386518524E-2</c:v>
                </c:pt>
                <c:pt idx="16" formatCode="0.0">
                  <c:v>-0.19402123562424833</c:v>
                </c:pt>
                <c:pt idx="17">
                  <c:v>-0.97995836973424766</c:v>
                </c:pt>
                <c:pt idx="18">
                  <c:v>-0.44655375413037729</c:v>
                </c:pt>
                <c:pt idx="19">
                  <c:v>0.53620283239253363</c:v>
                </c:pt>
                <c:pt idx="20" formatCode="0.0">
                  <c:v>0.53896959122874932</c:v>
                </c:pt>
                <c:pt idx="21">
                  <c:v>1.5878374246260327</c:v>
                </c:pt>
                <c:pt idx="22">
                  <c:v>0.90466260427565659</c:v>
                </c:pt>
                <c:pt idx="23">
                  <c:v>0.34139126639671247</c:v>
                </c:pt>
                <c:pt idx="24" formatCode="0.0">
                  <c:v>0.34699395439371017</c:v>
                </c:pt>
                <c:pt idx="25">
                  <c:v>0.95789407781626323</c:v>
                </c:pt>
                <c:pt idx="26">
                  <c:v>-2.509862472408031E-2</c:v>
                </c:pt>
                <c:pt idx="27">
                  <c:v>0.50768658267243438</c:v>
                </c:pt>
                <c:pt idx="28" formatCode="0.0">
                  <c:v>1.3004811571536408</c:v>
                </c:pt>
                <c:pt idx="29">
                  <c:v>0.66243067216200391</c:v>
                </c:pt>
                <c:pt idx="30">
                  <c:v>2.1398730591961197</c:v>
                </c:pt>
                <c:pt idx="31">
                  <c:v>1.5755515432150702</c:v>
                </c:pt>
                <c:pt idx="32" formatCode="0.0">
                  <c:v>1.0968212868450278</c:v>
                </c:pt>
                <c:pt idx="33">
                  <c:v>2.2350891381886808</c:v>
                </c:pt>
              </c:numCache>
            </c:numRef>
          </c:val>
        </c:ser>
        <c:ser>
          <c:idx val="5"/>
          <c:order val="5"/>
          <c:tx>
            <c:strRef>
              <c:f>'Trh práce 1'!$H$7</c:f>
              <c:strCache>
                <c:ptCount val="1"/>
                <c:pt idx="0">
                  <c:v>Public admin.,defence,education,health</c:v>
                </c:pt>
              </c:strCache>
            </c:strRef>
          </c:tx>
          <c:spPr>
            <a:ln w="19050">
              <a:solidFill>
                <a:srgbClr val="F8A124"/>
              </a:solidFill>
            </a:ln>
          </c:spPr>
          <c:marker>
            <c:symbol val="none"/>
          </c:marker>
          <c:cat>
            <c:multiLvlStrRef>
              <c:f>'Trh práce 1'!$A$8:$B$41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1'!$H$8:$H$41</c:f>
              <c:numCache>
                <c:formatCode>#,##0.0</c:formatCode>
                <c:ptCount val="34"/>
                <c:pt idx="0" formatCode="0.0">
                  <c:v>-0.11963560895299016</c:v>
                </c:pt>
                <c:pt idx="1">
                  <c:v>-0.35742551507569043</c:v>
                </c:pt>
                <c:pt idx="2">
                  <c:v>-0.16003073304796109</c:v>
                </c:pt>
                <c:pt idx="3">
                  <c:v>-0.12721260673563961</c:v>
                </c:pt>
                <c:pt idx="4" formatCode="0.0">
                  <c:v>-0.52992756807859165</c:v>
                </c:pt>
                <c:pt idx="5">
                  <c:v>-0.82580734281198431</c:v>
                </c:pt>
                <c:pt idx="6">
                  <c:v>-0.94975503903715763</c:v>
                </c:pt>
                <c:pt idx="7">
                  <c:v>-0.73535528868961864</c:v>
                </c:pt>
                <c:pt idx="8" formatCode="0.0">
                  <c:v>-2.4491844584127209</c:v>
                </c:pt>
                <c:pt idx="9">
                  <c:v>-1.8478995882074096</c:v>
                </c:pt>
                <c:pt idx="10">
                  <c:v>-0.33618323058873045</c:v>
                </c:pt>
                <c:pt idx="11">
                  <c:v>0.22730335767944609</c:v>
                </c:pt>
                <c:pt idx="12" formatCode="0.0">
                  <c:v>0.87138363811224906</c:v>
                </c:pt>
                <c:pt idx="13">
                  <c:v>2.1694821372780777</c:v>
                </c:pt>
                <c:pt idx="14">
                  <c:v>1.0800496741268562</c:v>
                </c:pt>
                <c:pt idx="15">
                  <c:v>0.87924083130690256</c:v>
                </c:pt>
                <c:pt idx="16" formatCode="0.0">
                  <c:v>1.5182514773659079</c:v>
                </c:pt>
                <c:pt idx="17">
                  <c:v>0.94515883328105665</c:v>
                </c:pt>
                <c:pt idx="18">
                  <c:v>1.97223579842256</c:v>
                </c:pt>
                <c:pt idx="19">
                  <c:v>2.0265494556700627</c:v>
                </c:pt>
                <c:pt idx="20" formatCode="0.0">
                  <c:v>1.4780542313438341</c:v>
                </c:pt>
                <c:pt idx="21">
                  <c:v>1.3509794739890708</c:v>
                </c:pt>
                <c:pt idx="22">
                  <c:v>0.56162730108894721</c:v>
                </c:pt>
                <c:pt idx="23">
                  <c:v>0.55520118220412962</c:v>
                </c:pt>
                <c:pt idx="24" formatCode="0.0">
                  <c:v>2.1251204897317422</c:v>
                </c:pt>
                <c:pt idx="25">
                  <c:v>2.0754938015465711</c:v>
                </c:pt>
                <c:pt idx="26">
                  <c:v>2.5441988134942761</c:v>
                </c:pt>
                <c:pt idx="27">
                  <c:v>3.0951044766993618</c:v>
                </c:pt>
                <c:pt idx="28" formatCode="0.0">
                  <c:v>2.928545090800807</c:v>
                </c:pt>
                <c:pt idx="29">
                  <c:v>3.2432722319350402</c:v>
                </c:pt>
                <c:pt idx="30">
                  <c:v>3.7142573883787833</c:v>
                </c:pt>
                <c:pt idx="31">
                  <c:v>3.7314428655244427</c:v>
                </c:pt>
                <c:pt idx="32" formatCode="0.0">
                  <c:v>2.5560203245027227</c:v>
                </c:pt>
                <c:pt idx="33">
                  <c:v>2.7095228596836876</c:v>
                </c:pt>
              </c:numCache>
            </c:numRef>
          </c:val>
        </c:ser>
        <c:ser>
          <c:idx val="6"/>
          <c:order val="6"/>
          <c:tx>
            <c:strRef>
              <c:f>'Trh práce 1'!$I$7</c:f>
              <c:strCache>
                <c:ptCount val="1"/>
                <c:pt idx="0">
                  <c:v>Information and communication activities</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1'!$A$8:$B$41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1'!$I$8:$I$41</c:f>
              <c:numCache>
                <c:formatCode>#,##0.0</c:formatCode>
                <c:ptCount val="34"/>
                <c:pt idx="0" formatCode="0.0">
                  <c:v>-2.5937084219058275</c:v>
                </c:pt>
                <c:pt idx="1">
                  <c:v>-2.9463679565512582</c:v>
                </c:pt>
                <c:pt idx="2">
                  <c:v>-2.5515796380664</c:v>
                </c:pt>
                <c:pt idx="3">
                  <c:v>-3.0104778941988242</c:v>
                </c:pt>
                <c:pt idx="4" formatCode="0.0">
                  <c:v>-1.6893536181370052</c:v>
                </c:pt>
                <c:pt idx="5">
                  <c:v>-3.3194988497170925</c:v>
                </c:pt>
                <c:pt idx="6">
                  <c:v>-5.1648545041356888</c:v>
                </c:pt>
                <c:pt idx="7">
                  <c:v>-6.2259094194170075</c:v>
                </c:pt>
                <c:pt idx="8" formatCode="0.0">
                  <c:v>0.82405736461343793</c:v>
                </c:pt>
                <c:pt idx="9">
                  <c:v>1.4526540882525438</c:v>
                </c:pt>
                <c:pt idx="10">
                  <c:v>2.1800695492210052</c:v>
                </c:pt>
                <c:pt idx="11">
                  <c:v>2.9005635747659841</c:v>
                </c:pt>
                <c:pt idx="12" formatCode="0.0">
                  <c:v>1.6322683857887341</c:v>
                </c:pt>
                <c:pt idx="13">
                  <c:v>2.9881141045958799</c:v>
                </c:pt>
                <c:pt idx="14">
                  <c:v>1.2531288740791098</c:v>
                </c:pt>
                <c:pt idx="15">
                  <c:v>1.2451726155646534</c:v>
                </c:pt>
                <c:pt idx="16" formatCode="0.0">
                  <c:v>4.0069509923866384</c:v>
                </c:pt>
                <c:pt idx="17">
                  <c:v>2.5959637149825596</c:v>
                </c:pt>
                <c:pt idx="18">
                  <c:v>3.3759650627778228</c:v>
                </c:pt>
                <c:pt idx="19">
                  <c:v>3.2279939277650747</c:v>
                </c:pt>
                <c:pt idx="20" formatCode="0.0">
                  <c:v>0.31018438738583259</c:v>
                </c:pt>
                <c:pt idx="21">
                  <c:v>1.9873261089654619</c:v>
                </c:pt>
                <c:pt idx="22">
                  <c:v>2.9232266387042785</c:v>
                </c:pt>
                <c:pt idx="23">
                  <c:v>3.7802329053448878</c:v>
                </c:pt>
                <c:pt idx="24" formatCode="0.0">
                  <c:v>5.2179888410029696</c:v>
                </c:pt>
                <c:pt idx="25">
                  <c:v>4.5192837971984403</c:v>
                </c:pt>
                <c:pt idx="26">
                  <c:v>5.4004133866924633</c:v>
                </c:pt>
                <c:pt idx="27">
                  <c:v>6.4449303717343716</c:v>
                </c:pt>
                <c:pt idx="28" formatCode="0.0">
                  <c:v>2.939610560165832</c:v>
                </c:pt>
                <c:pt idx="29">
                  <c:v>2.3835487297823912</c:v>
                </c:pt>
                <c:pt idx="30">
                  <c:v>2.9213780058691725</c:v>
                </c:pt>
                <c:pt idx="31">
                  <c:v>1.9637258081954758</c:v>
                </c:pt>
                <c:pt idx="32" formatCode="0.0">
                  <c:v>4.1617819460726775</c:v>
                </c:pt>
                <c:pt idx="33">
                  <c:v>4.5544187069243947</c:v>
                </c:pt>
              </c:numCache>
            </c:numRef>
          </c:val>
        </c:ser>
        <c:marker val="1"/>
        <c:axId val="146676736"/>
        <c:axId val="146728064"/>
      </c:lineChart>
      <c:catAx>
        <c:axId val="146676736"/>
        <c:scaling>
          <c:orientation val="minMax"/>
        </c:scaling>
        <c:axPos val="b"/>
        <c:tickLblPos val="low"/>
        <c:spPr>
          <a:ln>
            <a:solidFill>
              <a:schemeClr val="tx1"/>
            </a:solidFill>
          </a:ln>
        </c:spPr>
        <c:crossAx val="146728064"/>
        <c:crosses val="autoZero"/>
        <c:auto val="1"/>
        <c:lblAlgn val="ctr"/>
        <c:lblOffset val="10"/>
      </c:catAx>
      <c:valAx>
        <c:axId val="146728064"/>
        <c:scaling>
          <c:orientation val="minMax"/>
          <c:max val="7"/>
          <c:min val="-7"/>
        </c:scaling>
        <c:axPos val="l"/>
        <c:majorGridlines>
          <c:spPr>
            <a:ln w="6350">
              <a:solidFill>
                <a:schemeClr val="bg1">
                  <a:lumMod val="75000"/>
                </a:schemeClr>
              </a:solidFill>
            </a:ln>
          </c:spPr>
        </c:majorGridlines>
        <c:numFmt formatCode="0" sourceLinked="0"/>
        <c:tickLblPos val="nextTo"/>
        <c:spPr>
          <a:ln>
            <a:solidFill>
              <a:schemeClr val="tx1"/>
            </a:solidFill>
          </a:ln>
        </c:spPr>
        <c:crossAx val="146676736"/>
        <c:crosses val="autoZero"/>
        <c:crossBetween val="between"/>
        <c:majorUnit val="1"/>
      </c:valAx>
      <c:spPr>
        <a:ln>
          <a:solidFill>
            <a:schemeClr val="tx1"/>
          </a:solidFill>
        </a:ln>
      </c:spPr>
    </c:plotArea>
    <c:legend>
      <c:legendPos val="b"/>
      <c:layout>
        <c:manualLayout>
          <c:xMode val="edge"/>
          <c:yMode val="edge"/>
          <c:x val="5.2714541748739144E-2"/>
          <c:y val="0.85976117037112165"/>
          <c:w val="0.92581744326929161"/>
          <c:h val="0.13304397162959852"/>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183922558922563E-2"/>
          <c:y val="1.643251153889452E-2"/>
          <c:w val="0.8957392676767677"/>
          <c:h val="0.71802976190476187"/>
        </c:manualLayout>
      </c:layout>
      <c:barChart>
        <c:barDir val="col"/>
        <c:grouping val="clustered"/>
        <c:ser>
          <c:idx val="0"/>
          <c:order val="0"/>
          <c:tx>
            <c:strRef>
              <c:f>'Trh práce-2'!$A$27</c:f>
              <c:strCache>
                <c:ptCount val="1"/>
                <c:pt idx="0">
                  <c:v>Unemployment rate – males (left axis)</c:v>
                </c:pt>
              </c:strCache>
            </c:strRef>
          </c:tx>
          <c:spPr>
            <a:solidFill>
              <a:srgbClr val="BCBCBC"/>
            </a:solidFill>
          </c:spPr>
          <c:cat>
            <c:multiLvlStrRef>
              <c:f>'Trh práce-2'!$B$25:$AI$26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práce-2'!$B$27:$AI$27</c:f>
              <c:numCache>
                <c:formatCode>0.0</c:formatCode>
                <c:ptCount val="34"/>
                <c:pt idx="0">
                  <c:v>7.0991999943529533</c:v>
                </c:pt>
                <c:pt idx="1">
                  <c:v>6.5181875413127752</c:v>
                </c:pt>
                <c:pt idx="2">
                  <c:v>6.1900830830529721</c:v>
                </c:pt>
                <c:pt idx="3">
                  <c:v>6.0725496361374045</c:v>
                </c:pt>
                <c:pt idx="4">
                  <c:v>6.0591763240098082</c:v>
                </c:pt>
                <c:pt idx="5">
                  <c:v>6.0082218062227826</c:v>
                </c:pt>
                <c:pt idx="6">
                  <c:v>5.7746741047553716</c:v>
                </c:pt>
                <c:pt idx="7">
                  <c:v>5.6892744872329422</c:v>
                </c:pt>
                <c:pt idx="8">
                  <c:v>5.9999548563426295</c:v>
                </c:pt>
                <c:pt idx="9">
                  <c:v>5.9978622628146034</c:v>
                </c:pt>
                <c:pt idx="10">
                  <c:v>6.0638627970186034</c:v>
                </c:pt>
                <c:pt idx="11">
                  <c:v>6.2503970785916634</c:v>
                </c:pt>
                <c:pt idx="12">
                  <c:v>6.2704649366933634</c:v>
                </c:pt>
                <c:pt idx="13">
                  <c:v>5.9104384361987075</c:v>
                </c:pt>
                <c:pt idx="14">
                  <c:v>5.9339093715123594</c:v>
                </c:pt>
                <c:pt idx="15">
                  <c:v>5.7556577193635574</c:v>
                </c:pt>
                <c:pt idx="16">
                  <c:v>5.5339368397780957</c:v>
                </c:pt>
                <c:pt idx="17">
                  <c:v>5.2325922105119327</c:v>
                </c:pt>
                <c:pt idx="18">
                  <c:v>4.9439375292286636</c:v>
                </c:pt>
                <c:pt idx="19">
                  <c:v>5.0231445532307299</c:v>
                </c:pt>
                <c:pt idx="20">
                  <c:v>4.9894559304797879</c:v>
                </c:pt>
                <c:pt idx="21">
                  <c:v>4.3866323546022592</c:v>
                </c:pt>
                <c:pt idx="22">
                  <c:v>4.0765187947766446</c:v>
                </c:pt>
                <c:pt idx="23">
                  <c:v>3.7639647303636492</c:v>
                </c:pt>
                <c:pt idx="24">
                  <c:v>3.6132541353027907</c:v>
                </c:pt>
                <c:pt idx="25">
                  <c:v>3.6072501778867041</c:v>
                </c:pt>
                <c:pt idx="26">
                  <c:v>3.3868876577507354</c:v>
                </c:pt>
                <c:pt idx="27">
                  <c:v>3.1343986856554302</c:v>
                </c:pt>
                <c:pt idx="28">
                  <c:v>2.6711986511419092</c:v>
                </c:pt>
                <c:pt idx="29">
                  <c:v>2.5275060396849192</c:v>
                </c:pt>
                <c:pt idx="30">
                  <c:v>2.2614889609033075</c:v>
                </c:pt>
                <c:pt idx="31">
                  <c:v>2.0275475644002752</c:v>
                </c:pt>
                <c:pt idx="32">
                  <c:v>1.8778423523256036</c:v>
                </c:pt>
                <c:pt idx="33">
                  <c:v>1.8965238219376124</c:v>
                </c:pt>
              </c:numCache>
            </c:numRef>
          </c:val>
        </c:ser>
        <c:ser>
          <c:idx val="1"/>
          <c:order val="1"/>
          <c:tx>
            <c:strRef>
              <c:f>'Trh práce-2'!$A$28</c:f>
              <c:strCache>
                <c:ptCount val="1"/>
                <c:pt idx="0">
                  <c:v>Unemployment rate – females (left axis)</c:v>
                </c:pt>
              </c:strCache>
            </c:strRef>
          </c:tx>
          <c:spPr>
            <a:solidFill>
              <a:srgbClr val="DBDBDB"/>
            </a:solidFill>
          </c:spPr>
          <c:cat>
            <c:multiLvlStrRef>
              <c:f>'Trh práce-2'!$B$25:$AI$26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práce-2'!$B$28:$AI$28</c:f>
              <c:numCache>
                <c:formatCode>0.0</c:formatCode>
                <c:ptCount val="34"/>
                <c:pt idx="0">
                  <c:v>8.7581257623575546</c:v>
                </c:pt>
                <c:pt idx="1">
                  <c:v>8.6259517423982537</c:v>
                </c:pt>
                <c:pt idx="2">
                  <c:v>8.4755253706591223</c:v>
                </c:pt>
                <c:pt idx="3">
                  <c:v>8.2958991962505539</c:v>
                </c:pt>
                <c:pt idx="4">
                  <c:v>8.1711805552480641</c:v>
                </c:pt>
                <c:pt idx="5">
                  <c:v>8.1818254825190131</c:v>
                </c:pt>
                <c:pt idx="6">
                  <c:v>7.7663119722887295</c:v>
                </c:pt>
                <c:pt idx="7">
                  <c:v>7.7236412157605514</c:v>
                </c:pt>
                <c:pt idx="8">
                  <c:v>8.027940066088501</c:v>
                </c:pt>
                <c:pt idx="9">
                  <c:v>8.2369249350269076</c:v>
                </c:pt>
                <c:pt idx="10">
                  <c:v>8.2935014210714417</c:v>
                </c:pt>
                <c:pt idx="11">
                  <c:v>8.5419989173412816</c:v>
                </c:pt>
                <c:pt idx="12">
                  <c:v>8.4720928288102861</c:v>
                </c:pt>
                <c:pt idx="13">
                  <c:v>8.4544922056213085</c:v>
                </c:pt>
                <c:pt idx="14">
                  <c:v>8.3473187285272079</c:v>
                </c:pt>
                <c:pt idx="15">
                  <c:v>8.2453624583825711</c:v>
                </c:pt>
                <c:pt idx="16">
                  <c:v>8.0211752164076788</c:v>
                </c:pt>
                <c:pt idx="17">
                  <c:v>7.6965014076384275</c:v>
                </c:pt>
                <c:pt idx="18">
                  <c:v>7.2646943276337241</c:v>
                </c:pt>
                <c:pt idx="19">
                  <c:v>7.0032040771272968</c:v>
                </c:pt>
                <c:pt idx="20">
                  <c:v>6.9027541533858328</c:v>
                </c:pt>
                <c:pt idx="21">
                  <c:v>6.2589605262453354</c:v>
                </c:pt>
                <c:pt idx="22">
                  <c:v>5.9235753210160498</c:v>
                </c:pt>
                <c:pt idx="23">
                  <c:v>5.6153092773914901</c:v>
                </c:pt>
                <c:pt idx="24">
                  <c:v>5.1185198953901985</c:v>
                </c:pt>
                <c:pt idx="25">
                  <c:v>4.8467772089654035</c:v>
                </c:pt>
                <c:pt idx="26">
                  <c:v>4.7763142805498537</c:v>
                </c:pt>
                <c:pt idx="27">
                  <c:v>4.317890401388162</c:v>
                </c:pt>
                <c:pt idx="28">
                  <c:v>4.3367136535478474</c:v>
                </c:pt>
                <c:pt idx="29">
                  <c:v>3.9266906515174202</c:v>
                </c:pt>
                <c:pt idx="30">
                  <c:v>3.3735196857800314</c:v>
                </c:pt>
                <c:pt idx="31">
                  <c:v>2.9621046568625058</c:v>
                </c:pt>
                <c:pt idx="32">
                  <c:v>3.0230157883650652</c:v>
                </c:pt>
                <c:pt idx="33">
                  <c:v>2.9143558133229988</c:v>
                </c:pt>
              </c:numCache>
            </c:numRef>
          </c:val>
        </c:ser>
        <c:gapWidth val="68"/>
        <c:axId val="149411328"/>
        <c:axId val="149412864"/>
      </c:barChart>
      <c:lineChart>
        <c:grouping val="standard"/>
        <c:ser>
          <c:idx val="2"/>
          <c:order val="2"/>
          <c:tx>
            <c:strRef>
              <c:f>'Trh práce-2'!$A$29</c:f>
              <c:strCache>
                <c:ptCount val="1"/>
                <c:pt idx="0">
                  <c:v>% share of unemployed &gt;1 year (right axis)</c:v>
                </c:pt>
              </c:strCache>
            </c:strRef>
          </c:tx>
          <c:spPr>
            <a:ln w="19050">
              <a:solidFill>
                <a:srgbClr val="C00000"/>
              </a:solidFill>
              <a:prstDash val="solid"/>
            </a:ln>
          </c:spPr>
          <c:marker>
            <c:symbol val="none"/>
          </c:marker>
          <c:cat>
            <c:multiLvlStrRef>
              <c:f>'Trh práce-2'!$B$25:$AI$26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práce-2'!$B$29:$AI$29</c:f>
              <c:numCache>
                <c:formatCode>#,##0.0</c:formatCode>
                <c:ptCount val="34"/>
                <c:pt idx="0">
                  <c:v>35.700000000000003</c:v>
                </c:pt>
                <c:pt idx="1">
                  <c:v>41.3</c:v>
                </c:pt>
                <c:pt idx="2">
                  <c:v>43.4</c:v>
                </c:pt>
                <c:pt idx="3">
                  <c:v>43.9</c:v>
                </c:pt>
                <c:pt idx="4">
                  <c:v>40.1</c:v>
                </c:pt>
                <c:pt idx="5">
                  <c:v>39</c:v>
                </c:pt>
                <c:pt idx="6">
                  <c:v>40.800000000000004</c:v>
                </c:pt>
                <c:pt idx="7">
                  <c:v>42.6</c:v>
                </c:pt>
                <c:pt idx="8">
                  <c:v>43.3</c:v>
                </c:pt>
                <c:pt idx="9">
                  <c:v>44.1</c:v>
                </c:pt>
                <c:pt idx="10">
                  <c:v>43.6</c:v>
                </c:pt>
                <c:pt idx="11">
                  <c:v>42.6</c:v>
                </c:pt>
                <c:pt idx="12">
                  <c:v>43.4</c:v>
                </c:pt>
                <c:pt idx="13">
                  <c:v>44.1</c:v>
                </c:pt>
                <c:pt idx="14">
                  <c:v>44</c:v>
                </c:pt>
                <c:pt idx="15">
                  <c:v>42.1</c:v>
                </c:pt>
                <c:pt idx="16">
                  <c:v>41.2</c:v>
                </c:pt>
                <c:pt idx="17">
                  <c:v>43</c:v>
                </c:pt>
                <c:pt idx="18">
                  <c:v>44.3</c:v>
                </c:pt>
                <c:pt idx="19">
                  <c:v>45.9</c:v>
                </c:pt>
                <c:pt idx="20">
                  <c:v>45.9</c:v>
                </c:pt>
                <c:pt idx="21">
                  <c:v>46.4</c:v>
                </c:pt>
                <c:pt idx="22">
                  <c:v>49</c:v>
                </c:pt>
                <c:pt idx="23">
                  <c:v>48.1</c:v>
                </c:pt>
                <c:pt idx="24">
                  <c:v>46</c:v>
                </c:pt>
                <c:pt idx="25">
                  <c:v>43.2</c:v>
                </c:pt>
                <c:pt idx="26">
                  <c:v>39.9</c:v>
                </c:pt>
                <c:pt idx="27">
                  <c:v>38.800000000000004</c:v>
                </c:pt>
                <c:pt idx="28">
                  <c:v>36.800000000000004</c:v>
                </c:pt>
                <c:pt idx="29">
                  <c:v>37.5</c:v>
                </c:pt>
                <c:pt idx="30">
                  <c:v>33.9</c:v>
                </c:pt>
                <c:pt idx="31">
                  <c:v>31.3</c:v>
                </c:pt>
                <c:pt idx="32">
                  <c:v>30.6</c:v>
                </c:pt>
                <c:pt idx="33">
                  <c:v>30.5</c:v>
                </c:pt>
              </c:numCache>
            </c:numRef>
          </c:val>
        </c:ser>
        <c:ser>
          <c:idx val="3"/>
          <c:order val="3"/>
          <c:tx>
            <c:strRef>
              <c:f>'Trh práce-2'!$A$30</c:f>
              <c:strCache>
                <c:ptCount val="1"/>
                <c:pt idx="0">
                  <c:v>% share of unemployed &gt;2 years (right axis)</c:v>
                </c:pt>
              </c:strCache>
            </c:strRef>
          </c:tx>
          <c:spPr>
            <a:ln w="19050">
              <a:solidFill>
                <a:srgbClr val="F6882E"/>
              </a:solidFill>
              <a:prstDash val="solid"/>
            </a:ln>
          </c:spPr>
          <c:marker>
            <c:symbol val="none"/>
          </c:marker>
          <c:cat>
            <c:multiLvlStrRef>
              <c:f>'Trh práce-2'!$B$25:$AI$26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práce-2'!$B$30:$AI$30</c:f>
              <c:numCache>
                <c:formatCode>#,##0.0</c:formatCode>
                <c:ptCount val="34"/>
                <c:pt idx="0">
                  <c:v>15</c:v>
                </c:pt>
                <c:pt idx="1">
                  <c:v>18</c:v>
                </c:pt>
                <c:pt idx="2">
                  <c:v>18.899999999999999</c:v>
                </c:pt>
                <c:pt idx="3">
                  <c:v>20</c:v>
                </c:pt>
                <c:pt idx="4">
                  <c:v>19</c:v>
                </c:pt>
                <c:pt idx="5">
                  <c:v>18.899999999999999</c:v>
                </c:pt>
                <c:pt idx="6">
                  <c:v>20.8</c:v>
                </c:pt>
                <c:pt idx="7">
                  <c:v>22.3</c:v>
                </c:pt>
                <c:pt idx="8">
                  <c:v>24.1</c:v>
                </c:pt>
                <c:pt idx="9">
                  <c:v>24.8</c:v>
                </c:pt>
                <c:pt idx="10">
                  <c:v>25</c:v>
                </c:pt>
                <c:pt idx="11">
                  <c:v>23.5</c:v>
                </c:pt>
                <c:pt idx="12">
                  <c:v>24.2</c:v>
                </c:pt>
                <c:pt idx="13">
                  <c:v>24.1</c:v>
                </c:pt>
                <c:pt idx="14">
                  <c:v>23.9</c:v>
                </c:pt>
                <c:pt idx="15">
                  <c:v>23.4</c:v>
                </c:pt>
                <c:pt idx="16">
                  <c:v>23</c:v>
                </c:pt>
                <c:pt idx="17">
                  <c:v>24.1</c:v>
                </c:pt>
                <c:pt idx="18">
                  <c:v>26.2</c:v>
                </c:pt>
                <c:pt idx="19">
                  <c:v>26.4</c:v>
                </c:pt>
                <c:pt idx="20">
                  <c:v>27.2</c:v>
                </c:pt>
                <c:pt idx="21">
                  <c:v>27.7</c:v>
                </c:pt>
                <c:pt idx="22">
                  <c:v>29</c:v>
                </c:pt>
                <c:pt idx="23">
                  <c:v>30.2</c:v>
                </c:pt>
                <c:pt idx="24">
                  <c:v>30.4</c:v>
                </c:pt>
                <c:pt idx="25">
                  <c:v>27.8</c:v>
                </c:pt>
                <c:pt idx="26">
                  <c:v>24.1</c:v>
                </c:pt>
                <c:pt idx="27">
                  <c:v>23.2</c:v>
                </c:pt>
                <c:pt idx="28">
                  <c:v>21.6</c:v>
                </c:pt>
                <c:pt idx="29">
                  <c:v>21.9</c:v>
                </c:pt>
                <c:pt idx="30">
                  <c:v>17.899999999999999</c:v>
                </c:pt>
                <c:pt idx="31">
                  <c:v>17.2</c:v>
                </c:pt>
                <c:pt idx="32">
                  <c:v>17.600000000000001</c:v>
                </c:pt>
              </c:numCache>
            </c:numRef>
          </c:val>
        </c:ser>
        <c:ser>
          <c:idx val="4"/>
          <c:order val="4"/>
          <c:tx>
            <c:strRef>
              <c:f>'Trh práce-2'!$A$31</c:f>
              <c:strCache>
                <c:ptCount val="1"/>
                <c:pt idx="0">
                  <c:v>% share of unemployed till 25 years (right axis)</c:v>
                </c:pt>
              </c:strCache>
            </c:strRef>
          </c:tx>
          <c:spPr>
            <a:ln w="19050">
              <a:solidFill>
                <a:srgbClr val="7DBB2D"/>
              </a:solidFill>
            </a:ln>
          </c:spPr>
          <c:marker>
            <c:symbol val="none"/>
          </c:marker>
          <c:cat>
            <c:multiLvlStrRef>
              <c:f>'Trh práce-2'!$B$25:$AI$26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práce-2'!$B$31:$AI$31</c:f>
              <c:numCache>
                <c:formatCode>0.0</c:formatCode>
                <c:ptCount val="34"/>
                <c:pt idx="0">
                  <c:v>19.41031941031941</c:v>
                </c:pt>
                <c:pt idx="1">
                  <c:v>19.430051813471501</c:v>
                </c:pt>
                <c:pt idx="2">
                  <c:v>19.251336898395696</c:v>
                </c:pt>
                <c:pt idx="3">
                  <c:v>18.579234972677586</c:v>
                </c:pt>
                <c:pt idx="4">
                  <c:v>18.055555555555554</c:v>
                </c:pt>
                <c:pt idx="5">
                  <c:v>19.498607242339773</c:v>
                </c:pt>
                <c:pt idx="6">
                  <c:v>19.533527696792987</c:v>
                </c:pt>
                <c:pt idx="7">
                  <c:v>19.230769230769177</c:v>
                </c:pt>
                <c:pt idx="8">
                  <c:v>20.168067226890781</c:v>
                </c:pt>
                <c:pt idx="9">
                  <c:v>20.718232044198889</c:v>
                </c:pt>
                <c:pt idx="10">
                  <c:v>19.293478260869566</c:v>
                </c:pt>
                <c:pt idx="11">
                  <c:v>18.947368421052659</c:v>
                </c:pt>
                <c:pt idx="12">
                  <c:v>18.997361477572557</c:v>
                </c:pt>
                <c:pt idx="13">
                  <c:v>18.279569892473091</c:v>
                </c:pt>
                <c:pt idx="14">
                  <c:v>18.256130790190728</c:v>
                </c:pt>
                <c:pt idx="15">
                  <c:v>18.715083798882691</c:v>
                </c:pt>
                <c:pt idx="16">
                  <c:v>17.341040462427742</c:v>
                </c:pt>
                <c:pt idx="17">
                  <c:v>17.933130699088146</c:v>
                </c:pt>
                <c:pt idx="18">
                  <c:v>17.628205128205131</c:v>
                </c:pt>
                <c:pt idx="19">
                  <c:v>16.558441558441533</c:v>
                </c:pt>
                <c:pt idx="20">
                  <c:v>16.993464052287585</c:v>
                </c:pt>
                <c:pt idx="21">
                  <c:v>17.216117216117212</c:v>
                </c:pt>
                <c:pt idx="22">
                  <c:v>16.078431372548984</c:v>
                </c:pt>
                <c:pt idx="23">
                  <c:v>15.546218487394942</c:v>
                </c:pt>
                <c:pt idx="24">
                  <c:v>15.24663677130045</c:v>
                </c:pt>
                <c:pt idx="25">
                  <c:v>17.431192660550458</c:v>
                </c:pt>
                <c:pt idx="26">
                  <c:v>16.587677725118514</c:v>
                </c:pt>
                <c:pt idx="27">
                  <c:v>17.098445595854923</c:v>
                </c:pt>
                <c:pt idx="28">
                  <c:v>16.759776536312813</c:v>
                </c:pt>
                <c:pt idx="29">
                  <c:v>18.562874251497004</c:v>
                </c:pt>
                <c:pt idx="30">
                  <c:v>16.43835616438356</c:v>
                </c:pt>
                <c:pt idx="31">
                  <c:v>13.076923076923078</c:v>
                </c:pt>
                <c:pt idx="32">
                  <c:v>16.935483870967676</c:v>
                </c:pt>
                <c:pt idx="33">
                  <c:v>19.047619047619026</c:v>
                </c:pt>
              </c:numCache>
            </c:numRef>
          </c:val>
        </c:ser>
        <c:ser>
          <c:idx val="5"/>
          <c:order val="5"/>
          <c:tx>
            <c:strRef>
              <c:f>'Trh práce-2'!$A$32</c:f>
              <c:strCache>
                <c:ptCount val="1"/>
                <c:pt idx="0">
                  <c:v>Economically inactive seeking employment (right axis) *</c:v>
                </c:pt>
              </c:strCache>
            </c:strRef>
          </c:tx>
          <c:spPr>
            <a:ln w="19050">
              <a:solidFill>
                <a:srgbClr val="0071BC"/>
              </a:solidFill>
            </a:ln>
          </c:spPr>
          <c:marker>
            <c:symbol val="none"/>
          </c:marker>
          <c:cat>
            <c:multiLvlStrRef>
              <c:f>'Trh práce-2'!$B$25:$AI$26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práce-2'!$B$32:$AI$32</c:f>
              <c:numCache>
                <c:formatCode>0.0</c:formatCode>
                <c:ptCount val="34"/>
                <c:pt idx="0">
                  <c:v>183.00000000000003</c:v>
                </c:pt>
                <c:pt idx="1">
                  <c:v>183.20000000000002</c:v>
                </c:pt>
                <c:pt idx="2">
                  <c:v>172.5</c:v>
                </c:pt>
                <c:pt idx="3">
                  <c:v>172.00000000000003</c:v>
                </c:pt>
                <c:pt idx="4">
                  <c:v>193.70000000000002</c:v>
                </c:pt>
                <c:pt idx="5">
                  <c:v>184.4</c:v>
                </c:pt>
                <c:pt idx="6">
                  <c:v>188.9</c:v>
                </c:pt>
                <c:pt idx="7">
                  <c:v>183.20000000000002</c:v>
                </c:pt>
                <c:pt idx="8">
                  <c:v>196.60000000000002</c:v>
                </c:pt>
                <c:pt idx="9">
                  <c:v>176.5</c:v>
                </c:pt>
                <c:pt idx="10">
                  <c:v>166.9</c:v>
                </c:pt>
                <c:pt idx="11">
                  <c:v>154.60000000000002</c:v>
                </c:pt>
                <c:pt idx="12">
                  <c:v>167.8</c:v>
                </c:pt>
                <c:pt idx="13">
                  <c:v>147.19999999999999</c:v>
                </c:pt>
                <c:pt idx="14">
                  <c:v>138.80000000000001</c:v>
                </c:pt>
                <c:pt idx="15">
                  <c:v>139.30000000000001</c:v>
                </c:pt>
                <c:pt idx="16">
                  <c:v>145.4</c:v>
                </c:pt>
                <c:pt idx="17">
                  <c:v>137.1</c:v>
                </c:pt>
                <c:pt idx="18">
                  <c:v>129</c:v>
                </c:pt>
                <c:pt idx="19">
                  <c:v>127.10000000000001</c:v>
                </c:pt>
                <c:pt idx="20" formatCode="General">
                  <c:v>138.5</c:v>
                </c:pt>
                <c:pt idx="21" formatCode="General">
                  <c:v>141.4</c:v>
                </c:pt>
                <c:pt idx="22" formatCode="General">
                  <c:v>137.1</c:v>
                </c:pt>
                <c:pt idx="23" formatCode="General">
                  <c:v>130.4</c:v>
                </c:pt>
                <c:pt idx="24" formatCode="General">
                  <c:v>141</c:v>
                </c:pt>
                <c:pt idx="25" formatCode="General">
                  <c:v>126.4</c:v>
                </c:pt>
                <c:pt idx="26" formatCode="General">
                  <c:v>129.69999999999999</c:v>
                </c:pt>
                <c:pt idx="27" formatCode="General">
                  <c:v>127.1</c:v>
                </c:pt>
                <c:pt idx="28">
                  <c:v>133.1</c:v>
                </c:pt>
                <c:pt idx="29">
                  <c:v>120.1</c:v>
                </c:pt>
                <c:pt idx="30">
                  <c:v>121.3</c:v>
                </c:pt>
                <c:pt idx="31">
                  <c:v>119.1</c:v>
                </c:pt>
                <c:pt idx="32">
                  <c:v>113.5</c:v>
                </c:pt>
                <c:pt idx="33">
                  <c:v>108.4</c:v>
                </c:pt>
              </c:numCache>
            </c:numRef>
          </c:val>
        </c:ser>
        <c:marker val="1"/>
        <c:axId val="150485248"/>
        <c:axId val="150483712"/>
      </c:lineChart>
      <c:catAx>
        <c:axId val="149411328"/>
        <c:scaling>
          <c:orientation val="minMax"/>
        </c:scaling>
        <c:axPos val="b"/>
        <c:tickLblPos val="low"/>
        <c:spPr>
          <a:ln>
            <a:solidFill>
              <a:schemeClr val="tx1"/>
            </a:solidFill>
          </a:ln>
        </c:spPr>
        <c:crossAx val="149412864"/>
        <c:crossesAt val="-50"/>
        <c:auto val="1"/>
        <c:lblAlgn val="ctr"/>
        <c:lblOffset val="0"/>
      </c:catAx>
      <c:valAx>
        <c:axId val="149412864"/>
        <c:scaling>
          <c:orientation val="minMax"/>
          <c:max val="10"/>
          <c:min val="0"/>
        </c:scaling>
        <c:axPos val="l"/>
        <c:majorGridlines>
          <c:spPr>
            <a:ln w="6350">
              <a:solidFill>
                <a:schemeClr val="bg1">
                  <a:lumMod val="75000"/>
                </a:schemeClr>
              </a:solidFill>
            </a:ln>
          </c:spPr>
        </c:majorGridlines>
        <c:numFmt formatCode="0" sourceLinked="0"/>
        <c:tickLblPos val="nextTo"/>
        <c:spPr>
          <a:ln>
            <a:solidFill>
              <a:schemeClr val="tx1"/>
            </a:solidFill>
          </a:ln>
        </c:spPr>
        <c:crossAx val="149411328"/>
        <c:crosses val="autoZero"/>
        <c:crossBetween val="between"/>
        <c:majorUnit val="1"/>
      </c:valAx>
      <c:valAx>
        <c:axId val="150483712"/>
        <c:scaling>
          <c:orientation val="minMax"/>
          <c:max val="200"/>
        </c:scaling>
        <c:axPos val="r"/>
        <c:numFmt formatCode="0" sourceLinked="0"/>
        <c:tickLblPos val="nextTo"/>
        <c:crossAx val="150485248"/>
        <c:crosses val="max"/>
        <c:crossBetween val="between"/>
        <c:majorUnit val="20"/>
      </c:valAx>
      <c:catAx>
        <c:axId val="150485248"/>
        <c:scaling>
          <c:orientation val="minMax"/>
        </c:scaling>
        <c:delete val="1"/>
        <c:axPos val="b"/>
        <c:tickLblPos val="none"/>
        <c:crossAx val="150483712"/>
        <c:crosses val="autoZero"/>
        <c:auto val="1"/>
        <c:lblAlgn val="ctr"/>
        <c:lblOffset val="100"/>
      </c:catAx>
      <c:spPr>
        <a:ln>
          <a:solidFill>
            <a:schemeClr val="tx1"/>
          </a:solidFill>
        </a:ln>
      </c:spPr>
    </c:plotArea>
    <c:legend>
      <c:legendPos val="b"/>
      <c:layout>
        <c:manualLayout>
          <c:xMode val="edge"/>
          <c:yMode val="edge"/>
          <c:x val="4.4613215488215494E-2"/>
          <c:y val="0.81959155328798183"/>
          <c:w val="0.89701767676767652"/>
          <c:h val="0.16960912698412697"/>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4.0091348527306885E-2"/>
          <c:y val="1.6549886621315256E-2"/>
          <c:w val="0.94100987714831641"/>
          <c:h val="0.76035232426303867"/>
        </c:manualLayout>
      </c:layout>
      <c:barChart>
        <c:barDir val="col"/>
        <c:grouping val="clustered"/>
        <c:ser>
          <c:idx val="2"/>
          <c:order val="4"/>
          <c:tx>
            <c:strRef>
              <c:f>'Trh práce 3'!$E$8</c:f>
              <c:strCache>
                <c:ptCount val="1"/>
                <c:pt idx="0">
                  <c:v>Average wage (real)</c:v>
                </c:pt>
              </c:strCache>
            </c:strRef>
          </c:tx>
          <c:spPr>
            <a:solidFill>
              <a:srgbClr val="A6A6A6"/>
            </a:solidFill>
            <a:ln w="19050">
              <a:noFill/>
            </a:ln>
          </c:spPr>
          <c:cat>
            <c:multiLvlStrRef>
              <c:f>'Trh práce 3'!$A$9:$B$42</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3'!$E$9:$E$42</c:f>
              <c:numCache>
                <c:formatCode>#,##0.0</c:formatCode>
                <c:ptCount val="34"/>
                <c:pt idx="0">
                  <c:v>2.0999999999999943</c:v>
                </c:pt>
                <c:pt idx="1">
                  <c:v>1.9000000000000061</c:v>
                </c:pt>
                <c:pt idx="2">
                  <c:v>0.29999999999999788</c:v>
                </c:pt>
                <c:pt idx="3">
                  <c:v>-1.4000000000000057</c:v>
                </c:pt>
                <c:pt idx="4">
                  <c:v>1.0999999999999925</c:v>
                </c:pt>
                <c:pt idx="5">
                  <c:v>0.7999999999999976</c:v>
                </c:pt>
                <c:pt idx="6">
                  <c:v>0.29999999999999788</c:v>
                </c:pt>
                <c:pt idx="7">
                  <c:v>0</c:v>
                </c:pt>
                <c:pt idx="8">
                  <c:v>-0.5</c:v>
                </c:pt>
                <c:pt idx="9">
                  <c:v>-1.2999999999999949</c:v>
                </c:pt>
                <c:pt idx="10">
                  <c:v>-1.7999999999999949</c:v>
                </c:pt>
                <c:pt idx="11">
                  <c:v>0.40000000000000568</c:v>
                </c:pt>
                <c:pt idx="12">
                  <c:v>-2.4000000000000057</c:v>
                </c:pt>
                <c:pt idx="13">
                  <c:v>-0.5</c:v>
                </c:pt>
                <c:pt idx="14">
                  <c:v>0</c:v>
                </c:pt>
                <c:pt idx="15">
                  <c:v>-3.0999999999999943</c:v>
                </c:pt>
                <c:pt idx="16">
                  <c:v>3.7000000000000042</c:v>
                </c:pt>
                <c:pt idx="17">
                  <c:v>2.5999999999999943</c:v>
                </c:pt>
                <c:pt idx="18">
                  <c:v>1.5999999999999925</c:v>
                </c:pt>
                <c:pt idx="19">
                  <c:v>2.2999999999999972</c:v>
                </c:pt>
                <c:pt idx="20">
                  <c:v>2.2000000000000042</c:v>
                </c:pt>
                <c:pt idx="21">
                  <c:v>2.5999999999999943</c:v>
                </c:pt>
                <c:pt idx="22">
                  <c:v>3.0999999999999943</c:v>
                </c:pt>
                <c:pt idx="23">
                  <c:v>3.5999999999999943</c:v>
                </c:pt>
                <c:pt idx="24">
                  <c:v>4.2000000000000028</c:v>
                </c:pt>
                <c:pt idx="25">
                  <c:v>3.7999999999999972</c:v>
                </c:pt>
                <c:pt idx="26">
                  <c:v>4.2000000000000028</c:v>
                </c:pt>
                <c:pt idx="27">
                  <c:v>3</c:v>
                </c:pt>
                <c:pt idx="28">
                  <c:v>2.0999999999999943</c:v>
                </c:pt>
                <c:pt idx="29">
                  <c:v>4.5999999999999943</c:v>
                </c:pt>
                <c:pt idx="30">
                  <c:v>3.5</c:v>
                </c:pt>
                <c:pt idx="31">
                  <c:v>4.7000000000000028</c:v>
                </c:pt>
                <c:pt idx="32">
                  <c:v>6.5999999999999943</c:v>
                </c:pt>
                <c:pt idx="33">
                  <c:v>6.2000000000000028</c:v>
                </c:pt>
              </c:numCache>
            </c:numRef>
          </c:val>
        </c:ser>
        <c:gapWidth val="55"/>
        <c:axId val="150550016"/>
        <c:axId val="150551936"/>
      </c:barChart>
      <c:lineChart>
        <c:grouping val="standard"/>
        <c:ser>
          <c:idx val="0"/>
          <c:order val="0"/>
          <c:tx>
            <c:strRef>
              <c:f>'Trh práce 3'!$C$8</c:f>
              <c:strCache>
                <c:ptCount val="1"/>
                <c:pt idx="0">
                  <c:v>Average wage (nominal)</c:v>
                </c:pt>
              </c:strCache>
            </c:strRef>
          </c:tx>
          <c:spPr>
            <a:ln w="19050">
              <a:solidFill>
                <a:srgbClr val="0071BC"/>
              </a:solidFill>
            </a:ln>
          </c:spPr>
          <c:marker>
            <c:symbol val="none"/>
          </c:marker>
          <c:cat>
            <c:multiLvlStrRef>
              <c:f>'Trh práce 3'!$A$9:$B$42</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3'!$C$9:$C$42</c:f>
              <c:numCache>
                <c:formatCode>0.0</c:formatCode>
                <c:ptCount val="34"/>
                <c:pt idx="0">
                  <c:v>2.7999999999999972</c:v>
                </c:pt>
                <c:pt idx="1">
                  <c:v>3.0999999999999943</c:v>
                </c:pt>
                <c:pt idx="2">
                  <c:v>2.2000000000000042</c:v>
                </c:pt>
                <c:pt idx="3">
                  <c:v>0.70000000000000284</c:v>
                </c:pt>
                <c:pt idx="4">
                  <c:v>2.7999999999999972</c:v>
                </c:pt>
                <c:pt idx="5">
                  <c:v>2.5999999999999943</c:v>
                </c:pt>
                <c:pt idx="6">
                  <c:v>2.0999999999999943</c:v>
                </c:pt>
                <c:pt idx="7">
                  <c:v>2.4000000000000057</c:v>
                </c:pt>
                <c:pt idx="8">
                  <c:v>3.2000000000000042</c:v>
                </c:pt>
                <c:pt idx="9">
                  <c:v>2.0999999999999943</c:v>
                </c:pt>
                <c:pt idx="10">
                  <c:v>1.4000000000000057</c:v>
                </c:pt>
                <c:pt idx="11">
                  <c:v>3.2000000000000042</c:v>
                </c:pt>
                <c:pt idx="12">
                  <c:v>-0.59999999999999432</c:v>
                </c:pt>
                <c:pt idx="13">
                  <c:v>1</c:v>
                </c:pt>
                <c:pt idx="14">
                  <c:v>1.2000000000000028</c:v>
                </c:pt>
                <c:pt idx="15">
                  <c:v>-2</c:v>
                </c:pt>
                <c:pt idx="16">
                  <c:v>3.9000000000000057</c:v>
                </c:pt>
                <c:pt idx="17">
                  <c:v>2.7999999999999972</c:v>
                </c:pt>
                <c:pt idx="18">
                  <c:v>2.2000000000000042</c:v>
                </c:pt>
                <c:pt idx="19">
                  <c:v>2.7999999999999972</c:v>
                </c:pt>
                <c:pt idx="20">
                  <c:v>2.2999999999999972</c:v>
                </c:pt>
                <c:pt idx="21">
                  <c:v>3.2999999999999972</c:v>
                </c:pt>
                <c:pt idx="22">
                  <c:v>3.5</c:v>
                </c:pt>
                <c:pt idx="23">
                  <c:v>3.7000000000000042</c:v>
                </c:pt>
                <c:pt idx="24">
                  <c:v>4.7000000000000028</c:v>
                </c:pt>
                <c:pt idx="25">
                  <c:v>4</c:v>
                </c:pt>
                <c:pt idx="26">
                  <c:v>4.7000000000000028</c:v>
                </c:pt>
                <c:pt idx="27">
                  <c:v>4.4000000000000083</c:v>
                </c:pt>
                <c:pt idx="28">
                  <c:v>4.5</c:v>
                </c:pt>
                <c:pt idx="29">
                  <c:v>6.9000000000000083</c:v>
                </c:pt>
                <c:pt idx="30">
                  <c:v>6.0999999999999943</c:v>
                </c:pt>
                <c:pt idx="31">
                  <c:v>7.4000000000000083</c:v>
                </c:pt>
                <c:pt idx="32">
                  <c:v>8.6000000000000014</c:v>
                </c:pt>
                <c:pt idx="33">
                  <c:v>8.6000000000000014</c:v>
                </c:pt>
              </c:numCache>
            </c:numRef>
          </c:val>
        </c:ser>
        <c:ser>
          <c:idx val="4"/>
          <c:order val="1"/>
          <c:tx>
            <c:strRef>
              <c:f>'Trh práce 3'!$G$8</c:f>
              <c:strCache>
                <c:ptCount val="1"/>
                <c:pt idx="0">
                  <c:v>Average nominal wage in branch: maximum*</c:v>
                </c:pt>
              </c:strCache>
            </c:strRef>
          </c:tx>
          <c:spPr>
            <a:ln>
              <a:noFill/>
            </a:ln>
          </c:spPr>
          <c:marker>
            <c:symbol val="dash"/>
            <c:size val="6"/>
            <c:spPr>
              <a:solidFill>
                <a:srgbClr val="A6CDE8"/>
              </a:solidFill>
              <a:ln>
                <a:solidFill>
                  <a:srgbClr val="A6CDE8"/>
                </a:solidFill>
              </a:ln>
            </c:spPr>
          </c:marker>
          <c:cat>
            <c:multiLvlStrRef>
              <c:f>'Trh práce 3'!$A$9:$B$42</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3'!$G$9:$G$42</c:f>
              <c:numCache>
                <c:formatCode>0.0</c:formatCode>
                <c:ptCount val="34"/>
                <c:pt idx="0">
                  <c:v>7.5413164871115184</c:v>
                </c:pt>
                <c:pt idx="1">
                  <c:v>13.293739728074101</c:v>
                </c:pt>
                <c:pt idx="2">
                  <c:v>7.8019930324880562</c:v>
                </c:pt>
                <c:pt idx="3">
                  <c:v>9.3197810789679583</c:v>
                </c:pt>
                <c:pt idx="4">
                  <c:v>6.5105063727178845</c:v>
                </c:pt>
                <c:pt idx="5">
                  <c:v>5.8652863407075255</c:v>
                </c:pt>
                <c:pt idx="6">
                  <c:v>4.8968853432911743</c:v>
                </c:pt>
                <c:pt idx="7">
                  <c:v>5.8113814598833784</c:v>
                </c:pt>
                <c:pt idx="8">
                  <c:v>6.2310842086523053</c:v>
                </c:pt>
                <c:pt idx="9">
                  <c:v>5.0630810092961545</c:v>
                </c:pt>
                <c:pt idx="10">
                  <c:v>4.322915252396327</c:v>
                </c:pt>
                <c:pt idx="11" formatCode="General">
                  <c:v>10.8</c:v>
                </c:pt>
                <c:pt idx="12" formatCode="General">
                  <c:v>2.8</c:v>
                </c:pt>
                <c:pt idx="13">
                  <c:v>4.0436408026245738</c:v>
                </c:pt>
                <c:pt idx="14">
                  <c:v>4.459930313588842</c:v>
                </c:pt>
                <c:pt idx="15" formatCode="General">
                  <c:v>4.2</c:v>
                </c:pt>
                <c:pt idx="16" formatCode="General">
                  <c:v>5.7</c:v>
                </c:pt>
                <c:pt idx="17">
                  <c:v>4.1785416758012985</c:v>
                </c:pt>
                <c:pt idx="18">
                  <c:v>3.8621034224331767</c:v>
                </c:pt>
                <c:pt idx="19">
                  <c:v>4.8158042744656822</c:v>
                </c:pt>
                <c:pt idx="20">
                  <c:v>4.6398585947856814</c:v>
                </c:pt>
                <c:pt idx="21">
                  <c:v>5.8929213079410765</c:v>
                </c:pt>
                <c:pt idx="22">
                  <c:v>7.2759856630824205</c:v>
                </c:pt>
                <c:pt idx="23">
                  <c:v>7.1166239345852773</c:v>
                </c:pt>
                <c:pt idx="24">
                  <c:v>7.0606074965644723</c:v>
                </c:pt>
                <c:pt idx="25">
                  <c:v>6.6862453232489694</c:v>
                </c:pt>
                <c:pt idx="26">
                  <c:v>6.5027094622759565</c:v>
                </c:pt>
                <c:pt idx="27">
                  <c:v>6.9102462271644072</c:v>
                </c:pt>
                <c:pt idx="28">
                  <c:v>10.498549195462957</c:v>
                </c:pt>
                <c:pt idx="29">
                  <c:v>14.442649434571894</c:v>
                </c:pt>
                <c:pt idx="30">
                  <c:v>9.2175234236515298</c:v>
                </c:pt>
                <c:pt idx="31">
                  <c:v>12.963329245618894</c:v>
                </c:pt>
                <c:pt idx="32">
                  <c:v>13.299462044231916</c:v>
                </c:pt>
                <c:pt idx="33">
                  <c:v>13.079117611604454</c:v>
                </c:pt>
              </c:numCache>
            </c:numRef>
          </c:val>
        </c:ser>
        <c:ser>
          <c:idx val="5"/>
          <c:order val="2"/>
          <c:tx>
            <c:strRef>
              <c:f>'Trh práce 3'!$H$8</c:f>
              <c:strCache>
                <c:ptCount val="1"/>
                <c:pt idx="0">
                  <c:v>Average nominal wage in branch: minimum*</c:v>
                </c:pt>
              </c:strCache>
            </c:strRef>
          </c:tx>
          <c:spPr>
            <a:ln>
              <a:noFill/>
            </a:ln>
          </c:spPr>
          <c:marker>
            <c:symbol val="dash"/>
            <c:size val="6"/>
            <c:spPr>
              <a:solidFill>
                <a:srgbClr val="48AEE7"/>
              </a:solidFill>
              <a:ln>
                <a:solidFill>
                  <a:srgbClr val="48AEE7"/>
                </a:solidFill>
              </a:ln>
            </c:spPr>
          </c:marker>
          <c:cat>
            <c:multiLvlStrRef>
              <c:f>'Trh práce 3'!$A$9:$B$42</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3'!$H$9:$H$42</c:f>
              <c:numCache>
                <c:formatCode>0.0</c:formatCode>
                <c:ptCount val="34"/>
                <c:pt idx="0">
                  <c:v>-8.6123799023468131</c:v>
                </c:pt>
                <c:pt idx="1">
                  <c:v>-0.94530353532593359</c:v>
                </c:pt>
                <c:pt idx="2">
                  <c:v>-2.2820133878118742</c:v>
                </c:pt>
                <c:pt idx="3">
                  <c:v>-5.8817017822220778</c:v>
                </c:pt>
                <c:pt idx="4">
                  <c:v>-4.1645837338973255</c:v>
                </c:pt>
                <c:pt idx="5">
                  <c:v>-3.1317980646613139</c:v>
                </c:pt>
                <c:pt idx="6">
                  <c:v>-1.7721281192272755</c:v>
                </c:pt>
                <c:pt idx="7">
                  <c:v>-3.6904591617794287</c:v>
                </c:pt>
                <c:pt idx="8">
                  <c:v>0.77949953870195543</c:v>
                </c:pt>
                <c:pt idx="9">
                  <c:v>-2.0921058463720641</c:v>
                </c:pt>
                <c:pt idx="10">
                  <c:v>-2.1834061135371172</c:v>
                </c:pt>
                <c:pt idx="11" formatCode="General">
                  <c:v>-1.5</c:v>
                </c:pt>
                <c:pt idx="12" formatCode="General">
                  <c:v>-3.6</c:v>
                </c:pt>
                <c:pt idx="13">
                  <c:v>-7.4553296364756525</c:v>
                </c:pt>
                <c:pt idx="14">
                  <c:v>-1.5668645251396638</c:v>
                </c:pt>
                <c:pt idx="15" formatCode="General">
                  <c:v>-6.5</c:v>
                </c:pt>
                <c:pt idx="16" formatCode="General">
                  <c:v>1.9000000000000001</c:v>
                </c:pt>
                <c:pt idx="17">
                  <c:v>0.53674544020756865</c:v>
                </c:pt>
                <c:pt idx="18">
                  <c:v>-1.9081035923141199</c:v>
                </c:pt>
                <c:pt idx="19">
                  <c:v>-4.7124364184406744</c:v>
                </c:pt>
                <c:pt idx="20">
                  <c:v>-1.8071028211270601</c:v>
                </c:pt>
                <c:pt idx="21">
                  <c:v>-2.4189059258134731</c:v>
                </c:pt>
                <c:pt idx="22">
                  <c:v>-1.5012815818381569</c:v>
                </c:pt>
                <c:pt idx="23">
                  <c:v>-0.5914446838751104</c:v>
                </c:pt>
                <c:pt idx="24">
                  <c:v>0.84669884771099735</c:v>
                </c:pt>
                <c:pt idx="25">
                  <c:v>1.0530408579852946</c:v>
                </c:pt>
                <c:pt idx="26">
                  <c:v>-0.26422697096806808</c:v>
                </c:pt>
                <c:pt idx="27">
                  <c:v>-4.8610348236844843</c:v>
                </c:pt>
                <c:pt idx="28">
                  <c:v>-0.92197650764485672</c:v>
                </c:pt>
                <c:pt idx="29">
                  <c:v>3.0504326544882328</c:v>
                </c:pt>
                <c:pt idx="30">
                  <c:v>2.6351878810895215</c:v>
                </c:pt>
                <c:pt idx="31">
                  <c:v>4.1497727829328843</c:v>
                </c:pt>
                <c:pt idx="32">
                  <c:v>3.3049180327868726</c:v>
                </c:pt>
                <c:pt idx="33">
                  <c:v>6.0981326666145845</c:v>
                </c:pt>
              </c:numCache>
            </c:numRef>
          </c:val>
        </c:ser>
        <c:ser>
          <c:idx val="1"/>
          <c:order val="3"/>
          <c:tx>
            <c:strRef>
              <c:f>'Trh práce 3'!$D$8</c:f>
              <c:strCache>
                <c:ptCount val="1"/>
                <c:pt idx="0">
                  <c:v>Median wage (nominal)</c:v>
                </c:pt>
              </c:strCache>
            </c:strRef>
          </c:tx>
          <c:spPr>
            <a:ln w="19050">
              <a:solidFill>
                <a:srgbClr val="BD1B21"/>
              </a:solidFill>
              <a:prstDash val="solid"/>
            </a:ln>
          </c:spPr>
          <c:marker>
            <c:symbol val="none"/>
          </c:marker>
          <c:cat>
            <c:multiLvlStrRef>
              <c:f>'Trh práce 3'!$A$9:$B$42</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3'!$D$9:$D$42</c:f>
              <c:numCache>
                <c:formatCode>0.0</c:formatCode>
                <c:ptCount val="34"/>
                <c:pt idx="0">
                  <c:v>3.2000000000000042</c:v>
                </c:pt>
                <c:pt idx="1">
                  <c:v>2.5999999999999943</c:v>
                </c:pt>
                <c:pt idx="2">
                  <c:v>2.7999999999999972</c:v>
                </c:pt>
                <c:pt idx="3">
                  <c:v>1.7999999999999949</c:v>
                </c:pt>
                <c:pt idx="4">
                  <c:v>2.7999999999999972</c:v>
                </c:pt>
                <c:pt idx="5">
                  <c:v>2.2000000000000042</c:v>
                </c:pt>
                <c:pt idx="6">
                  <c:v>1.7000000000000028</c:v>
                </c:pt>
                <c:pt idx="7">
                  <c:v>2.2000000000000042</c:v>
                </c:pt>
                <c:pt idx="8">
                  <c:v>1.4000000000000057</c:v>
                </c:pt>
                <c:pt idx="9">
                  <c:v>1.2999999999999949</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6.7000000000000028</c:v>
                </c:pt>
                <c:pt idx="25">
                  <c:v>4.5999999999999943</c:v>
                </c:pt>
                <c:pt idx="26">
                  <c:v>5.2999999999999972</c:v>
                </c:pt>
                <c:pt idx="27">
                  <c:v>6.2000000000000028</c:v>
                </c:pt>
                <c:pt idx="28">
                  <c:v>4.4000000000000083</c:v>
                </c:pt>
                <c:pt idx="29">
                  <c:v>7.4000000000000083</c:v>
                </c:pt>
                <c:pt idx="30">
                  <c:v>6.4000000000000083</c:v>
                </c:pt>
                <c:pt idx="31">
                  <c:v>8.4000000000000057</c:v>
                </c:pt>
                <c:pt idx="32">
                  <c:v>8.3000000000000025</c:v>
                </c:pt>
                <c:pt idx="33">
                  <c:v>9.4000000000000057</c:v>
                </c:pt>
              </c:numCache>
            </c:numRef>
          </c:val>
        </c:ser>
        <c:ser>
          <c:idx val="3"/>
          <c:order val="5"/>
          <c:tx>
            <c:strRef>
              <c:f>'Trh práce 3'!$F$8</c:f>
              <c:strCache>
                <c:ptCount val="1"/>
                <c:pt idx="0">
                  <c:v>Labour productivity in whole economy (real)**</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3'!$A$9:$B$42</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3'!$F$9:$F$42</c:f>
              <c:numCache>
                <c:formatCode>0.0</c:formatCode>
                <c:ptCount val="34"/>
                <c:pt idx="0">
                  <c:v>3.5332846838865208</c:v>
                </c:pt>
                <c:pt idx="1">
                  <c:v>4.425122650740704</c:v>
                </c:pt>
                <c:pt idx="2">
                  <c:v>2.3152819998793288</c:v>
                </c:pt>
                <c:pt idx="3">
                  <c:v>2.9717863026053952</c:v>
                </c:pt>
                <c:pt idx="4">
                  <c:v>2.9527260280244576</c:v>
                </c:pt>
                <c:pt idx="5">
                  <c:v>2.0923191727528945</c:v>
                </c:pt>
                <c:pt idx="6">
                  <c:v>1.8080251400873806</c:v>
                </c:pt>
                <c:pt idx="7">
                  <c:v>1.5019620723850398</c:v>
                </c:pt>
                <c:pt idx="8">
                  <c:v>0.41537995919813397</c:v>
                </c:pt>
                <c:pt idx="9">
                  <c:v>-1.2819231607881099</c:v>
                </c:pt>
                <c:pt idx="10">
                  <c:v>-1.8249350322319771</c:v>
                </c:pt>
                <c:pt idx="11">
                  <c:v>-2.0588258996494337</c:v>
                </c:pt>
                <c:pt idx="12">
                  <c:v>-2.8802810421720353</c:v>
                </c:pt>
                <c:pt idx="13">
                  <c:v>-1.827948004663384</c:v>
                </c:pt>
                <c:pt idx="14">
                  <c:v>0.40461936993752134</c:v>
                </c:pt>
                <c:pt idx="15">
                  <c:v>0.95515229453815265</c:v>
                </c:pt>
                <c:pt idx="16">
                  <c:v>1.7448585072078089</c:v>
                </c:pt>
                <c:pt idx="17">
                  <c:v>2.7515963261383551</c:v>
                </c:pt>
                <c:pt idx="18">
                  <c:v>3.0294730201186408</c:v>
                </c:pt>
                <c:pt idx="19">
                  <c:v>1.0840279704352742</c:v>
                </c:pt>
                <c:pt idx="20">
                  <c:v>3.7518410336967882</c:v>
                </c:pt>
                <c:pt idx="21">
                  <c:v>4.1202609165826694</c:v>
                </c:pt>
                <c:pt idx="22">
                  <c:v>3.76028698995718</c:v>
                </c:pt>
                <c:pt idx="23">
                  <c:v>3.6745015563024808</c:v>
                </c:pt>
                <c:pt idx="24">
                  <c:v>1.4752745888902719</c:v>
                </c:pt>
                <c:pt idx="25">
                  <c:v>2.0687313721093017</c:v>
                </c:pt>
                <c:pt idx="26">
                  <c:v>6.7689948363209768E-2</c:v>
                </c:pt>
                <c:pt idx="27">
                  <c:v>-0.12588932224844027</c:v>
                </c:pt>
                <c:pt idx="28">
                  <c:v>2.0723573940323381</c:v>
                </c:pt>
                <c:pt idx="29">
                  <c:v>2.2918535909504807</c:v>
                </c:pt>
                <c:pt idx="30">
                  <c:v>2.8518670355446956</c:v>
                </c:pt>
                <c:pt idx="31">
                  <c:v>3.4817265702648825</c:v>
                </c:pt>
                <c:pt idx="32">
                  <c:v>1.5689331910996598</c:v>
                </c:pt>
                <c:pt idx="33">
                  <c:v>0.78667321908767462</c:v>
                </c:pt>
              </c:numCache>
            </c:numRef>
          </c:val>
        </c:ser>
        <c:marker val="1"/>
        <c:axId val="150550016"/>
        <c:axId val="150551936"/>
      </c:lineChart>
      <c:catAx>
        <c:axId val="150550016"/>
        <c:scaling>
          <c:orientation val="minMax"/>
        </c:scaling>
        <c:axPos val="b"/>
        <c:numFmt formatCode="General" sourceLinked="1"/>
        <c:tickLblPos val="low"/>
        <c:spPr>
          <a:ln>
            <a:solidFill>
              <a:schemeClr val="tx1"/>
            </a:solidFill>
          </a:ln>
        </c:spPr>
        <c:txPr>
          <a:bodyPr rot="0" vert="horz"/>
          <a:lstStyle/>
          <a:p>
            <a:pPr>
              <a:defRPr/>
            </a:pPr>
            <a:endParaRPr lang="cs-CZ"/>
          </a:p>
        </c:txPr>
        <c:crossAx val="150551936"/>
        <c:crosses val="autoZero"/>
        <c:auto val="1"/>
        <c:lblAlgn val="ctr"/>
        <c:lblOffset val="0"/>
        <c:tickMarkSkip val="4"/>
      </c:catAx>
      <c:valAx>
        <c:axId val="150551936"/>
        <c:scaling>
          <c:orientation val="minMax"/>
          <c:max val="15"/>
          <c:min val="-9"/>
        </c:scaling>
        <c:axPos val="l"/>
        <c:majorGridlines>
          <c:spPr>
            <a:ln>
              <a:solidFill>
                <a:schemeClr val="bg1">
                  <a:lumMod val="75000"/>
                </a:schemeClr>
              </a:solidFill>
            </a:ln>
          </c:spPr>
        </c:majorGridlines>
        <c:numFmt formatCode="0" sourceLinked="0"/>
        <c:tickLblPos val="nextTo"/>
        <c:spPr>
          <a:ln>
            <a:solidFill>
              <a:schemeClr val="tx1"/>
            </a:solidFill>
          </a:ln>
        </c:spPr>
        <c:crossAx val="150550016"/>
        <c:crosses val="autoZero"/>
        <c:crossBetween val="between"/>
        <c:majorUnit val="1"/>
      </c:valAx>
      <c:spPr>
        <a:ln>
          <a:solidFill>
            <a:schemeClr val="tx1"/>
          </a:solidFill>
        </a:ln>
      </c:spPr>
    </c:plotArea>
    <c:legend>
      <c:legendPos val="b"/>
      <c:layout>
        <c:manualLayout>
          <c:xMode val="edge"/>
          <c:yMode val="edge"/>
          <c:x val="3.3931411103107045E-2"/>
          <c:y val="0.87218197278911702"/>
          <c:w val="0.95918419990438819"/>
          <c:h val="0.10981916099773241"/>
        </c:manualLayout>
      </c:layout>
      <c:spPr>
        <a:ln w="6350">
          <a:solidFill>
            <a:schemeClr val="tx1"/>
          </a:solidFill>
        </a:ln>
      </c:spPr>
      <c:txPr>
        <a:bodyPr/>
        <a:lstStyle/>
        <a:p>
          <a:pPr>
            <a:defRPr sz="750"/>
          </a:pPr>
          <a:endParaRPr lang="cs-CZ"/>
        </a:p>
      </c:tx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0BB3-9503-4BB5-8AB7-0DD4E4A833A5}">
  <ds:schemaRefs>
    <ds:schemaRef ds:uri="http://schemas.openxmlformats.org/officeDocument/2006/bibliography"/>
  </ds:schemaRefs>
</ds:datastoreItem>
</file>

<file path=customXml/itemProps2.xml><?xml version="1.0" encoding="utf-8"?>
<ds:datastoreItem xmlns:ds="http://schemas.openxmlformats.org/officeDocument/2006/customXml" ds:itemID="{57FD3170-68AE-47FE-9FCF-5CDA52B7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5</Pages>
  <Words>2050</Words>
  <Characters>12095</Characters>
  <Application>Microsoft Office Word</Application>
  <DocSecurity>0</DocSecurity>
  <Lines>100</Lines>
  <Paragraphs>28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14117</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Súkupová</cp:lastModifiedBy>
  <cp:revision>3</cp:revision>
  <cp:lastPrinted>2014-07-17T14:07:00Z</cp:lastPrinted>
  <dcterms:created xsi:type="dcterms:W3CDTF">2018-10-19T12:00:00Z</dcterms:created>
  <dcterms:modified xsi:type="dcterms:W3CDTF">2018-10-19T12:13:00Z</dcterms:modified>
</cp:coreProperties>
</file>