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6EA" w:rsidRPr="00772C40" w:rsidRDefault="007B46EA" w:rsidP="007B46EA">
      <w:pPr>
        <w:pStyle w:val="Nadpis1"/>
      </w:pPr>
      <w:bookmarkStart w:id="0" w:name="_Toc533697546"/>
      <w:bookmarkStart w:id="1" w:name="_Toc534712045"/>
      <w:r w:rsidRPr="00772C40">
        <w:t>Chapter F Education</w:t>
      </w:r>
      <w:r>
        <w:t xml:space="preserve"> and ICT</w:t>
      </w:r>
      <w:bookmarkEnd w:id="0"/>
      <w:bookmarkEnd w:id="1"/>
    </w:p>
    <w:p w:rsidR="007B46EA" w:rsidRPr="0009210F" w:rsidRDefault="007B46EA" w:rsidP="007B46EA">
      <w:pPr>
        <w:pStyle w:val="Zkladntext"/>
        <w:spacing w:before="0" w:after="80" w:line="264" w:lineRule="auto"/>
        <w:rPr>
          <w:i/>
          <w:sz w:val="20"/>
          <w:lang w:val="en-GB"/>
        </w:rPr>
      </w:pPr>
      <w:r w:rsidRPr="0009210F">
        <w:rPr>
          <w:i/>
          <w:sz w:val="20"/>
          <w:lang w:val="en-GB"/>
        </w:rPr>
        <w:t xml:space="preserve">Information and communication technology </w:t>
      </w:r>
      <w:r w:rsidRPr="00100737">
        <w:rPr>
          <w:i/>
          <w:sz w:val="20"/>
          <w:lang w:val="en-GB"/>
        </w:rPr>
        <w:t xml:space="preserve">is of course a matter of interest for </w:t>
      </w:r>
      <w:r w:rsidRPr="0009210F">
        <w:rPr>
          <w:i/>
          <w:sz w:val="20"/>
          <w:lang w:val="en-GB"/>
        </w:rPr>
        <w:t>students these days – most of them have never experienced life without the internet, thus they cannot imagine their lives to be offline</w:t>
      </w:r>
      <w:r w:rsidRPr="0009210F">
        <w:rPr>
          <w:rStyle w:val="Znakapoznpodarou"/>
          <w:i/>
          <w:sz w:val="20"/>
          <w:lang w:val="en-GB"/>
        </w:rPr>
        <w:footnoteReference w:id="1"/>
      </w:r>
      <w:r w:rsidRPr="0009210F">
        <w:rPr>
          <w:i/>
          <w:sz w:val="20"/>
          <w:lang w:val="en-GB"/>
        </w:rPr>
        <w:t>.</w:t>
      </w:r>
    </w:p>
    <w:p w:rsidR="007B46EA" w:rsidRPr="0009210F" w:rsidRDefault="007B46EA" w:rsidP="007B46EA">
      <w:pPr>
        <w:pStyle w:val="Zkladntext"/>
        <w:spacing w:before="0" w:after="80" w:line="264" w:lineRule="auto"/>
        <w:rPr>
          <w:i/>
          <w:sz w:val="20"/>
          <w:lang w:val="en-GB"/>
        </w:rPr>
      </w:pPr>
      <w:r w:rsidRPr="0009210F">
        <w:rPr>
          <w:i/>
          <w:sz w:val="20"/>
          <w:lang w:val="en-GB"/>
        </w:rPr>
        <w:t xml:space="preserve">Nevertheless, adequate knowledge or education in the ICT </w:t>
      </w:r>
      <w:r w:rsidRPr="00100737">
        <w:rPr>
          <w:i/>
          <w:sz w:val="20"/>
          <w:lang w:val="en-GB"/>
        </w:rPr>
        <w:t>area</w:t>
      </w:r>
      <w:r w:rsidRPr="00100737">
        <w:rPr>
          <w:i/>
          <w:sz w:val="20"/>
          <w:szCs w:val="20"/>
        </w:rPr>
        <w:t>,</w:t>
      </w:r>
      <w:r w:rsidRPr="00100737">
        <w:rPr>
          <w:i/>
          <w:sz w:val="20"/>
          <w:lang w:val="en-GB"/>
        </w:rPr>
        <w:t xml:space="preserve"> does not solely </w:t>
      </w:r>
      <w:r w:rsidRPr="0009210F">
        <w:rPr>
          <w:i/>
          <w:sz w:val="20"/>
          <w:lang w:val="en-GB"/>
        </w:rPr>
        <w:t xml:space="preserve">concern the young generation. </w:t>
      </w:r>
      <w:r w:rsidRPr="00100737">
        <w:rPr>
          <w:i/>
          <w:sz w:val="20"/>
          <w:lang w:val="en-GB"/>
        </w:rPr>
        <w:t>Every day</w:t>
      </w:r>
      <w:r w:rsidRPr="0009210F">
        <w:rPr>
          <w:i/>
          <w:color w:val="FF0000"/>
          <w:sz w:val="20"/>
          <w:lang w:val="en-GB"/>
        </w:rPr>
        <w:t xml:space="preserve"> </w:t>
      </w:r>
      <w:r w:rsidRPr="0009210F">
        <w:rPr>
          <w:i/>
          <w:sz w:val="20"/>
          <w:lang w:val="en-GB"/>
        </w:rPr>
        <w:t xml:space="preserve">or occasional contact with ICT in our work life and leisure </w:t>
      </w:r>
      <w:r w:rsidRPr="00100737">
        <w:rPr>
          <w:i/>
          <w:sz w:val="20"/>
          <w:lang w:val="en-GB"/>
        </w:rPr>
        <w:t>time</w:t>
      </w:r>
      <w:r w:rsidRPr="00100737">
        <w:rPr>
          <w:i/>
          <w:sz w:val="20"/>
          <w:szCs w:val="20"/>
        </w:rPr>
        <w:t>,</w:t>
      </w:r>
      <w:r w:rsidRPr="00100737">
        <w:rPr>
          <w:i/>
          <w:sz w:val="20"/>
          <w:lang w:val="en-GB"/>
        </w:rPr>
        <w:t xml:space="preserve"> creates pressure on </w:t>
      </w:r>
      <w:r w:rsidRPr="0009210F">
        <w:rPr>
          <w:i/>
          <w:sz w:val="20"/>
          <w:lang w:val="en-GB"/>
        </w:rPr>
        <w:t xml:space="preserve">nearly </w:t>
      </w:r>
      <w:r w:rsidRPr="00100737">
        <w:rPr>
          <w:i/>
          <w:sz w:val="20"/>
          <w:lang w:val="en-GB"/>
        </w:rPr>
        <w:t xml:space="preserve">everyone to be able to </w:t>
      </w:r>
      <w:r w:rsidRPr="0009210F">
        <w:rPr>
          <w:i/>
          <w:sz w:val="20"/>
          <w:lang w:val="en-GB"/>
        </w:rPr>
        <w:t xml:space="preserve">acquire computer and digital skills. Working with computers or the </w:t>
      </w:r>
      <w:r w:rsidRPr="00100737">
        <w:rPr>
          <w:i/>
          <w:sz w:val="20"/>
          <w:lang w:val="en-GB"/>
        </w:rPr>
        <w:t>internet</w:t>
      </w:r>
      <w:r w:rsidRPr="00100737">
        <w:rPr>
          <w:i/>
          <w:sz w:val="20"/>
          <w:szCs w:val="20"/>
        </w:rPr>
        <w:t>,</w:t>
      </w:r>
      <w:r w:rsidRPr="0009210F">
        <w:rPr>
          <w:i/>
          <w:sz w:val="20"/>
          <w:lang w:val="en-GB"/>
        </w:rPr>
        <w:t xml:space="preserve"> no longer belongs to the world of highly educated and enthusiastic individuals, but to most of us</w:t>
      </w:r>
      <w:r w:rsidRPr="00100737">
        <w:rPr>
          <w:i/>
          <w:sz w:val="20"/>
          <w:szCs w:val="20"/>
        </w:rPr>
        <w:t xml:space="preserve">, as </w:t>
      </w:r>
      <w:r w:rsidRPr="009769CA">
        <w:rPr>
          <w:i/>
          <w:sz w:val="20"/>
          <w:szCs w:val="20"/>
          <w:lang w:val="en-GB"/>
        </w:rPr>
        <w:t>it</w:t>
      </w:r>
      <w:r w:rsidRPr="00100737">
        <w:rPr>
          <w:i/>
          <w:sz w:val="20"/>
          <w:szCs w:val="20"/>
        </w:rPr>
        <w:t xml:space="preserve"> has</w:t>
      </w:r>
      <w:r w:rsidRPr="00100737">
        <w:rPr>
          <w:i/>
          <w:sz w:val="20"/>
          <w:lang w:val="en-GB"/>
        </w:rPr>
        <w:t xml:space="preserve"> become</w:t>
      </w:r>
      <w:r w:rsidRPr="0009210F">
        <w:rPr>
          <w:i/>
          <w:color w:val="FF0000"/>
          <w:sz w:val="20"/>
          <w:lang w:val="en-GB"/>
        </w:rPr>
        <w:t xml:space="preserve"> </w:t>
      </w:r>
      <w:r w:rsidRPr="0009210F">
        <w:rPr>
          <w:i/>
          <w:sz w:val="20"/>
          <w:lang w:val="en-GB"/>
        </w:rPr>
        <w:t xml:space="preserve">a routine part of everyday lives. </w:t>
      </w:r>
    </w:p>
    <w:p w:rsidR="007B46EA" w:rsidRPr="0009210F" w:rsidRDefault="007B46EA" w:rsidP="007B46EA">
      <w:pPr>
        <w:pStyle w:val="Zkladntext"/>
        <w:spacing w:before="0" w:after="80" w:line="264" w:lineRule="auto"/>
        <w:rPr>
          <w:i/>
          <w:sz w:val="20"/>
          <w:lang w:val="en-GB"/>
        </w:rPr>
      </w:pPr>
      <w:r w:rsidRPr="0009210F">
        <w:rPr>
          <w:i/>
          <w:sz w:val="20"/>
          <w:lang w:val="en-GB"/>
        </w:rPr>
        <w:t xml:space="preserve">The field of ICT development requires a sufficient structure of </w:t>
      </w:r>
      <w:r w:rsidRPr="00100737">
        <w:rPr>
          <w:i/>
          <w:sz w:val="20"/>
          <w:lang w:val="en-GB"/>
        </w:rPr>
        <w:t>specialists</w:t>
      </w:r>
      <w:r w:rsidRPr="00100737">
        <w:rPr>
          <w:i/>
          <w:sz w:val="20"/>
          <w:szCs w:val="20"/>
        </w:rPr>
        <w:t>,</w:t>
      </w:r>
      <w:r w:rsidRPr="0009210F">
        <w:rPr>
          <w:i/>
          <w:sz w:val="20"/>
          <w:lang w:val="en-GB"/>
        </w:rPr>
        <w:t xml:space="preserve"> whose knowledge and skills may contribute to innovative solutions. Expert knowledge in the field of ICT may be attained by studying within the formal education system or within further (non-formal) education or self-study, or alternatively by learning from experience. </w:t>
      </w:r>
    </w:p>
    <w:p w:rsidR="007B46EA" w:rsidRPr="00772C40" w:rsidRDefault="007B46EA" w:rsidP="007B46EA">
      <w:pPr>
        <w:pStyle w:val="Nadpis2"/>
      </w:pPr>
      <w:bookmarkStart w:id="2" w:name="_Toc533697547"/>
      <w:bookmarkStart w:id="3" w:name="_Toc534712046"/>
      <w:r w:rsidRPr="00772C40">
        <w:t>F.1 ICT at schools</w:t>
      </w:r>
      <w:bookmarkEnd w:id="2"/>
      <w:bookmarkEnd w:id="3"/>
    </w:p>
    <w:p w:rsidR="007B46EA" w:rsidRPr="00802F62" w:rsidRDefault="007B46EA" w:rsidP="007B46EA">
      <w:pPr>
        <w:pStyle w:val="Zkladntext"/>
        <w:spacing w:before="0" w:after="80" w:line="264" w:lineRule="auto"/>
        <w:rPr>
          <w:i/>
          <w:sz w:val="20"/>
          <w:lang w:val="en-GB"/>
        </w:rPr>
      </w:pPr>
      <w:r w:rsidRPr="00802F62">
        <w:rPr>
          <w:i/>
          <w:sz w:val="20"/>
          <w:lang w:val="en-GB"/>
        </w:rPr>
        <w:t>It has been a long time since computers at schools were solely located in computer classrooms or teachers’ offices</w:t>
      </w:r>
      <w:r>
        <w:rPr>
          <w:i/>
          <w:sz w:val="20"/>
          <w:lang w:val="en-GB"/>
        </w:rPr>
        <w:t>.</w:t>
      </w:r>
      <w:r w:rsidRPr="00802F62">
        <w:rPr>
          <w:i/>
          <w:sz w:val="20"/>
          <w:lang w:val="en-GB"/>
        </w:rPr>
        <w:t xml:space="preserve"> Increasingly, there are language classrooms or scientific classrooms available at school</w:t>
      </w:r>
      <w:r w:rsidRPr="00100737">
        <w:rPr>
          <w:i/>
          <w:sz w:val="20"/>
          <w:lang w:val="en-GB"/>
        </w:rPr>
        <w:t>s</w:t>
      </w:r>
      <w:r w:rsidRPr="00100737">
        <w:rPr>
          <w:i/>
          <w:sz w:val="20"/>
          <w:szCs w:val="20"/>
        </w:rPr>
        <w:t>,</w:t>
      </w:r>
      <w:r w:rsidRPr="00100737">
        <w:rPr>
          <w:i/>
          <w:sz w:val="20"/>
          <w:lang w:val="en-GB"/>
        </w:rPr>
        <w:t xml:space="preserve"> </w:t>
      </w:r>
      <w:r w:rsidRPr="00802F62">
        <w:rPr>
          <w:i/>
          <w:sz w:val="20"/>
          <w:lang w:val="en-GB"/>
        </w:rPr>
        <w:t xml:space="preserve">which are equipped with multimedia and digital technologies. Whereas in the </w:t>
      </w:r>
      <w:r w:rsidRPr="00100737">
        <w:rPr>
          <w:i/>
          <w:sz w:val="20"/>
          <w:lang w:val="en-GB"/>
        </w:rPr>
        <w:t>past</w:t>
      </w:r>
      <w:r w:rsidRPr="00100737">
        <w:rPr>
          <w:i/>
          <w:sz w:val="20"/>
          <w:szCs w:val="20"/>
        </w:rPr>
        <w:t>,</w:t>
      </w:r>
      <w:r w:rsidRPr="00802F62">
        <w:rPr>
          <w:i/>
          <w:sz w:val="20"/>
          <w:lang w:val="en-GB"/>
        </w:rPr>
        <w:t xml:space="preserve"> pupils/students used to present their papers only verbally, </w:t>
      </w:r>
      <w:r w:rsidRPr="00100737">
        <w:rPr>
          <w:i/>
          <w:sz w:val="20"/>
          <w:lang w:val="en-GB"/>
        </w:rPr>
        <w:t xml:space="preserve">due to </w:t>
      </w:r>
      <w:r w:rsidRPr="00802F62">
        <w:rPr>
          <w:i/>
          <w:sz w:val="20"/>
          <w:lang w:val="en-GB"/>
        </w:rPr>
        <w:t xml:space="preserve">computer </w:t>
      </w:r>
      <w:r w:rsidRPr="00100737">
        <w:rPr>
          <w:i/>
          <w:sz w:val="20"/>
          <w:lang w:val="en-GB"/>
        </w:rPr>
        <w:t xml:space="preserve">development in </w:t>
      </w:r>
      <w:r w:rsidRPr="00802F62">
        <w:rPr>
          <w:i/>
          <w:sz w:val="20"/>
          <w:lang w:val="en-GB"/>
        </w:rPr>
        <w:t xml:space="preserve">schools, they may enhance their papers visually and </w:t>
      </w:r>
      <w:r w:rsidRPr="00100737">
        <w:rPr>
          <w:i/>
          <w:sz w:val="20"/>
          <w:lang w:val="en-GB"/>
        </w:rPr>
        <w:t>interactively</w:t>
      </w:r>
      <w:r w:rsidRPr="00100737">
        <w:rPr>
          <w:i/>
          <w:sz w:val="20"/>
          <w:szCs w:val="20"/>
        </w:rPr>
        <w:t>,</w:t>
      </w:r>
      <w:r w:rsidRPr="00802F62">
        <w:rPr>
          <w:i/>
          <w:sz w:val="20"/>
          <w:lang w:val="en-GB"/>
        </w:rPr>
        <w:t xml:space="preserve"> by means of various media and presentation programmes. Presentations are also a common means of involving students in </w:t>
      </w:r>
      <w:r w:rsidRPr="00100737">
        <w:rPr>
          <w:i/>
          <w:sz w:val="20"/>
          <w:lang w:val="en-GB"/>
        </w:rPr>
        <w:t>lessons</w:t>
      </w:r>
      <w:r w:rsidRPr="00100737">
        <w:rPr>
          <w:i/>
          <w:sz w:val="20"/>
          <w:szCs w:val="20"/>
        </w:rPr>
        <w:t>,</w:t>
      </w:r>
      <w:r w:rsidRPr="00100737">
        <w:rPr>
          <w:i/>
          <w:sz w:val="20"/>
          <w:lang w:val="en-GB"/>
        </w:rPr>
        <w:t xml:space="preserve"> and serve as visual support for t</w:t>
      </w:r>
      <w:r w:rsidRPr="00802F62">
        <w:rPr>
          <w:i/>
          <w:sz w:val="20"/>
          <w:lang w:val="en-GB"/>
        </w:rPr>
        <w:t xml:space="preserve">eachers’ lectures.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rPr>
          <w:b/>
        </w:rPr>
      </w:pPr>
      <w:r w:rsidRPr="00772C40">
        <w:rPr>
          <w:b/>
        </w:rPr>
        <w:t xml:space="preserve">Internet access </w:t>
      </w:r>
      <w:r w:rsidRPr="00100737">
        <w:t xml:space="preserve">in </w:t>
      </w:r>
      <w:r w:rsidRPr="00772C40">
        <w:t xml:space="preserve">Czech schools is almost </w:t>
      </w:r>
      <w:r w:rsidRPr="00100737">
        <w:t>guaranteed</w:t>
      </w:r>
      <w:r w:rsidRPr="00772C40">
        <w:t xml:space="preserve">. Internet speed differs along with school degrees. Whereas a fifth (20%) of nursery schools is provided with internet speed higher than 30Mb/s, among secondary and higher professional schools this speed is provided by more than 54%. </w:t>
      </w:r>
    </w:p>
    <w:p w:rsidR="007B46EA" w:rsidRDefault="007B46EA" w:rsidP="007B46EA">
      <w:pPr>
        <w:autoSpaceDE w:val="0"/>
        <w:autoSpaceDN w:val="0"/>
        <w:adjustRightInd w:val="0"/>
        <w:spacing w:after="100" w:line="264" w:lineRule="auto"/>
        <w:jc w:val="both"/>
      </w:pPr>
      <w:r w:rsidRPr="00772C40">
        <w:rPr>
          <w:noProof/>
          <w:lang w:val="cs-CZ"/>
        </w:rPr>
        <w:drawing>
          <wp:inline distT="0" distB="0" distL="0" distR="0" wp14:anchorId="6A0CD24A" wp14:editId="08EC56C0">
            <wp:extent cx="2880000" cy="2700000"/>
            <wp:effectExtent l="0" t="0" r="0" b="5715"/>
            <wp:docPr id="205" name="Graf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772C40">
        <w:rPr>
          <w:noProof/>
          <w:lang w:val="cs-CZ"/>
        </w:rPr>
        <w:drawing>
          <wp:inline distT="0" distB="0" distL="0" distR="0" wp14:anchorId="6DC8AC82" wp14:editId="468EF03C">
            <wp:extent cx="3204000" cy="2700000"/>
            <wp:effectExtent l="0" t="0" r="0" b="5715"/>
            <wp:docPr id="206" name="Graf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w:t>
      </w:r>
      <w:r w:rsidRPr="00100737">
        <w:t>the 2016/2017</w:t>
      </w:r>
      <w:r w:rsidRPr="004A708D">
        <w:t xml:space="preserve"> </w:t>
      </w:r>
      <w:r w:rsidRPr="00100737">
        <w:t>school year</w:t>
      </w:r>
      <w:r w:rsidRPr="00772C40">
        <w:t xml:space="preserve">, </w:t>
      </w:r>
      <w:r w:rsidRPr="00B804F4">
        <w:rPr>
          <w:b/>
        </w:rPr>
        <w:t xml:space="preserve">websites </w:t>
      </w:r>
      <w:r w:rsidRPr="00100737">
        <w:t>were nearly available</w:t>
      </w:r>
      <w:r w:rsidRPr="00B804F4">
        <w:rPr>
          <w:b/>
        </w:rPr>
        <w:t xml:space="preserve"> </w:t>
      </w:r>
      <w:r w:rsidRPr="00100737">
        <w:t xml:space="preserve">at </w:t>
      </w:r>
      <w:r w:rsidRPr="00772C40">
        <w:t xml:space="preserve">all secondary and higher professional schools (99%). With respect to </w:t>
      </w:r>
      <w:r w:rsidRPr="00100737">
        <w:t>elementary</w:t>
      </w:r>
      <w:r w:rsidRPr="00B804F4">
        <w:rPr>
          <w:color w:val="FF0000"/>
        </w:rPr>
        <w:t xml:space="preserve"> </w:t>
      </w:r>
      <w:r w:rsidRPr="00772C40">
        <w:t xml:space="preserve">schools, the number </w:t>
      </w:r>
      <w:r w:rsidRPr="00100737">
        <w:t xml:space="preserve">of them </w:t>
      </w:r>
      <w:r w:rsidRPr="00772C40">
        <w:t xml:space="preserve">with their own website has nearly doubled in the past five years, i.e. from 51% in </w:t>
      </w:r>
      <w:r>
        <w:t xml:space="preserve">the </w:t>
      </w:r>
      <w:r w:rsidRPr="00772C40">
        <w:t xml:space="preserve">2011/2012 school year to 96% in </w:t>
      </w:r>
      <w:r>
        <w:t xml:space="preserve">the </w:t>
      </w:r>
      <w:r w:rsidRPr="00772C40">
        <w:t>2016/2017</w:t>
      </w:r>
      <w:r>
        <w:t>.</w:t>
      </w:r>
      <w:r w:rsidRPr="00772C40">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100737">
        <w:t xml:space="preserve">In the 2016/2017 school year, a </w:t>
      </w:r>
      <w:r w:rsidRPr="00772C40">
        <w:t xml:space="preserve">majority of schools in the Czech Republic had a </w:t>
      </w:r>
      <w:r w:rsidRPr="00B804F4">
        <w:rPr>
          <w:b/>
        </w:rPr>
        <w:t xml:space="preserve">student information system </w:t>
      </w:r>
      <w:r>
        <w:t>–</w:t>
      </w:r>
      <w:r w:rsidRPr="00772C40">
        <w:t xml:space="preserve"> 95% of </w:t>
      </w:r>
      <w:r w:rsidRPr="00100737">
        <w:t xml:space="preserve">elementary </w:t>
      </w:r>
      <w:r w:rsidRPr="00772C40">
        <w:t xml:space="preserve">schools and 99% of secondary schools. In comparison, in </w:t>
      </w:r>
      <w:r w:rsidRPr="00100737">
        <w:t>the 2011/2012 school year</w:t>
      </w:r>
      <w:r w:rsidRPr="00B804F4">
        <w:rPr>
          <w:szCs w:val="20"/>
        </w:rPr>
        <w:t>,</w:t>
      </w:r>
      <w:r w:rsidRPr="00B804F4">
        <w:rPr>
          <w:color w:val="FF0000"/>
          <w:szCs w:val="20"/>
        </w:rPr>
        <w:t xml:space="preserve"> </w:t>
      </w:r>
      <w:r w:rsidRPr="00772C40">
        <w:t xml:space="preserve">93% of secondary schools </w:t>
      </w:r>
      <w:r w:rsidRPr="00100737">
        <w:t>had</w:t>
      </w:r>
      <w:r w:rsidRPr="00B804F4">
        <w:rPr>
          <w:color w:val="FF0000"/>
        </w:rPr>
        <w:t xml:space="preserve"> </w:t>
      </w:r>
      <w:r w:rsidRPr="00772C40">
        <w:t xml:space="preserve">these systems, however, solely 36% at </w:t>
      </w:r>
      <w:r w:rsidRPr="00100737">
        <w:t>elementary</w:t>
      </w:r>
      <w:r w:rsidRPr="00B804F4">
        <w:rPr>
          <w:color w:val="FF0000"/>
        </w:rPr>
        <w:t xml:space="preserve"> </w:t>
      </w:r>
      <w:r w:rsidRPr="00772C40">
        <w:t>schools.</w:t>
      </w:r>
    </w:p>
    <w:p w:rsidR="007B46EA" w:rsidRPr="0013532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135320">
        <w:lastRenderedPageBreak/>
        <w:t>The availability of information technology at schools has not changed much over the past years in the Czech Republic. In the</w:t>
      </w:r>
      <w:r>
        <w:t xml:space="preserve"> 2017/</w:t>
      </w:r>
      <w:r w:rsidRPr="004A708D">
        <w:t>2018 school year</w:t>
      </w:r>
      <w:r w:rsidRPr="00135320">
        <w:t>, there were, for instance, on average</w:t>
      </w:r>
      <w:r w:rsidRPr="004A708D">
        <w:rPr>
          <w:szCs w:val="20"/>
        </w:rPr>
        <w:t>,</w:t>
      </w:r>
      <w:r w:rsidRPr="004A708D">
        <w:t xml:space="preserve"> </w:t>
      </w:r>
      <w:r w:rsidRPr="007C6640">
        <w:rPr>
          <w:b/>
        </w:rPr>
        <w:t>25 computers per 100 students</w:t>
      </w:r>
      <w:r w:rsidRPr="00135320">
        <w:t xml:space="preserve"> at Czech secondary schools</w:t>
      </w:r>
      <w:r w:rsidRPr="004A708D">
        <w:rPr>
          <w:szCs w:val="20"/>
        </w:rPr>
        <w:t>,</w:t>
      </w:r>
      <w:r w:rsidRPr="00135320">
        <w:t xml:space="preserve"> compared to 24 computers the year before. Nowadays, the absolute majority of these computers are connected to the internet.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At the same time, the number of </w:t>
      </w:r>
      <w:r w:rsidRPr="00772C40">
        <w:rPr>
          <w:b/>
        </w:rPr>
        <w:t xml:space="preserve">portable computers </w:t>
      </w:r>
      <w:r w:rsidRPr="00772C40">
        <w:t>has been increasing, too. In 2017, for instance, 3.2</w:t>
      </w:r>
      <w:r>
        <w:t> </w:t>
      </w:r>
      <w:r w:rsidRPr="00772C40">
        <w:t xml:space="preserve">laptops were used per 100 pupils at </w:t>
      </w:r>
      <w:r w:rsidRPr="00B24C17">
        <w:t>elementary</w:t>
      </w:r>
      <w:r w:rsidRPr="00AD26EF">
        <w:rPr>
          <w:color w:val="FF0000"/>
        </w:rPr>
        <w:t xml:space="preserve"> </w:t>
      </w:r>
      <w:r w:rsidRPr="00772C40">
        <w:t xml:space="preserve">schools </w:t>
      </w:r>
      <w:r>
        <w:t>–</w:t>
      </w:r>
      <w:r w:rsidRPr="00772C40">
        <w:t xml:space="preserve"> 2nd stage, compared to 2.6 laptops in 2015. Even the highest </w:t>
      </w:r>
      <w:r w:rsidRPr="00772C40">
        <w:rPr>
          <w:b/>
        </w:rPr>
        <w:t>number of tablets</w:t>
      </w:r>
      <w:r w:rsidRPr="00772C40">
        <w:t xml:space="preserve"> in 2017 was recorded with the pupils of </w:t>
      </w:r>
      <w:r w:rsidRPr="00B24C17">
        <w:t xml:space="preserve">elementary </w:t>
      </w:r>
      <w:r w:rsidRPr="00772C40">
        <w:t xml:space="preserve">schools </w:t>
      </w:r>
      <w:r>
        <w:t>–</w:t>
      </w:r>
      <w:r w:rsidRPr="00772C40">
        <w:t xml:space="preserve"> 2nd stage, nearly 4 tablets per 100 pupils, i.e. nearly three times as </w:t>
      </w:r>
      <w:r w:rsidRPr="00B24C17">
        <w:t>many</w:t>
      </w:r>
      <w:r w:rsidRPr="00AD26EF">
        <w:rPr>
          <w:color w:val="FF0000"/>
        </w:rPr>
        <w:t xml:space="preserve"> </w:t>
      </w:r>
      <w:r w:rsidRPr="00772C40">
        <w:t>as two years ago.</w:t>
      </w:r>
    </w:p>
    <w:p w:rsidR="007B46EA" w:rsidRDefault="007B46EA" w:rsidP="007B46EA">
      <w:pPr>
        <w:tabs>
          <w:tab w:val="num" w:pos="284"/>
        </w:tabs>
        <w:autoSpaceDE w:val="0"/>
        <w:autoSpaceDN w:val="0"/>
        <w:adjustRightInd w:val="0"/>
        <w:spacing w:after="100" w:line="264" w:lineRule="auto"/>
        <w:jc w:val="both"/>
      </w:pPr>
      <w:r w:rsidRPr="00772C40">
        <w:rPr>
          <w:noProof/>
          <w:lang w:val="cs-CZ"/>
        </w:rPr>
        <w:drawing>
          <wp:inline distT="0" distB="0" distL="0" distR="0" wp14:anchorId="74A3151F" wp14:editId="2F6E329C">
            <wp:extent cx="3024000" cy="2520000"/>
            <wp:effectExtent l="0" t="0" r="5080" b="13970"/>
            <wp:docPr id="207" name="Graf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72C40">
        <w:t xml:space="preserve"> </w:t>
      </w:r>
      <w:r w:rsidRPr="00772C40">
        <w:rPr>
          <w:noProof/>
          <w:lang w:val="cs-CZ"/>
        </w:rPr>
        <w:drawing>
          <wp:inline distT="0" distB="0" distL="0" distR="0" wp14:anchorId="31985753" wp14:editId="3C5ADE06">
            <wp:extent cx="3024000" cy="2520000"/>
            <wp:effectExtent l="0" t="0" r="5080" b="13970"/>
            <wp:docPr id="208" name="Graf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rPr>
          <w:b/>
        </w:rPr>
        <w:t xml:space="preserve">In </w:t>
      </w:r>
      <w:r>
        <w:rPr>
          <w:b/>
        </w:rPr>
        <w:t xml:space="preserve">absolute </w:t>
      </w:r>
      <w:r w:rsidRPr="00772C40">
        <w:rPr>
          <w:b/>
        </w:rPr>
        <w:t>number</w:t>
      </w:r>
      <w:r>
        <w:rPr>
          <w:b/>
        </w:rPr>
        <w:t>s</w:t>
      </w:r>
      <w:r w:rsidRPr="00772C40">
        <w:rPr>
          <w:b/>
        </w:rPr>
        <w:t xml:space="preserve"> </w:t>
      </w:r>
      <w:r>
        <w:t>–</w:t>
      </w:r>
      <w:r w:rsidRPr="00772C40">
        <w:t xml:space="preserve"> desktop, portable ones or tablets </w:t>
      </w:r>
      <w:r>
        <w:t>–</w:t>
      </w:r>
      <w:r w:rsidRPr="00772C40">
        <w:t xml:space="preserve"> available to pupils/students of </w:t>
      </w:r>
      <w:r w:rsidRPr="00B24C17">
        <w:t xml:space="preserve">elementary </w:t>
      </w:r>
      <w:r w:rsidRPr="00772C40">
        <w:t>schools and secondary schools</w:t>
      </w:r>
      <w:r w:rsidRPr="00B24C17">
        <w:rPr>
          <w:szCs w:val="20"/>
        </w:rPr>
        <w:t>,</w:t>
      </w:r>
      <w:r w:rsidRPr="00B24C17">
        <w:t xml:space="preserve"> </w:t>
      </w:r>
      <w:r w:rsidRPr="00772C40">
        <w:t>in the Czech Republic</w:t>
      </w:r>
      <w:r w:rsidRPr="00B24C17">
        <w:rPr>
          <w:szCs w:val="20"/>
        </w:rPr>
        <w:t>,</w:t>
      </w:r>
      <w:r w:rsidRPr="00B24C17">
        <w:t xml:space="preserve"> in 2017</w:t>
      </w:r>
      <w:r w:rsidRPr="00B24C17">
        <w:rPr>
          <w:szCs w:val="20"/>
        </w:rPr>
        <w:t>,</w:t>
      </w:r>
      <w:r w:rsidRPr="00B24C17">
        <w:t xml:space="preserve"> </w:t>
      </w:r>
      <w:r w:rsidRPr="00772C40">
        <w:t xml:space="preserve">reached a total of 262 thousand. Three quarters of </w:t>
      </w:r>
      <w:r w:rsidRPr="00B24C17">
        <w:t xml:space="preserve">them (200 thousand) still consisted of </w:t>
      </w:r>
      <w:r w:rsidRPr="00772C40">
        <w:t xml:space="preserve">desktop computers. </w:t>
      </w:r>
      <w:r w:rsidRPr="00B24C17">
        <w:t xml:space="preserve">In elementary </w:t>
      </w:r>
      <w:r w:rsidRPr="00772C40">
        <w:t>schools, their share was approx. 10% lower (70</w:t>
      </w:r>
      <w:r w:rsidRPr="00B24C17">
        <w:t>%)</w:t>
      </w:r>
      <w:r w:rsidRPr="00B24C17">
        <w:rPr>
          <w:szCs w:val="20"/>
        </w:rPr>
        <w:t>,</w:t>
      </w:r>
      <w:r w:rsidRPr="00B24C17">
        <w:t xml:space="preserve"> than in </w:t>
      </w:r>
      <w:r w:rsidRPr="00772C40">
        <w:t>secondary schools (80%). In both cases, the n</w:t>
      </w:r>
      <w:r>
        <w:t xml:space="preserve">umber of tablets and laptops </w:t>
      </w:r>
      <w:r w:rsidRPr="00B24C17">
        <w:t xml:space="preserve">in elementary </w:t>
      </w:r>
      <w:r w:rsidRPr="00772C40">
        <w:t xml:space="preserve">schools reached 21 thousand. </w:t>
      </w:r>
    </w:p>
    <w:p w:rsidR="007B46EA" w:rsidRDefault="007B46EA" w:rsidP="007B46EA">
      <w:pPr>
        <w:autoSpaceDE w:val="0"/>
        <w:autoSpaceDN w:val="0"/>
        <w:adjustRightInd w:val="0"/>
        <w:spacing w:after="100" w:line="264" w:lineRule="auto"/>
        <w:jc w:val="both"/>
      </w:pPr>
      <w:r w:rsidRPr="00772C40">
        <w:rPr>
          <w:noProof/>
          <w:lang w:val="cs-CZ"/>
        </w:rPr>
        <w:drawing>
          <wp:inline distT="0" distB="0" distL="0" distR="0" wp14:anchorId="050461FA" wp14:editId="142F667A">
            <wp:extent cx="2880000" cy="2880000"/>
            <wp:effectExtent l="0" t="0" r="0" b="0"/>
            <wp:docPr id="209" name="Graf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772C40">
        <w:t xml:space="preserve"> </w:t>
      </w:r>
      <w:r>
        <w:rPr>
          <w:noProof/>
          <w:lang w:val="cs-CZ"/>
        </w:rPr>
        <w:drawing>
          <wp:inline distT="0" distB="0" distL="0" distR="0" wp14:anchorId="797B01B3" wp14:editId="7EFD36BF">
            <wp:extent cx="3132000" cy="2880000"/>
            <wp:effectExtent l="0" t="0" r="0" b="0"/>
            <wp:docPr id="67" name="Graf 67">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The </w:t>
      </w:r>
      <w:r w:rsidRPr="00772C40">
        <w:rPr>
          <w:b/>
        </w:rPr>
        <w:t>age</w:t>
      </w:r>
      <w:r w:rsidRPr="00772C40">
        <w:t xml:space="preserve"> </w:t>
      </w:r>
      <w:r w:rsidRPr="00772C40">
        <w:rPr>
          <w:b/>
        </w:rPr>
        <w:t xml:space="preserve">of </w:t>
      </w:r>
      <w:r w:rsidRPr="00B24C17">
        <w:rPr>
          <w:b/>
        </w:rPr>
        <w:t>computers</w:t>
      </w:r>
      <w:r w:rsidRPr="00B24C17">
        <w:rPr>
          <w:szCs w:val="20"/>
        </w:rPr>
        <w:t>,</w:t>
      </w:r>
      <w:r w:rsidRPr="00B24C17">
        <w:rPr>
          <w:b/>
        </w:rPr>
        <w:t xml:space="preserve"> </w:t>
      </w:r>
      <w:r w:rsidRPr="00B24C17">
        <w:t xml:space="preserve">available to pupils/students of Czech elementary </w:t>
      </w:r>
      <w:r w:rsidRPr="00772C40">
        <w:t xml:space="preserve">and secondary </w:t>
      </w:r>
      <w:r w:rsidRPr="00B24C17">
        <w:t>schools</w:t>
      </w:r>
      <w:r w:rsidRPr="00B24C17">
        <w:rPr>
          <w:szCs w:val="20"/>
        </w:rPr>
        <w:t>,</w:t>
      </w:r>
      <w:r w:rsidRPr="00B24C17">
        <w:t xml:space="preserve"> is </w:t>
      </w:r>
      <w:r w:rsidRPr="00772C40">
        <w:t xml:space="preserve">most frequently around 3 to 9 years. As mentioned above, the students of all types of schools are most frequently provided with desktop </w:t>
      </w:r>
      <w:r w:rsidRPr="00B24C17">
        <w:t>computers</w:t>
      </w:r>
      <w:r w:rsidRPr="00B24C17">
        <w:rPr>
          <w:szCs w:val="20"/>
        </w:rPr>
        <w:t>,</w:t>
      </w:r>
      <w:r w:rsidRPr="00772C40">
        <w:t xml:space="preserve"> which are also of the oldest service age. Only 14% (28</w:t>
      </w:r>
      <w:r w:rsidR="0020767E">
        <w:t xml:space="preserve"> thousand</w:t>
      </w:r>
      <w:r w:rsidRPr="00772C40">
        <w:t xml:space="preserve">) </w:t>
      </w:r>
      <w:r w:rsidRPr="00B24C17">
        <w:t xml:space="preserve">of them are of a service age of </w:t>
      </w:r>
      <w:r w:rsidRPr="00772C40">
        <w:t>up to 2 years. The relatively “youngest” device (service age of up to 2 years</w:t>
      </w:r>
      <w:r w:rsidRPr="00B24C17">
        <w:t>)</w:t>
      </w:r>
      <w:r w:rsidRPr="00B24C17">
        <w:rPr>
          <w:szCs w:val="20"/>
        </w:rPr>
        <w:t>,</w:t>
      </w:r>
      <w:r w:rsidRPr="00B24C17">
        <w:t xml:space="preserve"> at elementary and </w:t>
      </w:r>
      <w:r w:rsidRPr="00772C40">
        <w:t xml:space="preserve">secondary </w:t>
      </w:r>
      <w:r w:rsidRPr="00B24C17">
        <w:t>schools</w:t>
      </w:r>
      <w:r w:rsidRPr="00B24C17">
        <w:rPr>
          <w:szCs w:val="20"/>
        </w:rPr>
        <w:t>,</w:t>
      </w:r>
      <w:r w:rsidRPr="00B24C17">
        <w:t xml:space="preserve"> in the Czech Republic</w:t>
      </w:r>
      <w:r w:rsidRPr="00B24C17">
        <w:rPr>
          <w:szCs w:val="20"/>
        </w:rPr>
        <w:t>,</w:t>
      </w:r>
      <w:r w:rsidRPr="00B24C17">
        <w:t xml:space="preserve"> </w:t>
      </w:r>
      <w:r w:rsidRPr="00772C40">
        <w:t xml:space="preserve">are tablets (34% of all tablets). The rest </w:t>
      </w:r>
      <w:r w:rsidRPr="00B24C17">
        <w:t xml:space="preserve">of the tablets </w:t>
      </w:r>
      <w:r w:rsidRPr="00772C40">
        <w:t>were purchased 3 to 9 years ago for study purposes.</w:t>
      </w:r>
    </w:p>
    <w:p w:rsidR="007B46EA" w:rsidRPr="00772C40" w:rsidRDefault="007B46EA" w:rsidP="002875D6">
      <w:pPr>
        <w:pStyle w:val="Nadpis2"/>
        <w:spacing w:before="0"/>
      </w:pPr>
      <w:bookmarkStart w:id="4" w:name="_Toc533697548"/>
      <w:bookmarkStart w:id="5" w:name="_Toc534712047"/>
      <w:r w:rsidRPr="00772C40">
        <w:lastRenderedPageBreak/>
        <w:t>F.2 Access of 15-year-old pupils to ICT</w:t>
      </w:r>
      <w:bookmarkEnd w:id="4"/>
      <w:bookmarkEnd w:id="5"/>
    </w:p>
    <w:p w:rsidR="007B46EA" w:rsidRPr="008D6DC5" w:rsidRDefault="007B46EA" w:rsidP="007B46EA">
      <w:pPr>
        <w:pStyle w:val="Zkladntext"/>
        <w:spacing w:before="0" w:after="80" w:line="264" w:lineRule="auto"/>
        <w:rPr>
          <w:i/>
          <w:sz w:val="20"/>
          <w:szCs w:val="20"/>
          <w:lang w:val="en-GB"/>
        </w:rPr>
      </w:pPr>
      <w:r w:rsidRPr="008D6DC5">
        <w:rPr>
          <w:i/>
          <w:sz w:val="20"/>
          <w:szCs w:val="20"/>
          <w:lang w:val="en-GB"/>
        </w:rPr>
        <w:t>The internet permeates every aspect of the economy and society, and is also becoming an essential element of children’s lives. However, it carries a spectrum of risks</w:t>
      </w:r>
      <w:r w:rsidRPr="00454CEE">
        <w:rPr>
          <w:i/>
          <w:sz w:val="20"/>
          <w:szCs w:val="20"/>
        </w:rPr>
        <w:t>,</w:t>
      </w:r>
      <w:r w:rsidRPr="008D6DC5">
        <w:rPr>
          <w:i/>
          <w:sz w:val="20"/>
          <w:szCs w:val="20"/>
          <w:lang w:val="en-GB"/>
        </w:rPr>
        <w:t xml:space="preserve"> to which children are more vulnerable than adults. While access to information via the internet may bring considerable benefits for children’s education, it also exposes them to online risks, such as access to inappropriate content, harmful interactions with other children or adults, and exposure to aggressive marketing practices. Children online may </w:t>
      </w:r>
      <w:r w:rsidRPr="00454CEE">
        <w:rPr>
          <w:i/>
          <w:sz w:val="20"/>
          <w:szCs w:val="20"/>
          <w:lang w:val="en-GB"/>
        </w:rPr>
        <w:t xml:space="preserve">also be </w:t>
      </w:r>
      <w:r w:rsidRPr="008D6DC5">
        <w:rPr>
          <w:i/>
          <w:sz w:val="20"/>
          <w:szCs w:val="20"/>
          <w:lang w:val="en-GB"/>
        </w:rPr>
        <w:t xml:space="preserve">put at risk </w:t>
      </w:r>
      <w:r w:rsidRPr="00454CEE">
        <w:rPr>
          <w:i/>
          <w:sz w:val="20"/>
          <w:szCs w:val="20"/>
          <w:lang w:val="en-GB"/>
        </w:rPr>
        <w:t xml:space="preserve">though the computers </w:t>
      </w:r>
      <w:r w:rsidRPr="008D6DC5">
        <w:rPr>
          <w:i/>
          <w:sz w:val="20"/>
          <w:szCs w:val="20"/>
          <w:lang w:val="en-GB"/>
        </w:rPr>
        <w:t xml:space="preserve">they </w:t>
      </w:r>
      <w:r w:rsidRPr="00454CEE">
        <w:rPr>
          <w:i/>
          <w:sz w:val="20"/>
          <w:szCs w:val="20"/>
          <w:lang w:val="en-GB"/>
        </w:rPr>
        <w:t>use</w:t>
      </w:r>
      <w:r w:rsidRPr="00454CEE">
        <w:rPr>
          <w:i/>
          <w:sz w:val="20"/>
          <w:szCs w:val="20"/>
        </w:rPr>
        <w:t>,</w:t>
      </w:r>
      <w:r w:rsidRPr="00454CEE">
        <w:rPr>
          <w:i/>
          <w:sz w:val="20"/>
          <w:szCs w:val="20"/>
          <w:lang w:val="en-GB"/>
        </w:rPr>
        <w:t xml:space="preserve"> especially by inadvertently disseminating </w:t>
      </w:r>
      <w:r w:rsidRPr="008D6DC5">
        <w:rPr>
          <w:i/>
          <w:sz w:val="20"/>
          <w:szCs w:val="20"/>
          <w:lang w:val="en-GB"/>
        </w:rPr>
        <w:t>their own personal data. Addressing risks faced by children online is becoming a policy priority for an increasing number of governments.</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In 2015, the international survey PISA (</w:t>
      </w:r>
      <w:r>
        <w:t>OECD</w:t>
      </w:r>
      <w:r w:rsidRPr="00454CEE">
        <w:t>)</w:t>
      </w:r>
      <w:r w:rsidRPr="00454CEE">
        <w:rPr>
          <w:szCs w:val="20"/>
        </w:rPr>
        <w:t>,</w:t>
      </w:r>
      <w:r>
        <w:t xml:space="preserve"> was conducted at schools</w:t>
      </w:r>
      <w:r w:rsidRPr="00772C40">
        <w:rPr>
          <w:rStyle w:val="Znakapoznpodarou"/>
        </w:rPr>
        <w:footnoteReference w:id="2"/>
      </w:r>
      <w:r>
        <w:t>,</w:t>
      </w:r>
      <w:r w:rsidRPr="00772C40">
        <w:t xml:space="preserve"> </w:t>
      </w:r>
      <w:r w:rsidRPr="00454CEE">
        <w:t>focusing</w:t>
      </w:r>
      <w:r w:rsidRPr="00772C40">
        <w:t xml:space="preserve">, besides other things, on whether 15-year-old pupils </w:t>
      </w:r>
      <w:r w:rsidRPr="00454CEE">
        <w:t xml:space="preserve">in schools </w:t>
      </w:r>
      <w:r w:rsidRPr="00772C40">
        <w:t xml:space="preserve">have </w:t>
      </w:r>
      <w:r w:rsidRPr="00772C40">
        <w:rPr>
          <w:b/>
        </w:rPr>
        <w:t>internet access</w:t>
      </w:r>
      <w:r w:rsidRPr="00454CEE">
        <w:rPr>
          <w:szCs w:val="20"/>
        </w:rPr>
        <w:t>,</w:t>
      </w:r>
      <w:r w:rsidRPr="00454CEE">
        <w:t xml:space="preserve"> </w:t>
      </w:r>
      <w:r w:rsidRPr="00772C40">
        <w:t>and whether they use this opportun</w:t>
      </w:r>
      <w:r>
        <w:t>ity. In 2015, Czech pupils took</w:t>
      </w:r>
      <w:r w:rsidRPr="008D6DC5">
        <w:rPr>
          <w:color w:val="FF0000"/>
        </w:rPr>
        <w:t xml:space="preserve"> </w:t>
      </w:r>
      <w:r w:rsidRPr="00772C40">
        <w:t xml:space="preserve">seventh place in </w:t>
      </w:r>
      <w:r w:rsidRPr="00772C40">
        <w:rPr>
          <w:b/>
        </w:rPr>
        <w:t>EU ranking</w:t>
      </w:r>
      <w:r w:rsidRPr="00772C40">
        <w:t xml:space="preserve"> </w:t>
      </w:r>
      <w:r>
        <w:t>–</w:t>
      </w:r>
      <w:r w:rsidRPr="00772C40">
        <w:t xml:space="preserve"> 78% of 15-year-olds had internet </w:t>
      </w:r>
      <w:r w:rsidRPr="00454CEE">
        <w:t xml:space="preserve">access in </w:t>
      </w:r>
      <w:r w:rsidRPr="00772C40">
        <w:t>school and used it. The EU28 average was 71%.</w:t>
      </w:r>
    </w:p>
    <w:p w:rsidR="007B46EA" w:rsidRPr="005025AB" w:rsidRDefault="007B46EA" w:rsidP="0020767E">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PISA </w:t>
      </w:r>
      <w:r w:rsidRPr="00454CEE">
        <w:t>assessment</w:t>
      </w:r>
      <w:r w:rsidRPr="00454CEE">
        <w:rPr>
          <w:szCs w:val="20"/>
        </w:rPr>
        <w:t>,</w:t>
      </w:r>
      <w:r w:rsidRPr="00772C40">
        <w:t xml:space="preserve"> carried out on 15-year-old pupils in the Czech </w:t>
      </w:r>
      <w:r w:rsidRPr="00454CEE">
        <w:t>Republic</w:t>
      </w:r>
      <w:r w:rsidRPr="00454CEE">
        <w:rPr>
          <w:szCs w:val="20"/>
        </w:rPr>
        <w:t>,</w:t>
      </w:r>
      <w:r w:rsidRPr="00454CEE">
        <w:t xml:space="preserve"> </w:t>
      </w:r>
      <w:r w:rsidRPr="00772C40">
        <w:t xml:space="preserve">also implies that nearly all (97%) of them </w:t>
      </w:r>
      <w:r w:rsidRPr="00454CEE">
        <w:t xml:space="preserve">used </w:t>
      </w:r>
      <w:r w:rsidRPr="00772C40">
        <w:t xml:space="preserve">the internet at home. </w:t>
      </w:r>
      <w:r w:rsidRPr="00454CEE">
        <w:t>In schools</w:t>
      </w:r>
      <w:r w:rsidRPr="00454CEE">
        <w:rPr>
          <w:szCs w:val="20"/>
        </w:rPr>
        <w:t>,</w:t>
      </w:r>
      <w:r w:rsidRPr="00454CEE">
        <w:t xml:space="preserve"> </w:t>
      </w:r>
      <w:r w:rsidRPr="00772C40">
        <w:t>it is 78% of them – once again data for the year 2015. Desktop computers are available</w:t>
      </w:r>
      <w:r w:rsidRPr="00454CEE">
        <w:rPr>
          <w:szCs w:val="20"/>
        </w:rPr>
        <w:t>,</w:t>
      </w:r>
      <w:r w:rsidRPr="00454CEE">
        <w:t xml:space="preserve"> </w:t>
      </w:r>
      <w:r w:rsidRPr="00772C40">
        <w:t>and used</w:t>
      </w:r>
      <w:r w:rsidRPr="00454CEE">
        <w:rPr>
          <w:szCs w:val="20"/>
        </w:rPr>
        <w:t>,</w:t>
      </w:r>
      <w:r w:rsidRPr="00454CEE">
        <w:t xml:space="preserve"> </w:t>
      </w:r>
      <w:r w:rsidRPr="00772C40">
        <w:t>by the same number of pupils at home and at school (66%). Laptops used by 15-year-old pupils are significantly more often used at home (76</w:t>
      </w:r>
      <w:r w:rsidRPr="00454CEE">
        <w:t>%)</w:t>
      </w:r>
      <w:r w:rsidRPr="00454CEE">
        <w:rPr>
          <w:szCs w:val="20"/>
        </w:rPr>
        <w:t>,</w:t>
      </w:r>
      <w:r w:rsidRPr="00454CEE">
        <w:t xml:space="preserve"> t</w:t>
      </w:r>
      <w:r w:rsidRPr="00772C40">
        <w:t xml:space="preserve">han at schools (18%). The same </w:t>
      </w:r>
      <w:r w:rsidRPr="00454CEE">
        <w:t xml:space="preserve">applies for </w:t>
      </w:r>
      <w:r w:rsidRPr="00772C40">
        <w:t>the use of tablets (at home used by 50%, at schools 13%).</w:t>
      </w:r>
    </w:p>
    <w:p w:rsidR="007B46EA" w:rsidRPr="00772C40" w:rsidRDefault="007B46EA" w:rsidP="007B46EA">
      <w:pPr>
        <w:autoSpaceDE w:val="0"/>
        <w:autoSpaceDN w:val="0"/>
        <w:adjustRightInd w:val="0"/>
        <w:spacing w:after="100" w:line="264" w:lineRule="auto"/>
        <w:jc w:val="both"/>
      </w:pPr>
      <w:r w:rsidRPr="00772C40">
        <w:rPr>
          <w:noProof/>
          <w:lang w:val="cs-CZ"/>
        </w:rPr>
        <w:drawing>
          <wp:inline distT="0" distB="0" distL="0" distR="0" wp14:anchorId="532A2E01" wp14:editId="1433B681">
            <wp:extent cx="6076950" cy="4320000"/>
            <wp:effectExtent l="0" t="0" r="0" b="4445"/>
            <wp:docPr id="211" name="Graf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767E" w:rsidRDefault="0020767E">
      <w:pPr>
        <w:spacing w:after="0" w:line="240" w:lineRule="auto"/>
        <w:rPr>
          <w:rFonts w:eastAsia="MS Gothic"/>
          <w:b/>
          <w:bCs/>
          <w:color w:val="009BB4"/>
          <w:sz w:val="28"/>
          <w:szCs w:val="26"/>
        </w:rPr>
      </w:pPr>
      <w:bookmarkStart w:id="6" w:name="_Toc533697549"/>
      <w:r>
        <w:br w:type="page"/>
      </w:r>
    </w:p>
    <w:p w:rsidR="007B46EA" w:rsidRPr="00772C40" w:rsidRDefault="007B46EA" w:rsidP="002875D6">
      <w:pPr>
        <w:pStyle w:val="Nadpis2"/>
        <w:spacing w:before="0"/>
      </w:pPr>
      <w:bookmarkStart w:id="7" w:name="_Toc534712048"/>
      <w:r w:rsidRPr="00772C40">
        <w:lastRenderedPageBreak/>
        <w:t xml:space="preserve">F.3 Internet use </w:t>
      </w:r>
      <w:r>
        <w:t xml:space="preserve">by </w:t>
      </w:r>
      <w:r w:rsidRPr="00772C40">
        <w:t>students aged 16+</w:t>
      </w:r>
      <w:bookmarkEnd w:id="6"/>
      <w:bookmarkEnd w:id="7"/>
    </w:p>
    <w:p w:rsidR="007B46EA" w:rsidRPr="00772C40" w:rsidRDefault="007B46EA" w:rsidP="007B46EA">
      <w:pPr>
        <w:autoSpaceDE w:val="0"/>
        <w:autoSpaceDN w:val="0"/>
        <w:adjustRightInd w:val="0"/>
        <w:spacing w:after="80" w:line="264" w:lineRule="auto"/>
        <w:jc w:val="both"/>
        <w:rPr>
          <w:i/>
        </w:rPr>
      </w:pPr>
      <w:r w:rsidRPr="00772C40">
        <w:rPr>
          <w:i/>
        </w:rPr>
        <w:t>Nowadays, probably hardly anyone can imagine a life without the internet. Millennials, also know</w:t>
      </w:r>
      <w:r w:rsidR="006A0FA2">
        <w:rPr>
          <w:i/>
        </w:rPr>
        <w:t xml:space="preserve">n as Generation Y (born </w:t>
      </w:r>
      <w:r w:rsidR="00895063">
        <w:rPr>
          <w:i/>
        </w:rPr>
        <w:t xml:space="preserve">in </w:t>
      </w:r>
      <w:r w:rsidRPr="00772C40">
        <w:rPr>
          <w:i/>
        </w:rPr>
        <w:t>1985</w:t>
      </w:r>
      <w:r>
        <w:rPr>
          <w:i/>
        </w:rPr>
        <w:t>–</w:t>
      </w:r>
      <w:r w:rsidRPr="00772C40">
        <w:rPr>
          <w:i/>
        </w:rPr>
        <w:t xml:space="preserve">2000) grew up </w:t>
      </w:r>
      <w:r w:rsidRPr="00454CEE">
        <w:rPr>
          <w:i/>
        </w:rPr>
        <w:t xml:space="preserve">in an </w:t>
      </w:r>
      <w:r w:rsidRPr="00772C40">
        <w:rPr>
          <w:i/>
        </w:rPr>
        <w:t xml:space="preserve">era of great development of information and communication technologies, which </w:t>
      </w:r>
      <w:r w:rsidRPr="00454CEE">
        <w:rPr>
          <w:i/>
        </w:rPr>
        <w:t>significantly affect</w:t>
      </w:r>
      <w:r>
        <w:rPr>
          <w:i/>
        </w:rPr>
        <w:t>s</w:t>
      </w:r>
      <w:r w:rsidRPr="00454CEE">
        <w:rPr>
          <w:i/>
        </w:rPr>
        <w:t xml:space="preserve"> their </w:t>
      </w:r>
      <w:r w:rsidRPr="00772C40">
        <w:rPr>
          <w:i/>
        </w:rPr>
        <w:t>lifestyles. They use the internet to communicate with each other, meet friends</w:t>
      </w:r>
      <w:r w:rsidRPr="00BA0807">
        <w:rPr>
          <w:i/>
        </w:rPr>
        <w:t xml:space="preserve">, to shop, or to </w:t>
      </w:r>
      <w:r w:rsidRPr="00772C40">
        <w:rPr>
          <w:i/>
        </w:rPr>
        <w:t xml:space="preserve">educate themselves. </w:t>
      </w:r>
      <w:r w:rsidRPr="00BA0807">
        <w:rPr>
          <w:i/>
        </w:rPr>
        <w:t xml:space="preserve">The school system plays an important role </w:t>
      </w:r>
      <w:r w:rsidRPr="003C435D">
        <w:rPr>
          <w:i/>
        </w:rPr>
        <w:t>in providing all children and students with the skills needed to actively participate in an increasingly digital life and world of work.</w:t>
      </w:r>
      <w:r w:rsidRPr="00772C40">
        <w:rPr>
          <w:i/>
        </w:rPr>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the years 2015 to 2017, nearly all </w:t>
      </w:r>
      <w:r w:rsidRPr="00772C40">
        <w:rPr>
          <w:b/>
        </w:rPr>
        <w:t xml:space="preserve">students over the age of 16 </w:t>
      </w:r>
      <w:r w:rsidRPr="00772C40">
        <w:t>(99.5</w:t>
      </w:r>
      <w:r w:rsidRPr="00BA0807">
        <w:t>%)</w:t>
      </w:r>
      <w:r w:rsidRPr="00BA0807">
        <w:rPr>
          <w:szCs w:val="20"/>
        </w:rPr>
        <w:t>,</w:t>
      </w:r>
      <w:r w:rsidRPr="00BA0807">
        <w:t xml:space="preserve"> in </w:t>
      </w:r>
      <w:r w:rsidRPr="00772C40">
        <w:t xml:space="preserve">the Czech </w:t>
      </w:r>
      <w:r w:rsidRPr="00BA0807">
        <w:t>Republic</w:t>
      </w:r>
      <w:r w:rsidRPr="00BA0807">
        <w:rPr>
          <w:szCs w:val="20"/>
        </w:rPr>
        <w:t xml:space="preserve">, </w:t>
      </w:r>
      <w:r w:rsidRPr="00772C40">
        <w:t xml:space="preserve">used the internet. In the same period of time, nearly 80% of students used </w:t>
      </w:r>
      <w:r w:rsidRPr="00772C40">
        <w:rPr>
          <w:b/>
        </w:rPr>
        <w:t>mobile internet</w:t>
      </w:r>
      <w:r w:rsidRPr="0020767E">
        <w:rPr>
          <w:rStyle w:val="Znakapoznpodarou"/>
          <w:b/>
        </w:rPr>
        <w:footnoteReference w:id="3"/>
      </w:r>
      <w:r w:rsidRPr="003C435D">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On average, from 2015 to 2017</w:t>
      </w:r>
      <w:r w:rsidRPr="00BA0807">
        <w:rPr>
          <w:szCs w:val="20"/>
        </w:rPr>
        <w:t>,</w:t>
      </w:r>
      <w:r w:rsidRPr="00BA0807">
        <w:t xml:space="preserve"> </w:t>
      </w:r>
      <w:r w:rsidRPr="00772C40">
        <w:t xml:space="preserve">the most frequent activity of </w:t>
      </w:r>
      <w:r w:rsidRPr="00BA0807">
        <w:t>students</w:t>
      </w:r>
      <w:r w:rsidRPr="00BA0807">
        <w:rPr>
          <w:szCs w:val="20"/>
        </w:rPr>
        <w:t>,</w:t>
      </w:r>
      <w:r w:rsidRPr="00772C40">
        <w:t xml:space="preserve"> with respect to internet </w:t>
      </w:r>
      <w:r w:rsidRPr="00BA0807">
        <w:t>usage</w:t>
      </w:r>
      <w:r w:rsidRPr="00BA0807">
        <w:rPr>
          <w:szCs w:val="20"/>
        </w:rPr>
        <w:t>,</w:t>
      </w:r>
      <w:r w:rsidRPr="00BA0807">
        <w:t xml:space="preserve"> </w:t>
      </w:r>
      <w:r w:rsidRPr="00772C40">
        <w:t xml:space="preserve">was to monitor events </w:t>
      </w:r>
      <w:r w:rsidRPr="00BA0807">
        <w:t>on</w:t>
      </w:r>
      <w:r w:rsidRPr="004714BE">
        <w:rPr>
          <w:color w:val="FF0000"/>
        </w:rPr>
        <w:t xml:space="preserve"> </w:t>
      </w:r>
      <w:r w:rsidRPr="00772C40">
        <w:t xml:space="preserve">social networks (94%), a </w:t>
      </w:r>
      <w:r w:rsidRPr="00BA0807">
        <w:t xml:space="preserve">further frequent activity </w:t>
      </w:r>
      <w:r w:rsidRPr="00772C40">
        <w:t>is to read the news (84</w:t>
      </w:r>
      <w:r w:rsidRPr="00BA0807">
        <w:t>%)</w:t>
      </w:r>
      <w:r w:rsidRPr="00BA0807">
        <w:rPr>
          <w:szCs w:val="20"/>
        </w:rPr>
        <w:t>,</w:t>
      </w:r>
      <w:r w:rsidRPr="00BA0807">
        <w:t xml:space="preserve"> o</w:t>
      </w:r>
      <w:r w:rsidRPr="00772C40">
        <w:t xml:space="preserve">r play online games (63%).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If we focus on the internet usage by </w:t>
      </w:r>
      <w:r w:rsidRPr="00BA0807">
        <w:t>students</w:t>
      </w:r>
      <w:r w:rsidRPr="00BA0807">
        <w:rPr>
          <w:szCs w:val="20"/>
        </w:rPr>
        <w:t>,</w:t>
      </w:r>
      <w:r w:rsidRPr="00BA0807">
        <w:t xml:space="preserve"> </w:t>
      </w:r>
      <w:r w:rsidRPr="00772C40">
        <w:t xml:space="preserve">with respect to </w:t>
      </w:r>
      <w:r w:rsidRPr="00772C40">
        <w:rPr>
          <w:b/>
        </w:rPr>
        <w:t>educational activities</w:t>
      </w:r>
      <w:r w:rsidRPr="00772C40">
        <w:t xml:space="preserve">, we can see that between 2015 and 2017, 39% of them used online </w:t>
      </w:r>
      <w:r w:rsidRPr="00772C40">
        <w:rPr>
          <w:b/>
        </w:rPr>
        <w:t>educational resources</w:t>
      </w:r>
      <w:r w:rsidRPr="00BA0807">
        <w:rPr>
          <w:szCs w:val="20"/>
        </w:rPr>
        <w:t>,</w:t>
      </w:r>
      <w:r w:rsidRPr="00772C40">
        <w:t xml:space="preserve"> and 31% of students communicated with their lecturers</w:t>
      </w:r>
      <w:r w:rsidRPr="00BA0807">
        <w:rPr>
          <w:szCs w:val="20"/>
        </w:rPr>
        <w:t>,</w:t>
      </w:r>
      <w:r w:rsidRPr="00772C40">
        <w:t xml:space="preserve"> or other </w:t>
      </w:r>
      <w:r w:rsidRPr="00BA0807">
        <w:t>students</w:t>
      </w:r>
      <w:r w:rsidRPr="00BA0807">
        <w:rPr>
          <w:szCs w:val="20"/>
        </w:rPr>
        <w:t>,</w:t>
      </w:r>
      <w:r w:rsidRPr="00BA0807">
        <w:t xml:space="preserve"> by </w:t>
      </w:r>
      <w:r w:rsidRPr="00772C40">
        <w:t xml:space="preserve">means of </w:t>
      </w:r>
      <w:r w:rsidRPr="00772C40">
        <w:rPr>
          <w:b/>
        </w:rPr>
        <w:t>educational portals</w:t>
      </w:r>
      <w:r w:rsidRPr="00772C40">
        <w:t xml:space="preserve">. Nearly 7% of students attended an </w:t>
      </w:r>
      <w:r w:rsidRPr="00772C40">
        <w:rPr>
          <w:b/>
        </w:rPr>
        <w:t>online course</w:t>
      </w:r>
      <w:r w:rsidRPr="00772C40">
        <w:t>.</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international comparison, the position of Czech </w:t>
      </w:r>
      <w:r w:rsidRPr="00BA0807">
        <w:t>students</w:t>
      </w:r>
      <w:r w:rsidRPr="00BA0807">
        <w:rPr>
          <w:szCs w:val="20"/>
        </w:rPr>
        <w:t>,</w:t>
      </w:r>
      <w:r w:rsidRPr="00772C40">
        <w:t xml:space="preserve"> in </w:t>
      </w:r>
      <w:r w:rsidRPr="00BA0807">
        <w:t>2017</w:t>
      </w:r>
      <w:r w:rsidRPr="00BA0807">
        <w:rPr>
          <w:szCs w:val="20"/>
        </w:rPr>
        <w:t>,</w:t>
      </w:r>
      <w:r w:rsidRPr="00BA0807">
        <w:t xml:space="preserve"> </w:t>
      </w:r>
      <w:r w:rsidRPr="00772C40">
        <w:t xml:space="preserve">with respect to the usage of educational resources over the </w:t>
      </w:r>
      <w:r w:rsidRPr="00BA0807">
        <w:t>internet</w:t>
      </w:r>
      <w:r w:rsidRPr="00BA0807">
        <w:rPr>
          <w:szCs w:val="20"/>
        </w:rPr>
        <w:t>,</w:t>
      </w:r>
      <w:r w:rsidRPr="00772C40">
        <w:t xml:space="preserve"> is the tenth, i.e. significantly </w:t>
      </w:r>
      <w:r w:rsidRPr="00772C40">
        <w:rPr>
          <w:b/>
        </w:rPr>
        <w:t>above the European average</w:t>
      </w:r>
      <w:r w:rsidRPr="00772C40">
        <w:t xml:space="preserve">. However, </w:t>
      </w:r>
      <w:r w:rsidRPr="00BA0807">
        <w:t xml:space="preserve">in regard to </w:t>
      </w:r>
      <w:r w:rsidRPr="00772C40">
        <w:t>the communication with lecturers</w:t>
      </w:r>
      <w:r w:rsidRPr="00BA0807">
        <w:rPr>
          <w:szCs w:val="20"/>
        </w:rPr>
        <w:t>,</w:t>
      </w:r>
      <w:r w:rsidRPr="00772C40">
        <w:t xml:space="preserve"> or other </w:t>
      </w:r>
      <w:r w:rsidRPr="00BA0807">
        <w:t>students</w:t>
      </w:r>
      <w:r w:rsidRPr="00BA0807">
        <w:rPr>
          <w:szCs w:val="20"/>
        </w:rPr>
        <w:t>,</w:t>
      </w:r>
      <w:r w:rsidRPr="00BA0807">
        <w:t xml:space="preserve"> </w:t>
      </w:r>
      <w:r w:rsidRPr="00772C40">
        <w:t>over the internet, we take fourteenth place of the European scale</w:t>
      </w:r>
      <w:r w:rsidRPr="00BA0807">
        <w:rPr>
          <w:szCs w:val="20"/>
        </w:rPr>
        <w:t>,</w:t>
      </w:r>
      <w:r w:rsidRPr="00BA0807">
        <w:t xml:space="preserve"> </w:t>
      </w:r>
      <w:r w:rsidRPr="00772C40">
        <w:t xml:space="preserve">and we are </w:t>
      </w:r>
      <w:r w:rsidRPr="00BA0807">
        <w:t>exactly</w:t>
      </w:r>
      <w:r w:rsidRPr="00ED3D12">
        <w:rPr>
          <w:color w:val="FF0000"/>
        </w:rPr>
        <w:t xml:space="preserve"> </w:t>
      </w:r>
      <w:r w:rsidRPr="00772C40">
        <w:t>on the EU28 average.</w:t>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It may not come as a surprise that </w:t>
      </w:r>
      <w:r w:rsidRPr="00772C40">
        <w:rPr>
          <w:b/>
        </w:rPr>
        <w:t xml:space="preserve">students’ (16+) activity over the internet </w:t>
      </w:r>
      <w:r w:rsidRPr="00772C40">
        <w:t xml:space="preserve">is more common than the activity of adult </w:t>
      </w:r>
      <w:r w:rsidRPr="00772C40">
        <w:rPr>
          <w:b/>
        </w:rPr>
        <w:t>individuals (16+) in total</w:t>
      </w:r>
      <w:r w:rsidRPr="00772C40">
        <w:t xml:space="preserve">. The most significant difference lies in the subject of </w:t>
      </w:r>
      <w:r w:rsidRPr="00772C40">
        <w:rPr>
          <w:b/>
        </w:rPr>
        <w:t>participation in social networks</w:t>
      </w:r>
      <w:r w:rsidRPr="00772C40">
        <w:t xml:space="preserve"> (94% of students and 41% of individuals</w:t>
      </w:r>
      <w:r w:rsidRPr="00BA0807">
        <w:t>)</w:t>
      </w:r>
      <w:r w:rsidRPr="00BA0807">
        <w:rPr>
          <w:szCs w:val="20"/>
        </w:rPr>
        <w:t>,</w:t>
      </w:r>
      <w:r w:rsidRPr="00772C40">
        <w:t xml:space="preserve"> and in </w:t>
      </w:r>
      <w:r w:rsidRPr="00772C40">
        <w:rPr>
          <w:b/>
        </w:rPr>
        <w:t>online game playing</w:t>
      </w:r>
      <w:r w:rsidRPr="00772C40">
        <w:t xml:space="preserve"> (63% of students; 19% of individuals in total). The only area</w:t>
      </w:r>
      <w:r w:rsidRPr="00883E84">
        <w:rPr>
          <w:szCs w:val="20"/>
        </w:rPr>
        <w:t>,</w:t>
      </w:r>
      <w:r w:rsidRPr="00883E84">
        <w:t xml:space="preserve"> </w:t>
      </w:r>
      <w:r w:rsidRPr="00772C40">
        <w:t xml:space="preserve">where individuals outperformed </w:t>
      </w:r>
      <w:r w:rsidRPr="00883E84">
        <w:t>students</w:t>
      </w:r>
      <w:r w:rsidRPr="00883E84">
        <w:rPr>
          <w:szCs w:val="20"/>
        </w:rPr>
        <w:t>,</w:t>
      </w:r>
      <w:r w:rsidRPr="00883E84">
        <w:t xml:space="preserve"> </w:t>
      </w:r>
      <w:r w:rsidRPr="00772C40">
        <w:t xml:space="preserve">was the usage of </w:t>
      </w:r>
      <w:r w:rsidRPr="00772C40">
        <w:rPr>
          <w:b/>
        </w:rPr>
        <w:t xml:space="preserve">internet banking </w:t>
      </w:r>
      <w:r w:rsidRPr="00772C40">
        <w:t>(34% of students, 48% of individuals in total).</w:t>
      </w:r>
    </w:p>
    <w:p w:rsidR="007B46EA" w:rsidRDefault="007B46EA" w:rsidP="00C801C5">
      <w:pPr>
        <w:autoSpaceDE w:val="0"/>
        <w:autoSpaceDN w:val="0"/>
        <w:adjustRightInd w:val="0"/>
        <w:spacing w:after="80" w:line="264" w:lineRule="auto"/>
        <w:ind w:left="284"/>
        <w:jc w:val="both"/>
        <w:rPr>
          <w:color w:val="009BB4"/>
        </w:rPr>
        <w:sectPr w:rsidR="007B46EA" w:rsidSect="00965F69">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34" w:bottom="1418" w:left="1134" w:header="680" w:footer="680" w:gutter="0"/>
          <w:pgNumType w:start="82"/>
          <w:cols w:space="2"/>
          <w:docGrid w:linePitch="360"/>
        </w:sectPr>
      </w:pPr>
      <w:r>
        <w:rPr>
          <w:noProof/>
          <w:lang w:val="cs-CZ"/>
        </w:rPr>
        <w:drawing>
          <wp:anchor distT="0" distB="0" distL="114300" distR="114300" simplePos="0" relativeHeight="251670016" behindDoc="1" locked="0" layoutInCell="1" allowOverlap="1">
            <wp:simplePos x="0" y="0"/>
            <wp:positionH relativeFrom="column">
              <wp:posOffset>3128010</wp:posOffset>
            </wp:positionH>
            <wp:positionV relativeFrom="paragraph">
              <wp:posOffset>153035</wp:posOffset>
            </wp:positionV>
            <wp:extent cx="2988000" cy="3420000"/>
            <wp:effectExtent l="0" t="0" r="3175" b="0"/>
            <wp:wrapTight wrapText="bothSides">
              <wp:wrapPolygon edited="0">
                <wp:start x="0" y="0"/>
                <wp:lineTo x="0" y="21419"/>
                <wp:lineTo x="21485" y="21419"/>
                <wp:lineTo x="21485" y="0"/>
                <wp:lineTo x="0" y="0"/>
              </wp:wrapPolygon>
            </wp:wrapTight>
            <wp:docPr id="213" name="Graf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77184" behindDoc="1" locked="0" layoutInCell="1" allowOverlap="1">
            <wp:simplePos x="0" y="0"/>
            <wp:positionH relativeFrom="column">
              <wp:posOffset>41910</wp:posOffset>
            </wp:positionH>
            <wp:positionV relativeFrom="paragraph">
              <wp:posOffset>160655</wp:posOffset>
            </wp:positionV>
            <wp:extent cx="2916000" cy="3420000"/>
            <wp:effectExtent l="0" t="0" r="0" b="0"/>
            <wp:wrapTight wrapText="bothSides">
              <wp:wrapPolygon edited="0">
                <wp:start x="0" y="0"/>
                <wp:lineTo x="0" y="21419"/>
                <wp:lineTo x="21449" y="21419"/>
                <wp:lineTo x="21449" y="0"/>
                <wp:lineTo x="0" y="0"/>
              </wp:wrapPolygon>
            </wp:wrapTight>
            <wp:docPr id="212" name="Graf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7B46EA" w:rsidRPr="00772C40" w:rsidRDefault="007B46EA" w:rsidP="007B46EA">
      <w:pPr>
        <w:pStyle w:val="Nadpis2"/>
        <w:spacing w:before="0"/>
      </w:pPr>
      <w:bookmarkStart w:id="8" w:name="_Toc533697550"/>
      <w:bookmarkStart w:id="9" w:name="_Toc534712049"/>
      <w:r w:rsidRPr="00772C40">
        <w:lastRenderedPageBreak/>
        <w:t xml:space="preserve">F.4 </w:t>
      </w:r>
      <w:r>
        <w:t>D</w:t>
      </w:r>
      <w:r w:rsidRPr="00772C40">
        <w:t>igital skills</w:t>
      </w:r>
      <w:bookmarkEnd w:id="8"/>
      <w:bookmarkEnd w:id="9"/>
    </w:p>
    <w:p w:rsidR="007B46EA" w:rsidRDefault="007B46EA" w:rsidP="007B46EA">
      <w:pPr>
        <w:pStyle w:val="Zkladntext"/>
        <w:spacing w:before="0" w:after="80" w:line="264" w:lineRule="auto"/>
        <w:rPr>
          <w:i/>
          <w:sz w:val="20"/>
          <w:lang w:val="en-GB"/>
        </w:rPr>
      </w:pPr>
      <w:r w:rsidRPr="00772C40">
        <w:rPr>
          <w:i/>
          <w:sz w:val="20"/>
          <w:lang w:val="en-GB"/>
        </w:rPr>
        <w:t xml:space="preserve">Not only </w:t>
      </w:r>
      <w:r w:rsidRPr="00883E84">
        <w:rPr>
          <w:i/>
          <w:sz w:val="20"/>
          <w:lang w:val="en-GB"/>
        </w:rPr>
        <w:t xml:space="preserve">access to the internet </w:t>
      </w:r>
      <w:r w:rsidRPr="00772C40">
        <w:rPr>
          <w:i/>
          <w:sz w:val="20"/>
          <w:lang w:val="en-GB"/>
        </w:rPr>
        <w:t>and access to other IC</w:t>
      </w:r>
      <w:r w:rsidRPr="00883E84">
        <w:rPr>
          <w:i/>
          <w:sz w:val="20"/>
          <w:lang w:val="en-GB"/>
        </w:rPr>
        <w:t>Ts</w:t>
      </w:r>
      <w:r w:rsidRPr="00772C40">
        <w:rPr>
          <w:i/>
          <w:sz w:val="20"/>
          <w:lang w:val="en-GB"/>
        </w:rPr>
        <w:t xml:space="preserve">, but primarily the motivation and ability of individuals to </w:t>
      </w:r>
      <w:r w:rsidRPr="00883E84">
        <w:rPr>
          <w:i/>
          <w:sz w:val="20"/>
          <w:lang w:val="en-GB"/>
        </w:rPr>
        <w:t>efficiently</w:t>
      </w:r>
      <w:r>
        <w:rPr>
          <w:i/>
          <w:color w:val="FF0000"/>
          <w:sz w:val="20"/>
          <w:lang w:val="en-GB"/>
        </w:rPr>
        <w:t xml:space="preserve"> </w:t>
      </w:r>
      <w:r w:rsidRPr="00772C40">
        <w:rPr>
          <w:i/>
          <w:sz w:val="20"/>
          <w:lang w:val="en-GB"/>
        </w:rPr>
        <w:t xml:space="preserve">use the applications and services </w:t>
      </w:r>
      <w:r w:rsidRPr="00883E84">
        <w:rPr>
          <w:i/>
          <w:sz w:val="20"/>
          <w:lang w:val="en-GB"/>
        </w:rPr>
        <w:t>offered</w:t>
      </w:r>
      <w:r w:rsidRPr="00883E84">
        <w:rPr>
          <w:szCs w:val="20"/>
        </w:rPr>
        <w:t>,</w:t>
      </w:r>
      <w:r w:rsidRPr="00772C40">
        <w:rPr>
          <w:i/>
          <w:sz w:val="20"/>
          <w:lang w:val="en-GB"/>
        </w:rPr>
        <w:t xml:space="preserve"> through these technologies (digital skills)</w:t>
      </w:r>
      <w:r>
        <w:rPr>
          <w:i/>
          <w:sz w:val="20"/>
          <w:lang w:val="en-GB"/>
        </w:rPr>
        <w:t>,</w:t>
      </w:r>
      <w:r w:rsidRPr="00772C40">
        <w:rPr>
          <w:i/>
          <w:sz w:val="20"/>
          <w:lang w:val="en-GB"/>
        </w:rPr>
        <w:t xml:space="preserve"> is currently considered as one of the key factors of economic, social, and political development of society. The ability to work with digital technologies belongs among eight key </w:t>
      </w:r>
      <w:r w:rsidRPr="00883E84">
        <w:rPr>
          <w:i/>
          <w:sz w:val="20"/>
          <w:lang w:val="en-GB"/>
        </w:rPr>
        <w:t>skills</w:t>
      </w:r>
      <w:r w:rsidRPr="00883E84">
        <w:rPr>
          <w:szCs w:val="20"/>
        </w:rPr>
        <w:t>,</w:t>
      </w:r>
      <w:r w:rsidRPr="00772C40">
        <w:rPr>
          <w:i/>
          <w:sz w:val="20"/>
          <w:lang w:val="en-GB"/>
        </w:rPr>
        <w:t xml:space="preserve"> which are absolutely indispensab</w:t>
      </w:r>
      <w:r>
        <w:rPr>
          <w:i/>
          <w:sz w:val="20"/>
          <w:lang w:val="en-GB"/>
        </w:rPr>
        <w:t xml:space="preserve">le for know-how-based </w:t>
      </w:r>
      <w:r w:rsidR="00DE59BE">
        <w:rPr>
          <w:i/>
          <w:sz w:val="20"/>
          <w:lang w:val="en-GB"/>
        </w:rPr>
        <w:t>society</w:t>
      </w:r>
      <w:r w:rsidRPr="00772C40">
        <w:rPr>
          <w:rStyle w:val="Znakapoznpodarou"/>
          <w:i/>
          <w:sz w:val="20"/>
          <w:lang w:val="en-GB"/>
        </w:rPr>
        <w:footnoteReference w:id="4"/>
      </w:r>
      <w:r>
        <w:rPr>
          <w:i/>
          <w:sz w:val="20"/>
          <w:lang w:val="en-GB"/>
        </w:rPr>
        <w:t>.</w:t>
      </w:r>
      <w:r w:rsidRPr="00772C40">
        <w:rPr>
          <w:i/>
          <w:sz w:val="20"/>
          <w:lang w:val="en-GB"/>
        </w:rPr>
        <w:t xml:space="preserve"> At the same time, safe navigation through the internet is </w:t>
      </w:r>
      <w:r w:rsidRPr="00883E84">
        <w:rPr>
          <w:i/>
          <w:sz w:val="20"/>
          <w:lang w:val="en-GB"/>
        </w:rPr>
        <w:t>equally</w:t>
      </w:r>
      <w:r w:rsidRPr="009F7D37">
        <w:rPr>
          <w:i/>
          <w:color w:val="FF0000"/>
          <w:sz w:val="20"/>
          <w:lang w:val="en-GB"/>
        </w:rPr>
        <w:t xml:space="preserve"> </w:t>
      </w:r>
      <w:r w:rsidRPr="00772C40">
        <w:rPr>
          <w:i/>
          <w:sz w:val="20"/>
          <w:lang w:val="en-GB"/>
        </w:rPr>
        <w:t>important.</w:t>
      </w:r>
    </w:p>
    <w:p w:rsidR="007B46EA" w:rsidRDefault="007B46EA" w:rsidP="007B46EA">
      <w:pPr>
        <w:pStyle w:val="Zkladntext"/>
        <w:spacing w:before="0" w:after="80" w:line="264" w:lineRule="auto"/>
        <w:rPr>
          <w:i/>
          <w:sz w:val="20"/>
          <w:lang w:val="en-GB"/>
        </w:rPr>
      </w:pPr>
      <w:r w:rsidRPr="00793C4A">
        <w:rPr>
          <w:i/>
          <w:sz w:val="20"/>
          <w:lang w:val="en-GB"/>
        </w:rPr>
        <w:t xml:space="preserve">With the intensive use of ICT at work, individuals are required to make use of new skills along three lines. Firstly, the production of ICT products and services – software, web pages, e-commerce, cloud, big data, etc. – requires ICT specialist skills </w:t>
      </w:r>
      <w:r w:rsidRPr="00883E84">
        <w:rPr>
          <w:i/>
          <w:sz w:val="20"/>
          <w:lang w:val="en-GB"/>
        </w:rPr>
        <w:t>for the programming and development of applications, as well as for managing networks.</w:t>
      </w:r>
      <w:r w:rsidRPr="00793C4A">
        <w:rPr>
          <w:i/>
          <w:sz w:val="20"/>
          <w:lang w:val="en-GB"/>
        </w:rPr>
        <w:t xml:space="preserve"> Secondly, workers across an increasing range of occupations need to acquire generic ICT skills </w:t>
      </w:r>
      <w:r w:rsidRPr="00883E84">
        <w:rPr>
          <w:i/>
          <w:sz w:val="20"/>
          <w:lang w:val="en-GB"/>
        </w:rPr>
        <w:t>in order</w:t>
      </w:r>
      <w:r>
        <w:rPr>
          <w:i/>
          <w:color w:val="FF0000"/>
          <w:sz w:val="20"/>
          <w:lang w:val="en-GB"/>
        </w:rPr>
        <w:t xml:space="preserve"> </w:t>
      </w:r>
      <w:r w:rsidRPr="00793C4A">
        <w:rPr>
          <w:i/>
          <w:sz w:val="20"/>
          <w:lang w:val="en-GB"/>
        </w:rPr>
        <w:t xml:space="preserve">to be able to use such technologies in their daily work – to access information online, use software, etc. Finally, the use of ICT is changing, the way work is carried </w:t>
      </w:r>
      <w:r w:rsidRPr="00883E84">
        <w:rPr>
          <w:i/>
          <w:sz w:val="20"/>
          <w:lang w:val="en-GB"/>
        </w:rPr>
        <w:t>out</w:t>
      </w:r>
      <w:r w:rsidRPr="00883E84">
        <w:rPr>
          <w:sz w:val="20"/>
          <w:szCs w:val="20"/>
        </w:rPr>
        <w:t>,</w:t>
      </w:r>
      <w:r w:rsidRPr="00793C4A">
        <w:rPr>
          <w:i/>
          <w:sz w:val="20"/>
          <w:lang w:val="en-GB"/>
        </w:rPr>
        <w:t xml:space="preserve"> and raising the demand for ICT complementary skills, e.g. the capability to communicate </w:t>
      </w:r>
      <w:r w:rsidRPr="00883E84">
        <w:rPr>
          <w:i/>
          <w:sz w:val="20"/>
          <w:lang w:val="en-GB"/>
        </w:rPr>
        <w:t>on</w:t>
      </w:r>
      <w:r w:rsidRPr="00F02CF5">
        <w:rPr>
          <w:i/>
          <w:color w:val="FF0000"/>
          <w:sz w:val="20"/>
          <w:lang w:val="en-GB"/>
        </w:rPr>
        <w:t xml:space="preserve"> </w:t>
      </w:r>
      <w:r w:rsidRPr="00793C4A">
        <w:rPr>
          <w:i/>
          <w:sz w:val="20"/>
          <w:lang w:val="en-GB"/>
        </w:rPr>
        <w:t>social networks, to brand products on e-commerce platforms or capability to find, evaluate and create information in different media and</w:t>
      </w:r>
      <w:r>
        <w:rPr>
          <w:i/>
          <w:sz w:val="20"/>
          <w:lang w:val="en-GB"/>
        </w:rPr>
        <w:t xml:space="preserve"> </w:t>
      </w:r>
      <w:r w:rsidRPr="00883E84">
        <w:rPr>
          <w:i/>
          <w:sz w:val="20"/>
          <w:lang w:val="en-GB"/>
        </w:rPr>
        <w:t xml:space="preserve">for different </w:t>
      </w:r>
      <w:r w:rsidRPr="00793C4A">
        <w:rPr>
          <w:i/>
          <w:sz w:val="20"/>
          <w:lang w:val="en-GB"/>
        </w:rPr>
        <w:t xml:space="preserve">contexts (media and information literacy). </w:t>
      </w:r>
    </w:p>
    <w:p w:rsidR="007B46EA" w:rsidRPr="00441E4F" w:rsidRDefault="007B46EA" w:rsidP="007B46EA">
      <w:pPr>
        <w:pStyle w:val="Zkladntext"/>
        <w:spacing w:before="0" w:after="80" w:line="264" w:lineRule="auto"/>
        <w:rPr>
          <w:i/>
          <w:sz w:val="20"/>
          <w:lang w:val="en-GB"/>
        </w:rPr>
      </w:pPr>
      <w:r w:rsidRPr="00323024">
        <w:rPr>
          <w:i/>
          <w:sz w:val="20"/>
          <w:lang w:val="en-GB"/>
        </w:rPr>
        <w:t>While the majority of people in the Cz</w:t>
      </w:r>
      <w:r w:rsidR="003312EF">
        <w:rPr>
          <w:i/>
          <w:sz w:val="20"/>
          <w:lang w:val="en-GB"/>
        </w:rPr>
        <w:t>ech Republic now have access to the i</w:t>
      </w:r>
      <w:r w:rsidRPr="00323024">
        <w:rPr>
          <w:i/>
          <w:sz w:val="20"/>
          <w:lang w:val="en-GB"/>
        </w:rPr>
        <w:t>nternet, the digital divide based on lack of skills to use the internet efficiently limits not just people’s job prospects, but its implications extend to all areas of well-being. In people’s daily lives, this inequality in digital skills manifests itself in the form of different abili</w:t>
      </w:r>
      <w:r w:rsidR="003312EF">
        <w:rPr>
          <w:i/>
          <w:sz w:val="20"/>
          <w:lang w:val="en-GB"/>
        </w:rPr>
        <w:t>ties to use the i</w:t>
      </w:r>
      <w:r w:rsidRPr="00323024">
        <w:rPr>
          <w:i/>
          <w:sz w:val="20"/>
          <w:lang w:val="en-GB"/>
        </w:rPr>
        <w:t xml:space="preserve">nternet in a variety of ways. All time-saving opportunities, new ways to access information and social networking depend on people’s ability to take advantage of the various possibilities that </w:t>
      </w:r>
      <w:r w:rsidR="003312EF">
        <w:rPr>
          <w:i/>
          <w:sz w:val="20"/>
          <w:lang w:val="en-GB"/>
        </w:rPr>
        <w:t>internet provided. As i</w:t>
      </w:r>
      <w:r w:rsidRPr="00323024">
        <w:rPr>
          <w:i/>
          <w:sz w:val="20"/>
          <w:lang w:val="en-GB"/>
        </w:rPr>
        <w:t xml:space="preserve">nternet access rates are very high in all EU countries, differences in ability to use the </w:t>
      </w:r>
      <w:r w:rsidR="003312EF">
        <w:rPr>
          <w:i/>
          <w:sz w:val="20"/>
          <w:lang w:val="en-GB"/>
        </w:rPr>
        <w:t>i</w:t>
      </w:r>
      <w:r w:rsidRPr="00323024">
        <w:rPr>
          <w:i/>
          <w:sz w:val="20"/>
          <w:lang w:val="en-GB"/>
        </w:rPr>
        <w:t>nternet are a key motor of inequalities.</w:t>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In the Czech Republic, three fifths of persons over the age of 16 (60%) stated</w:t>
      </w:r>
      <w:r w:rsidRPr="00883E84">
        <w:rPr>
          <w:szCs w:val="20"/>
        </w:rPr>
        <w:t>,</w:t>
      </w:r>
      <w:r w:rsidRPr="00772C40">
        <w:t xml:space="preserve"> in </w:t>
      </w:r>
      <w:r w:rsidRPr="00883E84">
        <w:t>2016</w:t>
      </w:r>
      <w:r w:rsidRPr="00883E84">
        <w:rPr>
          <w:szCs w:val="20"/>
        </w:rPr>
        <w:t>,</w:t>
      </w:r>
      <w:r w:rsidRPr="00883E84">
        <w:t xml:space="preserve"> </w:t>
      </w:r>
      <w:r w:rsidRPr="00772C40">
        <w:t xml:space="preserve">to have </w:t>
      </w:r>
      <w:r w:rsidRPr="00772C40">
        <w:rPr>
          <w:b/>
        </w:rPr>
        <w:t>copied</w:t>
      </w:r>
      <w:r w:rsidRPr="00772C40">
        <w:t xml:space="preserve"> or transferred files or folders throughout their </w:t>
      </w:r>
      <w:r w:rsidRPr="00883E84">
        <w:t>computer</w:t>
      </w:r>
      <w:r w:rsidRPr="00883E84">
        <w:rPr>
          <w:szCs w:val="20"/>
        </w:rPr>
        <w:t>,</w:t>
      </w:r>
      <w:r w:rsidRPr="00883E84">
        <w:t xml:space="preserve"> in </w:t>
      </w:r>
      <w:r w:rsidRPr="00772C40">
        <w:t>the past 12 months</w:t>
      </w:r>
      <w:r w:rsidRPr="00883E84">
        <w:t xml:space="preserve">. A </w:t>
      </w:r>
      <w:r w:rsidRPr="00772C40">
        <w:t xml:space="preserve">quarter of individuals worked with a graphic </w:t>
      </w:r>
      <w:r w:rsidRPr="00772C40">
        <w:rPr>
          <w:b/>
        </w:rPr>
        <w:t>photo-editing programme</w:t>
      </w:r>
      <w:r w:rsidRPr="00883E84">
        <w:rPr>
          <w:szCs w:val="20"/>
        </w:rPr>
        <w:t>,</w:t>
      </w:r>
      <w:r w:rsidRPr="00772C40">
        <w:rPr>
          <w:b/>
        </w:rPr>
        <w:t xml:space="preserve"> </w:t>
      </w:r>
      <w:r w:rsidRPr="00772C40">
        <w:t xml:space="preserve">and 4% of them </w:t>
      </w:r>
      <w:r w:rsidRPr="00772C40">
        <w:rPr>
          <w:b/>
        </w:rPr>
        <w:t>did the programming</w:t>
      </w:r>
      <w:r w:rsidRPr="00772C40">
        <w:t xml:space="preserve">. These selected computer skills are mainly the </w:t>
      </w:r>
      <w:r w:rsidRPr="00883E84">
        <w:t xml:space="preserve">interests of the </w:t>
      </w:r>
      <w:r w:rsidRPr="00772C40">
        <w:t>young generation and men's (programming in particular). The aforementioned skills are also more frequently exhibited by students and people with a higher degree of education.</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The </w:t>
      </w:r>
      <w:r>
        <w:t xml:space="preserve">Czech Statistical Office </w:t>
      </w:r>
      <w:r w:rsidRPr="00772C40">
        <w:t xml:space="preserve">also inquired on the number of </w:t>
      </w:r>
      <w:r w:rsidRPr="00883E84">
        <w:t>inhabitants</w:t>
      </w:r>
      <w:r w:rsidRPr="00883E84">
        <w:rPr>
          <w:szCs w:val="20"/>
        </w:rPr>
        <w:t>,</w:t>
      </w:r>
      <w:r w:rsidRPr="00883E84">
        <w:t xml:space="preserve"> </w:t>
      </w:r>
      <w:r>
        <w:t xml:space="preserve">of the Czech </w:t>
      </w:r>
      <w:r w:rsidRPr="00883E84">
        <w:t>Republic</w:t>
      </w:r>
      <w:r w:rsidRPr="00883E84">
        <w:rPr>
          <w:szCs w:val="20"/>
        </w:rPr>
        <w:t xml:space="preserve">, </w:t>
      </w:r>
      <w:r w:rsidRPr="00883E84">
        <w:t xml:space="preserve">using </w:t>
      </w:r>
      <w:r w:rsidRPr="00772C40">
        <w:t xml:space="preserve">the common </w:t>
      </w:r>
      <w:r w:rsidRPr="00772C40">
        <w:rPr>
          <w:b/>
        </w:rPr>
        <w:t>office computer programmes</w:t>
      </w:r>
      <w:r w:rsidRPr="00772C40">
        <w:t xml:space="preserve">. Most individuals aged 16+ stated to have been using </w:t>
      </w:r>
      <w:r w:rsidRPr="00772C40">
        <w:rPr>
          <w:b/>
        </w:rPr>
        <w:t xml:space="preserve">word processing software </w:t>
      </w:r>
      <w:r w:rsidRPr="00772C40">
        <w:t xml:space="preserve">(e.g. MS Word) </w:t>
      </w:r>
      <w:r>
        <w:t>–</w:t>
      </w:r>
      <w:r w:rsidRPr="00772C40">
        <w:t xml:space="preserve"> in 2017, there was nearly a half of them (54%). In the same year, more than a third (41%) of them used </w:t>
      </w:r>
      <w:r w:rsidRPr="00772C40">
        <w:rPr>
          <w:b/>
        </w:rPr>
        <w:t>spread sheet software</w:t>
      </w:r>
      <w:r w:rsidRPr="00772C40">
        <w:t xml:space="preserve"> (e.g. MS Excel), and a quarter of them (25%) stated to have been using </w:t>
      </w:r>
      <w:r w:rsidRPr="00772C40">
        <w:rPr>
          <w:b/>
        </w:rPr>
        <w:t>presentation software</w:t>
      </w:r>
      <w:r w:rsidRPr="00772C40">
        <w:t xml:space="preserve"> (e.g. MS PowerPoint). All these office programmes are </w:t>
      </w:r>
      <w:r w:rsidRPr="00772C40">
        <w:rPr>
          <w:b/>
        </w:rPr>
        <w:t>more frequently used by men than women</w:t>
      </w:r>
      <w:r w:rsidRPr="00772C40">
        <w:t xml:space="preserve">. With increasing </w:t>
      </w:r>
      <w:r w:rsidRPr="00772C40">
        <w:rPr>
          <w:b/>
        </w:rPr>
        <w:t>age</w:t>
      </w:r>
      <w:r w:rsidRPr="00772C40">
        <w:t xml:space="preserve">, the percentage of people using the given software is decreasing, </w:t>
      </w:r>
      <w:r w:rsidRPr="00387B64">
        <w:t xml:space="preserve">however, with an </w:t>
      </w:r>
      <w:r w:rsidRPr="00772C40">
        <w:t xml:space="preserve">increasing level of </w:t>
      </w:r>
      <w:r w:rsidRPr="00387B64">
        <w:rPr>
          <w:b/>
        </w:rPr>
        <w:t>education</w:t>
      </w:r>
      <w:r w:rsidRPr="00387B64">
        <w:rPr>
          <w:szCs w:val="20"/>
        </w:rPr>
        <w:t>,</w:t>
      </w:r>
      <w:r w:rsidRPr="00387B64">
        <w:t xml:space="preserve"> the </w:t>
      </w:r>
      <w:r w:rsidRPr="00772C40">
        <w:t>percentage of such people is increasing.</w:t>
      </w:r>
    </w:p>
    <w:p w:rsidR="007B46EA" w:rsidRDefault="007B46EA" w:rsidP="007B46EA">
      <w:pPr>
        <w:autoSpaceDE w:val="0"/>
        <w:autoSpaceDN w:val="0"/>
        <w:adjustRightInd w:val="0"/>
        <w:spacing w:after="100" w:line="264" w:lineRule="auto"/>
        <w:jc w:val="both"/>
      </w:pPr>
      <w:r>
        <w:rPr>
          <w:noProof/>
          <w:lang w:val="cs-CZ"/>
        </w:rPr>
        <w:lastRenderedPageBreak/>
        <w:drawing>
          <wp:inline distT="0" distB="0" distL="0" distR="0" wp14:anchorId="37FADEC6" wp14:editId="2E4113F1">
            <wp:extent cx="2952000" cy="3060000"/>
            <wp:effectExtent l="0" t="0" r="1270" b="762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1026A">
        <w:rPr>
          <w:noProof/>
        </w:rPr>
        <w:t xml:space="preserve"> </w:t>
      </w:r>
      <w:r>
        <w:rPr>
          <w:noProof/>
          <w:lang w:val="cs-CZ"/>
        </w:rPr>
        <w:drawing>
          <wp:inline distT="0" distB="0" distL="0" distR="0" wp14:anchorId="11A6DF5E" wp14:editId="49D3D252">
            <wp:extent cx="3132000" cy="3060000"/>
            <wp:effectExtent l="0" t="0" r="0" b="762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rPr>
          <w:b/>
        </w:rPr>
        <w:t xml:space="preserve">In international </w:t>
      </w:r>
      <w:r w:rsidRPr="00387B64">
        <w:rPr>
          <w:b/>
        </w:rPr>
        <w:t>comparison</w:t>
      </w:r>
      <w:r w:rsidRPr="00387B64">
        <w:rPr>
          <w:szCs w:val="20"/>
        </w:rPr>
        <w:t>,</w:t>
      </w:r>
      <w:r w:rsidRPr="00772C40">
        <w:t xml:space="preserve"> the percentage of </w:t>
      </w:r>
      <w:r w:rsidRPr="00387B64">
        <w:t xml:space="preserve">Czech </w:t>
      </w:r>
      <w:r w:rsidRPr="00772C40">
        <w:t xml:space="preserve">individuals using </w:t>
      </w:r>
      <w:r w:rsidRPr="00772C40">
        <w:rPr>
          <w:b/>
        </w:rPr>
        <w:t>spread</w:t>
      </w:r>
      <w:r w:rsidRPr="00772C40">
        <w:t xml:space="preserve"> </w:t>
      </w:r>
      <w:r w:rsidRPr="00772C40">
        <w:rPr>
          <w:b/>
        </w:rPr>
        <w:t>sheet software</w:t>
      </w:r>
      <w:r w:rsidRPr="00772C40">
        <w:t xml:space="preserve">, found themselves approximately in the middle position, slightly </w:t>
      </w:r>
      <w:r w:rsidRPr="00772C40">
        <w:rPr>
          <w:b/>
        </w:rPr>
        <w:t>above the EU28 average</w:t>
      </w:r>
      <w:r w:rsidRPr="00772C40">
        <w:t xml:space="preserve">. If solely </w:t>
      </w:r>
      <w:r w:rsidRPr="00387B64">
        <w:t>assessing</w:t>
      </w:r>
      <w:r>
        <w:rPr>
          <w:color w:val="FF0000"/>
        </w:rPr>
        <w:t xml:space="preserve"> </w:t>
      </w:r>
      <w:r w:rsidRPr="00772C40">
        <w:t xml:space="preserve">the advanced skills of </w:t>
      </w:r>
      <w:r>
        <w:t>using the spread sheet software</w:t>
      </w:r>
      <w:r w:rsidRPr="00224AA7">
        <w:rPr>
          <w:color w:val="FF0000"/>
        </w:rPr>
        <w:t xml:space="preserve"> </w:t>
      </w:r>
      <w:r w:rsidRPr="00772C40">
        <w:t>(e.g. calculations usage, graph creation, filter usage, and so on), the Czechs would be placed below the EU28 average.</w:t>
      </w:r>
    </w:p>
    <w:p w:rsidR="007B46EA" w:rsidRPr="00772C40" w:rsidRDefault="007B46EA" w:rsidP="007B46EA">
      <w:pPr>
        <w:autoSpaceDE w:val="0"/>
        <w:autoSpaceDN w:val="0"/>
        <w:adjustRightInd w:val="0"/>
        <w:spacing w:after="100" w:line="264" w:lineRule="auto"/>
        <w:jc w:val="both"/>
      </w:pPr>
      <w:r>
        <w:rPr>
          <w:noProof/>
          <w:lang w:val="cs-CZ"/>
        </w:rPr>
        <w:drawing>
          <wp:inline distT="0" distB="0" distL="0" distR="0" wp14:anchorId="5E385DF7" wp14:editId="3379C631">
            <wp:extent cx="5972810" cy="4320000"/>
            <wp:effectExtent l="0" t="0" r="8890" b="4445"/>
            <wp:docPr id="216" name="Graf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46EA" w:rsidRDefault="007B46EA" w:rsidP="007B46EA">
      <w:pPr>
        <w:spacing w:line="240" w:lineRule="auto"/>
        <w:rPr>
          <w:b/>
          <w:color w:val="009BB4"/>
          <w:sz w:val="28"/>
        </w:rPr>
      </w:pPr>
      <w:r>
        <w:rPr>
          <w:b/>
          <w:color w:val="009BB4"/>
          <w:sz w:val="28"/>
        </w:rPr>
        <w:br w:type="page"/>
      </w:r>
    </w:p>
    <w:p w:rsidR="007B46EA" w:rsidRPr="00772C40" w:rsidRDefault="007B46EA" w:rsidP="00A650F3">
      <w:pPr>
        <w:pStyle w:val="Nadpis2"/>
        <w:spacing w:before="0"/>
      </w:pPr>
      <w:bookmarkStart w:id="10" w:name="_Toc533697551"/>
      <w:bookmarkStart w:id="11" w:name="_Toc534712050"/>
      <w:r w:rsidRPr="00772C40">
        <w:lastRenderedPageBreak/>
        <w:t xml:space="preserve">F.5 Students and graduates </w:t>
      </w:r>
      <w:r>
        <w:t xml:space="preserve">in </w:t>
      </w:r>
      <w:r w:rsidRPr="00772C40">
        <w:t>ICT field</w:t>
      </w:r>
      <w:r>
        <w:t xml:space="preserve"> of education</w:t>
      </w:r>
      <w:bookmarkEnd w:id="10"/>
      <w:bookmarkEnd w:id="11"/>
      <w:r w:rsidRPr="00772C40">
        <w:t xml:space="preserve"> </w:t>
      </w:r>
    </w:p>
    <w:p w:rsidR="007B46EA" w:rsidRPr="00224AA7" w:rsidRDefault="007B46EA" w:rsidP="007B46EA">
      <w:pPr>
        <w:autoSpaceDE w:val="0"/>
        <w:autoSpaceDN w:val="0"/>
        <w:adjustRightInd w:val="0"/>
        <w:spacing w:after="80" w:line="264" w:lineRule="auto"/>
        <w:jc w:val="both"/>
        <w:rPr>
          <w:i/>
          <w:szCs w:val="20"/>
        </w:rPr>
      </w:pPr>
      <w:r w:rsidRPr="00224AA7">
        <w:rPr>
          <w:i/>
          <w:szCs w:val="20"/>
        </w:rPr>
        <w:t xml:space="preserve">When choosing a university to </w:t>
      </w:r>
      <w:r w:rsidRPr="00387B64">
        <w:rPr>
          <w:i/>
          <w:szCs w:val="20"/>
        </w:rPr>
        <w:t>study at</w:t>
      </w:r>
      <w:r w:rsidRPr="00224AA7">
        <w:rPr>
          <w:i/>
          <w:szCs w:val="20"/>
        </w:rPr>
        <w:t xml:space="preserve">, the future of the ICT </w:t>
      </w:r>
      <w:r w:rsidRPr="00387B64">
        <w:rPr>
          <w:i/>
          <w:szCs w:val="20"/>
        </w:rPr>
        <w:t xml:space="preserve">field, and the </w:t>
      </w:r>
      <w:r w:rsidRPr="00224AA7">
        <w:rPr>
          <w:i/>
          <w:szCs w:val="20"/>
        </w:rPr>
        <w:t xml:space="preserve">opportunities it </w:t>
      </w:r>
      <w:r w:rsidRPr="00387B64">
        <w:rPr>
          <w:i/>
          <w:szCs w:val="20"/>
        </w:rPr>
        <w:t xml:space="preserve">provides, </w:t>
      </w:r>
      <w:r w:rsidRPr="00224AA7">
        <w:rPr>
          <w:i/>
          <w:szCs w:val="20"/>
        </w:rPr>
        <w:t xml:space="preserve">are acknowledged by a large number of students. Apart from motivating earnings potential, which belongs to the higher ones within the national economy, applicants are often tempted by the possibility of home office, flexible working hours, custom-made work, and other advantages.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w:t>
      </w:r>
      <w:r>
        <w:t xml:space="preserve">over </w:t>
      </w:r>
      <w:r w:rsidRPr="00387B64">
        <w:t xml:space="preserve">17 thousand students at Czech universities studied within </w:t>
      </w:r>
      <w:r w:rsidRPr="00224AA7">
        <w:rPr>
          <w:color w:val="000000" w:themeColor="text1"/>
        </w:rPr>
        <w:t xml:space="preserve">the </w:t>
      </w:r>
      <w:r w:rsidRPr="00772C40">
        <w:rPr>
          <w:b/>
        </w:rPr>
        <w:t>ICT field</w:t>
      </w:r>
      <w:r>
        <w:rPr>
          <w:b/>
        </w:rPr>
        <w:t xml:space="preserve">s of education, </w:t>
      </w:r>
      <w:r w:rsidRPr="00772C40">
        <w:t>which is 5.5% of the total number of students</w:t>
      </w:r>
      <w:r w:rsidRPr="00772C40">
        <w:rPr>
          <w:rStyle w:val="Znakapoznpodarou"/>
        </w:rPr>
        <w:footnoteReference w:id="5"/>
      </w:r>
      <w:r w:rsidRPr="00772C40">
        <w:t xml:space="preserve">. Nearly a fifth (15.7%) of the total number of ICT field studies was formed by </w:t>
      </w:r>
      <w:r w:rsidRPr="00772C40">
        <w:rPr>
          <w:b/>
        </w:rPr>
        <w:t>women</w:t>
      </w:r>
      <w:r>
        <w:rPr>
          <w:b/>
        </w:rPr>
        <w:t xml:space="preserve"> </w:t>
      </w:r>
      <w:r w:rsidRPr="00772C40">
        <w:t xml:space="preserve">a quarter (25%) of all these students had </w:t>
      </w:r>
      <w:r w:rsidRPr="00772C40">
        <w:rPr>
          <w:b/>
        </w:rPr>
        <w:t>foreign citizenship</w:t>
      </w:r>
      <w:r w:rsidRPr="00772C40">
        <w:t>.</w:t>
      </w:r>
    </w:p>
    <w:p w:rsidR="007B46EA" w:rsidRDefault="007B46EA" w:rsidP="007B46EA">
      <w:pPr>
        <w:autoSpaceDE w:val="0"/>
        <w:autoSpaceDN w:val="0"/>
        <w:adjustRightInd w:val="0"/>
        <w:spacing w:after="100" w:line="264" w:lineRule="auto"/>
        <w:jc w:val="both"/>
      </w:pPr>
      <w:r>
        <w:rPr>
          <w:noProof/>
          <w:lang w:val="cs-CZ"/>
        </w:rPr>
        <w:drawing>
          <wp:inline distT="0" distB="0" distL="0" distR="0" wp14:anchorId="61B50A22" wp14:editId="7952AD5D">
            <wp:extent cx="3132000" cy="3240000"/>
            <wp:effectExtent l="0" t="0" r="0" b="0"/>
            <wp:docPr id="217" name="Graf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1026A">
        <w:rPr>
          <w:noProof/>
        </w:rPr>
        <w:t xml:space="preserve"> </w:t>
      </w:r>
      <w:r>
        <w:rPr>
          <w:noProof/>
          <w:lang w:val="cs-CZ"/>
        </w:rPr>
        <w:drawing>
          <wp:inline distT="0" distB="0" distL="0" distR="0" wp14:anchorId="73D1C204" wp14:editId="510D0FC2">
            <wp:extent cx="2952000" cy="3240000"/>
            <wp:effectExtent l="0" t="0" r="1270" b="0"/>
            <wp:docPr id="218" name="Graf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The highest share of university students of ICT was found in </w:t>
      </w:r>
      <w:r w:rsidRPr="00772C40">
        <w:rPr>
          <w:b/>
        </w:rPr>
        <w:t>bachelor degree programmes</w:t>
      </w:r>
      <w:r w:rsidRPr="00772C40">
        <w:t xml:space="preserve"> (68%), more than a quarter (27%) in master programmes, and 5% in</w:t>
      </w:r>
      <w:r w:rsidRPr="00772C40">
        <w:rPr>
          <w:b/>
        </w:rPr>
        <w:t xml:space="preserve"> </w:t>
      </w:r>
      <w:r w:rsidRPr="00772C40">
        <w:t>doctoral studies.</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Compared to other </w:t>
      </w:r>
      <w:r w:rsidRPr="00772C40">
        <w:rPr>
          <w:b/>
        </w:rPr>
        <w:t>EU28 countries</w:t>
      </w:r>
      <w:r w:rsidRPr="00772C40">
        <w:t>, in 2015</w:t>
      </w:r>
      <w:r w:rsidRPr="005860C6">
        <w:rPr>
          <w:szCs w:val="20"/>
        </w:rPr>
        <w:t>,</w:t>
      </w:r>
      <w:r w:rsidRPr="00772C40">
        <w:t xml:space="preserve"> the Czech Republic’s </w:t>
      </w:r>
      <w:r w:rsidRPr="00387B64">
        <w:t xml:space="preserve">20–29 </w:t>
      </w:r>
      <w:r w:rsidRPr="00772C40">
        <w:t xml:space="preserve">age group was formed by an extraordinarily higher number of ICT university students (1.4%; EU28 average was 1.2%). The highest share of ICT </w:t>
      </w:r>
      <w:r w:rsidRPr="00387B64">
        <w:t>students</w:t>
      </w:r>
      <w:r w:rsidRPr="00387B64">
        <w:rPr>
          <w:szCs w:val="20"/>
        </w:rPr>
        <w:t>,</w:t>
      </w:r>
      <w:r w:rsidRPr="00387B64">
        <w:t xml:space="preserve"> </w:t>
      </w:r>
      <w:r w:rsidRPr="00772C40">
        <w:t xml:space="preserve">within the aforementioned </w:t>
      </w:r>
      <w:r w:rsidRPr="00387B64">
        <w:t>group</w:t>
      </w:r>
      <w:r w:rsidRPr="00387B64">
        <w:rPr>
          <w:szCs w:val="20"/>
        </w:rPr>
        <w:t>,</w:t>
      </w:r>
      <w:r w:rsidRPr="00387B64">
        <w:t xml:space="preserve"> </w:t>
      </w:r>
      <w:r w:rsidRPr="00772C40">
        <w:t xml:space="preserve">was reported by </w:t>
      </w:r>
      <w:r w:rsidRPr="00387B64">
        <w:t xml:space="preserve">universities in </w:t>
      </w:r>
      <w:r w:rsidRPr="00772C40">
        <w:t xml:space="preserve">Finland, Ireland, and Greece; the lowest share by those </w:t>
      </w:r>
      <w:r w:rsidRPr="00387B64">
        <w:t>in</w:t>
      </w:r>
      <w:r w:rsidRPr="00DF3D26">
        <w:rPr>
          <w:color w:val="FF0000"/>
        </w:rPr>
        <w:t xml:space="preserve"> </w:t>
      </w:r>
      <w:r w:rsidRPr="00772C40">
        <w:t>France and Portugal.</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In 2016, nearly 3 500 university students </w:t>
      </w:r>
      <w:r w:rsidRPr="00772C40">
        <w:rPr>
          <w:b/>
        </w:rPr>
        <w:t>graduated from the ICT field</w:t>
      </w:r>
      <w:r w:rsidRPr="00772C40">
        <w:t xml:space="preserve">. </w:t>
      </w:r>
      <w:r w:rsidRPr="00387B64">
        <w:t xml:space="preserve">They </w:t>
      </w:r>
      <w:r w:rsidRPr="00772C40">
        <w:t>represent 4.5% of all graduates from bachelor and master programmes. 85% of all ICT graduates were men.</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The highest share of ICT graduates</w:t>
      </w:r>
      <w:r w:rsidRPr="00387B64">
        <w:rPr>
          <w:szCs w:val="20"/>
        </w:rPr>
        <w:t>,</w:t>
      </w:r>
      <w:r w:rsidRPr="00387B64">
        <w:t xml:space="preserve"> </w:t>
      </w:r>
      <w:r w:rsidRPr="00772C40">
        <w:t>among university graduates (bachelor and master degree programmes</w:t>
      </w:r>
      <w:r w:rsidRPr="00387B64">
        <w:t>)</w:t>
      </w:r>
      <w:r w:rsidRPr="00387B64">
        <w:rPr>
          <w:szCs w:val="20"/>
        </w:rPr>
        <w:t>,</w:t>
      </w:r>
      <w:r w:rsidRPr="00387B64">
        <w:t xml:space="preserve"> </w:t>
      </w:r>
      <w:r w:rsidRPr="00772C40">
        <w:t>was found in Irel</w:t>
      </w:r>
      <w:r>
        <w:t>and and Finland, the lowest one</w:t>
      </w:r>
      <w:r w:rsidRPr="0055673C">
        <w:rPr>
          <w:color w:val="FF0000"/>
        </w:rPr>
        <w:t xml:space="preserve"> </w:t>
      </w:r>
      <w:r w:rsidRPr="00772C40">
        <w:t xml:space="preserve">in Belgium and in Portugal. The Czech Republic is found approximately in </w:t>
      </w:r>
      <w:r w:rsidRPr="00387B64">
        <w:t xml:space="preserve">the </w:t>
      </w:r>
      <w:r w:rsidRPr="00772C40">
        <w:t>mid-position.</w:t>
      </w:r>
    </w:p>
    <w:p w:rsidR="007B46EA" w:rsidRPr="00772C40" w:rsidRDefault="007B46EA" w:rsidP="00A650F3">
      <w:pPr>
        <w:pStyle w:val="Nadpis2"/>
        <w:pageBreakBefore/>
        <w:spacing w:before="0"/>
      </w:pPr>
      <w:bookmarkStart w:id="12" w:name="_Toc533697552"/>
      <w:bookmarkStart w:id="13" w:name="_Toc534712051"/>
      <w:r w:rsidRPr="00772C40">
        <w:lastRenderedPageBreak/>
        <w:t>F.6 ICT professionals</w:t>
      </w:r>
      <w:bookmarkEnd w:id="12"/>
      <w:bookmarkEnd w:id="13"/>
      <w:r w:rsidRPr="00772C40">
        <w:t xml:space="preserve"> </w:t>
      </w:r>
    </w:p>
    <w:p w:rsidR="007B46EA" w:rsidRPr="009C6AD6" w:rsidRDefault="007B46EA" w:rsidP="007B46EA">
      <w:pPr>
        <w:pStyle w:val="Zkladntext"/>
        <w:spacing w:before="0" w:after="80" w:line="264" w:lineRule="auto"/>
        <w:rPr>
          <w:i/>
          <w:sz w:val="20"/>
          <w:szCs w:val="20"/>
          <w:lang w:val="en-GB"/>
        </w:rPr>
      </w:pPr>
      <w:r w:rsidRPr="009C6AD6">
        <w:rPr>
          <w:i/>
          <w:sz w:val="20"/>
          <w:szCs w:val="20"/>
          <w:lang w:val="en-GB"/>
        </w:rPr>
        <w:t xml:space="preserve">ICT has already been the cause of significant changes to both </w:t>
      </w:r>
      <w:r w:rsidRPr="00A0348F">
        <w:rPr>
          <w:i/>
          <w:sz w:val="20"/>
          <w:szCs w:val="20"/>
          <w:lang w:val="en-GB"/>
        </w:rPr>
        <w:t xml:space="preserve">methods and patterns of production. Policy-makers and researchers are therefore interested </w:t>
      </w:r>
      <w:r w:rsidRPr="009C6AD6">
        <w:rPr>
          <w:i/>
          <w:sz w:val="20"/>
          <w:szCs w:val="20"/>
          <w:lang w:val="en-GB"/>
        </w:rPr>
        <w:t>in tracking employment developments for ICT professionals, which influence a country’s comparative advantage in the development, inst</w:t>
      </w:r>
      <w:r w:rsidR="00A650F3">
        <w:rPr>
          <w:i/>
          <w:sz w:val="20"/>
          <w:szCs w:val="20"/>
          <w:lang w:val="en-GB"/>
        </w:rPr>
        <w:t>allation, and servicing of ICT.</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nearly </w:t>
      </w:r>
      <w:r w:rsidRPr="00772C40">
        <w:rPr>
          <w:b/>
        </w:rPr>
        <w:t>72 thousand ICT specialists</w:t>
      </w:r>
      <w:r w:rsidRPr="00772C40">
        <w:t xml:space="preserve"> worked in the Czech Republic</w:t>
      </w:r>
      <w:r w:rsidR="00171A89">
        <w:rPr>
          <w:rStyle w:val="Znakapoznpodarou"/>
        </w:rPr>
        <w:footnoteReference w:id="6"/>
      </w:r>
      <w:r>
        <w:t>.</w:t>
      </w:r>
      <w:r w:rsidRPr="00772C40">
        <w:t xml:space="preserve"> </w:t>
      </w:r>
      <w:r w:rsidRPr="00A0348F">
        <w:t>Approximately</w:t>
      </w:r>
      <w:r>
        <w:rPr>
          <w:color w:val="FF0000"/>
        </w:rPr>
        <w:t xml:space="preserve"> </w:t>
      </w:r>
      <w:r w:rsidRPr="00772C40">
        <w:t>two thirds</w:t>
      </w:r>
      <w:r>
        <w:rPr>
          <w:color w:val="FF0000"/>
        </w:rPr>
        <w:t xml:space="preserve"> </w:t>
      </w:r>
      <w:r w:rsidRPr="00A0348F">
        <w:t xml:space="preserve">of them </w:t>
      </w:r>
      <w:r w:rsidRPr="00772C40">
        <w:t xml:space="preserve">were </w:t>
      </w:r>
      <w:r>
        <w:t>analysts</w:t>
      </w:r>
      <w:r w:rsidRPr="00A0348F">
        <w:t>,</w:t>
      </w:r>
      <w:r>
        <w:t xml:space="preserve"> </w:t>
      </w:r>
      <w:r w:rsidRPr="00772C40">
        <w:t>software</w:t>
      </w:r>
      <w:r w:rsidRPr="00A0348F">
        <w:t>,</w:t>
      </w:r>
      <w:r w:rsidRPr="00772C40">
        <w:t xml:space="preserve"> and computer application developers. A third was formed by specialists in the field of databases and computer networks.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Only a tenth of ICT specialists</w:t>
      </w:r>
      <w:r w:rsidRPr="00A0348F">
        <w:t>,</w:t>
      </w:r>
      <w:r w:rsidRPr="00772C40">
        <w:t xml:space="preserve"> in 2016</w:t>
      </w:r>
      <w:r w:rsidRPr="00A0348F">
        <w:t xml:space="preserve">, </w:t>
      </w:r>
      <w:r w:rsidRPr="00772C40">
        <w:t xml:space="preserve">were </w:t>
      </w:r>
      <w:r w:rsidRPr="00772C40">
        <w:rPr>
          <w:b/>
        </w:rPr>
        <w:t>women</w:t>
      </w:r>
      <w:r w:rsidRPr="00772C40">
        <w:t>. A half of ICT specialists</w:t>
      </w:r>
      <w:r w:rsidRPr="00260927">
        <w:t>,</w:t>
      </w:r>
      <w:r w:rsidRPr="00772C40">
        <w:t xml:space="preserve"> in 2016</w:t>
      </w:r>
      <w:r w:rsidRPr="00260927">
        <w:t>,</w:t>
      </w:r>
      <w:r w:rsidRPr="00772C40">
        <w:t xml:space="preserve"> had a master’s or doctoral degree; </w:t>
      </w:r>
      <w:r w:rsidRPr="00260927">
        <w:t xml:space="preserve">looking at the age group, </w:t>
      </w:r>
      <w:r w:rsidRPr="00772C40">
        <w:t>the surpassing group was 30</w:t>
      </w:r>
      <w:r>
        <w:t>–</w:t>
      </w:r>
      <w:r w:rsidRPr="00772C40">
        <w:t>39 (28%)</w:t>
      </w:r>
      <w:r w:rsidRPr="00260927">
        <w:t xml:space="preserve">, </w:t>
      </w:r>
      <w:r w:rsidRPr="00772C40">
        <w:t xml:space="preserve">followed by the age </w:t>
      </w:r>
      <w:r w:rsidRPr="00260927">
        <w:t xml:space="preserve">40–49 </w:t>
      </w:r>
      <w:r w:rsidRPr="00772C40">
        <w:t>group (18%).</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the average </w:t>
      </w:r>
      <w:r w:rsidRPr="00772C40">
        <w:rPr>
          <w:b/>
        </w:rPr>
        <w:t>gross monthly earnings of ICT specialists</w:t>
      </w:r>
      <w:r w:rsidR="00171A89">
        <w:rPr>
          <w:rStyle w:val="Znakapoznpodarou"/>
          <w:b/>
        </w:rPr>
        <w:footnoteReference w:id="7"/>
      </w:r>
      <w:r>
        <w:rPr>
          <w:b/>
        </w:rPr>
        <w:t xml:space="preserve"> </w:t>
      </w:r>
      <w:r w:rsidRPr="00260927">
        <w:t>exceeded 53,000 CZK</w:t>
      </w:r>
      <w:r w:rsidRPr="00670BC2">
        <w:rPr>
          <w:color w:val="FF0000"/>
        </w:rPr>
        <w:t xml:space="preserve"> </w:t>
      </w:r>
      <w:r w:rsidRPr="00772C40">
        <w:t xml:space="preserve">and formed 183% of the average Czech wages. On average, men working in the ICT field earned nearly </w:t>
      </w:r>
      <w:r w:rsidRPr="00260927">
        <w:t xml:space="preserve">10,000 CZK </w:t>
      </w:r>
      <w:r w:rsidRPr="00772C40">
        <w:t>more than women. It may not come as a surprise</w:t>
      </w:r>
      <w:r w:rsidRPr="00260927">
        <w:t>, t</w:t>
      </w:r>
      <w:r w:rsidRPr="00772C40">
        <w:t>hat higher earnings are found with ICT professionals in the private sector (receiving wages</w:t>
      </w:r>
      <w:r w:rsidRPr="00260927">
        <w:t xml:space="preserve">), </w:t>
      </w:r>
      <w:r w:rsidRPr="00772C40">
        <w:t>than ICT professionals in the public sector (receiving salaries), and the earnings of ICT professionals grow along with their highest attained education</w:t>
      </w:r>
      <w:r w:rsidRPr="00260927">
        <w:t xml:space="preserve">. The </w:t>
      </w:r>
      <w:r w:rsidRPr="00772C40">
        <w:t xml:space="preserve">highest average wages are earned by </w:t>
      </w:r>
      <w:r w:rsidRPr="00260927">
        <w:t xml:space="preserve">“middle aged” </w:t>
      </w:r>
      <w:r w:rsidRPr="00772C40">
        <w:t>ICT professionals, i.e. 35</w:t>
      </w:r>
      <w:r>
        <w:t>–</w:t>
      </w:r>
      <w:r w:rsidRPr="00772C40">
        <w:t xml:space="preserve">44 years of age. </w:t>
      </w:r>
    </w:p>
    <w:p w:rsidR="0009465A" w:rsidRDefault="007B46EA" w:rsidP="0009465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With respect to selected ICT professions, the highest income exceeding </w:t>
      </w:r>
      <w:r w:rsidRPr="00260927">
        <w:t xml:space="preserve">61 thousand CZK </w:t>
      </w:r>
      <w:r w:rsidRPr="00772C40">
        <w:t xml:space="preserve">is earned by </w:t>
      </w:r>
      <w:r w:rsidRPr="00772C40">
        <w:rPr>
          <w:b/>
        </w:rPr>
        <w:t>professionals in the area of data security</w:t>
      </w:r>
      <w:r w:rsidRPr="00772C40">
        <w:t xml:space="preserve">. In 2016, over </w:t>
      </w:r>
      <w:r w:rsidRPr="00260927">
        <w:t xml:space="preserve">58 thousand CZK </w:t>
      </w:r>
      <w:r w:rsidRPr="00772C40">
        <w:t>of gross wage was earned by system analysts or software developers. The relatively lowest earnings in the ICT field were found with system administrators and network administrators</w:t>
      </w:r>
      <w:r w:rsidRPr="00260927">
        <w:t>,</w:t>
      </w:r>
      <w:r w:rsidRPr="00772C40">
        <w:t xml:space="preserve"> or database designers and administrators (less than </w:t>
      </w:r>
      <w:r w:rsidRPr="00260927">
        <w:t>50 thousand CZK</w:t>
      </w:r>
      <w:r w:rsidRPr="00772C40">
        <w:t xml:space="preserve">). </w:t>
      </w:r>
    </w:p>
    <w:p w:rsidR="004C7BC9" w:rsidRDefault="004C7BC9" w:rsidP="0038283A">
      <w:pPr>
        <w:numPr>
          <w:ilvl w:val="0"/>
          <w:numId w:val="15"/>
        </w:numPr>
        <w:tabs>
          <w:tab w:val="clear" w:pos="360"/>
          <w:tab w:val="num" w:pos="284"/>
        </w:tabs>
        <w:autoSpaceDE w:val="0"/>
        <w:autoSpaceDN w:val="0"/>
        <w:adjustRightInd w:val="0"/>
        <w:spacing w:after="80" w:line="264" w:lineRule="auto"/>
        <w:ind w:left="284" w:hanging="284"/>
        <w:jc w:val="both"/>
        <w:rPr>
          <w:noProof/>
          <w:lang w:val="cs-CZ"/>
        </w:rPr>
      </w:pPr>
      <w:r>
        <w:rPr>
          <w:noProof/>
          <w:lang w:val="cs-CZ"/>
        </w:rPr>
        <w:drawing>
          <wp:anchor distT="0" distB="0" distL="114300" distR="114300" simplePos="0" relativeHeight="251682304" behindDoc="0" locked="0" layoutInCell="1" allowOverlap="1" wp14:anchorId="5CB60B65" wp14:editId="4EE00160">
            <wp:simplePos x="0" y="0"/>
            <wp:positionH relativeFrom="column">
              <wp:posOffset>3280410</wp:posOffset>
            </wp:positionH>
            <wp:positionV relativeFrom="paragraph">
              <wp:posOffset>950595</wp:posOffset>
            </wp:positionV>
            <wp:extent cx="2781300" cy="2524125"/>
            <wp:effectExtent l="0" t="0" r="0" b="0"/>
            <wp:wrapSquare wrapText="bothSides"/>
            <wp:docPr id="220" name="Graf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Pr>
          <w:noProof/>
          <w:lang w:val="cs-CZ"/>
        </w:rPr>
        <w:drawing>
          <wp:anchor distT="0" distB="0" distL="114300" distR="114300" simplePos="0" relativeHeight="251687424" behindDoc="1" locked="0" layoutInCell="1" allowOverlap="1" wp14:anchorId="743F4617" wp14:editId="3A70E2A8">
            <wp:simplePos x="0" y="0"/>
            <wp:positionH relativeFrom="column">
              <wp:posOffset>3810</wp:posOffset>
            </wp:positionH>
            <wp:positionV relativeFrom="paragraph">
              <wp:posOffset>1017270</wp:posOffset>
            </wp:positionV>
            <wp:extent cx="3028950" cy="2533650"/>
            <wp:effectExtent l="0" t="0" r="0" b="0"/>
            <wp:wrapTight wrapText="bothSides">
              <wp:wrapPolygon edited="0">
                <wp:start x="0" y="0"/>
                <wp:lineTo x="0" y="21438"/>
                <wp:lineTo x="21464" y="21438"/>
                <wp:lineTo x="21464" y="0"/>
                <wp:lineTo x="0" y="0"/>
              </wp:wrapPolygon>
            </wp:wrapTight>
            <wp:docPr id="219" name="Graf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09465A" w:rsidRPr="00772C40">
        <w:t xml:space="preserve">With respect to the income of ICT professionals in selected industries (in accordance with CZ-NACE classification), in </w:t>
      </w:r>
      <w:r w:rsidR="0009465A" w:rsidRPr="00260927">
        <w:t>2016,</w:t>
      </w:r>
      <w:r w:rsidR="0009465A" w:rsidRPr="00772C40">
        <w:t xml:space="preserve"> the highest income was earned by ICT professionals engaged in the field of </w:t>
      </w:r>
      <w:r w:rsidR="0009465A" w:rsidRPr="00171A89">
        <w:rPr>
          <w:b/>
        </w:rPr>
        <w:t>Financial and insurance activities</w:t>
      </w:r>
      <w:r w:rsidR="0009465A" w:rsidRPr="00772C40">
        <w:t xml:space="preserve"> (over </w:t>
      </w:r>
      <w:r w:rsidR="0009465A" w:rsidRPr="00260927">
        <w:t xml:space="preserve">64 thousand CZK), </w:t>
      </w:r>
      <w:r w:rsidR="0009465A" w:rsidRPr="00772C40">
        <w:t xml:space="preserve">or </w:t>
      </w:r>
      <w:r w:rsidR="0009465A" w:rsidRPr="00260927">
        <w:t xml:space="preserve">within the sector </w:t>
      </w:r>
      <w:r w:rsidR="0009465A" w:rsidRPr="00171A89">
        <w:rPr>
          <w:b/>
        </w:rPr>
        <w:t>Information and communication activities</w:t>
      </w:r>
      <w:r w:rsidR="0009465A" w:rsidRPr="00260927">
        <w:t xml:space="preserve"> sector </w:t>
      </w:r>
      <w:r w:rsidR="0009465A" w:rsidRPr="00772C40">
        <w:t xml:space="preserve">(nearly </w:t>
      </w:r>
      <w:r w:rsidR="0009465A" w:rsidRPr="00260927">
        <w:t>58 thousand CZK</w:t>
      </w:r>
      <w:r w:rsidR="0009465A" w:rsidRPr="00772C40">
        <w:t xml:space="preserve">). At the end of the scale, there were ICT professionals involved in the </w:t>
      </w:r>
      <w:r w:rsidR="0009465A" w:rsidRPr="00260927">
        <w:t>Public administration sector, whose income nearly amounted to 37</w:t>
      </w:r>
      <w:r w:rsidR="0009465A">
        <w:t> </w:t>
      </w:r>
      <w:r w:rsidR="0009465A" w:rsidRPr="00260927">
        <w:t>thousand</w:t>
      </w:r>
      <w:r w:rsidR="0009465A">
        <w:t> </w:t>
      </w:r>
      <w:r w:rsidR="0009465A" w:rsidRPr="00260927">
        <w:t>CZK, in 2016.</w:t>
      </w:r>
      <w:r w:rsidR="00171A89" w:rsidRPr="00171A89">
        <w:rPr>
          <w:noProof/>
          <w:lang w:val="cs-CZ"/>
        </w:rPr>
        <w:t xml:space="preserve"> </w:t>
      </w:r>
      <w:bookmarkStart w:id="14" w:name="_GoBack"/>
      <w:bookmarkEnd w:id="14"/>
    </w:p>
    <w:sectPr w:rsidR="004C7BC9" w:rsidSect="00724381">
      <w:headerReference w:type="even" r:id="rId30"/>
      <w:headerReference w:type="default" r:id="rId31"/>
      <w:footerReference w:type="even" r:id="rId32"/>
      <w:footerReference w:type="default" r:id="rId33"/>
      <w:type w:val="continuous"/>
      <w:pgSz w:w="11906" w:h="16838"/>
      <w:pgMar w:top="1134" w:right="1134" w:bottom="1418" w:left="1134" w:header="68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80B" w:rsidRDefault="008E680B" w:rsidP="00E71A58">
      <w:r>
        <w:separator/>
      </w:r>
    </w:p>
  </w:endnote>
  <w:endnote w:type="continuationSeparator" w:id="0">
    <w:p w:rsidR="008E680B" w:rsidRDefault="008E680B"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Times New Roman"/>
    <w:panose1 w:val="02040503050406030204"/>
    <w:charset w:val="EE"/>
    <w:family w:val="roman"/>
    <w:pitch w:val="variable"/>
    <w:sig w:usb0="E00002FF" w:usb1="400004FF" w:usb2="00000000" w:usb3="00000000" w:csb0="0000019F" w:csb1="00000000"/>
  </w:font>
  <w:font w:name="Tahoma">
    <w:panose1 w:val="020B0604030504040204"/>
    <w:charset w:val="00"/>
    <w:family w:val="auto"/>
    <w:notTrueType/>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80256" behindDoc="0" locked="0" layoutInCell="1" allowOverlap="1" wp14:anchorId="2B05063E" wp14:editId="7ACD50DC">
          <wp:simplePos x="0" y="0"/>
          <wp:positionH relativeFrom="column">
            <wp:posOffset>5660390</wp:posOffset>
          </wp:positionH>
          <wp:positionV relativeFrom="paragraph">
            <wp:posOffset>-52070</wp:posOffset>
          </wp:positionV>
          <wp:extent cx="466725" cy="219075"/>
          <wp:effectExtent l="0" t="0" r="0" b="0"/>
          <wp:wrapNone/>
          <wp:docPr id="5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724381">
      <w:rPr>
        <w:noProof/>
        <w:szCs w:val="16"/>
      </w:rPr>
      <w:t>82</w:t>
    </w:r>
    <w:r w:rsidRPr="005A21E0">
      <w:rPr>
        <w:szCs w:val="16"/>
      </w:rPr>
      <w:fldChar w:fldCharType="end"/>
    </w:r>
    <w:r>
      <w:rPr>
        <w:szCs w:val="16"/>
      </w:rPr>
      <w:tab/>
      <w:t>2018</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0971C4">
    <w:pPr>
      <w:pStyle w:val="Zpat"/>
      <w:tabs>
        <w:tab w:val="left" w:pos="1134"/>
        <w:tab w:val="left" w:pos="1920"/>
      </w:tabs>
    </w:pPr>
    <w:r>
      <w:rPr>
        <w:noProof/>
        <w:lang w:val="cs-CZ" w:eastAsia="cs-CZ"/>
      </w:rPr>
      <w:drawing>
        <wp:anchor distT="0" distB="0" distL="114300" distR="114300" simplePos="0" relativeHeight="251692544" behindDoc="0" locked="0" layoutInCell="1" allowOverlap="1" wp14:anchorId="31A40E0B" wp14:editId="7DBB9B3A">
          <wp:simplePos x="0" y="0"/>
          <wp:positionH relativeFrom="margin">
            <wp:posOffset>0</wp:posOffset>
          </wp:positionH>
          <wp:positionV relativeFrom="paragraph">
            <wp:posOffset>0</wp:posOffset>
          </wp:positionV>
          <wp:extent cx="676910" cy="201930"/>
          <wp:effectExtent l="0" t="0" r="8890" b="7620"/>
          <wp:wrapNone/>
          <wp:docPr id="57"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zCs w:val="16"/>
      </w:rPr>
      <w:tab/>
    </w:r>
    <w:r>
      <w:rPr>
        <w:szCs w:val="16"/>
      </w:rPr>
      <w:tab/>
      <w:t>2018</w:t>
    </w:r>
    <w:r>
      <w:rPr>
        <w:szCs w:val="16"/>
      </w:rPr>
      <w:tab/>
    </w:r>
    <w:r w:rsidRPr="00B6608F">
      <w:rPr>
        <w:szCs w:val="16"/>
      </w:rPr>
      <w:fldChar w:fldCharType="begin"/>
    </w:r>
    <w:r w:rsidRPr="00B6608F">
      <w:rPr>
        <w:szCs w:val="16"/>
      </w:rPr>
      <w:instrText>PAGE   \* MERGEFORMAT</w:instrText>
    </w:r>
    <w:r w:rsidRPr="00B6608F">
      <w:rPr>
        <w:szCs w:val="16"/>
      </w:rPr>
      <w:fldChar w:fldCharType="separate"/>
    </w:r>
    <w:r w:rsidR="00724381">
      <w:rPr>
        <w:noProof/>
        <w:szCs w:val="16"/>
      </w:rPr>
      <w:t>83</w:t>
    </w:r>
    <w:r w:rsidRPr="00B6608F">
      <w:rPr>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F69" w:rsidRDefault="00965F69">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D44910">
    <w:pPr>
      <w:pStyle w:val="Zpat"/>
    </w:pPr>
    <w:r>
      <w:rPr>
        <w:noProof/>
        <w:lang w:val="cs-CZ" w:eastAsia="cs-CZ"/>
      </w:rPr>
      <w:drawing>
        <wp:anchor distT="0" distB="0" distL="114300" distR="114300" simplePos="0" relativeHeight="251662848" behindDoc="0" locked="0" layoutInCell="1" allowOverlap="1">
          <wp:simplePos x="0" y="0"/>
          <wp:positionH relativeFrom="column">
            <wp:align>right</wp:align>
          </wp:positionH>
          <wp:positionV relativeFrom="paragraph">
            <wp:posOffset>-64770</wp:posOffset>
          </wp:positionV>
          <wp:extent cx="385445" cy="190500"/>
          <wp:effectExtent l="0" t="0" r="0" b="12700"/>
          <wp:wrapNone/>
          <wp:docPr id="81" name="Picture 13" descr="CSU RGB EN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 RGB EN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10">
      <w:fldChar w:fldCharType="begin"/>
    </w:r>
    <w:r w:rsidRPr="00D44910">
      <w:instrText>PAGE   \* MERGEFORMAT</w:instrText>
    </w:r>
    <w:r w:rsidRPr="00D44910">
      <w:fldChar w:fldCharType="separate"/>
    </w:r>
    <w:r w:rsidR="00724381">
      <w:rPr>
        <w:noProof/>
      </w:rPr>
      <w:t>88</w:t>
    </w:r>
    <w:r w:rsidRPr="00D44910">
      <w:fldChar w:fldCharType="end"/>
    </w:r>
    <w:r w:rsidRPr="00D44910">
      <w:tab/>
    </w:r>
    <w:r>
      <w:rPr>
        <w:szCs w:val="16"/>
      </w:rPr>
      <w:t>2018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FE30D1">
    <w:pPr>
      <w:pStyle w:val="Zpat"/>
    </w:pPr>
    <w:r>
      <w:rPr>
        <w:noProof/>
        <w:lang w:val="cs-CZ" w:eastAsia="cs-CZ"/>
      </w:rPr>
      <w:drawing>
        <wp:anchor distT="0" distB="0" distL="114300" distR="114300" simplePos="0" relativeHeight="251660800" behindDoc="0" locked="0" layoutInCell="1" allowOverlap="1">
          <wp:simplePos x="0" y="0"/>
          <wp:positionH relativeFrom="column">
            <wp:align>left</wp:align>
          </wp:positionH>
          <wp:positionV relativeFrom="paragraph">
            <wp:posOffset>-64770</wp:posOffset>
          </wp:positionV>
          <wp:extent cx="676910" cy="201930"/>
          <wp:effectExtent l="0" t="0" r="8890" b="1270"/>
          <wp:wrapNone/>
          <wp:docPr id="89"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F3">
      <w:tab/>
    </w:r>
    <w:r>
      <w:rPr>
        <w:szCs w:val="16"/>
      </w:rPr>
      <w:t>2018</w:t>
    </w:r>
    <w:r w:rsidRPr="000B58F3">
      <w:tab/>
    </w:r>
    <w:r w:rsidRPr="000B58F3">
      <w:rPr>
        <w:rStyle w:val="ZpatChar"/>
      </w:rPr>
      <w:fldChar w:fldCharType="begin"/>
    </w:r>
    <w:r w:rsidRPr="000B58F3">
      <w:rPr>
        <w:rStyle w:val="ZpatChar"/>
      </w:rPr>
      <w:instrText>PAGE   \* MERGEFORMAT</w:instrText>
    </w:r>
    <w:r w:rsidRPr="000B58F3">
      <w:rPr>
        <w:rStyle w:val="ZpatChar"/>
      </w:rPr>
      <w:fldChar w:fldCharType="separate"/>
    </w:r>
    <w:r w:rsidR="00724381">
      <w:rPr>
        <w:rStyle w:val="ZpatChar"/>
        <w:noProof/>
      </w:rPr>
      <w:t>89</w:t>
    </w:r>
    <w:r w:rsidRPr="000B58F3">
      <w:rPr>
        <w:rStyle w:val="Zpat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80B" w:rsidRDefault="008E680B" w:rsidP="00E71A58">
      <w:r>
        <w:separator/>
      </w:r>
    </w:p>
  </w:footnote>
  <w:footnote w:type="continuationSeparator" w:id="0">
    <w:p w:rsidR="008E680B" w:rsidRDefault="008E680B" w:rsidP="00E71A58">
      <w:r>
        <w:continuationSeparator/>
      </w:r>
    </w:p>
  </w:footnote>
  <w:footnote w:id="1">
    <w:p w:rsidR="003945DB" w:rsidRPr="00F32F8D" w:rsidRDefault="003945DB" w:rsidP="007B46EA">
      <w:pPr>
        <w:pStyle w:val="Textpoznpodarou"/>
        <w:jc w:val="both"/>
        <w:rPr>
          <w:rFonts w:ascii="Arial" w:hAnsi="Arial" w:cs="Arial"/>
          <w:sz w:val="18"/>
          <w:szCs w:val="18"/>
          <w:lang w:val="en-GB"/>
        </w:rPr>
      </w:pPr>
      <w:r w:rsidRPr="00F32F8D">
        <w:rPr>
          <w:rStyle w:val="Znakapoznpodarou"/>
          <w:rFonts w:ascii="Arial" w:hAnsi="Arial" w:cs="Arial"/>
          <w:sz w:val="18"/>
          <w:szCs w:val="18"/>
          <w:lang w:val="en-GB"/>
        </w:rPr>
        <w:footnoteRef/>
      </w:r>
      <w:r w:rsidRPr="00F32F8D">
        <w:rPr>
          <w:rFonts w:ascii="Arial" w:hAnsi="Arial" w:cs="Arial"/>
          <w:sz w:val="18"/>
          <w:szCs w:val="18"/>
          <w:lang w:val="en-GB"/>
        </w:rPr>
        <w:t xml:space="preserve"> According to the results of the OECD Programme for International Student Assessment (PISA), already in 2012, on average, for OECD countries where data was available, less than 0.5% of 15 year-olds reported neve</w:t>
      </w:r>
      <w:r>
        <w:rPr>
          <w:rFonts w:ascii="Arial" w:hAnsi="Arial" w:cs="Arial"/>
          <w:sz w:val="18"/>
          <w:szCs w:val="18"/>
          <w:lang w:val="en-GB"/>
        </w:rPr>
        <w:t>r having accessed the internet.</w:t>
      </w:r>
    </w:p>
  </w:footnote>
  <w:footnote w:id="2">
    <w:p w:rsidR="003945DB" w:rsidRPr="00847EA4" w:rsidRDefault="003945DB" w:rsidP="007B46EA">
      <w:pPr>
        <w:pStyle w:val="Textpoznpodarou"/>
        <w:jc w:val="both"/>
        <w:rPr>
          <w:rFonts w:ascii="Arial" w:hAnsi="Arial" w:cs="Arial"/>
          <w:sz w:val="18"/>
          <w:szCs w:val="18"/>
          <w:lang w:val="en-GB"/>
        </w:rPr>
      </w:pPr>
      <w:r w:rsidRPr="00847EA4">
        <w:rPr>
          <w:rStyle w:val="Znakapoznpodarou"/>
          <w:rFonts w:ascii="Arial" w:hAnsi="Arial" w:cs="Arial"/>
          <w:sz w:val="18"/>
          <w:szCs w:val="18"/>
          <w:lang w:val="en-GB"/>
        </w:rPr>
        <w:footnoteRef/>
      </w:r>
      <w:r w:rsidRPr="00847EA4">
        <w:rPr>
          <w:rFonts w:ascii="Arial" w:hAnsi="Arial" w:cs="Arial"/>
          <w:sz w:val="18"/>
          <w:szCs w:val="18"/>
          <w:lang w:val="en-GB"/>
        </w:rPr>
        <w:t xml:space="preserve"> </w:t>
      </w:r>
      <w:r w:rsidRPr="00FE5C57">
        <w:rPr>
          <w:rFonts w:ascii="Arial" w:hAnsi="Arial" w:cs="Arial"/>
          <w:sz w:val="18"/>
          <w:szCs w:val="18"/>
          <w:lang w:val="en-GB"/>
        </w:rPr>
        <w:t>In 2015 over half a million students, representing 28 million of 15-year-olds in 72 countries and economies, took the internationally agreed two-hour test. Students were assessed in science, mathematics, reading, collaborative problem solving, and financial literacy.</w:t>
      </w:r>
    </w:p>
  </w:footnote>
  <w:footnote w:id="3">
    <w:p w:rsidR="003945DB" w:rsidRPr="00847EA4" w:rsidRDefault="003945DB" w:rsidP="007B46EA">
      <w:pPr>
        <w:pStyle w:val="Textpoznpodarou"/>
        <w:jc w:val="both"/>
        <w:rPr>
          <w:rFonts w:ascii="Arial" w:hAnsi="Arial" w:cs="Arial"/>
          <w:sz w:val="18"/>
          <w:szCs w:val="18"/>
          <w:lang w:val="en-GB"/>
        </w:rPr>
      </w:pPr>
      <w:r w:rsidRPr="003350DD">
        <w:rPr>
          <w:rStyle w:val="Znakapoznpodarou"/>
          <w:rFonts w:ascii="Arial" w:hAnsi="Arial" w:cs="Arial"/>
          <w:sz w:val="18"/>
          <w:szCs w:val="18"/>
          <w:lang w:val="en-GB"/>
        </w:rPr>
        <w:footnoteRef/>
      </w:r>
      <w:r w:rsidRPr="003350DD">
        <w:rPr>
          <w:rFonts w:ascii="Arial" w:hAnsi="Arial" w:cs="Arial"/>
          <w:sz w:val="18"/>
          <w:szCs w:val="18"/>
          <w:lang w:val="en-GB"/>
        </w:rPr>
        <w:t xml:space="preserve"> The data is based on the Sample Survey on the ICT Use in Households and by Individuals, which has been carried out annually by the Czech Statistical Office since 2002. The survey is carried out using the Computer Assisted Personal Interviewing (CAPI) method on the sample of about 10 000 individuals aged 16+</w:t>
      </w:r>
      <w:r>
        <w:rPr>
          <w:rFonts w:ascii="Arial" w:hAnsi="Arial" w:cs="Arial"/>
          <w:sz w:val="18"/>
          <w:szCs w:val="18"/>
          <w:lang w:val="en-GB"/>
        </w:rPr>
        <w:t>.</w:t>
      </w:r>
    </w:p>
  </w:footnote>
  <w:footnote w:id="4">
    <w:p w:rsidR="003945DB" w:rsidRPr="003350DD" w:rsidRDefault="003945DB" w:rsidP="007B46EA">
      <w:pPr>
        <w:pStyle w:val="Textpoznpodarou"/>
        <w:jc w:val="both"/>
        <w:rPr>
          <w:rFonts w:ascii="Arial" w:hAnsi="Arial" w:cs="Arial"/>
          <w:sz w:val="18"/>
          <w:szCs w:val="18"/>
          <w:lang w:val="en-GB"/>
        </w:rPr>
      </w:pPr>
      <w:r w:rsidRPr="003350DD">
        <w:rPr>
          <w:rStyle w:val="Znakapoznpodarou"/>
          <w:rFonts w:ascii="Arial" w:hAnsi="Arial" w:cs="Arial"/>
          <w:sz w:val="18"/>
          <w:szCs w:val="18"/>
          <w:lang w:val="en-GB"/>
        </w:rPr>
        <w:footnoteRef/>
      </w:r>
      <w:r w:rsidRPr="003350DD">
        <w:rPr>
          <w:rFonts w:ascii="Arial" w:hAnsi="Arial" w:cs="Arial"/>
          <w:sz w:val="18"/>
          <w:szCs w:val="18"/>
          <w:lang w:val="en-GB"/>
        </w:rPr>
        <w:t xml:space="preserve"> The 2006 European</w:t>
      </w:r>
      <w:r>
        <w:rPr>
          <w:rFonts w:ascii="Arial" w:hAnsi="Arial" w:cs="Arial"/>
          <w:sz w:val="18"/>
          <w:szCs w:val="18"/>
          <w:lang w:val="en-GB"/>
        </w:rPr>
        <w:t xml:space="preserve"> Reference Framework of </w:t>
      </w:r>
      <w:r w:rsidRPr="003350DD">
        <w:rPr>
          <w:rFonts w:ascii="Arial" w:hAnsi="Arial" w:cs="Arial"/>
          <w:sz w:val="18"/>
          <w:szCs w:val="18"/>
          <w:lang w:val="en-GB"/>
        </w:rPr>
        <w:t>Key</w:t>
      </w:r>
      <w:r>
        <w:rPr>
          <w:rFonts w:ascii="Arial" w:hAnsi="Arial" w:cs="Arial"/>
          <w:sz w:val="18"/>
          <w:szCs w:val="18"/>
          <w:lang w:val="en-GB"/>
        </w:rPr>
        <w:t xml:space="preserve"> Competences </w:t>
      </w:r>
      <w:r w:rsidRPr="003350DD">
        <w:rPr>
          <w:rFonts w:ascii="Arial" w:hAnsi="Arial" w:cs="Arial"/>
          <w:sz w:val="18"/>
          <w:szCs w:val="18"/>
          <w:lang w:val="en-GB"/>
        </w:rPr>
        <w:t>for lifelong learning defined eight key competences that were in 2018 updated, and includes also digital competenc</w:t>
      </w:r>
      <w:r>
        <w:rPr>
          <w:rFonts w:ascii="Arial" w:hAnsi="Arial" w:cs="Arial"/>
          <w:sz w:val="18"/>
          <w:szCs w:val="18"/>
          <w:lang w:val="en-GB"/>
        </w:rPr>
        <w:t xml:space="preserve">e. Digital competence involves </w:t>
      </w:r>
      <w:r w:rsidRPr="003350DD">
        <w:rPr>
          <w:rFonts w:ascii="Arial" w:hAnsi="Arial" w:cs="Arial"/>
          <w:sz w:val="18"/>
          <w:szCs w:val="18"/>
          <w:lang w:val="en-GB"/>
        </w:rPr>
        <w:t xml:space="preserve">the confident, critical, and </w:t>
      </w:r>
      <w:r>
        <w:rPr>
          <w:rFonts w:ascii="Arial" w:hAnsi="Arial" w:cs="Arial"/>
          <w:sz w:val="18"/>
          <w:szCs w:val="18"/>
          <w:lang w:val="en-GB"/>
        </w:rPr>
        <w:t>responsible use of</w:t>
      </w:r>
      <w:r w:rsidRPr="00DE59BE">
        <w:rPr>
          <w:rFonts w:ascii="Arial" w:hAnsi="Arial" w:cs="Arial"/>
          <w:sz w:val="18"/>
          <w:szCs w:val="18"/>
          <w:lang w:val="en-GB"/>
        </w:rPr>
        <w:t xml:space="preserve"> </w:t>
      </w:r>
      <w:r>
        <w:rPr>
          <w:rFonts w:ascii="Arial" w:hAnsi="Arial" w:cs="Arial"/>
          <w:sz w:val="18"/>
          <w:szCs w:val="18"/>
          <w:lang w:val="en-GB"/>
        </w:rPr>
        <w:t>digital technologies for learning and engagement with them</w:t>
      </w:r>
      <w:r w:rsidRPr="003350DD">
        <w:rPr>
          <w:rFonts w:ascii="Arial" w:hAnsi="Arial" w:cs="Arial"/>
          <w:sz w:val="18"/>
          <w:szCs w:val="18"/>
          <w:lang w:val="en-GB"/>
        </w:rPr>
        <w:t xml:space="preserve"> at work, and for participation in society. It includes information and data literacy, communication and collaboration, digital content creation (including programming), safety (including digital well-being and competences related to cybersecurity), and problem solving. For more information see:</w:t>
      </w:r>
    </w:p>
    <w:p w:rsidR="003945DB" w:rsidRPr="00776859" w:rsidRDefault="00724381" w:rsidP="007B46EA">
      <w:pPr>
        <w:pStyle w:val="Textpoznpodarou"/>
        <w:jc w:val="both"/>
        <w:rPr>
          <w:rFonts w:ascii="Arial" w:hAnsi="Arial" w:cs="Arial"/>
          <w:sz w:val="18"/>
          <w:szCs w:val="18"/>
          <w:lang w:val="en-GB"/>
        </w:rPr>
      </w:pPr>
      <w:hyperlink r:id="rId1" w:history="1">
        <w:r w:rsidR="003945DB" w:rsidRPr="00776859">
          <w:rPr>
            <w:rStyle w:val="Hypertextovodkaz"/>
            <w:rFonts w:ascii="Arial" w:hAnsi="Arial" w:cs="Arial"/>
            <w:color w:val="auto"/>
            <w:sz w:val="18"/>
            <w:szCs w:val="18"/>
            <w:u w:val="none"/>
            <w:lang w:val="en-GB"/>
          </w:rPr>
          <w:t>https://ec.europa.eu/education/sites/education/files/annex-recommendation-key-competences-lifelong-learning.pdf</w:t>
        </w:r>
      </w:hyperlink>
    </w:p>
  </w:footnote>
  <w:footnote w:id="5">
    <w:p w:rsidR="003945DB" w:rsidRDefault="003945DB" w:rsidP="007B46EA">
      <w:pPr>
        <w:pStyle w:val="Textpoznpodarou"/>
        <w:jc w:val="both"/>
        <w:rPr>
          <w:rFonts w:ascii="Arial" w:hAnsi="Arial" w:cs="Arial"/>
          <w:sz w:val="18"/>
          <w:szCs w:val="18"/>
          <w:lang w:val="en-GB"/>
        </w:rPr>
      </w:pPr>
      <w:r w:rsidRPr="00650B7F">
        <w:rPr>
          <w:rStyle w:val="Znakapoznpodarou"/>
          <w:rFonts w:ascii="Arial" w:hAnsi="Arial" w:cs="Arial"/>
          <w:sz w:val="18"/>
          <w:szCs w:val="18"/>
          <w:lang w:val="en-GB"/>
        </w:rPr>
        <w:footnoteRef/>
      </w:r>
      <w:r w:rsidRPr="00650B7F">
        <w:rPr>
          <w:rFonts w:ascii="Arial" w:hAnsi="Arial" w:cs="Arial"/>
          <w:sz w:val="18"/>
          <w:szCs w:val="18"/>
          <w:lang w:val="en-GB"/>
        </w:rPr>
        <w:t xml:space="preserve"> Numbers of ICT students and graduates are based on the International Classification of Education (ISCED-F 2013), broad field code 06 Information and Communication Technologies (ICT) that involves detailed defined fields of education as follows: Computer use (0611); Database and network design and administration (0612); Software and applications development and analysis (0613); ICT not elsewhere classified (0619); and Inter-disciplinary programmes and qualifications involving ICT (0688). Education at universities presented in this chapter for the Czech Republic belongs to the tertiary level of education and includes a bachelor (ISCED level 6), master (ISCED level 7), and doctoral (ISCED level 8) study programmes of all public and private universities.</w:t>
      </w:r>
    </w:p>
    <w:p w:rsidR="003945DB" w:rsidRPr="00847EA4" w:rsidRDefault="003945DB" w:rsidP="007B46EA">
      <w:pPr>
        <w:pStyle w:val="Textpoznpodarou"/>
        <w:jc w:val="both"/>
        <w:rPr>
          <w:rFonts w:ascii="Arial" w:hAnsi="Arial" w:cs="Arial"/>
          <w:sz w:val="18"/>
          <w:szCs w:val="18"/>
          <w:lang w:val="en-GB"/>
        </w:rPr>
      </w:pPr>
      <w:r w:rsidRPr="00847EA4">
        <w:rPr>
          <w:rFonts w:ascii="Arial" w:hAnsi="Arial" w:cs="Arial"/>
          <w:sz w:val="18"/>
          <w:szCs w:val="18"/>
          <w:lang w:val="en-GB"/>
        </w:rPr>
        <w:t xml:space="preserve"> </w:t>
      </w:r>
    </w:p>
  </w:footnote>
  <w:footnote w:id="6">
    <w:p w:rsidR="003945DB" w:rsidRPr="006A0FA2" w:rsidRDefault="003945DB" w:rsidP="0020679C">
      <w:pPr>
        <w:pStyle w:val="Textpoznpodarou"/>
        <w:jc w:val="both"/>
        <w:rPr>
          <w:rFonts w:ascii="Arial" w:hAnsi="Arial" w:cs="Arial"/>
          <w:sz w:val="18"/>
          <w:szCs w:val="18"/>
        </w:rPr>
      </w:pPr>
      <w:r w:rsidRPr="006A0FA2">
        <w:rPr>
          <w:rStyle w:val="Znakapoznpodarou"/>
          <w:rFonts w:ascii="Arial" w:hAnsi="Arial" w:cs="Arial"/>
          <w:sz w:val="18"/>
          <w:szCs w:val="18"/>
        </w:rPr>
        <w:footnoteRef/>
      </w:r>
      <w:r w:rsidRPr="006A0FA2">
        <w:rPr>
          <w:rFonts w:ascii="Arial" w:hAnsi="Arial" w:cs="Arial"/>
          <w:sz w:val="18"/>
          <w:szCs w:val="18"/>
        </w:rPr>
        <w:t xml:space="preserve"> </w:t>
      </w:r>
      <w:r w:rsidRPr="006A0FA2">
        <w:rPr>
          <w:rFonts w:ascii="Arial" w:hAnsi="Arial" w:cs="Arial"/>
          <w:sz w:val="18"/>
          <w:szCs w:val="18"/>
          <w:lang w:val="en-GB"/>
        </w:rPr>
        <w:t>The data on the nu</w:t>
      </w:r>
      <w:r>
        <w:rPr>
          <w:rFonts w:ascii="Arial" w:hAnsi="Arial" w:cs="Arial"/>
          <w:sz w:val="18"/>
          <w:szCs w:val="18"/>
          <w:lang w:val="en-GB"/>
        </w:rPr>
        <w:t>mbers of ICT professionals come</w:t>
      </w:r>
      <w:r w:rsidRPr="006A0FA2">
        <w:rPr>
          <w:rFonts w:ascii="Arial" w:hAnsi="Arial" w:cs="Arial"/>
          <w:sz w:val="18"/>
          <w:szCs w:val="18"/>
          <w:lang w:val="en-GB"/>
        </w:rPr>
        <w:t xml:space="preserve"> from the Labour Force Sample Survey (LFSS) of the CZSO and presents the average annual data for the given year.</w:t>
      </w:r>
    </w:p>
  </w:footnote>
  <w:footnote w:id="7">
    <w:p w:rsidR="003945DB" w:rsidRPr="006A0FA2" w:rsidRDefault="003945DB" w:rsidP="00171A89">
      <w:pPr>
        <w:pStyle w:val="Textpoznpodarou"/>
        <w:spacing w:before="60"/>
        <w:jc w:val="both"/>
        <w:rPr>
          <w:rFonts w:ascii="Arial" w:hAnsi="Arial" w:cs="Arial"/>
          <w:sz w:val="18"/>
          <w:szCs w:val="18"/>
          <w:lang w:val="en-GB"/>
        </w:rPr>
      </w:pPr>
      <w:r w:rsidRPr="006A0FA2">
        <w:rPr>
          <w:rStyle w:val="Znakapoznpodarou"/>
          <w:rFonts w:ascii="Arial" w:hAnsi="Arial" w:cs="Arial"/>
          <w:sz w:val="18"/>
          <w:szCs w:val="18"/>
        </w:rPr>
        <w:footnoteRef/>
      </w:r>
      <w:r w:rsidRPr="006A0FA2">
        <w:rPr>
          <w:rFonts w:ascii="Arial" w:hAnsi="Arial" w:cs="Arial"/>
          <w:sz w:val="18"/>
          <w:szCs w:val="18"/>
        </w:rPr>
        <w:t xml:space="preserve"> </w:t>
      </w:r>
      <w:r w:rsidRPr="006A0FA2">
        <w:rPr>
          <w:rFonts w:ascii="Arial" w:hAnsi="Arial" w:cs="Arial"/>
          <w:sz w:val="18"/>
          <w:szCs w:val="18"/>
          <w:lang w:val="en-GB"/>
        </w:rPr>
        <w:t>Data on wages of the ICT professionals come from the structural employee wage statistics which is generated by merging of databases of the sample survey of the Information System on Average Earnings of the Ministry of Labour and Social Affairs, which covers the wage sphere, and from the database of the administrative data source of the Salary Information System of the Ministry of Finance, which exhaustively covers the salary sphere.</w:t>
      </w:r>
    </w:p>
    <w:p w:rsidR="003945DB" w:rsidRDefault="003945DB">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77AF0"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77AF0"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F69" w:rsidRDefault="00965F69">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0283F" w:rsidRDefault="003945DB" w:rsidP="00C0283F">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4C7BC9">
    <w:pPr>
      <w:pStyle w:val="Zhlav"/>
      <w:tabs>
        <w:tab w:val="left" w:pos="-6379"/>
        <w:tab w:val="center" w:pos="4820"/>
        <w:tab w:val="right" w:pos="9639"/>
      </w:tabs>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olor w:val="00000A"/>
        <w:sz w:val="16"/>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1" w15:restartNumberingAfterBreak="0">
    <w:nsid w:val="015969AE"/>
    <w:multiLevelType w:val="hybridMultilevel"/>
    <w:tmpl w:val="E95ADC72"/>
    <w:lvl w:ilvl="0" w:tplc="2856CC58">
      <w:start w:val="1"/>
      <w:numFmt w:val="bullet"/>
      <w:lvlText w:val=""/>
      <w:lvlJc w:val="left"/>
      <w:pPr>
        <w:ind w:left="720" w:hanging="360"/>
      </w:pPr>
      <w:rPr>
        <w:rFonts w:ascii="Symbol" w:hAnsi="Symbol" w:hint="default"/>
        <w:color w:val="auto"/>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1CC26AA"/>
    <w:multiLevelType w:val="hybridMultilevel"/>
    <w:tmpl w:val="FE9AEF6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01D452E8"/>
    <w:multiLevelType w:val="hybridMultilevel"/>
    <w:tmpl w:val="CCF66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7C0B74"/>
    <w:multiLevelType w:val="hybridMultilevel"/>
    <w:tmpl w:val="5D9EFA82"/>
    <w:lvl w:ilvl="0" w:tplc="0FBACD0A">
      <w:start w:val="1"/>
      <w:numFmt w:val="bullet"/>
      <w:lvlText w:val=""/>
      <w:lvlJc w:val="left"/>
      <w:pPr>
        <w:ind w:left="720" w:hanging="360"/>
      </w:pPr>
      <w:rPr>
        <w:rFonts w:ascii="Symbol" w:hAnsi="Symbol" w:hint="default"/>
        <w:color w:val="auto"/>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384135D"/>
    <w:multiLevelType w:val="hybridMultilevel"/>
    <w:tmpl w:val="FD5658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9EA0CB7"/>
    <w:multiLevelType w:val="hybridMultilevel"/>
    <w:tmpl w:val="DC36A0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EF0B92"/>
    <w:multiLevelType w:val="hybridMultilevel"/>
    <w:tmpl w:val="BD4245A4"/>
    <w:lvl w:ilvl="0" w:tplc="20B6489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993651"/>
    <w:multiLevelType w:val="hybridMultilevel"/>
    <w:tmpl w:val="AE92817E"/>
    <w:lvl w:ilvl="0" w:tplc="2856CC58">
      <w:start w:val="1"/>
      <w:numFmt w:val="bullet"/>
      <w:lvlText w:val=""/>
      <w:lvlJc w:val="left"/>
      <w:pPr>
        <w:ind w:left="720" w:hanging="360"/>
      </w:pPr>
      <w:rPr>
        <w:rFonts w:ascii="Symbol" w:hAnsi="Symbol" w:hint="default"/>
        <w:color w:val="auto"/>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C7F720E"/>
    <w:multiLevelType w:val="hybridMultilevel"/>
    <w:tmpl w:val="BCE88976"/>
    <w:lvl w:ilvl="0" w:tplc="FD1255CA">
      <w:start w:val="1"/>
      <w:numFmt w:val="bullet"/>
      <w:lvlText w:val=""/>
      <w:lvlJc w:val="left"/>
      <w:pPr>
        <w:tabs>
          <w:tab w:val="num" w:pos="360"/>
        </w:tabs>
        <w:ind w:left="360" w:hanging="360"/>
      </w:pPr>
      <w:rPr>
        <w:rFonts w:ascii="Symbol" w:hAnsi="Symbol" w:hint="default"/>
        <w:sz w:val="16"/>
      </w:rPr>
    </w:lvl>
    <w:lvl w:ilvl="1" w:tplc="B38EC1A8">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F276AF"/>
    <w:multiLevelType w:val="hybridMultilevel"/>
    <w:tmpl w:val="B1DCE34C"/>
    <w:lvl w:ilvl="0" w:tplc="3174A966">
      <w:start w:val="1"/>
      <w:numFmt w:val="bullet"/>
      <w:lvlText w:val=""/>
      <w:lvlJc w:val="left"/>
      <w:pPr>
        <w:tabs>
          <w:tab w:val="num" w:pos="417"/>
        </w:tabs>
        <w:ind w:left="417" w:hanging="360"/>
      </w:pPr>
      <w:rPr>
        <w:rFonts w:ascii="Symbol" w:hAnsi="Symbol" w:hint="default"/>
        <w:color w:val="auto"/>
        <w:sz w:val="16"/>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2" w15:restartNumberingAfterBreak="0">
    <w:nsid w:val="2E96668F"/>
    <w:multiLevelType w:val="hybridMultilevel"/>
    <w:tmpl w:val="8AEE789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365C51"/>
    <w:multiLevelType w:val="hybridMultilevel"/>
    <w:tmpl w:val="1BD89640"/>
    <w:lvl w:ilvl="0" w:tplc="38C4420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12034B"/>
    <w:multiLevelType w:val="hybridMultilevel"/>
    <w:tmpl w:val="08806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733F88"/>
    <w:multiLevelType w:val="hybridMultilevel"/>
    <w:tmpl w:val="0ABABD9E"/>
    <w:lvl w:ilvl="0" w:tplc="DCE25274">
      <w:start w:val="1"/>
      <w:numFmt w:val="bullet"/>
      <w:lvlText w:val=""/>
      <w:lvlJc w:val="left"/>
      <w:pPr>
        <w:ind w:left="774" w:hanging="360"/>
      </w:pPr>
      <w:rPr>
        <w:rFonts w:ascii="Symbol" w:hAnsi="Symbol" w:hint="default"/>
        <w:sz w:val="16"/>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740614"/>
    <w:multiLevelType w:val="hybridMultilevel"/>
    <w:tmpl w:val="83AE24E0"/>
    <w:lvl w:ilvl="0" w:tplc="05B69650">
      <w:start w:val="1"/>
      <w:numFmt w:val="bullet"/>
      <w:lvlText w:val=""/>
      <w:lvlJc w:val="left"/>
      <w:pPr>
        <w:ind w:left="360" w:hanging="360"/>
      </w:pPr>
      <w:rPr>
        <w:rFonts w:ascii="Symbol" w:hAnsi="Symbol" w:hint="default"/>
        <w:sz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74C44D0"/>
    <w:multiLevelType w:val="hybridMultilevel"/>
    <w:tmpl w:val="3AECC0AA"/>
    <w:lvl w:ilvl="0" w:tplc="04050001">
      <w:start w:val="1"/>
      <w:numFmt w:val="bullet"/>
      <w:lvlText w:val=""/>
      <w:lvlJc w:val="left"/>
      <w:pPr>
        <w:ind w:left="282" w:hanging="360"/>
      </w:pPr>
      <w:rPr>
        <w:rFonts w:ascii="Symbol" w:hAnsi="Symbol" w:hint="default"/>
      </w:rPr>
    </w:lvl>
    <w:lvl w:ilvl="1" w:tplc="04050003" w:tentative="1">
      <w:start w:val="1"/>
      <w:numFmt w:val="bullet"/>
      <w:lvlText w:val="o"/>
      <w:lvlJc w:val="left"/>
      <w:pPr>
        <w:ind w:left="1002" w:hanging="360"/>
      </w:pPr>
      <w:rPr>
        <w:rFonts w:ascii="Courier New" w:hAnsi="Courier New" w:cs="Courier New" w:hint="default"/>
      </w:rPr>
    </w:lvl>
    <w:lvl w:ilvl="2" w:tplc="04050005" w:tentative="1">
      <w:start w:val="1"/>
      <w:numFmt w:val="bullet"/>
      <w:lvlText w:val=""/>
      <w:lvlJc w:val="left"/>
      <w:pPr>
        <w:ind w:left="1722" w:hanging="360"/>
      </w:pPr>
      <w:rPr>
        <w:rFonts w:ascii="Wingdings" w:hAnsi="Wingdings" w:hint="default"/>
      </w:rPr>
    </w:lvl>
    <w:lvl w:ilvl="3" w:tplc="04050001" w:tentative="1">
      <w:start w:val="1"/>
      <w:numFmt w:val="bullet"/>
      <w:lvlText w:val=""/>
      <w:lvlJc w:val="left"/>
      <w:pPr>
        <w:ind w:left="2442" w:hanging="360"/>
      </w:pPr>
      <w:rPr>
        <w:rFonts w:ascii="Symbol" w:hAnsi="Symbol" w:hint="default"/>
      </w:rPr>
    </w:lvl>
    <w:lvl w:ilvl="4" w:tplc="04050003" w:tentative="1">
      <w:start w:val="1"/>
      <w:numFmt w:val="bullet"/>
      <w:lvlText w:val="o"/>
      <w:lvlJc w:val="left"/>
      <w:pPr>
        <w:ind w:left="3162" w:hanging="360"/>
      </w:pPr>
      <w:rPr>
        <w:rFonts w:ascii="Courier New" w:hAnsi="Courier New" w:cs="Courier New" w:hint="default"/>
      </w:rPr>
    </w:lvl>
    <w:lvl w:ilvl="5" w:tplc="04050005" w:tentative="1">
      <w:start w:val="1"/>
      <w:numFmt w:val="bullet"/>
      <w:lvlText w:val=""/>
      <w:lvlJc w:val="left"/>
      <w:pPr>
        <w:ind w:left="3882" w:hanging="360"/>
      </w:pPr>
      <w:rPr>
        <w:rFonts w:ascii="Wingdings" w:hAnsi="Wingdings" w:hint="default"/>
      </w:rPr>
    </w:lvl>
    <w:lvl w:ilvl="6" w:tplc="04050001" w:tentative="1">
      <w:start w:val="1"/>
      <w:numFmt w:val="bullet"/>
      <w:lvlText w:val=""/>
      <w:lvlJc w:val="left"/>
      <w:pPr>
        <w:ind w:left="4602" w:hanging="360"/>
      </w:pPr>
      <w:rPr>
        <w:rFonts w:ascii="Symbol" w:hAnsi="Symbol" w:hint="default"/>
      </w:rPr>
    </w:lvl>
    <w:lvl w:ilvl="7" w:tplc="04050003" w:tentative="1">
      <w:start w:val="1"/>
      <w:numFmt w:val="bullet"/>
      <w:lvlText w:val="o"/>
      <w:lvlJc w:val="left"/>
      <w:pPr>
        <w:ind w:left="5322" w:hanging="360"/>
      </w:pPr>
      <w:rPr>
        <w:rFonts w:ascii="Courier New" w:hAnsi="Courier New" w:cs="Courier New" w:hint="default"/>
      </w:rPr>
    </w:lvl>
    <w:lvl w:ilvl="8" w:tplc="04050005" w:tentative="1">
      <w:start w:val="1"/>
      <w:numFmt w:val="bullet"/>
      <w:lvlText w:val=""/>
      <w:lvlJc w:val="left"/>
      <w:pPr>
        <w:ind w:left="6042" w:hanging="360"/>
      </w:pPr>
      <w:rPr>
        <w:rFonts w:ascii="Wingdings" w:hAnsi="Wingdings" w:hint="default"/>
      </w:rPr>
    </w:lvl>
  </w:abstractNum>
  <w:abstractNum w:abstractNumId="30" w15:restartNumberingAfterBreak="0">
    <w:nsid w:val="58E45F58"/>
    <w:multiLevelType w:val="hybridMultilevel"/>
    <w:tmpl w:val="F21E049E"/>
    <w:lvl w:ilvl="0" w:tplc="3174A966">
      <w:start w:val="1"/>
      <w:numFmt w:val="bullet"/>
      <w:lvlText w:val=""/>
      <w:lvlJc w:val="left"/>
      <w:pPr>
        <w:ind w:left="720" w:hanging="360"/>
      </w:pPr>
      <w:rPr>
        <w:rFonts w:ascii="Symbol" w:hAnsi="Symbol" w:hint="default"/>
        <w:color w:val="auto"/>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ECA44C9"/>
    <w:multiLevelType w:val="hybridMultilevel"/>
    <w:tmpl w:val="0F8CB914"/>
    <w:lvl w:ilvl="0" w:tplc="04050015">
      <w:start w:val="1"/>
      <w:numFmt w:val="upperLetter"/>
      <w:lvlText w:val="%1."/>
      <w:lvlJc w:val="left"/>
      <w:pPr>
        <w:tabs>
          <w:tab w:val="num" w:pos="360"/>
        </w:tabs>
        <w:ind w:left="360" w:hanging="360"/>
      </w:p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817271"/>
    <w:multiLevelType w:val="hybridMultilevel"/>
    <w:tmpl w:val="46BA9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ED645C"/>
    <w:multiLevelType w:val="hybridMultilevel"/>
    <w:tmpl w:val="CA0A5CA8"/>
    <w:lvl w:ilvl="0" w:tplc="3174A966">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879BD"/>
    <w:multiLevelType w:val="hybridMultilevel"/>
    <w:tmpl w:val="D29ADC82"/>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C787561"/>
    <w:multiLevelType w:val="hybridMultilevel"/>
    <w:tmpl w:val="8EC8F57C"/>
    <w:lvl w:ilvl="0" w:tplc="237CBAF0">
      <w:start w:val="1"/>
      <w:numFmt w:val="bullet"/>
      <w:lvlText w:val=""/>
      <w:lvlJc w:val="left"/>
      <w:pPr>
        <w:ind w:left="360" w:hanging="360"/>
      </w:pPr>
      <w:rPr>
        <w:rFonts w:ascii="Symbol" w:hAnsi="Symbol" w:hint="default"/>
        <w:sz w:val="16"/>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6" w15:restartNumberingAfterBreak="0">
    <w:nsid w:val="75A9233E"/>
    <w:multiLevelType w:val="hybridMultilevel"/>
    <w:tmpl w:val="F1829FD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7997E87"/>
    <w:multiLevelType w:val="hybridMultilevel"/>
    <w:tmpl w:val="178CAF08"/>
    <w:lvl w:ilvl="0" w:tplc="56962E70">
      <w:start w:val="1"/>
      <w:numFmt w:val="bullet"/>
      <w:lvlText w:val=""/>
      <w:lvlJc w:val="left"/>
      <w:pPr>
        <w:ind w:left="360" w:hanging="360"/>
      </w:pPr>
      <w:rPr>
        <w:rFonts w:ascii="Symbol" w:hAnsi="Symbol" w:hint="default"/>
        <w:sz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7F3B4673"/>
    <w:multiLevelType w:val="hybridMultilevel"/>
    <w:tmpl w:val="2B0A8A1A"/>
    <w:lvl w:ilvl="0" w:tplc="3174A966">
      <w:start w:val="1"/>
      <w:numFmt w:val="bullet"/>
      <w:lvlText w:val=""/>
      <w:lvlJc w:val="left"/>
      <w:pPr>
        <w:tabs>
          <w:tab w:val="num" w:pos="360"/>
        </w:tabs>
        <w:ind w:left="360" w:hanging="360"/>
      </w:pPr>
      <w:rPr>
        <w:rFonts w:ascii="Symbol" w:hAnsi="Symbol" w:hint="default"/>
        <w:color w:val="auto"/>
        <w:sz w:val="16"/>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27"/>
  </w:num>
  <w:num w:numId="14">
    <w:abstractNumId w:val="24"/>
  </w:num>
  <w:num w:numId="15">
    <w:abstractNumId w:val="38"/>
  </w:num>
  <w:num w:numId="16">
    <w:abstractNumId w:val="37"/>
  </w:num>
  <w:num w:numId="17">
    <w:abstractNumId w:val="21"/>
  </w:num>
  <w:num w:numId="18">
    <w:abstractNumId w:val="28"/>
  </w:num>
  <w:num w:numId="19">
    <w:abstractNumId w:val="14"/>
  </w:num>
  <w:num w:numId="20">
    <w:abstractNumId w:val="23"/>
  </w:num>
  <w:num w:numId="21">
    <w:abstractNumId w:val="31"/>
  </w:num>
  <w:num w:numId="22">
    <w:abstractNumId w:val="34"/>
  </w:num>
  <w:num w:numId="23">
    <w:abstractNumId w:val="16"/>
  </w:num>
  <w:num w:numId="24">
    <w:abstractNumId w:val="19"/>
  </w:num>
  <w:num w:numId="25">
    <w:abstractNumId w:val="36"/>
  </w:num>
  <w:num w:numId="26">
    <w:abstractNumId w:val="32"/>
  </w:num>
  <w:num w:numId="27">
    <w:abstractNumId w:val="33"/>
  </w:num>
  <w:num w:numId="28">
    <w:abstractNumId w:val="17"/>
  </w:num>
  <w:num w:numId="29">
    <w:abstractNumId w:val="12"/>
  </w:num>
  <w:num w:numId="30">
    <w:abstractNumId w:val="22"/>
  </w:num>
  <w:num w:numId="31">
    <w:abstractNumId w:val="25"/>
  </w:num>
  <w:num w:numId="32">
    <w:abstractNumId w:val="29"/>
  </w:num>
  <w:num w:numId="33">
    <w:abstractNumId w:val="15"/>
  </w:num>
  <w:num w:numId="34">
    <w:abstractNumId w:val="35"/>
  </w:num>
  <w:num w:numId="35">
    <w:abstractNumId w:val="30"/>
  </w:num>
  <w:num w:numId="36">
    <w:abstractNumId w:val="10"/>
  </w:num>
  <w:num w:numId="37">
    <w:abstractNumId w:val="13"/>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3F"/>
    <w:rsid w:val="0000209D"/>
    <w:rsid w:val="00004D5A"/>
    <w:rsid w:val="000056D5"/>
    <w:rsid w:val="0000767A"/>
    <w:rsid w:val="00010702"/>
    <w:rsid w:val="000234D6"/>
    <w:rsid w:val="00023D29"/>
    <w:rsid w:val="00026389"/>
    <w:rsid w:val="00031AE0"/>
    <w:rsid w:val="000322EF"/>
    <w:rsid w:val="00033FCD"/>
    <w:rsid w:val="00036BF1"/>
    <w:rsid w:val="00041CEC"/>
    <w:rsid w:val="0004694F"/>
    <w:rsid w:val="000522E4"/>
    <w:rsid w:val="000610E1"/>
    <w:rsid w:val="00062EC5"/>
    <w:rsid w:val="00062F22"/>
    <w:rsid w:val="000712B3"/>
    <w:rsid w:val="00080A01"/>
    <w:rsid w:val="0008263E"/>
    <w:rsid w:val="00082C19"/>
    <w:rsid w:val="00085395"/>
    <w:rsid w:val="00087634"/>
    <w:rsid w:val="00087F2B"/>
    <w:rsid w:val="0009465A"/>
    <w:rsid w:val="000971C4"/>
    <w:rsid w:val="000974D1"/>
    <w:rsid w:val="0009799E"/>
    <w:rsid w:val="000A1183"/>
    <w:rsid w:val="000A256D"/>
    <w:rsid w:val="000A3A2C"/>
    <w:rsid w:val="000A3B3A"/>
    <w:rsid w:val="000A76B6"/>
    <w:rsid w:val="000B58F3"/>
    <w:rsid w:val="000C3165"/>
    <w:rsid w:val="000C3408"/>
    <w:rsid w:val="000C6AFD"/>
    <w:rsid w:val="000D5637"/>
    <w:rsid w:val="000E2751"/>
    <w:rsid w:val="000E6FBD"/>
    <w:rsid w:val="00100F5C"/>
    <w:rsid w:val="00104C4C"/>
    <w:rsid w:val="00114D6F"/>
    <w:rsid w:val="0012030F"/>
    <w:rsid w:val="0012192F"/>
    <w:rsid w:val="00125D69"/>
    <w:rsid w:val="001405FA"/>
    <w:rsid w:val="001425C3"/>
    <w:rsid w:val="00150F8A"/>
    <w:rsid w:val="00150FDD"/>
    <w:rsid w:val="0016256B"/>
    <w:rsid w:val="00163793"/>
    <w:rsid w:val="001706D6"/>
    <w:rsid w:val="001714F2"/>
    <w:rsid w:val="00171A89"/>
    <w:rsid w:val="001756A6"/>
    <w:rsid w:val="00184B08"/>
    <w:rsid w:val="00185010"/>
    <w:rsid w:val="001A552F"/>
    <w:rsid w:val="001B2CA9"/>
    <w:rsid w:val="001B3110"/>
    <w:rsid w:val="001B4729"/>
    <w:rsid w:val="001B6C09"/>
    <w:rsid w:val="001C05CD"/>
    <w:rsid w:val="001C255B"/>
    <w:rsid w:val="001D563B"/>
    <w:rsid w:val="001D68B2"/>
    <w:rsid w:val="001F4597"/>
    <w:rsid w:val="001F551B"/>
    <w:rsid w:val="0020583C"/>
    <w:rsid w:val="0020679C"/>
    <w:rsid w:val="002071ED"/>
    <w:rsid w:val="0020767E"/>
    <w:rsid w:val="002118B9"/>
    <w:rsid w:val="00217C5B"/>
    <w:rsid w:val="0022139E"/>
    <w:rsid w:val="002252E0"/>
    <w:rsid w:val="002255F6"/>
    <w:rsid w:val="00227850"/>
    <w:rsid w:val="00230C6E"/>
    <w:rsid w:val="00232B62"/>
    <w:rsid w:val="00236443"/>
    <w:rsid w:val="002436BA"/>
    <w:rsid w:val="00244A15"/>
    <w:rsid w:val="00247319"/>
    <w:rsid w:val="0024799E"/>
    <w:rsid w:val="00253C0F"/>
    <w:rsid w:val="0026358E"/>
    <w:rsid w:val="00264520"/>
    <w:rsid w:val="00271465"/>
    <w:rsid w:val="00283615"/>
    <w:rsid w:val="00285412"/>
    <w:rsid w:val="0028697E"/>
    <w:rsid w:val="002875D6"/>
    <w:rsid w:val="002974BA"/>
    <w:rsid w:val="002A16D4"/>
    <w:rsid w:val="002A1701"/>
    <w:rsid w:val="002A230C"/>
    <w:rsid w:val="002C01B0"/>
    <w:rsid w:val="002C43BD"/>
    <w:rsid w:val="002C69EC"/>
    <w:rsid w:val="002C79A7"/>
    <w:rsid w:val="002D0E59"/>
    <w:rsid w:val="002E02A1"/>
    <w:rsid w:val="002E4E4C"/>
    <w:rsid w:val="002E73A7"/>
    <w:rsid w:val="002F2092"/>
    <w:rsid w:val="00304771"/>
    <w:rsid w:val="003052D4"/>
    <w:rsid w:val="00306C5B"/>
    <w:rsid w:val="003209D6"/>
    <w:rsid w:val="00322C8B"/>
    <w:rsid w:val="0032656E"/>
    <w:rsid w:val="003278D8"/>
    <w:rsid w:val="003312EF"/>
    <w:rsid w:val="00332190"/>
    <w:rsid w:val="00344668"/>
    <w:rsid w:val="003462D9"/>
    <w:rsid w:val="0034658D"/>
    <w:rsid w:val="00351A75"/>
    <w:rsid w:val="003657F3"/>
    <w:rsid w:val="00374F1D"/>
    <w:rsid w:val="003818DC"/>
    <w:rsid w:val="0038283A"/>
    <w:rsid w:val="00385D98"/>
    <w:rsid w:val="003901A1"/>
    <w:rsid w:val="003945DB"/>
    <w:rsid w:val="003A1883"/>
    <w:rsid w:val="003A2AD1"/>
    <w:rsid w:val="003A2B4D"/>
    <w:rsid w:val="003A478C"/>
    <w:rsid w:val="003A5525"/>
    <w:rsid w:val="003A6B38"/>
    <w:rsid w:val="003B57DF"/>
    <w:rsid w:val="003B5A32"/>
    <w:rsid w:val="003C3490"/>
    <w:rsid w:val="003D6920"/>
    <w:rsid w:val="003E20EF"/>
    <w:rsid w:val="003E4C91"/>
    <w:rsid w:val="003F18AD"/>
    <w:rsid w:val="003F313C"/>
    <w:rsid w:val="003F505A"/>
    <w:rsid w:val="003F551C"/>
    <w:rsid w:val="00407C13"/>
    <w:rsid w:val="00410638"/>
    <w:rsid w:val="00431CD9"/>
    <w:rsid w:val="00432A58"/>
    <w:rsid w:val="00434617"/>
    <w:rsid w:val="00440900"/>
    <w:rsid w:val="00441BB5"/>
    <w:rsid w:val="004441A0"/>
    <w:rsid w:val="004450B0"/>
    <w:rsid w:val="00476240"/>
    <w:rsid w:val="00476439"/>
    <w:rsid w:val="0047735C"/>
    <w:rsid w:val="004776BC"/>
    <w:rsid w:val="0048139F"/>
    <w:rsid w:val="00481E40"/>
    <w:rsid w:val="00484ECE"/>
    <w:rsid w:val="004915CB"/>
    <w:rsid w:val="004A011F"/>
    <w:rsid w:val="004A3212"/>
    <w:rsid w:val="004A61C5"/>
    <w:rsid w:val="004A77DF"/>
    <w:rsid w:val="004B1417"/>
    <w:rsid w:val="004B2082"/>
    <w:rsid w:val="004B55B7"/>
    <w:rsid w:val="004B6468"/>
    <w:rsid w:val="004C384C"/>
    <w:rsid w:val="004C3867"/>
    <w:rsid w:val="004C4CD0"/>
    <w:rsid w:val="004C5207"/>
    <w:rsid w:val="004C70DC"/>
    <w:rsid w:val="004C7BC9"/>
    <w:rsid w:val="004D0211"/>
    <w:rsid w:val="004D0794"/>
    <w:rsid w:val="004E3FD8"/>
    <w:rsid w:val="004F06F5"/>
    <w:rsid w:val="004F33A0"/>
    <w:rsid w:val="005108C0"/>
    <w:rsid w:val="00511873"/>
    <w:rsid w:val="00512A2F"/>
    <w:rsid w:val="00513B7E"/>
    <w:rsid w:val="00515C74"/>
    <w:rsid w:val="00515EB3"/>
    <w:rsid w:val="0052007E"/>
    <w:rsid w:val="0052337A"/>
    <w:rsid w:val="00525137"/>
    <w:rsid w:val="005251DD"/>
    <w:rsid w:val="00526043"/>
    <w:rsid w:val="005317C0"/>
    <w:rsid w:val="00532CE7"/>
    <w:rsid w:val="0053324C"/>
    <w:rsid w:val="00534715"/>
    <w:rsid w:val="00534A28"/>
    <w:rsid w:val="00535F6C"/>
    <w:rsid w:val="00541508"/>
    <w:rsid w:val="0055599F"/>
    <w:rsid w:val="00556D68"/>
    <w:rsid w:val="005647BF"/>
    <w:rsid w:val="0057364B"/>
    <w:rsid w:val="00574773"/>
    <w:rsid w:val="00583FFD"/>
    <w:rsid w:val="005860C6"/>
    <w:rsid w:val="005911BE"/>
    <w:rsid w:val="00593152"/>
    <w:rsid w:val="005A10F2"/>
    <w:rsid w:val="005A21E0"/>
    <w:rsid w:val="005A28FF"/>
    <w:rsid w:val="005A3DF8"/>
    <w:rsid w:val="005A5549"/>
    <w:rsid w:val="005A607D"/>
    <w:rsid w:val="005B121D"/>
    <w:rsid w:val="005C06ED"/>
    <w:rsid w:val="005D0602"/>
    <w:rsid w:val="005D5802"/>
    <w:rsid w:val="005D7890"/>
    <w:rsid w:val="005E7C78"/>
    <w:rsid w:val="005F3EB1"/>
    <w:rsid w:val="00604307"/>
    <w:rsid w:val="0060487F"/>
    <w:rsid w:val="00604EAD"/>
    <w:rsid w:val="006103A6"/>
    <w:rsid w:val="006104FB"/>
    <w:rsid w:val="00612A2F"/>
    <w:rsid w:val="00616E05"/>
    <w:rsid w:val="00624093"/>
    <w:rsid w:val="006404A7"/>
    <w:rsid w:val="00642197"/>
    <w:rsid w:val="006451E4"/>
    <w:rsid w:val="00645B33"/>
    <w:rsid w:val="006516CB"/>
    <w:rsid w:val="00657E87"/>
    <w:rsid w:val="00664803"/>
    <w:rsid w:val="00664ABE"/>
    <w:rsid w:val="00665BA4"/>
    <w:rsid w:val="00667AF2"/>
    <w:rsid w:val="006710C9"/>
    <w:rsid w:val="00674D89"/>
    <w:rsid w:val="00675E37"/>
    <w:rsid w:val="0068174E"/>
    <w:rsid w:val="00681833"/>
    <w:rsid w:val="00681DCE"/>
    <w:rsid w:val="0068260E"/>
    <w:rsid w:val="00695BEF"/>
    <w:rsid w:val="006977F6"/>
    <w:rsid w:val="00697A13"/>
    <w:rsid w:val="006A0FA2"/>
    <w:rsid w:val="006A109C"/>
    <w:rsid w:val="006B344A"/>
    <w:rsid w:val="006B3DB5"/>
    <w:rsid w:val="006B6740"/>
    <w:rsid w:val="006B78D8"/>
    <w:rsid w:val="006C113F"/>
    <w:rsid w:val="006C56D4"/>
    <w:rsid w:val="006C6924"/>
    <w:rsid w:val="006C7CA6"/>
    <w:rsid w:val="006D3E8A"/>
    <w:rsid w:val="006D61F6"/>
    <w:rsid w:val="006E279A"/>
    <w:rsid w:val="006E313B"/>
    <w:rsid w:val="00706AD4"/>
    <w:rsid w:val="007071F7"/>
    <w:rsid w:val="0070757C"/>
    <w:rsid w:val="007140BE"/>
    <w:rsid w:val="007211F5"/>
    <w:rsid w:val="00724381"/>
    <w:rsid w:val="00725BB5"/>
    <w:rsid w:val="00730AE8"/>
    <w:rsid w:val="00741493"/>
    <w:rsid w:val="00752180"/>
    <w:rsid w:val="00755202"/>
    <w:rsid w:val="00755D3A"/>
    <w:rsid w:val="007578D3"/>
    <w:rsid w:val="007609C6"/>
    <w:rsid w:val="00762D3E"/>
    <w:rsid w:val="0076521E"/>
    <w:rsid w:val="007661E9"/>
    <w:rsid w:val="0076638F"/>
    <w:rsid w:val="00774FE8"/>
    <w:rsid w:val="00776169"/>
    <w:rsid w:val="00776527"/>
    <w:rsid w:val="00780EF1"/>
    <w:rsid w:val="00781D70"/>
    <w:rsid w:val="007904A3"/>
    <w:rsid w:val="00790764"/>
    <w:rsid w:val="0079453C"/>
    <w:rsid w:val="00794677"/>
    <w:rsid w:val="007964F5"/>
    <w:rsid w:val="007A44A7"/>
    <w:rsid w:val="007A5CB8"/>
    <w:rsid w:val="007B46EA"/>
    <w:rsid w:val="007B6689"/>
    <w:rsid w:val="007D40DF"/>
    <w:rsid w:val="007D79E7"/>
    <w:rsid w:val="007E2BDC"/>
    <w:rsid w:val="007E7E61"/>
    <w:rsid w:val="007F0845"/>
    <w:rsid w:val="007F3A7B"/>
    <w:rsid w:val="00807C82"/>
    <w:rsid w:val="00816905"/>
    <w:rsid w:val="00821FF6"/>
    <w:rsid w:val="00823849"/>
    <w:rsid w:val="00823FD1"/>
    <w:rsid w:val="0083143E"/>
    <w:rsid w:val="00831CDE"/>
    <w:rsid w:val="00834304"/>
    <w:rsid w:val="00834FAA"/>
    <w:rsid w:val="00836086"/>
    <w:rsid w:val="0084708F"/>
    <w:rsid w:val="008477C8"/>
    <w:rsid w:val="0085114D"/>
    <w:rsid w:val="00852217"/>
    <w:rsid w:val="00852CCA"/>
    <w:rsid w:val="00855408"/>
    <w:rsid w:val="00856D65"/>
    <w:rsid w:val="00861B41"/>
    <w:rsid w:val="00863434"/>
    <w:rsid w:val="00865E4C"/>
    <w:rsid w:val="00867835"/>
    <w:rsid w:val="008701E4"/>
    <w:rsid w:val="00874476"/>
    <w:rsid w:val="00875A32"/>
    <w:rsid w:val="00876086"/>
    <w:rsid w:val="0088154E"/>
    <w:rsid w:val="00885CD7"/>
    <w:rsid w:val="008873D4"/>
    <w:rsid w:val="00893E85"/>
    <w:rsid w:val="00894031"/>
    <w:rsid w:val="00895063"/>
    <w:rsid w:val="008A4C97"/>
    <w:rsid w:val="008A7576"/>
    <w:rsid w:val="008B7C02"/>
    <w:rsid w:val="008B7D2B"/>
    <w:rsid w:val="008C0049"/>
    <w:rsid w:val="008C0E88"/>
    <w:rsid w:val="008C4CA2"/>
    <w:rsid w:val="008D1E6A"/>
    <w:rsid w:val="008D2A16"/>
    <w:rsid w:val="008E2C57"/>
    <w:rsid w:val="008E31FF"/>
    <w:rsid w:val="008E55E4"/>
    <w:rsid w:val="008E680B"/>
    <w:rsid w:val="008E6F06"/>
    <w:rsid w:val="008F029B"/>
    <w:rsid w:val="008F3BC4"/>
    <w:rsid w:val="008F3FC9"/>
    <w:rsid w:val="008F585B"/>
    <w:rsid w:val="009003A8"/>
    <w:rsid w:val="00900D5B"/>
    <w:rsid w:val="00902500"/>
    <w:rsid w:val="00902EFF"/>
    <w:rsid w:val="0091155E"/>
    <w:rsid w:val="00912A92"/>
    <w:rsid w:val="0091728D"/>
    <w:rsid w:val="0092180B"/>
    <w:rsid w:val="00921F14"/>
    <w:rsid w:val="00924AC8"/>
    <w:rsid w:val="0092597A"/>
    <w:rsid w:val="00937AE2"/>
    <w:rsid w:val="0094427A"/>
    <w:rsid w:val="00965F69"/>
    <w:rsid w:val="00973CC5"/>
    <w:rsid w:val="00974923"/>
    <w:rsid w:val="00980D3D"/>
    <w:rsid w:val="009812B5"/>
    <w:rsid w:val="00983696"/>
    <w:rsid w:val="00992CF3"/>
    <w:rsid w:val="009968D6"/>
    <w:rsid w:val="009A1CAB"/>
    <w:rsid w:val="009A60D1"/>
    <w:rsid w:val="009A66B7"/>
    <w:rsid w:val="009B32FB"/>
    <w:rsid w:val="009B4877"/>
    <w:rsid w:val="009B63B1"/>
    <w:rsid w:val="009B6FD3"/>
    <w:rsid w:val="009B70FB"/>
    <w:rsid w:val="009C1750"/>
    <w:rsid w:val="009C2E29"/>
    <w:rsid w:val="009C554B"/>
    <w:rsid w:val="009C719E"/>
    <w:rsid w:val="009D3ACD"/>
    <w:rsid w:val="009E3FCE"/>
    <w:rsid w:val="009E5DDB"/>
    <w:rsid w:val="009F1FF5"/>
    <w:rsid w:val="009F4CA7"/>
    <w:rsid w:val="00A10D66"/>
    <w:rsid w:val="00A14114"/>
    <w:rsid w:val="00A23E43"/>
    <w:rsid w:val="00A24E14"/>
    <w:rsid w:val="00A30F65"/>
    <w:rsid w:val="00A418BC"/>
    <w:rsid w:val="00A43B47"/>
    <w:rsid w:val="00A46DE0"/>
    <w:rsid w:val="00A50D73"/>
    <w:rsid w:val="00A52CAD"/>
    <w:rsid w:val="00A53FC7"/>
    <w:rsid w:val="00A62CE1"/>
    <w:rsid w:val="00A650F3"/>
    <w:rsid w:val="00A6741E"/>
    <w:rsid w:val="00A75E40"/>
    <w:rsid w:val="00A77AB7"/>
    <w:rsid w:val="00A77D1D"/>
    <w:rsid w:val="00A857C0"/>
    <w:rsid w:val="00A97559"/>
    <w:rsid w:val="00AA2996"/>
    <w:rsid w:val="00AA3280"/>
    <w:rsid w:val="00AA52BF"/>
    <w:rsid w:val="00AA559A"/>
    <w:rsid w:val="00AA60B7"/>
    <w:rsid w:val="00AA63BD"/>
    <w:rsid w:val="00AB2AF1"/>
    <w:rsid w:val="00AB5498"/>
    <w:rsid w:val="00AC7F0B"/>
    <w:rsid w:val="00AD1A07"/>
    <w:rsid w:val="00AD306C"/>
    <w:rsid w:val="00AD6861"/>
    <w:rsid w:val="00AE09B3"/>
    <w:rsid w:val="00AE1A83"/>
    <w:rsid w:val="00AF6468"/>
    <w:rsid w:val="00AF7BCA"/>
    <w:rsid w:val="00B00913"/>
    <w:rsid w:val="00B0132E"/>
    <w:rsid w:val="00B01593"/>
    <w:rsid w:val="00B10A4D"/>
    <w:rsid w:val="00B17E71"/>
    <w:rsid w:val="00B17FDE"/>
    <w:rsid w:val="00B2379C"/>
    <w:rsid w:val="00B2687D"/>
    <w:rsid w:val="00B32DDB"/>
    <w:rsid w:val="00B34528"/>
    <w:rsid w:val="00B402FC"/>
    <w:rsid w:val="00B46604"/>
    <w:rsid w:val="00B55F5E"/>
    <w:rsid w:val="00B5752E"/>
    <w:rsid w:val="00B60FC2"/>
    <w:rsid w:val="00B63A11"/>
    <w:rsid w:val="00B64C24"/>
    <w:rsid w:val="00B6608F"/>
    <w:rsid w:val="00B66B7A"/>
    <w:rsid w:val="00B679FB"/>
    <w:rsid w:val="00B75431"/>
    <w:rsid w:val="00B76D1E"/>
    <w:rsid w:val="00B80523"/>
    <w:rsid w:val="00B80EC6"/>
    <w:rsid w:val="00B85781"/>
    <w:rsid w:val="00B92D1D"/>
    <w:rsid w:val="00B938C5"/>
    <w:rsid w:val="00B95940"/>
    <w:rsid w:val="00BA457C"/>
    <w:rsid w:val="00BB46F3"/>
    <w:rsid w:val="00BB4CB1"/>
    <w:rsid w:val="00BB4F98"/>
    <w:rsid w:val="00BB54DF"/>
    <w:rsid w:val="00BB78A6"/>
    <w:rsid w:val="00BC6ABD"/>
    <w:rsid w:val="00BC7154"/>
    <w:rsid w:val="00BD366B"/>
    <w:rsid w:val="00BD6D50"/>
    <w:rsid w:val="00BE18B9"/>
    <w:rsid w:val="00BE2495"/>
    <w:rsid w:val="00BF1578"/>
    <w:rsid w:val="00C0283F"/>
    <w:rsid w:val="00C21F94"/>
    <w:rsid w:val="00C23478"/>
    <w:rsid w:val="00C256E4"/>
    <w:rsid w:val="00C25BCC"/>
    <w:rsid w:val="00C27913"/>
    <w:rsid w:val="00C31520"/>
    <w:rsid w:val="00C33B68"/>
    <w:rsid w:val="00C33F0D"/>
    <w:rsid w:val="00C36A79"/>
    <w:rsid w:val="00C405D4"/>
    <w:rsid w:val="00C4513B"/>
    <w:rsid w:val="00C50C63"/>
    <w:rsid w:val="00C54697"/>
    <w:rsid w:val="00C73885"/>
    <w:rsid w:val="00C747B1"/>
    <w:rsid w:val="00C801C5"/>
    <w:rsid w:val="00C82191"/>
    <w:rsid w:val="00C90CF4"/>
    <w:rsid w:val="00C92EB6"/>
    <w:rsid w:val="00C93389"/>
    <w:rsid w:val="00CA6923"/>
    <w:rsid w:val="00CB4930"/>
    <w:rsid w:val="00CC2E7D"/>
    <w:rsid w:val="00CC76CD"/>
    <w:rsid w:val="00CD10A5"/>
    <w:rsid w:val="00CD2076"/>
    <w:rsid w:val="00CD2299"/>
    <w:rsid w:val="00CE670B"/>
    <w:rsid w:val="00CF51EC"/>
    <w:rsid w:val="00CF73AE"/>
    <w:rsid w:val="00D040DD"/>
    <w:rsid w:val="00D13986"/>
    <w:rsid w:val="00D151BF"/>
    <w:rsid w:val="00D25F28"/>
    <w:rsid w:val="00D27973"/>
    <w:rsid w:val="00D3587A"/>
    <w:rsid w:val="00D44910"/>
    <w:rsid w:val="00D50F46"/>
    <w:rsid w:val="00D62FA6"/>
    <w:rsid w:val="00D656B7"/>
    <w:rsid w:val="00D66223"/>
    <w:rsid w:val="00D74777"/>
    <w:rsid w:val="00D8084C"/>
    <w:rsid w:val="00D9055B"/>
    <w:rsid w:val="00D97127"/>
    <w:rsid w:val="00DA2855"/>
    <w:rsid w:val="00DA3469"/>
    <w:rsid w:val="00DA7C0C"/>
    <w:rsid w:val="00DB1149"/>
    <w:rsid w:val="00DB2EC8"/>
    <w:rsid w:val="00DB4A23"/>
    <w:rsid w:val="00DC5B3B"/>
    <w:rsid w:val="00DD129F"/>
    <w:rsid w:val="00DD685B"/>
    <w:rsid w:val="00DE59BE"/>
    <w:rsid w:val="00DE695F"/>
    <w:rsid w:val="00DF42FF"/>
    <w:rsid w:val="00E01C0E"/>
    <w:rsid w:val="00E03F9A"/>
    <w:rsid w:val="00E04694"/>
    <w:rsid w:val="00E12B1E"/>
    <w:rsid w:val="00E14600"/>
    <w:rsid w:val="00E17262"/>
    <w:rsid w:val="00E22A11"/>
    <w:rsid w:val="00E253A2"/>
    <w:rsid w:val="00E3309D"/>
    <w:rsid w:val="00E50156"/>
    <w:rsid w:val="00E53470"/>
    <w:rsid w:val="00E539F6"/>
    <w:rsid w:val="00E57525"/>
    <w:rsid w:val="00E637D5"/>
    <w:rsid w:val="00E6519D"/>
    <w:rsid w:val="00E655BD"/>
    <w:rsid w:val="00E67696"/>
    <w:rsid w:val="00E71A58"/>
    <w:rsid w:val="00E72A7A"/>
    <w:rsid w:val="00E75C94"/>
    <w:rsid w:val="00E81B77"/>
    <w:rsid w:val="00E93820"/>
    <w:rsid w:val="00EA0C68"/>
    <w:rsid w:val="00EB2C44"/>
    <w:rsid w:val="00EC03D7"/>
    <w:rsid w:val="00ED2C2C"/>
    <w:rsid w:val="00ED62C6"/>
    <w:rsid w:val="00ED64C1"/>
    <w:rsid w:val="00ED78E3"/>
    <w:rsid w:val="00EE0E4F"/>
    <w:rsid w:val="00EE3446"/>
    <w:rsid w:val="00EE3E78"/>
    <w:rsid w:val="00EE4B1B"/>
    <w:rsid w:val="00EE7DB4"/>
    <w:rsid w:val="00EF150D"/>
    <w:rsid w:val="00EF1F5A"/>
    <w:rsid w:val="00F04811"/>
    <w:rsid w:val="00F0488C"/>
    <w:rsid w:val="00F15AAA"/>
    <w:rsid w:val="00F15BEF"/>
    <w:rsid w:val="00F1639F"/>
    <w:rsid w:val="00F24407"/>
    <w:rsid w:val="00F24FAA"/>
    <w:rsid w:val="00F3364D"/>
    <w:rsid w:val="00F437CC"/>
    <w:rsid w:val="00F453D4"/>
    <w:rsid w:val="00F47067"/>
    <w:rsid w:val="00F474C0"/>
    <w:rsid w:val="00F525EB"/>
    <w:rsid w:val="00F63DDE"/>
    <w:rsid w:val="00F63FB7"/>
    <w:rsid w:val="00F649D2"/>
    <w:rsid w:val="00F6602B"/>
    <w:rsid w:val="00F73A0C"/>
    <w:rsid w:val="00F756DB"/>
    <w:rsid w:val="00F82F1A"/>
    <w:rsid w:val="00F85066"/>
    <w:rsid w:val="00FA0C79"/>
    <w:rsid w:val="00FA22FB"/>
    <w:rsid w:val="00FA5D4D"/>
    <w:rsid w:val="00FB1D12"/>
    <w:rsid w:val="00FC0AB6"/>
    <w:rsid w:val="00FC0E5F"/>
    <w:rsid w:val="00FC185E"/>
    <w:rsid w:val="00FC1A95"/>
    <w:rsid w:val="00FC56DE"/>
    <w:rsid w:val="00FC684B"/>
    <w:rsid w:val="00FC7274"/>
    <w:rsid w:val="00FD4377"/>
    <w:rsid w:val="00FE2F78"/>
    <w:rsid w:val="00FE30D1"/>
    <w:rsid w:val="00FF3ECF"/>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5:docId w15:val="{6E013BCA-4E1F-4CDB-B6B2-5F0AC7A0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58F3"/>
    <w:pPr>
      <w:spacing w:after="240" w:line="288" w:lineRule="auto"/>
    </w:pPr>
    <w:rPr>
      <w:rFonts w:ascii="Arial" w:eastAsia="Times New Roman" w:hAnsi="Arial"/>
      <w:szCs w:val="24"/>
      <w:lang w:val="en-GB" w:eastAsia="cs-CZ"/>
    </w:rPr>
  </w:style>
  <w:style w:type="paragraph" w:styleId="Nadpis1">
    <w:name w:val="heading 1"/>
    <w:next w:val="Normln"/>
    <w:link w:val="Nadpis1Char"/>
    <w:qFormat/>
    <w:rsid w:val="00874476"/>
    <w:pPr>
      <w:keepNext/>
      <w:keepLines/>
      <w:spacing w:after="100" w:line="288" w:lineRule="auto"/>
      <w:contextualSpacing/>
      <w:outlineLvl w:val="0"/>
    </w:pPr>
    <w:rPr>
      <w:rFonts w:ascii="Arial" w:eastAsia="MS Gothic" w:hAnsi="Arial"/>
      <w:b/>
      <w:bCs/>
      <w:color w:val="009BB4"/>
      <w:sz w:val="32"/>
      <w:szCs w:val="28"/>
      <w:lang w:val="en-GB" w:eastAsia="cs-CZ"/>
    </w:rPr>
  </w:style>
  <w:style w:type="paragraph" w:styleId="Nadpis2">
    <w:name w:val="heading 2"/>
    <w:next w:val="Normln"/>
    <w:link w:val="Nadpis2Char"/>
    <w:qFormat/>
    <w:rsid w:val="00BB78A6"/>
    <w:pPr>
      <w:keepNext/>
      <w:keepLines/>
      <w:spacing w:before="240" w:after="120" w:line="288" w:lineRule="auto"/>
      <w:outlineLvl w:val="1"/>
    </w:pPr>
    <w:rPr>
      <w:rFonts w:ascii="Arial" w:eastAsia="MS Gothic" w:hAnsi="Arial"/>
      <w:b/>
      <w:bCs/>
      <w:color w:val="009BB4"/>
      <w:sz w:val="28"/>
      <w:szCs w:val="26"/>
      <w:lang w:val="en-GB" w:eastAsia="cs-CZ"/>
    </w:rPr>
  </w:style>
  <w:style w:type="paragraph" w:styleId="Nadpis3">
    <w:name w:val="heading 3"/>
    <w:next w:val="Normln"/>
    <w:link w:val="Nadpis3Char"/>
    <w:qFormat/>
    <w:rsid w:val="00BB78A6"/>
    <w:pPr>
      <w:keepNext/>
      <w:keepLines/>
      <w:spacing w:before="240" w:after="120" w:line="288" w:lineRule="auto"/>
      <w:outlineLvl w:val="2"/>
    </w:pPr>
    <w:rPr>
      <w:rFonts w:ascii="Arial" w:eastAsia="MS Gothic" w:hAnsi="Arial"/>
      <w:b/>
      <w:bCs/>
      <w:color w:val="009BB4"/>
      <w:sz w:val="24"/>
      <w:szCs w:val="24"/>
      <w:lang w:val="en-GB" w:eastAsia="cs-CZ"/>
    </w:rPr>
  </w:style>
  <w:style w:type="paragraph" w:styleId="Nadpis4">
    <w:name w:val="heading 4"/>
    <w:next w:val="Normln"/>
    <w:link w:val="Nadpis4Char"/>
    <w:uiPriority w:val="9"/>
    <w:qFormat/>
    <w:rsid w:val="00351A75"/>
    <w:pPr>
      <w:keepNext/>
      <w:keepLines/>
      <w:spacing w:line="288" w:lineRule="auto"/>
      <w:outlineLvl w:val="3"/>
    </w:pPr>
    <w:rPr>
      <w:rFonts w:ascii="Arial" w:eastAsia="MS Gothic" w:hAnsi="Arial"/>
      <w:b/>
      <w:bCs/>
      <w:iCs/>
      <w:color w:val="BD1B21"/>
      <w:szCs w:val="24"/>
      <w:lang w:val="en-GB" w:eastAsia="cs-CZ"/>
    </w:rPr>
  </w:style>
  <w:style w:type="paragraph" w:styleId="Nadpis5">
    <w:name w:val="heading 5"/>
    <w:basedOn w:val="Normln"/>
    <w:next w:val="Normln"/>
    <w:link w:val="Nadpis5Char"/>
    <w:qFormat/>
    <w:rsid w:val="009B63B1"/>
    <w:pPr>
      <w:spacing w:before="240" w:after="60" w:line="240" w:lineRule="auto"/>
      <w:outlineLvl w:val="4"/>
    </w:pPr>
    <w:rPr>
      <w:rFonts w:ascii="Times New Roman" w:hAnsi="Times New Roman"/>
      <w:b/>
      <w:bCs/>
      <w:i/>
      <w:iCs/>
      <w:sz w:val="26"/>
      <w:szCs w:val="26"/>
      <w:lang w:val="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74476"/>
    <w:rPr>
      <w:rFonts w:ascii="Arial" w:eastAsia="MS Gothic" w:hAnsi="Arial"/>
      <w:b/>
      <w:bCs/>
      <w:color w:val="009BB4"/>
      <w:sz w:val="32"/>
      <w:szCs w:val="28"/>
      <w:lang w:val="en-GB" w:eastAsia="cs-CZ"/>
    </w:rPr>
  </w:style>
  <w:style w:type="character" w:customStyle="1" w:styleId="Nadpis2Char">
    <w:name w:val="Nadpis 2 Char"/>
    <w:link w:val="Nadpis2"/>
    <w:uiPriority w:val="9"/>
    <w:rsid w:val="00BB78A6"/>
    <w:rPr>
      <w:rFonts w:ascii="Arial" w:eastAsia="MS Gothic" w:hAnsi="Arial"/>
      <w:b/>
      <w:bCs/>
      <w:color w:val="009BB4"/>
      <w:sz w:val="28"/>
      <w:szCs w:val="26"/>
      <w:lang w:val="en-GB" w:eastAsia="cs-CZ"/>
    </w:rPr>
  </w:style>
  <w:style w:type="character" w:customStyle="1" w:styleId="Nadpis3Char">
    <w:name w:val="Nadpis 3 Char"/>
    <w:link w:val="Nadpis3"/>
    <w:uiPriority w:val="9"/>
    <w:rsid w:val="00BB78A6"/>
    <w:rPr>
      <w:rFonts w:ascii="Arial" w:eastAsia="MS Gothic" w:hAnsi="Arial"/>
      <w:b/>
      <w:bCs/>
      <w:color w:val="009BB4"/>
      <w:sz w:val="24"/>
      <w:szCs w:val="24"/>
      <w:lang w:val="en-GB" w:eastAsia="cs-CZ"/>
    </w:rPr>
  </w:style>
  <w:style w:type="character" w:customStyle="1" w:styleId="Nadpis4Char">
    <w:name w:val="Nadpis 4 Char"/>
    <w:link w:val="Nadpis4"/>
    <w:uiPriority w:val="9"/>
    <w:rsid w:val="00351A75"/>
    <w:rPr>
      <w:rFonts w:ascii="Arial" w:eastAsia="MS Gothic" w:hAnsi="Arial"/>
      <w:b/>
      <w:bCs/>
      <w:iCs/>
      <w:color w:val="BD1B21"/>
      <w:szCs w:val="24"/>
      <w:lang w:val="en-GB"/>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nhideWhenUsed/>
    <w:qFormat/>
    <w:rsid w:val="00351A75"/>
    <w:pPr>
      <w:spacing w:line="288" w:lineRule="auto"/>
    </w:pPr>
    <w:rPr>
      <w:rFonts w:ascii="Arial" w:hAnsi="Arial"/>
      <w:sz w:val="16"/>
      <w:szCs w:val="22"/>
      <w:lang w:val="en-GB"/>
    </w:rPr>
  </w:style>
  <w:style w:type="character" w:customStyle="1" w:styleId="ZhlavChar">
    <w:name w:val="Záhlaví Char"/>
    <w:link w:val="Zhlav"/>
    <w:rsid w:val="00351A75"/>
    <w:rPr>
      <w:rFonts w:ascii="Arial" w:hAnsi="Arial"/>
      <w:sz w:val="16"/>
      <w:szCs w:val="22"/>
      <w:lang w:val="en-GB" w:eastAsia="en-US"/>
    </w:rPr>
  </w:style>
  <w:style w:type="paragraph" w:styleId="Zpat">
    <w:name w:val="footer"/>
    <w:link w:val="ZpatChar"/>
    <w:unhideWhenUsed/>
    <w:qFormat/>
    <w:rsid w:val="00FE30D1"/>
    <w:pPr>
      <w:tabs>
        <w:tab w:val="center" w:pos="4820"/>
        <w:tab w:val="right" w:pos="9639"/>
      </w:tabs>
    </w:pPr>
    <w:rPr>
      <w:rFonts w:ascii="Arial" w:hAnsi="Arial" w:cs="Arial"/>
      <w:sz w:val="16"/>
      <w:lang w:val="en-GB"/>
    </w:rPr>
  </w:style>
  <w:style w:type="character" w:customStyle="1" w:styleId="ZpatChar">
    <w:name w:val="Zápatí Char"/>
    <w:link w:val="Zpat"/>
    <w:uiPriority w:val="99"/>
    <w:rsid w:val="00FE30D1"/>
    <w:rPr>
      <w:rFonts w:ascii="Arial" w:hAnsi="Arial" w:cs="Arial"/>
      <w:sz w:val="16"/>
      <w:lang w:val="en-GB"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38283A"/>
    <w:pPr>
      <w:spacing w:before="80"/>
    </w:pPr>
    <w:rPr>
      <w:b/>
      <w:noProof/>
    </w:rPr>
  </w:style>
  <w:style w:type="paragraph" w:customStyle="1" w:styleId="TLIdentifikace-sted">
    <w:name w:val="TL Identifikace - střed"/>
    <w:qFormat/>
    <w:rsid w:val="00351A75"/>
    <w:pPr>
      <w:spacing w:after="200" w:line="288" w:lineRule="auto"/>
    </w:pPr>
    <w:rPr>
      <w:rFonts w:ascii="Arial" w:eastAsia="Times New Roman" w:hAnsi="Arial"/>
      <w:sz w:val="24"/>
      <w:szCs w:val="24"/>
      <w:lang w:val="en-GB" w:eastAsia="cs-CZ"/>
    </w:rPr>
  </w:style>
  <w:style w:type="paragraph" w:customStyle="1" w:styleId="Obsah">
    <w:name w:val="Obsah"/>
    <w:next w:val="Normln"/>
    <w:qFormat/>
    <w:rsid w:val="004C7BC9"/>
    <w:pPr>
      <w:spacing w:after="80" w:line="288" w:lineRule="auto"/>
    </w:pPr>
    <w:rPr>
      <w:rFonts w:ascii="Arial" w:eastAsia="Times New Roman" w:hAnsi="Arial"/>
      <w:b/>
      <w:color w:val="009BB4"/>
      <w:sz w:val="32"/>
      <w:szCs w:val="24"/>
      <w:lang w:val="en-GB" w:eastAsia="cs-CZ"/>
    </w:rPr>
  </w:style>
  <w:style w:type="paragraph" w:customStyle="1" w:styleId="Obsahpoloky">
    <w:name w:val="Obsah položky"/>
    <w:qFormat/>
    <w:rsid w:val="00351A75"/>
    <w:pPr>
      <w:tabs>
        <w:tab w:val="right" w:leader="dot" w:pos="9639"/>
      </w:tabs>
      <w:spacing w:line="288" w:lineRule="auto"/>
    </w:pPr>
    <w:rPr>
      <w:rFonts w:ascii="Arial" w:eastAsia="Times New Roman" w:hAnsi="Arial"/>
      <w:szCs w:val="24"/>
      <w:lang w:val="en-GB" w:eastAsia="cs-CZ"/>
    </w:rPr>
  </w:style>
  <w:style w:type="paragraph" w:customStyle="1" w:styleId="Box1">
    <w:name w:val="Box 1"/>
    <w:next w:val="Normln"/>
    <w:qFormat/>
    <w:rsid w:val="00351A75"/>
    <w:pPr>
      <w:shd w:val="clear" w:color="auto" w:fill="D9EAF5"/>
      <w:spacing w:before="240" w:after="240" w:line="288" w:lineRule="auto"/>
      <w:ind w:left="709"/>
      <w:contextualSpacing/>
    </w:pPr>
    <w:rPr>
      <w:rFonts w:ascii="Arial" w:hAnsi="Arial" w:cs="Arial"/>
      <w:lang w:val="en-GB" w:eastAsia="cs-CZ"/>
    </w:rPr>
  </w:style>
  <w:style w:type="paragraph" w:customStyle="1" w:styleId="Box2">
    <w:name w:val="Box 2"/>
    <w:link w:val="Box2Char"/>
    <w:qFormat/>
    <w:rsid w:val="00351A75"/>
    <w:pPr>
      <w:spacing w:before="240" w:after="240" w:line="288" w:lineRule="auto"/>
      <w:ind w:left="709"/>
      <w:contextualSpacing/>
    </w:pPr>
    <w:rPr>
      <w:rFonts w:ascii="Arial" w:hAnsi="Arial" w:cs="Arial"/>
      <w:color w:val="0071BC"/>
      <w:lang w:val="en-GB" w:eastAsia="cs-CZ"/>
    </w:rPr>
  </w:style>
  <w:style w:type="paragraph" w:styleId="Seznam">
    <w:name w:val="List"/>
    <w:basedOn w:val="Normln"/>
    <w:uiPriority w:val="99"/>
    <w:unhideWhenUsed/>
    <w:qFormat/>
    <w:rsid w:val="00351A75"/>
    <w:pPr>
      <w:contextualSpacing/>
    </w:pPr>
  </w:style>
  <w:style w:type="character" w:styleId="Siln">
    <w:name w:val="Strong"/>
    <w:aliases w:val="Tučné"/>
    <w:uiPriority w:val="22"/>
    <w:qFormat/>
    <w:rsid w:val="00351A75"/>
    <w:rPr>
      <w:rFonts w:ascii="Arial" w:hAnsi="Arial"/>
      <w:b/>
      <w:bCs/>
      <w:sz w:val="20"/>
      <w:lang w:val="en-GB"/>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351A75"/>
    <w:pPr>
      <w:spacing w:after="160" w:line="259" w:lineRule="auto"/>
      <w:contextualSpacing/>
    </w:pPr>
    <w:rPr>
      <w:rFonts w:ascii="Arial" w:eastAsia="Times New Roman" w:hAnsi="Arial"/>
      <w:b/>
      <w:color w:val="0071BC"/>
      <w:lang w:val="en-GB" w:eastAsia="cs-CZ"/>
    </w:rPr>
  </w:style>
  <w:style w:type="paragraph" w:styleId="Nzev">
    <w:name w:val="Title"/>
    <w:link w:val="NzevChar"/>
    <w:qFormat/>
    <w:rsid w:val="00351A75"/>
    <w:pPr>
      <w:spacing w:line="288" w:lineRule="auto"/>
    </w:pPr>
    <w:rPr>
      <w:rFonts w:ascii="Arial" w:eastAsia="Times New Roman" w:hAnsi="Arial"/>
      <w:b/>
      <w:bCs/>
      <w:caps/>
      <w:kern w:val="28"/>
      <w:sz w:val="56"/>
      <w:szCs w:val="32"/>
      <w:lang w:val="en-GB" w:eastAsia="cs-CZ"/>
    </w:rPr>
  </w:style>
  <w:style w:type="character" w:customStyle="1" w:styleId="NzevChar">
    <w:name w:val="Název Char"/>
    <w:link w:val="Nzev"/>
    <w:rsid w:val="00351A75"/>
    <w:rPr>
      <w:rFonts w:ascii="Arial" w:eastAsia="Times New Roman" w:hAnsi="Arial"/>
      <w:b/>
      <w:bCs/>
      <w:caps/>
      <w:kern w:val="28"/>
      <w:sz w:val="56"/>
      <w:szCs w:val="32"/>
      <w:lang w:val="en-GB"/>
    </w:rPr>
  </w:style>
  <w:style w:type="paragraph" w:styleId="Podnadpis">
    <w:name w:val="Subtitle"/>
    <w:link w:val="PodnadpisChar"/>
    <w:uiPriority w:val="11"/>
    <w:qFormat/>
    <w:rsid w:val="00351A75"/>
    <w:pPr>
      <w:spacing w:line="288" w:lineRule="auto"/>
    </w:pPr>
    <w:rPr>
      <w:rFonts w:ascii="Arial" w:eastAsia="Times New Roman" w:hAnsi="Arial" w:cs="Arial"/>
      <w:b/>
      <w:sz w:val="28"/>
      <w:szCs w:val="24"/>
      <w:lang w:val="en-GB" w:eastAsia="cs-CZ"/>
    </w:rPr>
  </w:style>
  <w:style w:type="character" w:customStyle="1" w:styleId="PodnadpisChar">
    <w:name w:val="Podnadpis Char"/>
    <w:link w:val="Podnadpis"/>
    <w:uiPriority w:val="11"/>
    <w:rsid w:val="00351A75"/>
    <w:rPr>
      <w:rFonts w:ascii="Arial" w:eastAsia="Times New Roman" w:hAnsi="Arial" w:cs="Arial"/>
      <w:b/>
      <w:sz w:val="28"/>
      <w:szCs w:val="24"/>
      <w:lang w:val="en-GB"/>
    </w:rPr>
  </w:style>
  <w:style w:type="paragraph" w:styleId="Obsah2">
    <w:name w:val="toc 2"/>
    <w:basedOn w:val="Obsahpoloky"/>
    <w:next w:val="Obsahpoloky"/>
    <w:autoRedefine/>
    <w:uiPriority w:val="39"/>
    <w:unhideWhenUsed/>
    <w:rsid w:val="0038283A"/>
    <w:pPr>
      <w:spacing w:before="40"/>
      <w:ind w:left="200"/>
    </w:pPr>
    <w:rPr>
      <w:b/>
      <w:noProof/>
    </w:r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Zkladntext">
    <w:name w:val="Body Text"/>
    <w:basedOn w:val="Normln"/>
    <w:link w:val="ZkladntextChar"/>
    <w:semiHidden/>
    <w:rsid w:val="00874476"/>
    <w:pPr>
      <w:spacing w:before="240" w:after="0" w:line="240" w:lineRule="auto"/>
      <w:jc w:val="both"/>
    </w:pPr>
    <w:rPr>
      <w:sz w:val="15"/>
      <w:lang w:val="cs-CZ"/>
    </w:rPr>
  </w:style>
  <w:style w:type="character" w:customStyle="1" w:styleId="ZkladntextChar">
    <w:name w:val="Základní text Char"/>
    <w:basedOn w:val="Standardnpsmoodstavce"/>
    <w:link w:val="Zkladntext"/>
    <w:semiHidden/>
    <w:rsid w:val="00874476"/>
    <w:rPr>
      <w:rFonts w:ascii="Arial" w:eastAsia="Times New Roman" w:hAnsi="Arial"/>
      <w:sz w:val="15"/>
      <w:szCs w:val="24"/>
      <w:lang w:eastAsia="cs-CZ"/>
    </w:rPr>
  </w:style>
  <w:style w:type="paragraph" w:styleId="Textpoznpodarou">
    <w:name w:val="footnote text"/>
    <w:basedOn w:val="Normln"/>
    <w:link w:val="TextpoznpodarouChar"/>
    <w:uiPriority w:val="99"/>
    <w:unhideWhenUsed/>
    <w:rsid w:val="00874476"/>
    <w:pPr>
      <w:spacing w:after="0" w:line="240" w:lineRule="auto"/>
    </w:pPr>
    <w:rPr>
      <w:rFonts w:ascii="Times New Roman" w:hAnsi="Times New Roman"/>
      <w:szCs w:val="20"/>
      <w:lang w:val="cs-CZ"/>
    </w:rPr>
  </w:style>
  <w:style w:type="character" w:customStyle="1" w:styleId="TextpoznpodarouChar">
    <w:name w:val="Text pozn. pod čarou Char"/>
    <w:basedOn w:val="Standardnpsmoodstavce"/>
    <w:link w:val="Textpoznpodarou"/>
    <w:uiPriority w:val="99"/>
    <w:rsid w:val="00874476"/>
    <w:rPr>
      <w:rFonts w:ascii="Times New Roman" w:eastAsia="Times New Roman" w:hAnsi="Times New Roman"/>
      <w:lang w:eastAsia="cs-CZ"/>
    </w:rPr>
  </w:style>
  <w:style w:type="character" w:styleId="Znakapoznpodarou">
    <w:name w:val="footnote reference"/>
    <w:uiPriority w:val="99"/>
    <w:semiHidden/>
    <w:unhideWhenUsed/>
    <w:rsid w:val="00874476"/>
    <w:rPr>
      <w:vertAlign w:val="superscript"/>
    </w:rPr>
  </w:style>
  <w:style w:type="paragraph" w:styleId="Titulek">
    <w:name w:val="caption"/>
    <w:basedOn w:val="Normln"/>
    <w:next w:val="Normln"/>
    <w:uiPriority w:val="35"/>
    <w:unhideWhenUsed/>
    <w:qFormat/>
    <w:rsid w:val="00874476"/>
    <w:pPr>
      <w:spacing w:after="200" w:line="240" w:lineRule="auto"/>
    </w:pPr>
    <w:rPr>
      <w:b/>
      <w:bCs/>
      <w:color w:val="4F81BD" w:themeColor="accent1"/>
      <w:sz w:val="18"/>
      <w:szCs w:val="18"/>
      <w:lang w:val="cs-CZ"/>
    </w:rPr>
  </w:style>
  <w:style w:type="character" w:customStyle="1" w:styleId="Nadpis5Char">
    <w:name w:val="Nadpis 5 Char"/>
    <w:basedOn w:val="Standardnpsmoodstavce"/>
    <w:link w:val="Nadpis5"/>
    <w:rsid w:val="009B63B1"/>
    <w:rPr>
      <w:rFonts w:ascii="Times New Roman" w:eastAsia="Times New Roman" w:hAnsi="Times New Roman"/>
      <w:b/>
      <w:bCs/>
      <w:i/>
      <w:iCs/>
      <w:sz w:val="26"/>
      <w:szCs w:val="26"/>
      <w:lang w:eastAsia="cs-CZ"/>
    </w:rPr>
  </w:style>
  <w:style w:type="paragraph" w:styleId="Seznamobrzk">
    <w:name w:val="table of figures"/>
    <w:basedOn w:val="Normln"/>
    <w:next w:val="Normln"/>
    <w:uiPriority w:val="99"/>
    <w:unhideWhenUsed/>
    <w:rsid w:val="009B63B1"/>
    <w:pPr>
      <w:spacing w:after="0"/>
    </w:pPr>
    <w:rPr>
      <w:lang w:val="cs-CZ"/>
    </w:rPr>
  </w:style>
  <w:style w:type="paragraph" w:customStyle="1" w:styleId="Styl1">
    <w:name w:val="Styl1"/>
    <w:rsid w:val="009B63B1"/>
    <w:pPr>
      <w:suppressAutoHyphens/>
      <w:autoSpaceDE w:val="0"/>
    </w:pPr>
    <w:rPr>
      <w:rFonts w:ascii="Arial" w:eastAsia="Times New Roman" w:hAnsi="Arial"/>
      <w:sz w:val="24"/>
      <w:szCs w:val="24"/>
      <w:lang w:eastAsia="ar-SA"/>
    </w:rPr>
  </w:style>
  <w:style w:type="paragraph" w:customStyle="1" w:styleId="Bezmezer1">
    <w:name w:val="Bez mezer1"/>
    <w:aliases w:val="Bez zarážky"/>
    <w:link w:val="NoSpacingChar"/>
    <w:uiPriority w:val="1"/>
    <w:qFormat/>
    <w:rsid w:val="009B63B1"/>
    <w:pPr>
      <w:spacing w:line="288" w:lineRule="auto"/>
    </w:pPr>
    <w:rPr>
      <w:rFonts w:ascii="Arial" w:eastAsia="Times New Roman" w:hAnsi="Arial"/>
      <w:szCs w:val="24"/>
      <w:lang w:eastAsia="cs-CZ"/>
    </w:rPr>
  </w:style>
  <w:style w:type="character" w:customStyle="1" w:styleId="NoSpacingChar">
    <w:name w:val="No Spacing Char"/>
    <w:aliases w:val="Bez zarážky Char"/>
    <w:link w:val="Bezmezer1"/>
    <w:uiPriority w:val="1"/>
    <w:rsid w:val="009B63B1"/>
    <w:rPr>
      <w:rFonts w:ascii="Arial" w:eastAsia="Times New Roman" w:hAnsi="Arial"/>
      <w:szCs w:val="24"/>
      <w:lang w:eastAsia="cs-CZ"/>
    </w:rPr>
  </w:style>
  <w:style w:type="character" w:customStyle="1" w:styleId="Box2Char">
    <w:name w:val="Box 2 Char"/>
    <w:link w:val="Box2"/>
    <w:rsid w:val="009B63B1"/>
    <w:rPr>
      <w:rFonts w:ascii="Arial" w:hAnsi="Arial" w:cs="Arial"/>
      <w:color w:val="0071BC"/>
      <w:lang w:val="en-GB" w:eastAsia="cs-CZ"/>
    </w:rPr>
  </w:style>
  <w:style w:type="paragraph" w:customStyle="1" w:styleId="Box">
    <w:name w:val="Box"/>
    <w:next w:val="Normln"/>
    <w:link w:val="BoxChar"/>
    <w:qFormat/>
    <w:rsid w:val="009B63B1"/>
    <w:pPr>
      <w:shd w:val="clear" w:color="auto" w:fill="D9F0F4"/>
      <w:spacing w:line="288" w:lineRule="auto"/>
      <w:ind w:left="1134"/>
    </w:pPr>
    <w:rPr>
      <w:rFonts w:ascii="Arial" w:hAnsi="Arial" w:cs="Arial"/>
      <w:lang w:eastAsia="cs-CZ"/>
    </w:rPr>
  </w:style>
  <w:style w:type="character" w:customStyle="1" w:styleId="BoxChar">
    <w:name w:val="Box Char"/>
    <w:link w:val="Box"/>
    <w:rsid w:val="009B63B1"/>
    <w:rPr>
      <w:rFonts w:ascii="Arial" w:hAnsi="Arial" w:cs="Arial"/>
      <w:shd w:val="clear" w:color="auto" w:fill="D9F0F4"/>
      <w:lang w:eastAsia="cs-CZ"/>
    </w:rPr>
  </w:style>
  <w:style w:type="paragraph" w:customStyle="1" w:styleId="TL-Kontakty">
    <w:name w:val="TL - Kontakty"/>
    <w:next w:val="Normln"/>
    <w:link w:val="TL-KontaktyChar"/>
    <w:qFormat/>
    <w:rsid w:val="009B63B1"/>
    <w:pPr>
      <w:spacing w:after="80"/>
    </w:pPr>
    <w:rPr>
      <w:rFonts w:ascii="Arial" w:eastAsia="Times New Roman" w:hAnsi="Arial"/>
      <w:b/>
      <w:caps/>
      <w:color w:val="BD1B21"/>
      <w:sz w:val="24"/>
      <w:szCs w:val="24"/>
      <w:lang w:eastAsia="cs-CZ"/>
    </w:rPr>
  </w:style>
  <w:style w:type="character" w:customStyle="1" w:styleId="TL-KontaktyChar">
    <w:name w:val="TL - Kontakty Char"/>
    <w:link w:val="TL-Kontakty"/>
    <w:rsid w:val="009B63B1"/>
    <w:rPr>
      <w:rFonts w:ascii="Arial" w:eastAsia="Times New Roman" w:hAnsi="Arial"/>
      <w:b/>
      <w:caps/>
      <w:color w:val="BD1B21"/>
      <w:sz w:val="24"/>
      <w:szCs w:val="24"/>
      <w:lang w:eastAsia="cs-CZ"/>
    </w:rPr>
  </w:style>
  <w:style w:type="paragraph" w:customStyle="1" w:styleId="TL-Identifikace">
    <w:name w:val="TL - Identifikace"/>
    <w:next w:val="Normln"/>
    <w:link w:val="TL-IdentifikaceChar"/>
    <w:qFormat/>
    <w:rsid w:val="009B63B1"/>
    <w:pPr>
      <w:spacing w:after="200" w:line="288" w:lineRule="auto"/>
    </w:pPr>
    <w:rPr>
      <w:rFonts w:ascii="Arial" w:eastAsia="Times New Roman" w:hAnsi="Arial"/>
      <w:sz w:val="24"/>
      <w:szCs w:val="24"/>
      <w:lang w:eastAsia="cs-CZ"/>
    </w:rPr>
  </w:style>
  <w:style w:type="character" w:customStyle="1" w:styleId="TL-IdentifikaceChar">
    <w:name w:val="TL - Identifikace Char"/>
    <w:link w:val="TL-Identifikace"/>
    <w:rsid w:val="009B63B1"/>
    <w:rPr>
      <w:rFonts w:ascii="Arial" w:eastAsia="Times New Roman" w:hAnsi="Arial"/>
      <w:sz w:val="24"/>
      <w:szCs w:val="24"/>
      <w:lang w:eastAsia="cs-CZ"/>
    </w:rPr>
  </w:style>
  <w:style w:type="paragraph" w:customStyle="1" w:styleId="3372873BB58A4DED866D2BE34882C06C">
    <w:name w:val="3372873BB58A4DED866D2BE34882C06C"/>
    <w:rsid w:val="009B63B1"/>
    <w:pPr>
      <w:spacing w:after="200" w:line="276" w:lineRule="auto"/>
    </w:pPr>
    <w:rPr>
      <w:rFonts w:eastAsia="MS Mincho"/>
      <w:sz w:val="22"/>
      <w:szCs w:val="22"/>
      <w:lang w:eastAsia="cs-CZ"/>
    </w:rPr>
  </w:style>
  <w:style w:type="paragraph" w:customStyle="1" w:styleId="233E5CD5853943F4BD7E8C4B124C0E1D">
    <w:name w:val="233E5CD5853943F4BD7E8C4B124C0E1D"/>
    <w:rsid w:val="009B63B1"/>
    <w:pPr>
      <w:spacing w:after="200" w:line="276" w:lineRule="auto"/>
    </w:pPr>
    <w:rPr>
      <w:rFonts w:eastAsia="MS Mincho"/>
      <w:sz w:val="22"/>
      <w:szCs w:val="22"/>
      <w:lang w:eastAsia="cs-CZ"/>
    </w:rPr>
  </w:style>
  <w:style w:type="paragraph" w:customStyle="1" w:styleId="D345FF3D873148C5AE3FBF3267827368">
    <w:name w:val="D345FF3D873148C5AE3FBF3267827368"/>
    <w:rsid w:val="009B63B1"/>
    <w:pPr>
      <w:spacing w:after="200" w:line="276" w:lineRule="auto"/>
    </w:pPr>
    <w:rPr>
      <w:rFonts w:eastAsia="MS Mincho"/>
      <w:sz w:val="22"/>
      <w:szCs w:val="22"/>
      <w:lang w:eastAsia="cs-CZ"/>
    </w:rPr>
  </w:style>
  <w:style w:type="paragraph" w:customStyle="1" w:styleId="TL-identifikace-sted">
    <w:name w:val="TL - identifikace - střed"/>
    <w:basedOn w:val="Normln"/>
    <w:link w:val="TL-identifikace-stedChar"/>
    <w:qFormat/>
    <w:rsid w:val="009B63B1"/>
    <w:pPr>
      <w:spacing w:after="200"/>
    </w:pPr>
    <w:rPr>
      <w:sz w:val="24"/>
      <w:lang w:val="cs-CZ"/>
    </w:rPr>
  </w:style>
  <w:style w:type="character" w:customStyle="1" w:styleId="TL-identifikace-stedChar">
    <w:name w:val="TL - identifikace - střed Char"/>
    <w:link w:val="TL-identifikace-sted"/>
    <w:rsid w:val="009B63B1"/>
    <w:rPr>
      <w:rFonts w:ascii="Arial" w:eastAsia="Times New Roman" w:hAnsi="Arial"/>
      <w:sz w:val="24"/>
      <w:szCs w:val="24"/>
      <w:lang w:eastAsia="cs-CZ"/>
    </w:rPr>
  </w:style>
  <w:style w:type="paragraph" w:customStyle="1" w:styleId="TL-Identifikace-dole">
    <w:name w:val="TL - Identifikace - dole"/>
    <w:basedOn w:val="Normln"/>
    <w:link w:val="TL-Identifikace-doleChar"/>
    <w:qFormat/>
    <w:rsid w:val="009B63B1"/>
    <w:pPr>
      <w:spacing w:after="200"/>
    </w:pPr>
    <w:rPr>
      <w:rFonts w:cs="Arial"/>
      <w:szCs w:val="20"/>
      <w:lang w:val="cs-CZ" w:eastAsia="ar-SA"/>
    </w:rPr>
  </w:style>
  <w:style w:type="character" w:customStyle="1" w:styleId="TL-Identifikace-doleChar">
    <w:name w:val="TL - Identifikace - dole Char"/>
    <w:link w:val="TL-Identifikace-dole"/>
    <w:rsid w:val="009B63B1"/>
    <w:rPr>
      <w:rFonts w:ascii="Arial" w:eastAsia="Times New Roman" w:hAnsi="Arial" w:cs="Arial"/>
      <w:lang w:eastAsia="ar-SA"/>
    </w:rPr>
  </w:style>
  <w:style w:type="paragraph" w:styleId="Rozloendokumentu">
    <w:name w:val="Document Map"/>
    <w:basedOn w:val="Normln"/>
    <w:link w:val="RozloendokumentuChar"/>
    <w:semiHidden/>
    <w:rsid w:val="009B63B1"/>
    <w:pPr>
      <w:shd w:val="clear" w:color="auto" w:fill="000080"/>
      <w:spacing w:after="0" w:line="240" w:lineRule="auto"/>
    </w:pPr>
    <w:rPr>
      <w:rFonts w:ascii="Tahoma" w:hAnsi="Tahoma" w:cs="Tahoma"/>
      <w:sz w:val="24"/>
      <w:lang w:val="cs-CZ"/>
    </w:rPr>
  </w:style>
  <w:style w:type="character" w:customStyle="1" w:styleId="RozloendokumentuChar">
    <w:name w:val="Rozložení dokumentu Char"/>
    <w:basedOn w:val="Standardnpsmoodstavce"/>
    <w:link w:val="Rozloendokumentu"/>
    <w:semiHidden/>
    <w:rsid w:val="009B63B1"/>
    <w:rPr>
      <w:rFonts w:ascii="Tahoma" w:eastAsia="Times New Roman" w:hAnsi="Tahoma" w:cs="Tahoma"/>
      <w:sz w:val="24"/>
      <w:szCs w:val="24"/>
      <w:shd w:val="clear" w:color="auto" w:fill="000080"/>
      <w:lang w:eastAsia="cs-CZ"/>
    </w:rPr>
  </w:style>
  <w:style w:type="paragraph" w:styleId="Zkladntextodsazen">
    <w:name w:val="Body Text Indent"/>
    <w:basedOn w:val="Normln"/>
    <w:link w:val="ZkladntextodsazenChar"/>
    <w:semiHidden/>
    <w:rsid w:val="009B63B1"/>
    <w:pPr>
      <w:spacing w:after="0" w:line="240" w:lineRule="auto"/>
      <w:ind w:left="360" w:hanging="360"/>
      <w:jc w:val="both"/>
    </w:pPr>
    <w:rPr>
      <w:rFonts w:ascii="Times New Roman" w:hAnsi="Times New Roman"/>
      <w:sz w:val="22"/>
      <w:lang w:val="cs-CZ"/>
    </w:rPr>
  </w:style>
  <w:style w:type="character" w:customStyle="1" w:styleId="ZkladntextodsazenChar">
    <w:name w:val="Základní text odsazený Char"/>
    <w:basedOn w:val="Standardnpsmoodstavce"/>
    <w:link w:val="Zkladntextodsazen"/>
    <w:semiHidden/>
    <w:rsid w:val="009B63B1"/>
    <w:rPr>
      <w:rFonts w:ascii="Times New Roman" w:eastAsia="Times New Roman" w:hAnsi="Times New Roman"/>
      <w:sz w:val="22"/>
      <w:szCs w:val="24"/>
      <w:lang w:eastAsia="cs-CZ"/>
    </w:rPr>
  </w:style>
  <w:style w:type="paragraph" w:styleId="Zkladntextodsazen2">
    <w:name w:val="Body Text Indent 2"/>
    <w:basedOn w:val="Normln"/>
    <w:link w:val="Zkladntextodsazen2Char"/>
    <w:semiHidden/>
    <w:rsid w:val="009B63B1"/>
    <w:pPr>
      <w:spacing w:after="0" w:line="240" w:lineRule="auto"/>
      <w:ind w:left="360" w:hanging="360"/>
      <w:jc w:val="both"/>
    </w:pPr>
    <w:rPr>
      <w:rFonts w:ascii="Times New Roman" w:hAnsi="Times New Roman"/>
      <w:sz w:val="24"/>
      <w:lang w:val="cs-CZ"/>
    </w:rPr>
  </w:style>
  <w:style w:type="character" w:customStyle="1" w:styleId="Zkladntextodsazen2Char">
    <w:name w:val="Základní text odsazený 2 Char"/>
    <w:basedOn w:val="Standardnpsmoodstavce"/>
    <w:link w:val="Zkladntextodsazen2"/>
    <w:semiHidden/>
    <w:rsid w:val="009B63B1"/>
    <w:rPr>
      <w:rFonts w:ascii="Times New Roman" w:eastAsia="Times New Roman" w:hAnsi="Times New Roman"/>
      <w:sz w:val="24"/>
      <w:szCs w:val="24"/>
      <w:lang w:eastAsia="cs-CZ"/>
    </w:rPr>
  </w:style>
  <w:style w:type="character" w:styleId="Sledovanodkaz">
    <w:name w:val="FollowedHyperlink"/>
    <w:semiHidden/>
    <w:rsid w:val="009B63B1"/>
    <w:rPr>
      <w:color w:val="800080"/>
      <w:u w:val="single"/>
    </w:rPr>
  </w:style>
  <w:style w:type="paragraph" w:styleId="Zkladntext3">
    <w:name w:val="Body Text 3"/>
    <w:basedOn w:val="Normln"/>
    <w:link w:val="Zkladntext3Char"/>
    <w:semiHidden/>
    <w:rsid w:val="009B63B1"/>
    <w:pPr>
      <w:spacing w:after="0" w:line="240" w:lineRule="auto"/>
      <w:jc w:val="both"/>
    </w:pPr>
    <w:rPr>
      <w:rFonts w:cs="Arial"/>
      <w:b/>
      <w:bCs/>
      <w:lang w:val="cs-CZ"/>
    </w:rPr>
  </w:style>
  <w:style w:type="character" w:customStyle="1" w:styleId="Zkladntext3Char">
    <w:name w:val="Základní text 3 Char"/>
    <w:basedOn w:val="Standardnpsmoodstavce"/>
    <w:link w:val="Zkladntext3"/>
    <w:semiHidden/>
    <w:rsid w:val="009B63B1"/>
    <w:rPr>
      <w:rFonts w:ascii="Arial" w:eastAsia="Times New Roman" w:hAnsi="Arial" w:cs="Arial"/>
      <w:b/>
      <w:bCs/>
      <w:szCs w:val="24"/>
      <w:lang w:eastAsia="cs-CZ"/>
    </w:rPr>
  </w:style>
  <w:style w:type="paragraph" w:styleId="Odstavecseseznamem">
    <w:name w:val="List Paragraph"/>
    <w:basedOn w:val="Normln"/>
    <w:uiPriority w:val="34"/>
    <w:qFormat/>
    <w:rsid w:val="009B63B1"/>
    <w:pPr>
      <w:spacing w:after="0" w:line="240" w:lineRule="auto"/>
      <w:ind w:left="720"/>
      <w:contextualSpacing/>
    </w:pPr>
    <w:rPr>
      <w:rFonts w:ascii="Times New Roman" w:hAnsi="Times New Roman"/>
      <w:sz w:val="24"/>
      <w:lang w:val="cs-CZ"/>
    </w:rPr>
  </w:style>
  <w:style w:type="paragraph" w:styleId="Textkomente">
    <w:name w:val="annotation text"/>
    <w:basedOn w:val="Normln"/>
    <w:link w:val="TextkomenteChar"/>
    <w:uiPriority w:val="99"/>
    <w:semiHidden/>
    <w:unhideWhenUsed/>
    <w:rsid w:val="009B63B1"/>
    <w:pPr>
      <w:spacing w:after="0" w:line="240" w:lineRule="auto"/>
    </w:pPr>
    <w:rPr>
      <w:rFonts w:ascii="Times New Roman" w:hAnsi="Times New Roman"/>
      <w:szCs w:val="20"/>
      <w:lang w:val="cs-CZ"/>
    </w:rPr>
  </w:style>
  <w:style w:type="character" w:customStyle="1" w:styleId="TextkomenteChar">
    <w:name w:val="Text komentáře Char"/>
    <w:basedOn w:val="Standardnpsmoodstavce"/>
    <w:link w:val="Textkomente"/>
    <w:uiPriority w:val="99"/>
    <w:semiHidden/>
    <w:rsid w:val="009B63B1"/>
    <w:rPr>
      <w:rFonts w:ascii="Times New Roman" w:eastAsia="Times New Roman" w:hAnsi="Times New Roman"/>
      <w:lang w:eastAsia="cs-CZ"/>
    </w:rPr>
  </w:style>
  <w:style w:type="paragraph" w:styleId="Pedmtkomente">
    <w:name w:val="annotation subject"/>
    <w:basedOn w:val="Textkomente"/>
    <w:next w:val="Textkomente"/>
    <w:link w:val="PedmtkomenteChar"/>
    <w:uiPriority w:val="99"/>
    <w:semiHidden/>
    <w:unhideWhenUsed/>
    <w:rsid w:val="009B63B1"/>
    <w:rPr>
      <w:b/>
      <w:bCs/>
    </w:rPr>
  </w:style>
  <w:style w:type="character" w:customStyle="1" w:styleId="PedmtkomenteChar">
    <w:name w:val="Předmět komentáře Char"/>
    <w:basedOn w:val="TextkomenteChar"/>
    <w:link w:val="Pedmtkomente"/>
    <w:uiPriority w:val="99"/>
    <w:semiHidden/>
    <w:rsid w:val="009B63B1"/>
    <w:rPr>
      <w:rFonts w:ascii="Times New Roman" w:eastAsia="Times New Roman" w:hAnsi="Times New Roman"/>
      <w:b/>
      <w:bCs/>
      <w:lang w:eastAsia="cs-CZ"/>
    </w:rPr>
  </w:style>
  <w:style w:type="paragraph" w:styleId="Normlnweb">
    <w:name w:val="Normal (Web)"/>
    <w:basedOn w:val="Normln"/>
    <w:uiPriority w:val="99"/>
    <w:semiHidden/>
    <w:unhideWhenUsed/>
    <w:rsid w:val="009B63B1"/>
    <w:pPr>
      <w:spacing w:after="0"/>
    </w:pPr>
    <w:rPr>
      <w:rFonts w:ascii="Times New Roman" w:hAnsi="Times New Roman"/>
      <w:sz w:val="24"/>
      <w:lang w:val="cs-CZ"/>
    </w:rPr>
  </w:style>
  <w:style w:type="character" w:styleId="Odkaznakoment">
    <w:name w:val="annotation reference"/>
    <w:basedOn w:val="Standardnpsmoodstavce"/>
    <w:uiPriority w:val="99"/>
    <w:semiHidden/>
    <w:unhideWhenUsed/>
    <w:rsid w:val="009B63B1"/>
    <w:rPr>
      <w:sz w:val="16"/>
      <w:szCs w:val="16"/>
    </w:rPr>
  </w:style>
  <w:style w:type="paragraph" w:styleId="Bezmezer">
    <w:name w:val="No Spacing"/>
    <w:uiPriority w:val="1"/>
    <w:qFormat/>
    <w:rsid w:val="009B63B1"/>
    <w:pPr>
      <w:spacing w:line="360" w:lineRule="auto"/>
      <w:ind w:firstLine="709"/>
      <w:jc w:val="both"/>
    </w:pPr>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77459454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footer" Target="footer2.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5" Type="http://schemas.openxmlformats.org/officeDocument/2006/relationships/chart" Target="charts/chart1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ducation/sites/education/files/annex-recommendation-key-competences-lifelong-learning.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TRBA~1\AppData\Local\Temp\Publikace%20bar%20EN_2017-08-14-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st_aplikace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en-US" sz="800" b="1">
                <a:latin typeface="Arial" panose="020B0604020202020204" pitchFamily="34" charset="0"/>
                <a:cs typeface="Arial" panose="020B0604020202020204" pitchFamily="34" charset="0"/>
              </a:rPr>
              <a:t>Figure F1 Schools </a:t>
            </a:r>
            <a:r>
              <a:rPr lang="cs-CZ" sz="800" b="1">
                <a:latin typeface="Arial" panose="020B0604020202020204" pitchFamily="34" charset="0"/>
                <a:cs typeface="Arial" panose="020B0604020202020204" pitchFamily="34" charset="0"/>
              </a:rPr>
              <a:t>in the Czech Republic </a:t>
            </a:r>
          </a:p>
          <a:p>
            <a:pPr>
              <a:defRPr sz="800" b="1">
                <a:latin typeface="Arial" panose="020B0604020202020204" pitchFamily="34" charset="0"/>
                <a:cs typeface="Arial" panose="020B0604020202020204" pitchFamily="34" charset="0"/>
              </a:defRPr>
            </a:pPr>
            <a:r>
              <a:rPr lang="en-US" sz="800" b="1">
                <a:latin typeface="Arial" panose="020B0604020202020204" pitchFamily="34" charset="0"/>
                <a:cs typeface="Arial" panose="020B0604020202020204" pitchFamily="34" charset="0"/>
              </a:rPr>
              <a:t>with at least 31 Mbit/s internet; 2016/2017</a:t>
            </a:r>
            <a:r>
              <a:rPr lang="cs-CZ" sz="800" b="1">
                <a:latin typeface="Arial" panose="020B0604020202020204" pitchFamily="34" charset="0"/>
                <a:cs typeface="Arial" panose="020B0604020202020204" pitchFamily="34" charset="0"/>
              </a:rPr>
              <a:t> (%)*</a:t>
            </a:r>
            <a:endParaRPr lang="en-US" sz="800" b="1">
              <a:latin typeface="Arial" panose="020B0604020202020204" pitchFamily="34" charset="0"/>
              <a:cs typeface="Arial" panose="020B0604020202020204" pitchFamily="34" charset="0"/>
            </a:endParaRPr>
          </a:p>
        </c:rich>
      </c:tx>
      <c:layout/>
      <c:overlay val="1"/>
    </c:title>
    <c:autoTitleDeleted val="0"/>
    <c:plotArea>
      <c:layout>
        <c:manualLayout>
          <c:layoutTarget val="inner"/>
          <c:xMode val="edge"/>
          <c:yMode val="edge"/>
          <c:x val="0.213068055555556"/>
          <c:y val="0.18093846153846199"/>
          <c:w val="0.74881349206349301"/>
          <c:h val="0.60177849323889399"/>
        </c:manualLayout>
      </c:layout>
      <c:barChart>
        <c:barDir val="bar"/>
        <c:grouping val="clustered"/>
        <c:varyColors val="0"/>
        <c:ser>
          <c:idx val="4"/>
          <c:order val="0"/>
          <c:tx>
            <c:strRef>
              <c:f>F_EN!$B$3</c:f>
              <c:strCache>
                <c:ptCount val="1"/>
                <c:pt idx="0">
                  <c:v> of which at least 100 Mbit/s</c:v>
                </c:pt>
              </c:strCache>
            </c:strRef>
          </c:tx>
          <c:spPr>
            <a:solidFill>
              <a:srgbClr val="47E5FF"/>
            </a:solidFill>
          </c:spPr>
          <c:invertIfNegative val="0"/>
          <c:dLbls>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F_EN!$A$4:$A$6</c:f>
              <c:strCache>
                <c:ptCount val="3"/>
                <c:pt idx="0">
                  <c:v> Secondary 
schools</c:v>
                </c:pt>
                <c:pt idx="1">
                  <c:v> Elementary 
schools</c:v>
                </c:pt>
                <c:pt idx="2">
                  <c:v> Nursery 
schools</c:v>
                </c:pt>
              </c:strCache>
            </c:strRef>
          </c:cat>
          <c:val>
            <c:numRef>
              <c:f>F_EN!$B$4:$B$6</c:f>
              <c:numCache>
                <c:formatCode>0%</c:formatCode>
                <c:ptCount val="3"/>
                <c:pt idx="0">
                  <c:v>0.115526122148638</c:v>
                </c:pt>
                <c:pt idx="1">
                  <c:v>5.5972861642839794E-2</c:v>
                </c:pt>
                <c:pt idx="2">
                  <c:v>3.5841136583790699E-2</c:v>
                </c:pt>
              </c:numCache>
            </c:numRef>
          </c:val>
          <c:extLst>
            <c:ext xmlns:c16="http://schemas.microsoft.com/office/drawing/2014/chart" uri="{C3380CC4-5D6E-409C-BE32-E72D297353CC}">
              <c16:uniqueId val="{00000000-C092-4D4D-8786-7976F64C1192}"/>
            </c:ext>
          </c:extLst>
        </c:ser>
        <c:ser>
          <c:idx val="0"/>
          <c:order val="1"/>
          <c:tx>
            <c:strRef>
              <c:f>F_EN!$C$3</c:f>
              <c:strCache>
                <c:ptCount val="1"/>
                <c:pt idx="0">
                  <c:v> Total</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F_EN!$A$4:$A$6</c:f>
              <c:strCache>
                <c:ptCount val="3"/>
                <c:pt idx="0">
                  <c:v> Secondary 
schools</c:v>
                </c:pt>
                <c:pt idx="1">
                  <c:v> Elementary 
schools</c:v>
                </c:pt>
                <c:pt idx="2">
                  <c:v> Nursery 
schools</c:v>
                </c:pt>
              </c:strCache>
            </c:strRef>
          </c:cat>
          <c:val>
            <c:numRef>
              <c:f>F_EN!$C$4:$C$6</c:f>
              <c:numCache>
                <c:formatCode>0%</c:formatCode>
                <c:ptCount val="3"/>
                <c:pt idx="0">
                  <c:v>0.54083885209712901</c:v>
                </c:pt>
                <c:pt idx="1">
                  <c:v>0.32977950084807284</c:v>
                </c:pt>
                <c:pt idx="2">
                  <c:v>0.20148530836293169</c:v>
                </c:pt>
              </c:numCache>
            </c:numRef>
          </c:val>
          <c:extLst>
            <c:ext xmlns:c16="http://schemas.microsoft.com/office/drawing/2014/chart" uri="{C3380CC4-5D6E-409C-BE32-E72D297353CC}">
              <c16:uniqueId val="{00000001-C092-4D4D-8786-7976F64C1192}"/>
            </c:ext>
          </c:extLst>
        </c:ser>
        <c:dLbls>
          <c:showLegendKey val="0"/>
          <c:showVal val="1"/>
          <c:showCatName val="0"/>
          <c:showSerName val="0"/>
          <c:showPercent val="0"/>
          <c:showBubbleSize val="0"/>
        </c:dLbls>
        <c:gapWidth val="40"/>
        <c:axId val="198902272"/>
        <c:axId val="197284352"/>
      </c:barChart>
      <c:catAx>
        <c:axId val="1989022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7284352"/>
        <c:crosses val="autoZero"/>
        <c:auto val="1"/>
        <c:lblAlgn val="ctr"/>
        <c:lblOffset val="40"/>
        <c:noMultiLvlLbl val="0"/>
      </c:catAx>
      <c:valAx>
        <c:axId val="197284352"/>
        <c:scaling>
          <c:orientation val="minMax"/>
          <c:max val="0.70000000000000095"/>
          <c:min val="0"/>
        </c:scaling>
        <c:delete val="0"/>
        <c:axPos val="b"/>
        <c:numFmt formatCode="0%" sourceLinked="1"/>
        <c:majorTickMark val="none"/>
        <c:minorTickMark val="none"/>
        <c:tickLblPos val="none"/>
        <c:spPr>
          <a:ln w="9525">
            <a:noFill/>
          </a:ln>
        </c:spPr>
        <c:crossAx val="198902272"/>
        <c:crosses val="autoZero"/>
        <c:crossBetween val="between"/>
        <c:majorUnit val="0.1"/>
        <c:minorUnit val="0.02"/>
      </c:valAx>
      <c:spPr>
        <a:noFill/>
        <a:ln w="12700">
          <a:solidFill>
            <a:srgbClr val="969696"/>
          </a:solidFill>
          <a:prstDash val="solid"/>
        </a:ln>
      </c:spPr>
    </c:plotArea>
    <c:legend>
      <c:legendPos val="t"/>
      <c:layout>
        <c:manualLayout>
          <c:xMode val="edge"/>
          <c:yMode val="edge"/>
          <c:x val="0.57723784722222204"/>
          <c:y val="0.21030037037037"/>
          <c:w val="0.34496423611111099"/>
          <c:h val="0.21600429276668801"/>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991869918699203E-2"/>
          <c:y val="0.13374518518518499"/>
          <c:w val="0.78379065040650397"/>
          <c:h val="0.71813703703703702"/>
        </c:manualLayout>
      </c:layout>
      <c:barChart>
        <c:barDir val="bar"/>
        <c:grouping val="clustered"/>
        <c:varyColors val="0"/>
        <c:ser>
          <c:idx val="1"/>
          <c:order val="0"/>
          <c:tx>
            <c:strRef>
              <c:f>F_EN!$D$119</c:f>
              <c:strCache>
                <c:ptCount val="1"/>
                <c:pt idx="0">
                  <c:v> % of internet users</c:v>
                </c:pt>
              </c:strCache>
            </c:strRef>
          </c:tx>
          <c:spPr>
            <a:solidFill>
              <a:srgbClr val="47E5FF"/>
            </a:solidFill>
            <a:ln w="19050">
              <a:noFill/>
            </a:ln>
          </c:spPr>
          <c:invertIfNegative val="0"/>
          <c:dLbls>
            <c:numFmt formatCode="0%" sourceLinked="0"/>
            <c:spPr>
              <a:noFill/>
              <a:ln>
                <a:noFill/>
              </a:ln>
              <a:effectLst/>
            </c:spPr>
            <c:txPr>
              <a:bodyPr rot="0" vert="horz"/>
              <a:lstStyle/>
              <a:p>
                <a:pPr>
                  <a:defRPr b="1" i="0">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F_EN!$B$120:$B$127</c:f>
              <c:strCache>
                <c:ptCount val="8"/>
                <c:pt idx="0">
                  <c:v>  55+</c:v>
                </c:pt>
                <c:pt idx="1">
                  <c:v>  35–54</c:v>
                </c:pt>
                <c:pt idx="2">
                  <c:v>  16–34</c:v>
                </c:pt>
                <c:pt idx="4">
                  <c:v>Females</c:v>
                </c:pt>
                <c:pt idx="5">
                  <c:v>Males</c:v>
                </c:pt>
                <c:pt idx="7">
                  <c:v>Total</c:v>
                </c:pt>
              </c:strCache>
            </c:strRef>
          </c:cat>
          <c:val>
            <c:numRef>
              <c:f>F_EN!$D$120:$D$127</c:f>
              <c:numCache>
                <c:formatCode>0%</c:formatCode>
                <c:ptCount val="8"/>
                <c:pt idx="0">
                  <c:v>0.52636758300278896</c:v>
                </c:pt>
                <c:pt idx="1">
                  <c:v>0.66782724048877196</c:v>
                </c:pt>
                <c:pt idx="2">
                  <c:v>0.82117398355776405</c:v>
                </c:pt>
                <c:pt idx="4">
                  <c:v>0.66800000000000004</c:v>
                </c:pt>
                <c:pt idx="5">
                  <c:v>0.69799999999999995</c:v>
                </c:pt>
                <c:pt idx="7">
                  <c:v>0.68300000000000005</c:v>
                </c:pt>
              </c:numCache>
            </c:numRef>
          </c:val>
          <c:extLst>
            <c:ext xmlns:c16="http://schemas.microsoft.com/office/drawing/2014/chart" uri="{C3380CC4-5D6E-409C-BE32-E72D297353CC}">
              <c16:uniqueId val="{00000000-00C5-4F7A-A3A9-72E348301C84}"/>
            </c:ext>
          </c:extLst>
        </c:ser>
        <c:ser>
          <c:idx val="0"/>
          <c:order val="1"/>
          <c:tx>
            <c:strRef>
              <c:f>F_EN!$C$119</c:f>
              <c:strCache>
                <c:ptCount val="1"/>
                <c:pt idx="0">
                  <c:v> % of all individuals</c:v>
                </c:pt>
              </c:strCache>
            </c:strRef>
          </c:tx>
          <c:spPr>
            <a:solidFill>
              <a:srgbClr val="009BB4"/>
            </a:solidFill>
            <a:ln w="19050">
              <a:noFill/>
            </a:ln>
          </c:spPr>
          <c:invertIfNegative val="0"/>
          <c:dLbls>
            <c:numFmt formatCode="0%" sourceLinked="0"/>
            <c:spPr>
              <a:noFill/>
              <a:ln>
                <a:noFill/>
              </a:ln>
              <a:effectLst/>
            </c:spPr>
            <c:txPr>
              <a:bodyPr rot="0" vert="horz"/>
              <a:lstStyle/>
              <a:p>
                <a:pPr>
                  <a:defRPr b="1" i="0">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F_EN!$B$120:$B$127</c:f>
              <c:strCache>
                <c:ptCount val="8"/>
                <c:pt idx="0">
                  <c:v>  55+</c:v>
                </c:pt>
                <c:pt idx="1">
                  <c:v>  35–54</c:v>
                </c:pt>
                <c:pt idx="2">
                  <c:v>  16–34</c:v>
                </c:pt>
                <c:pt idx="4">
                  <c:v>Females</c:v>
                </c:pt>
                <c:pt idx="5">
                  <c:v>Males</c:v>
                </c:pt>
                <c:pt idx="7">
                  <c:v>Total</c:v>
                </c:pt>
              </c:strCache>
            </c:strRef>
          </c:cat>
          <c:val>
            <c:numRef>
              <c:f>F_EN!$C$120:$C$127</c:f>
              <c:numCache>
                <c:formatCode>0%</c:formatCode>
                <c:ptCount val="8"/>
                <c:pt idx="0">
                  <c:v>0.26761653976452998</c:v>
                </c:pt>
                <c:pt idx="1">
                  <c:v>0.63249225076412996</c:v>
                </c:pt>
                <c:pt idx="2">
                  <c:v>0.80204055396276397</c:v>
                </c:pt>
                <c:pt idx="4">
                  <c:v>0.50900000000000001</c:v>
                </c:pt>
                <c:pt idx="5">
                  <c:v>0.57099999999999995</c:v>
                </c:pt>
                <c:pt idx="7">
                  <c:v>0.53900000000000003</c:v>
                </c:pt>
              </c:numCache>
            </c:numRef>
          </c:val>
          <c:extLst>
            <c:ext xmlns:c16="http://schemas.microsoft.com/office/drawing/2014/chart" uri="{C3380CC4-5D6E-409C-BE32-E72D297353CC}">
              <c16:uniqueId val="{00000001-00C5-4F7A-A3A9-72E348301C84}"/>
            </c:ext>
          </c:extLst>
        </c:ser>
        <c:dLbls>
          <c:showLegendKey val="0"/>
          <c:showVal val="0"/>
          <c:showCatName val="0"/>
          <c:showSerName val="0"/>
          <c:showPercent val="0"/>
          <c:showBubbleSize val="0"/>
        </c:dLbls>
        <c:gapWidth val="40"/>
        <c:axId val="200695808"/>
        <c:axId val="200649536"/>
      </c:barChart>
      <c:catAx>
        <c:axId val="2006958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0649536"/>
        <c:crosses val="autoZero"/>
        <c:auto val="1"/>
        <c:lblAlgn val="ctr"/>
        <c:lblOffset val="140"/>
        <c:noMultiLvlLbl val="0"/>
      </c:catAx>
      <c:valAx>
        <c:axId val="200649536"/>
        <c:scaling>
          <c:orientation val="minMax"/>
          <c:max val="1.1000000000000001"/>
          <c:min val="0"/>
        </c:scaling>
        <c:delete val="0"/>
        <c:axPos val="b"/>
        <c:majorGridlines>
          <c:spPr>
            <a:ln w="12700">
              <a:noFill/>
              <a:prstDash val="dash"/>
            </a:ln>
          </c:spPr>
        </c:majorGridlines>
        <c:numFmt formatCode="0%" sourceLinked="1"/>
        <c:majorTickMark val="none"/>
        <c:minorTickMark val="none"/>
        <c:tickLblPos val="none"/>
        <c:spPr>
          <a:ln w="9525">
            <a:noFill/>
          </a:ln>
        </c:spPr>
        <c:crossAx val="200695808"/>
        <c:crosses val="autoZero"/>
        <c:crossBetween val="between"/>
        <c:majorUnit val="1"/>
        <c:minorUnit val="0.02"/>
      </c:valAx>
      <c:spPr>
        <a:noFill/>
        <a:ln w="12700">
          <a:solidFill>
            <a:srgbClr val="A6A6A6"/>
          </a:solidFill>
          <a:prstDash val="solid"/>
        </a:ln>
      </c:spPr>
    </c:plotArea>
    <c:legend>
      <c:legendPos val="r"/>
      <c:legendEntry>
        <c:idx val="0"/>
        <c:txPr>
          <a:bodyPr/>
          <a:lstStyle/>
          <a:p>
            <a:pPr>
              <a:defRPr b="0" i="0" baseline="0"/>
            </a:pPr>
            <a:endParaRPr lang="cs-CZ"/>
          </a:p>
        </c:txPr>
      </c:legendEntry>
      <c:legendEntry>
        <c:idx val="1"/>
        <c:txPr>
          <a:bodyPr/>
          <a:lstStyle/>
          <a:p>
            <a:pPr>
              <a:defRPr b="0" i="0" baseline="0"/>
            </a:pPr>
            <a:endParaRPr lang="cs-CZ"/>
          </a:p>
        </c:txPr>
      </c:legendEntry>
      <c:layout>
        <c:manualLayout>
          <c:xMode val="edge"/>
          <c:yMode val="edge"/>
          <c:x val="0.59043056364942337"/>
          <c:y val="0.22393407407407401"/>
          <c:w val="0.35794347242739238"/>
          <c:h val="0.13569946035699459"/>
        </c:manualLayout>
      </c:layout>
      <c:overlay val="0"/>
      <c:spPr>
        <a:ln>
          <a:solidFill>
            <a:schemeClr val="bg1">
              <a:lumMod val="50000"/>
            </a:schemeClr>
          </a:solidFill>
        </a:ln>
      </c:spPr>
      <c:txPr>
        <a:bodyPr/>
        <a:lstStyle/>
        <a:p>
          <a:pPr>
            <a:defRPr b="0" i="0" baseline="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405491698595E-2"/>
          <c:y val="0.17774029802937144"/>
          <c:w val="0.80513729246487897"/>
          <c:h val="0.66120192323406646"/>
        </c:manualLayout>
      </c:layout>
      <c:barChart>
        <c:barDir val="bar"/>
        <c:grouping val="clustered"/>
        <c:varyColors val="0"/>
        <c:ser>
          <c:idx val="2"/>
          <c:order val="0"/>
          <c:tx>
            <c:strRef>
              <c:f>F_EN!$D$135</c:f>
              <c:strCache>
                <c:ptCount val="1"/>
                <c:pt idx="0">
                  <c:v> % of internet users</c:v>
                </c:pt>
              </c:strCache>
            </c:strRef>
          </c:tx>
          <c:spPr>
            <a:solidFill>
              <a:srgbClr val="47E5FF"/>
            </a:solidFill>
          </c:spPr>
          <c:invertIfNegative val="0"/>
          <c:dLbls>
            <c:numFmt formatCode="0.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F_EN!$B$136:$B$143</c:f>
              <c:strCache>
                <c:ptCount val="8"/>
                <c:pt idx="0">
                  <c:v>  55+</c:v>
                </c:pt>
                <c:pt idx="1">
                  <c:v>  35–54</c:v>
                </c:pt>
                <c:pt idx="2">
                  <c:v>  16–34</c:v>
                </c:pt>
                <c:pt idx="4">
                  <c:v>Females</c:v>
                </c:pt>
                <c:pt idx="5">
                  <c:v>Males</c:v>
                </c:pt>
                <c:pt idx="7">
                  <c:v>Total</c:v>
                </c:pt>
              </c:strCache>
            </c:strRef>
          </c:cat>
          <c:val>
            <c:numRef>
              <c:f>F_EN!$D$136:$D$143</c:f>
              <c:numCache>
                <c:formatCode>0%</c:formatCode>
                <c:ptCount val="8"/>
                <c:pt idx="0">
                  <c:v>1.6674907606770501E-2</c:v>
                </c:pt>
                <c:pt idx="1">
                  <c:v>3.9302593919453302E-2</c:v>
                </c:pt>
                <c:pt idx="2">
                  <c:v>8.9125621279546902E-2</c:v>
                </c:pt>
                <c:pt idx="4">
                  <c:v>1.2999999999999999E-2</c:v>
                </c:pt>
                <c:pt idx="5">
                  <c:v>8.5999999999999993E-2</c:v>
                </c:pt>
                <c:pt idx="7">
                  <c:v>0.05</c:v>
                </c:pt>
              </c:numCache>
            </c:numRef>
          </c:val>
          <c:extLst>
            <c:ext xmlns:c16="http://schemas.microsoft.com/office/drawing/2014/chart" uri="{C3380CC4-5D6E-409C-BE32-E72D297353CC}">
              <c16:uniqueId val="{00000000-6CD1-4A00-9626-ECE5078DC3B7}"/>
            </c:ext>
          </c:extLst>
        </c:ser>
        <c:ser>
          <c:idx val="0"/>
          <c:order val="1"/>
          <c:tx>
            <c:strRef>
              <c:f>F_EN!$C$135</c:f>
              <c:strCache>
                <c:ptCount val="1"/>
                <c:pt idx="0">
                  <c:v> % of all individuals</c:v>
                </c:pt>
              </c:strCache>
            </c:strRef>
          </c:tx>
          <c:spPr>
            <a:solidFill>
              <a:srgbClr val="009BB4"/>
            </a:solidFill>
          </c:spPr>
          <c:invertIfNegative val="0"/>
          <c:dLbls>
            <c:numFmt formatCode="0.0%" sourceLinked="0"/>
            <c:spPr>
              <a:noFill/>
            </c:spPr>
            <c:txPr>
              <a:bodyPr rot="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F_EN!$B$136:$B$143</c:f>
              <c:strCache>
                <c:ptCount val="8"/>
                <c:pt idx="0">
                  <c:v>  55+</c:v>
                </c:pt>
                <c:pt idx="1">
                  <c:v>  35–54</c:v>
                </c:pt>
                <c:pt idx="2">
                  <c:v>  16–34</c:v>
                </c:pt>
                <c:pt idx="4">
                  <c:v>Females</c:v>
                </c:pt>
                <c:pt idx="5">
                  <c:v>Males</c:v>
                </c:pt>
                <c:pt idx="7">
                  <c:v>Total</c:v>
                </c:pt>
              </c:strCache>
            </c:strRef>
          </c:cat>
          <c:val>
            <c:numRef>
              <c:f>F_EN!$C$136:$C$143</c:f>
              <c:numCache>
                <c:formatCode>0%</c:formatCode>
                <c:ptCount val="8"/>
                <c:pt idx="0">
                  <c:v>8.3997151173253199E-3</c:v>
                </c:pt>
                <c:pt idx="1">
                  <c:v>3.71331573326628E-2</c:v>
                </c:pt>
                <c:pt idx="2">
                  <c:v>8.7750286944772299E-2</c:v>
                </c:pt>
                <c:pt idx="4">
                  <c:v>9.4370539476613304E-3</c:v>
                </c:pt>
                <c:pt idx="5">
                  <c:v>7.0999999999999994E-2</c:v>
                </c:pt>
                <c:pt idx="7">
                  <c:v>3.9E-2</c:v>
                </c:pt>
              </c:numCache>
            </c:numRef>
          </c:val>
          <c:extLst>
            <c:ext xmlns:c16="http://schemas.microsoft.com/office/drawing/2014/chart" uri="{C3380CC4-5D6E-409C-BE32-E72D297353CC}">
              <c16:uniqueId val="{00000001-6CD1-4A00-9626-ECE5078DC3B7}"/>
            </c:ext>
          </c:extLst>
        </c:ser>
        <c:dLbls>
          <c:showLegendKey val="0"/>
          <c:showVal val="0"/>
          <c:showCatName val="0"/>
          <c:showSerName val="0"/>
          <c:showPercent val="0"/>
          <c:showBubbleSize val="0"/>
        </c:dLbls>
        <c:gapWidth val="50"/>
        <c:axId val="200805376"/>
        <c:axId val="200651264"/>
      </c:barChart>
      <c:catAx>
        <c:axId val="200805376"/>
        <c:scaling>
          <c:orientation val="minMax"/>
        </c:scaling>
        <c:delete val="0"/>
        <c:axPos val="l"/>
        <c:numFmt formatCode="General" sourceLinked="1"/>
        <c:majorTickMark val="out"/>
        <c:minorTickMark val="none"/>
        <c:tickLblPos val="nextTo"/>
        <c:spPr>
          <a:ln w="3175">
            <a:solidFill>
              <a:schemeClr val="tx1"/>
            </a:solidFill>
          </a:ln>
        </c:spPr>
        <c:crossAx val="200651264"/>
        <c:crosses val="autoZero"/>
        <c:auto val="1"/>
        <c:lblAlgn val="ctr"/>
        <c:lblOffset val="100"/>
        <c:noMultiLvlLbl val="0"/>
      </c:catAx>
      <c:valAx>
        <c:axId val="200651264"/>
        <c:scaling>
          <c:orientation val="minMax"/>
          <c:max val="0.3"/>
        </c:scaling>
        <c:delete val="0"/>
        <c:axPos val="b"/>
        <c:numFmt formatCode="0%" sourceLinked="1"/>
        <c:majorTickMark val="none"/>
        <c:minorTickMark val="none"/>
        <c:tickLblPos val="none"/>
        <c:crossAx val="200805376"/>
        <c:crossesAt val="1"/>
        <c:crossBetween val="between"/>
        <c:majorUnit val="0.1"/>
      </c:valAx>
      <c:spPr>
        <a:ln w="12700">
          <a:solidFill>
            <a:schemeClr val="bg1">
              <a:lumMod val="65000"/>
            </a:schemeClr>
          </a:solidFill>
        </a:ln>
      </c:spPr>
    </c:plotArea>
    <c:legend>
      <c:legendPos val="t"/>
      <c:layout>
        <c:manualLayout>
          <c:xMode val="edge"/>
          <c:yMode val="edge"/>
          <c:x val="0.5697795531033073"/>
          <c:y val="0.20914712871351854"/>
          <c:w val="0.35554597701149399"/>
          <c:h val="0.12929336510395725"/>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9.8363888888888903E-2"/>
          <c:w val="0.87603874893057032"/>
          <c:h val="0.52488515372444544"/>
        </c:manualLayout>
      </c:layout>
      <c:barChart>
        <c:barDir val="col"/>
        <c:grouping val="clustered"/>
        <c:varyColors val="0"/>
        <c:ser>
          <c:idx val="0"/>
          <c:order val="0"/>
          <c:tx>
            <c:strRef>
              <c:f>F_EN!$C$152</c:f>
              <c:strCache>
                <c:ptCount val="1"/>
                <c:pt idx="0">
                  <c:v> Total</c:v>
                </c:pt>
              </c:strCache>
            </c:strRef>
          </c:tx>
          <c:spPr>
            <a:solidFill>
              <a:srgbClr val="009BB4"/>
            </a:solidFill>
          </c:spPr>
          <c:invertIfNegative val="0"/>
          <c:dPt>
            <c:idx val="8"/>
            <c:invertIfNegative val="0"/>
            <c:bubble3D val="0"/>
            <c:spPr>
              <a:solidFill>
                <a:srgbClr val="009BB4"/>
              </a:solidFill>
              <a:ln w="9525">
                <a:solidFill>
                  <a:srgbClr val="C00000"/>
                </a:solidFill>
              </a:ln>
            </c:spPr>
            <c:extLst>
              <c:ext xmlns:c16="http://schemas.microsoft.com/office/drawing/2014/chart" uri="{C3380CC4-5D6E-409C-BE32-E72D297353CC}">
                <c16:uniqueId val="{00000001-DDDC-4F2A-BA0B-710D16363533}"/>
              </c:ext>
            </c:extLst>
          </c:dPt>
          <c:dPt>
            <c:idx val="9"/>
            <c:invertIfNegative val="0"/>
            <c:bubble3D val="0"/>
            <c:extLst>
              <c:ext xmlns:c16="http://schemas.microsoft.com/office/drawing/2014/chart" uri="{C3380CC4-5D6E-409C-BE32-E72D297353CC}">
                <c16:uniqueId val="{00000002-DDDC-4F2A-BA0B-710D16363533}"/>
              </c:ext>
            </c:extLst>
          </c:dPt>
          <c:dPt>
            <c:idx val="16"/>
            <c:invertIfNegative val="0"/>
            <c:bubble3D val="0"/>
            <c:spPr>
              <a:solidFill>
                <a:srgbClr val="009BB4"/>
              </a:solidFill>
              <a:ln w="9525">
                <a:solidFill>
                  <a:srgbClr val="C00000"/>
                </a:solidFill>
              </a:ln>
            </c:spPr>
            <c:extLst>
              <c:ext xmlns:c16="http://schemas.microsoft.com/office/drawing/2014/chart" uri="{C3380CC4-5D6E-409C-BE32-E72D297353CC}">
                <c16:uniqueId val="{00000004-DDDC-4F2A-BA0B-710D16363533}"/>
              </c:ext>
            </c:extLst>
          </c:dPt>
          <c:dLbls>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F_EN!$B$153:$B$180</c:f>
              <c:strCache>
                <c:ptCount val="28"/>
                <c:pt idx="0">
                  <c:v>Netherlands</c:v>
                </c:pt>
                <c:pt idx="1">
                  <c:v>Denmark</c:v>
                </c:pt>
                <c:pt idx="2">
                  <c:v>Finland</c:v>
                </c:pt>
                <c:pt idx="3">
                  <c:v>Sweden</c:v>
                </c:pt>
                <c:pt idx="4">
                  <c:v>United Kingdom</c:v>
                </c:pt>
                <c:pt idx="5">
                  <c:v>Austria</c:v>
                </c:pt>
                <c:pt idx="6">
                  <c:v>Belgium</c:v>
                </c:pt>
                <c:pt idx="7">
                  <c:v>Slovenia</c:v>
                </c:pt>
                <c:pt idx="8">
                  <c:v>Czech Republic</c:v>
                </c:pt>
                <c:pt idx="9">
                  <c:v>Estonia</c:v>
                </c:pt>
                <c:pt idx="10">
                  <c:v>Slovakia</c:v>
                </c:pt>
                <c:pt idx="11">
                  <c:v>Lithuania</c:v>
                </c:pt>
                <c:pt idx="12">
                  <c:v>France</c:v>
                </c:pt>
                <c:pt idx="13">
                  <c:v>Germany</c:v>
                </c:pt>
                <c:pt idx="14">
                  <c:v>Malta</c:v>
                </c:pt>
                <c:pt idx="15">
                  <c:v>Greece</c:v>
                </c:pt>
                <c:pt idx="16">
                  <c:v>EU28</c:v>
                </c:pt>
                <c:pt idx="17">
                  <c:v>Portugal</c:v>
                </c:pt>
                <c:pt idx="18">
                  <c:v>Spain</c:v>
                </c:pt>
                <c:pt idx="19">
                  <c:v>Hungary</c:v>
                </c:pt>
                <c:pt idx="20">
                  <c:v>Ireland</c:v>
                </c:pt>
                <c:pt idx="21">
                  <c:v>Croatia</c:v>
                </c:pt>
                <c:pt idx="22">
                  <c:v>Latvia</c:v>
                </c:pt>
                <c:pt idx="23">
                  <c:v>Itálie</c:v>
                </c:pt>
                <c:pt idx="24">
                  <c:v>Poland</c:v>
                </c:pt>
                <c:pt idx="25">
                  <c:v>Cyprus</c:v>
                </c:pt>
                <c:pt idx="26">
                  <c:v>Bulgaria</c:v>
                </c:pt>
                <c:pt idx="27">
                  <c:v>Romania</c:v>
                </c:pt>
              </c:strCache>
            </c:strRef>
          </c:cat>
          <c:val>
            <c:numRef>
              <c:f>F_EN!$C$153:$C$180</c:f>
              <c:numCache>
                <c:formatCode>0%</c:formatCode>
                <c:ptCount val="28"/>
                <c:pt idx="0">
                  <c:v>0.56506100000000004</c:v>
                </c:pt>
                <c:pt idx="1">
                  <c:v>0.56348100000000001</c:v>
                </c:pt>
                <c:pt idx="2">
                  <c:v>0.51280700000000001</c:v>
                </c:pt>
                <c:pt idx="3">
                  <c:v>0.50621799999999995</c:v>
                </c:pt>
                <c:pt idx="4">
                  <c:v>0.49471900000000002</c:v>
                </c:pt>
                <c:pt idx="5">
                  <c:v>0.464283</c:v>
                </c:pt>
                <c:pt idx="6">
                  <c:v>0.45071</c:v>
                </c:pt>
                <c:pt idx="7">
                  <c:v>0.44696999999999998</c:v>
                </c:pt>
                <c:pt idx="8">
                  <c:v>0.44459599999999999</c:v>
                </c:pt>
                <c:pt idx="9">
                  <c:v>0.42618800000000001</c:v>
                </c:pt>
                <c:pt idx="10">
                  <c:v>0.41619499999999998</c:v>
                </c:pt>
                <c:pt idx="11">
                  <c:v>0.40876600000000002</c:v>
                </c:pt>
                <c:pt idx="12">
                  <c:v>0.40287899999999999</c:v>
                </c:pt>
                <c:pt idx="13">
                  <c:v>0.400422</c:v>
                </c:pt>
                <c:pt idx="14">
                  <c:v>0.38656099999999999</c:v>
                </c:pt>
                <c:pt idx="15">
                  <c:v>0.386347</c:v>
                </c:pt>
                <c:pt idx="16">
                  <c:v>0.38333400000000001</c:v>
                </c:pt>
                <c:pt idx="17">
                  <c:v>0.38005499999999998</c:v>
                </c:pt>
                <c:pt idx="18">
                  <c:v>0.35819400000000001</c:v>
                </c:pt>
                <c:pt idx="19">
                  <c:v>0.346086</c:v>
                </c:pt>
                <c:pt idx="20">
                  <c:v>0.34395700000000001</c:v>
                </c:pt>
                <c:pt idx="21">
                  <c:v>0.32145200000000002</c:v>
                </c:pt>
                <c:pt idx="22">
                  <c:v>0.30892599999999998</c:v>
                </c:pt>
                <c:pt idx="23">
                  <c:v>0.30704500000000001</c:v>
                </c:pt>
                <c:pt idx="24">
                  <c:v>0.28087699999999999</c:v>
                </c:pt>
                <c:pt idx="25">
                  <c:v>0.235231</c:v>
                </c:pt>
                <c:pt idx="26">
                  <c:v>0.163741</c:v>
                </c:pt>
                <c:pt idx="27">
                  <c:v>0.13734299999999999</c:v>
                </c:pt>
              </c:numCache>
            </c:numRef>
          </c:val>
          <c:extLst>
            <c:ext xmlns:c16="http://schemas.microsoft.com/office/drawing/2014/chart" uri="{C3380CC4-5D6E-409C-BE32-E72D297353CC}">
              <c16:uniqueId val="{00000005-DDDC-4F2A-BA0B-710D16363533}"/>
            </c:ext>
          </c:extLst>
        </c:ser>
        <c:dLbls>
          <c:showLegendKey val="0"/>
          <c:showVal val="0"/>
          <c:showCatName val="0"/>
          <c:showSerName val="0"/>
          <c:showPercent val="0"/>
          <c:showBubbleSize val="0"/>
        </c:dLbls>
        <c:gapWidth val="50"/>
        <c:axId val="201523712"/>
        <c:axId val="200652992"/>
      </c:barChart>
      <c:barChart>
        <c:barDir val="col"/>
        <c:grouping val="clustered"/>
        <c:varyColors val="0"/>
        <c:ser>
          <c:idx val="1"/>
          <c:order val="1"/>
          <c:tx>
            <c:strRef>
              <c:f>F_EN!$D$152</c:f>
              <c:strCache>
                <c:ptCount val="1"/>
                <c:pt idx="0">
                  <c:v> using advanced functions</c:v>
                </c:pt>
              </c:strCache>
            </c:strRef>
          </c:tx>
          <c:spPr>
            <a:solidFill>
              <a:srgbClr val="47E5FF"/>
            </a:solidFill>
            <a:ln w="28575">
              <a:noFill/>
            </a:ln>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F_EN!$B$153:$B$180</c:f>
              <c:strCache>
                <c:ptCount val="28"/>
                <c:pt idx="0">
                  <c:v>Netherlands</c:v>
                </c:pt>
                <c:pt idx="1">
                  <c:v>Denmark</c:v>
                </c:pt>
                <c:pt idx="2">
                  <c:v>Finland</c:v>
                </c:pt>
                <c:pt idx="3">
                  <c:v>Sweden</c:v>
                </c:pt>
                <c:pt idx="4">
                  <c:v>United Kingdom</c:v>
                </c:pt>
                <c:pt idx="5">
                  <c:v>Austria</c:v>
                </c:pt>
                <c:pt idx="6">
                  <c:v>Belgium</c:v>
                </c:pt>
                <c:pt idx="7">
                  <c:v>Slovenia</c:v>
                </c:pt>
                <c:pt idx="8">
                  <c:v>Czech Republic</c:v>
                </c:pt>
                <c:pt idx="9">
                  <c:v>Estonia</c:v>
                </c:pt>
                <c:pt idx="10">
                  <c:v>Slovakia</c:v>
                </c:pt>
                <c:pt idx="11">
                  <c:v>Lithuania</c:v>
                </c:pt>
                <c:pt idx="12">
                  <c:v>France</c:v>
                </c:pt>
                <c:pt idx="13">
                  <c:v>Germany</c:v>
                </c:pt>
                <c:pt idx="14">
                  <c:v>Malta</c:v>
                </c:pt>
                <c:pt idx="15">
                  <c:v>Greece</c:v>
                </c:pt>
                <c:pt idx="16">
                  <c:v>EU28</c:v>
                </c:pt>
                <c:pt idx="17">
                  <c:v>Portugal</c:v>
                </c:pt>
                <c:pt idx="18">
                  <c:v>Spain</c:v>
                </c:pt>
                <c:pt idx="19">
                  <c:v>Hungary</c:v>
                </c:pt>
                <c:pt idx="20">
                  <c:v>Ireland</c:v>
                </c:pt>
                <c:pt idx="21">
                  <c:v>Croatia</c:v>
                </c:pt>
                <c:pt idx="22">
                  <c:v>Latvia</c:v>
                </c:pt>
                <c:pt idx="23">
                  <c:v>Itálie</c:v>
                </c:pt>
                <c:pt idx="24">
                  <c:v>Poland</c:v>
                </c:pt>
                <c:pt idx="25">
                  <c:v>Cyprus</c:v>
                </c:pt>
                <c:pt idx="26">
                  <c:v>Bulgaria</c:v>
                </c:pt>
                <c:pt idx="27">
                  <c:v>Romania</c:v>
                </c:pt>
              </c:strCache>
            </c:strRef>
          </c:cat>
          <c:val>
            <c:numRef>
              <c:f>F_EN!$D$153:$D$180</c:f>
              <c:numCache>
                <c:formatCode>0%</c:formatCode>
                <c:ptCount val="28"/>
                <c:pt idx="0">
                  <c:v>0.35907299999999998</c:v>
                </c:pt>
                <c:pt idx="1">
                  <c:v>0.29679800000000001</c:v>
                </c:pt>
                <c:pt idx="2">
                  <c:v>0.33694000000000002</c:v>
                </c:pt>
                <c:pt idx="3">
                  <c:v>0.27637</c:v>
                </c:pt>
                <c:pt idx="4">
                  <c:v>0.33529999999999999</c:v>
                </c:pt>
                <c:pt idx="5">
                  <c:v>0.32829000000000003</c:v>
                </c:pt>
                <c:pt idx="6">
                  <c:v>0.21964500000000001</c:v>
                </c:pt>
                <c:pt idx="7">
                  <c:v>0.32390600000000003</c:v>
                </c:pt>
                <c:pt idx="8">
                  <c:v>0.188024</c:v>
                </c:pt>
                <c:pt idx="9">
                  <c:v>0.27877299999999999</c:v>
                </c:pt>
                <c:pt idx="10">
                  <c:v>0.215028</c:v>
                </c:pt>
                <c:pt idx="11">
                  <c:v>0.256411</c:v>
                </c:pt>
                <c:pt idx="12">
                  <c:v>0.267876</c:v>
                </c:pt>
                <c:pt idx="13">
                  <c:v>0.33147900000000002</c:v>
                </c:pt>
                <c:pt idx="14">
                  <c:v>0.313413</c:v>
                </c:pt>
                <c:pt idx="15">
                  <c:v>0.178812</c:v>
                </c:pt>
                <c:pt idx="16">
                  <c:v>0.25299700000000003</c:v>
                </c:pt>
                <c:pt idx="17">
                  <c:v>0.32069599999999998</c:v>
                </c:pt>
                <c:pt idx="18">
                  <c:v>0.22451699999999999</c:v>
                </c:pt>
                <c:pt idx="19">
                  <c:v>0.23792099999999999</c:v>
                </c:pt>
                <c:pt idx="20">
                  <c:v>0.19538</c:v>
                </c:pt>
                <c:pt idx="21">
                  <c:v>0.12981400000000001</c:v>
                </c:pt>
                <c:pt idx="22">
                  <c:v>0.208256</c:v>
                </c:pt>
                <c:pt idx="23">
                  <c:v>0.20390800000000001</c:v>
                </c:pt>
                <c:pt idx="24">
                  <c:v>0.13125999999999999</c:v>
                </c:pt>
                <c:pt idx="25">
                  <c:v>0.12402000000000001</c:v>
                </c:pt>
                <c:pt idx="26">
                  <c:v>9.1411999999999993E-2</c:v>
                </c:pt>
                <c:pt idx="27">
                  <c:v>8.4201999999999999E-2</c:v>
                </c:pt>
              </c:numCache>
            </c:numRef>
          </c:val>
          <c:extLst>
            <c:ext xmlns:c16="http://schemas.microsoft.com/office/drawing/2014/chart" uri="{C3380CC4-5D6E-409C-BE32-E72D297353CC}">
              <c16:uniqueId val="{00000006-DDDC-4F2A-BA0B-710D16363533}"/>
            </c:ext>
          </c:extLst>
        </c:ser>
        <c:dLbls>
          <c:showLegendKey val="0"/>
          <c:showVal val="0"/>
          <c:showCatName val="0"/>
          <c:showSerName val="0"/>
          <c:showPercent val="0"/>
          <c:showBubbleSize val="0"/>
        </c:dLbls>
        <c:gapWidth val="201"/>
        <c:axId val="201526272"/>
        <c:axId val="200653568"/>
      </c:barChart>
      <c:catAx>
        <c:axId val="201523712"/>
        <c:scaling>
          <c:orientation val="minMax"/>
        </c:scaling>
        <c:delete val="0"/>
        <c:axPos val="b"/>
        <c:numFmt formatCode="General" sourceLinked="1"/>
        <c:majorTickMark val="out"/>
        <c:minorTickMark val="none"/>
        <c:tickLblPos val="nextTo"/>
        <c:spPr>
          <a:ln w="3175">
            <a:solidFill>
              <a:schemeClr val="tx1"/>
            </a:solidFill>
          </a:ln>
        </c:spPr>
        <c:crossAx val="200652992"/>
        <c:crosses val="autoZero"/>
        <c:auto val="1"/>
        <c:lblAlgn val="ctr"/>
        <c:lblOffset val="100"/>
        <c:noMultiLvlLbl val="0"/>
      </c:catAx>
      <c:valAx>
        <c:axId val="200652992"/>
        <c:scaling>
          <c:orientation val="minMax"/>
          <c:max val="1"/>
          <c:min val="0"/>
        </c:scaling>
        <c:delete val="1"/>
        <c:axPos val="l"/>
        <c:numFmt formatCode="0%" sourceLinked="1"/>
        <c:majorTickMark val="out"/>
        <c:minorTickMark val="none"/>
        <c:tickLblPos val="nextTo"/>
        <c:crossAx val="201523712"/>
        <c:crosses val="autoZero"/>
        <c:crossBetween val="between"/>
        <c:majorUnit val="0.1"/>
        <c:minorUnit val="0.05"/>
      </c:valAx>
      <c:valAx>
        <c:axId val="200653568"/>
        <c:scaling>
          <c:orientation val="minMax"/>
          <c:max val="1"/>
        </c:scaling>
        <c:delete val="0"/>
        <c:axPos val="r"/>
        <c:numFmt formatCode="0%" sourceLinked="1"/>
        <c:majorTickMark val="none"/>
        <c:minorTickMark val="none"/>
        <c:tickLblPos val="nextTo"/>
        <c:txPr>
          <a:bodyPr/>
          <a:lstStyle/>
          <a:p>
            <a:pPr>
              <a:defRPr>
                <a:solidFill>
                  <a:schemeClr val="bg1"/>
                </a:solidFill>
              </a:defRPr>
            </a:pPr>
            <a:endParaRPr lang="cs-CZ"/>
          </a:p>
        </c:txPr>
        <c:crossAx val="201526272"/>
        <c:crosses val="max"/>
        <c:crossBetween val="between"/>
        <c:majorUnit val="0.1"/>
      </c:valAx>
      <c:catAx>
        <c:axId val="201526272"/>
        <c:scaling>
          <c:orientation val="minMax"/>
        </c:scaling>
        <c:delete val="1"/>
        <c:axPos val="b"/>
        <c:numFmt formatCode="General" sourceLinked="0"/>
        <c:majorTickMark val="out"/>
        <c:minorTickMark val="none"/>
        <c:tickLblPos val="nextTo"/>
        <c:crossAx val="2006535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5125821827744901"/>
          <c:y val="0.18348734567901201"/>
          <c:w val="0.25578911900065698"/>
          <c:h val="0.116382098765432"/>
        </c:manualLayout>
      </c:layout>
      <c:overlay val="0"/>
      <c:spPr>
        <a:solidFill>
          <a:schemeClr val="bg1"/>
        </a:solidFill>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6E-2"/>
          <c:y val="0.15064223095785001"/>
          <c:w val="0.95675548296401047"/>
          <c:h val="0.61905869854780005"/>
        </c:manualLayout>
      </c:layout>
      <c:barChart>
        <c:barDir val="col"/>
        <c:grouping val="clustered"/>
        <c:varyColors val="0"/>
        <c:ser>
          <c:idx val="2"/>
          <c:order val="0"/>
          <c:tx>
            <c:strRef>
              <c:f>F_EN!$B$188</c:f>
              <c:strCache>
                <c:ptCount val="1"/>
                <c:pt idx="0">
                  <c:v>  Thous. students</c:v>
                </c:pt>
              </c:strCache>
            </c:strRef>
          </c:tx>
          <c:spPr>
            <a:solidFill>
              <a:srgbClr val="009BB4"/>
            </a:solidFill>
            <a:ln w="25400">
              <a:noFill/>
            </a:ln>
          </c:spPr>
          <c:invertIfNegative val="0"/>
          <c:dLbls>
            <c:numFmt formatCode="#,##0.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F_EN!$C$187:$N$187</c:f>
              <c:numCache>
                <c:formatCode>@</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F_EN!$C$188:$N$188</c:f>
              <c:numCache>
                <c:formatCode>#,##0.0</c:formatCode>
                <c:ptCount val="12"/>
                <c:pt idx="0">
                  <c:v>13.815</c:v>
                </c:pt>
                <c:pt idx="1">
                  <c:v>15.494</c:v>
                </c:pt>
                <c:pt idx="2">
                  <c:v>17.245000000000001</c:v>
                </c:pt>
                <c:pt idx="3">
                  <c:v>18.135000000000009</c:v>
                </c:pt>
                <c:pt idx="4">
                  <c:v>18.951000000000001</c:v>
                </c:pt>
                <c:pt idx="5">
                  <c:v>19.762</c:v>
                </c:pt>
                <c:pt idx="6">
                  <c:v>19.734999999999999</c:v>
                </c:pt>
                <c:pt idx="7">
                  <c:v>19.594999999999999</c:v>
                </c:pt>
                <c:pt idx="8">
                  <c:v>19.260999999999999</c:v>
                </c:pt>
                <c:pt idx="9">
                  <c:v>18.175000000000001</c:v>
                </c:pt>
                <c:pt idx="10">
                  <c:v>17.757000000000001</c:v>
                </c:pt>
                <c:pt idx="11">
                  <c:v>17.251000000000001</c:v>
                </c:pt>
              </c:numCache>
            </c:numRef>
          </c:val>
          <c:extLst>
            <c:ext xmlns:c16="http://schemas.microsoft.com/office/drawing/2014/chart" uri="{C3380CC4-5D6E-409C-BE32-E72D297353CC}">
              <c16:uniqueId val="{00000000-61C7-4719-B32D-C1BF44CF2CF4}"/>
            </c:ext>
          </c:extLst>
        </c:ser>
        <c:dLbls>
          <c:showLegendKey val="0"/>
          <c:showVal val="0"/>
          <c:showCatName val="0"/>
          <c:showSerName val="0"/>
          <c:showPercent val="0"/>
          <c:showBubbleSize val="0"/>
        </c:dLbls>
        <c:gapWidth val="50"/>
        <c:axId val="201205248"/>
        <c:axId val="201736768"/>
      </c:barChart>
      <c:lineChart>
        <c:grouping val="standard"/>
        <c:varyColors val="0"/>
        <c:ser>
          <c:idx val="0"/>
          <c:order val="1"/>
          <c:tx>
            <c:strRef>
              <c:f>F_EN!$B$189</c:f>
              <c:strCache>
                <c:ptCount val="1"/>
                <c:pt idx="0">
                  <c:v>  % of all university students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1C7-4719-B32D-C1BF44CF2CF4}"/>
                </c:ext>
              </c:extLst>
            </c:dLbl>
            <c:dLbl>
              <c:idx val="1"/>
              <c:layout>
                <c:manualLayout>
                  <c:x val="-7.0608854243054395E-2"/>
                  <c:y val="6.82092818626898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1C7-4719-B32D-C1BF44CF2CF4}"/>
                </c:ext>
              </c:extLst>
            </c:dLbl>
            <c:dLbl>
              <c:idx val="3"/>
              <c:layout>
                <c:manualLayout>
                  <c:x val="-7.0608854243054395E-2"/>
                  <c:y val="3.38253277079619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C7-4719-B32D-C1BF44CF2CF4}"/>
                </c:ext>
              </c:extLst>
            </c:dLbl>
            <c:dLbl>
              <c:idx val="5"/>
              <c:layout>
                <c:manualLayout>
                  <c:x val="-6.6712118357676195E-2"/>
                  <c:y val="3.9555986733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C7-4719-B32D-C1BF44CF2CF4}"/>
                </c:ext>
              </c:extLst>
            </c:dLbl>
            <c:dLbl>
              <c:idx val="7"/>
              <c:layout>
                <c:manualLayout>
                  <c:x val="-6.6712118357676195E-2"/>
                  <c:y val="5.1017304785325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C7-4719-B32D-C1BF44CF2CF4}"/>
                </c:ext>
              </c:extLst>
            </c:dLbl>
            <c:dLbl>
              <c:idx val="9"/>
              <c:layout>
                <c:manualLayout>
                  <c:x val="-7.8402326013811197E-2"/>
                  <c:y val="3.9555986733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C7-4719-B32D-C1BF44CF2CF4}"/>
                </c:ext>
              </c:extLst>
            </c:dLbl>
            <c:dLbl>
              <c:idx val="11"/>
              <c:layout>
                <c:manualLayout>
                  <c:x val="-7.8402326013811002E-2"/>
                  <c:y val="6.82092818626896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C7-4719-B32D-C1BF44CF2CF4}"/>
                </c:ext>
              </c:extLst>
            </c:dLbl>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F_EN!$C$187:$N$187</c:f>
              <c:numCache>
                <c:formatCode>@</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F_EN!$C$189:$N$189</c:f>
              <c:numCache>
                <c:formatCode>0.0%</c:formatCode>
                <c:ptCount val="12"/>
                <c:pt idx="0">
                  <c:v>4.8000000000000001E-2</c:v>
                </c:pt>
                <c:pt idx="1">
                  <c:v>4.9000000000000002E-2</c:v>
                </c:pt>
                <c:pt idx="2">
                  <c:v>0.05</c:v>
                </c:pt>
                <c:pt idx="3">
                  <c:v>4.9000000000000002E-2</c:v>
                </c:pt>
                <c:pt idx="4">
                  <c:v>4.9000000000000002E-2</c:v>
                </c:pt>
                <c:pt idx="5">
                  <c:v>0.05</c:v>
                </c:pt>
                <c:pt idx="6">
                  <c:v>0.05</c:v>
                </c:pt>
                <c:pt idx="7">
                  <c:v>5.0999999999999997E-2</c:v>
                </c:pt>
                <c:pt idx="8">
                  <c:v>5.1999999999999998E-2</c:v>
                </c:pt>
                <c:pt idx="9">
                  <c:v>5.1999999999999998E-2</c:v>
                </c:pt>
                <c:pt idx="10">
                  <c:v>5.3999999999999999E-2</c:v>
                </c:pt>
                <c:pt idx="11">
                  <c:v>5.5404072999999998E-2</c:v>
                </c:pt>
              </c:numCache>
            </c:numRef>
          </c:val>
          <c:smooth val="0"/>
          <c:extLst>
            <c:ext xmlns:c16="http://schemas.microsoft.com/office/drawing/2014/chart" uri="{C3380CC4-5D6E-409C-BE32-E72D297353CC}">
              <c16:uniqueId val="{00000008-61C7-4719-B32D-C1BF44CF2CF4}"/>
            </c:ext>
          </c:extLst>
        </c:ser>
        <c:dLbls>
          <c:showLegendKey val="0"/>
          <c:showVal val="0"/>
          <c:showCatName val="0"/>
          <c:showSerName val="0"/>
          <c:showPercent val="0"/>
          <c:showBubbleSize val="0"/>
        </c:dLbls>
        <c:marker val="1"/>
        <c:smooth val="0"/>
        <c:axId val="201206784"/>
        <c:axId val="201737344"/>
      </c:lineChart>
      <c:catAx>
        <c:axId val="201205248"/>
        <c:scaling>
          <c:orientation val="minMax"/>
        </c:scaling>
        <c:delete val="0"/>
        <c:axPos val="b"/>
        <c:numFmt formatCode="@" sourceLinked="1"/>
        <c:majorTickMark val="out"/>
        <c:minorTickMark val="none"/>
        <c:tickLblPos val="nextTo"/>
        <c:spPr>
          <a:ln w="3175">
            <a:solidFill>
              <a:srgbClr val="000000"/>
            </a:solidFill>
            <a:prstDash val="solid"/>
          </a:ln>
        </c:spPr>
        <c:txPr>
          <a:bodyPr rot="-5400000" vert="horz"/>
          <a:lstStyle/>
          <a:p>
            <a:pPr>
              <a:defRPr/>
            </a:pPr>
            <a:endParaRPr lang="cs-CZ"/>
          </a:p>
        </c:txPr>
        <c:crossAx val="201736768"/>
        <c:crosses val="autoZero"/>
        <c:auto val="1"/>
        <c:lblAlgn val="ctr"/>
        <c:lblOffset val="140"/>
        <c:tickLblSkip val="1"/>
        <c:tickMarkSkip val="1"/>
        <c:noMultiLvlLbl val="0"/>
      </c:catAx>
      <c:valAx>
        <c:axId val="201736768"/>
        <c:scaling>
          <c:orientation val="minMax"/>
          <c:max val="35"/>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205248"/>
        <c:crosses val="autoZero"/>
        <c:crossBetween val="between"/>
        <c:majorUnit val="5"/>
        <c:minorUnit val="0.02"/>
      </c:valAx>
      <c:valAx>
        <c:axId val="201737344"/>
        <c:scaling>
          <c:orientation val="minMax"/>
          <c:max val="7.4999999999999997E-2"/>
          <c:min val="0"/>
        </c:scaling>
        <c:delete val="0"/>
        <c:axPos val="r"/>
        <c:numFmt formatCode="0.0%" sourceLinked="1"/>
        <c:majorTickMark val="none"/>
        <c:minorTickMark val="none"/>
        <c:tickLblPos val="none"/>
        <c:txPr>
          <a:bodyPr/>
          <a:lstStyle/>
          <a:p>
            <a:pPr>
              <a:defRPr>
                <a:solidFill>
                  <a:schemeClr val="bg1"/>
                </a:solidFill>
              </a:defRPr>
            </a:pPr>
            <a:endParaRPr lang="cs-CZ"/>
          </a:p>
        </c:txPr>
        <c:crossAx val="201206784"/>
        <c:crosses val="max"/>
        <c:crossBetween val="between"/>
        <c:majorUnit val="5.000000000000001E-3"/>
      </c:valAx>
      <c:catAx>
        <c:axId val="201206784"/>
        <c:scaling>
          <c:orientation val="minMax"/>
        </c:scaling>
        <c:delete val="1"/>
        <c:axPos val="b"/>
        <c:numFmt formatCode="@" sourceLinked="1"/>
        <c:majorTickMark val="out"/>
        <c:minorTickMark val="none"/>
        <c:tickLblPos val="nextTo"/>
        <c:crossAx val="201737344"/>
        <c:crosses val="autoZero"/>
        <c:auto val="1"/>
        <c:lblAlgn val="ctr"/>
        <c:lblOffset val="100"/>
        <c:noMultiLvlLbl val="0"/>
      </c:catAx>
      <c:spPr>
        <a:noFill/>
        <a:ln w="12700">
          <a:solidFill>
            <a:srgbClr val="A6A6A6"/>
          </a:solidFill>
          <a:prstDash val="solid"/>
        </a:ln>
      </c:spPr>
    </c:plotArea>
    <c:legend>
      <c:legendPos val="t"/>
      <c:layout>
        <c:manualLayout>
          <c:xMode val="edge"/>
          <c:yMode val="edge"/>
          <c:x val="2.86264216972878E-2"/>
          <c:y val="0.15877828951175199"/>
          <c:w val="0.84321467823700602"/>
          <c:h val="8.0909234483225401E-2"/>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Arial CE"/>
          <a:cs typeface="Arial" panose="020B0604020202020204" pitchFamily="34" charset="0"/>
        </a:defRPr>
      </a:pPr>
      <a:endParaRPr lang="cs-CZ"/>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F14 University students of ICT field of education in the Czech Republic by sex (%)</a:t>
            </a:r>
            <a:endParaRPr lang="en-US" sz="800" b="1"/>
          </a:p>
        </c:rich>
      </c:tx>
      <c:layout>
        <c:manualLayout>
          <c:xMode val="edge"/>
          <c:yMode val="edge"/>
          <c:x val="0.139067155067155"/>
          <c:y val="2.3031028417024799E-2"/>
        </c:manualLayout>
      </c:layout>
      <c:overlay val="1"/>
    </c:title>
    <c:autoTitleDeleted val="0"/>
    <c:plotArea>
      <c:layout>
        <c:manualLayout>
          <c:layoutTarget val="inner"/>
          <c:xMode val="edge"/>
          <c:yMode val="edge"/>
          <c:x val="0.149256459221667"/>
          <c:y val="0.20698003373048299"/>
          <c:w val="0.81924189708844497"/>
          <c:h val="0.63598317102805402"/>
        </c:manualLayout>
      </c:layout>
      <c:barChart>
        <c:barDir val="bar"/>
        <c:grouping val="stacked"/>
        <c:varyColors val="0"/>
        <c:ser>
          <c:idx val="0"/>
          <c:order val="0"/>
          <c:tx>
            <c:strRef>
              <c:f>F_EN!$B$199</c:f>
              <c:strCache>
                <c:ptCount val="1"/>
                <c:pt idx="0">
                  <c:v> Males</c:v>
                </c:pt>
              </c:strCache>
            </c:strRef>
          </c:tx>
          <c:spPr>
            <a:solidFill>
              <a:srgbClr val="009BB4"/>
            </a:solidFill>
          </c:spPr>
          <c:invertIfNegative val="0"/>
          <c:dLbls>
            <c:numFmt formatCode="0%" sourceLinked="0"/>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F_EN!$C$198:$F$198</c:f>
              <c:numCache>
                <c:formatCode>0</c:formatCode>
                <c:ptCount val="4"/>
                <c:pt idx="0">
                  <c:v>2005</c:v>
                </c:pt>
                <c:pt idx="1">
                  <c:v>2010</c:v>
                </c:pt>
                <c:pt idx="2">
                  <c:v>2015</c:v>
                </c:pt>
                <c:pt idx="3">
                  <c:v>2016</c:v>
                </c:pt>
              </c:numCache>
            </c:numRef>
          </c:cat>
          <c:val>
            <c:numRef>
              <c:f>F_EN!$C$199:$F$199</c:f>
              <c:numCache>
                <c:formatCode>0.0%</c:formatCode>
                <c:ptCount val="4"/>
                <c:pt idx="0">
                  <c:v>0.88900000000000001</c:v>
                </c:pt>
                <c:pt idx="1">
                  <c:v>0.88600000000000001</c:v>
                </c:pt>
                <c:pt idx="2">
                  <c:v>0.85399999999999998</c:v>
                </c:pt>
                <c:pt idx="3">
                  <c:v>0.84299999999999997</c:v>
                </c:pt>
              </c:numCache>
            </c:numRef>
          </c:val>
          <c:extLst>
            <c:ext xmlns:c16="http://schemas.microsoft.com/office/drawing/2014/chart" uri="{C3380CC4-5D6E-409C-BE32-E72D297353CC}">
              <c16:uniqueId val="{00000000-13CB-42DB-B6C3-9D69021FEB5F}"/>
            </c:ext>
          </c:extLst>
        </c:ser>
        <c:ser>
          <c:idx val="2"/>
          <c:order val="1"/>
          <c:tx>
            <c:strRef>
              <c:f>F_EN!$B$200</c:f>
              <c:strCache>
                <c:ptCount val="1"/>
                <c:pt idx="0">
                  <c:v> Females</c:v>
                </c:pt>
              </c:strCache>
            </c:strRef>
          </c:tx>
          <c:spPr>
            <a:solidFill>
              <a:srgbClr val="47E5FF"/>
            </a:solidFill>
          </c:spPr>
          <c:invertIfNegative val="0"/>
          <c:dLbls>
            <c:numFmt formatCode="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F_EN!$C$198:$F$198</c:f>
              <c:numCache>
                <c:formatCode>0</c:formatCode>
                <c:ptCount val="4"/>
                <c:pt idx="0">
                  <c:v>2005</c:v>
                </c:pt>
                <c:pt idx="1">
                  <c:v>2010</c:v>
                </c:pt>
                <c:pt idx="2">
                  <c:v>2015</c:v>
                </c:pt>
                <c:pt idx="3">
                  <c:v>2016</c:v>
                </c:pt>
              </c:numCache>
            </c:numRef>
          </c:cat>
          <c:val>
            <c:numRef>
              <c:f>F_EN!$C$200:$F$200</c:f>
              <c:numCache>
                <c:formatCode>0.0%</c:formatCode>
                <c:ptCount val="4"/>
                <c:pt idx="0">
                  <c:v>0.111</c:v>
                </c:pt>
                <c:pt idx="1">
                  <c:v>0.114</c:v>
                </c:pt>
                <c:pt idx="2">
                  <c:v>0.14599999999999999</c:v>
                </c:pt>
                <c:pt idx="3">
                  <c:v>0.157</c:v>
                </c:pt>
              </c:numCache>
            </c:numRef>
          </c:val>
          <c:extLst>
            <c:ext xmlns:c16="http://schemas.microsoft.com/office/drawing/2014/chart" uri="{C3380CC4-5D6E-409C-BE32-E72D297353CC}">
              <c16:uniqueId val="{00000001-13CB-42DB-B6C3-9D69021FEB5F}"/>
            </c:ext>
          </c:extLst>
        </c:ser>
        <c:dLbls>
          <c:showLegendKey val="0"/>
          <c:showVal val="0"/>
          <c:showCatName val="0"/>
          <c:showSerName val="0"/>
          <c:showPercent val="0"/>
          <c:showBubbleSize val="0"/>
        </c:dLbls>
        <c:gapWidth val="50"/>
        <c:overlap val="100"/>
        <c:axId val="201205760"/>
        <c:axId val="201739072"/>
      </c:barChart>
      <c:catAx>
        <c:axId val="201205760"/>
        <c:scaling>
          <c:orientation val="minMax"/>
        </c:scaling>
        <c:delete val="0"/>
        <c:axPos val="l"/>
        <c:numFmt formatCode="0" sourceLinked="1"/>
        <c:majorTickMark val="out"/>
        <c:minorTickMark val="none"/>
        <c:tickLblPos val="nextTo"/>
        <c:spPr>
          <a:ln w="3175">
            <a:solidFill>
              <a:schemeClr val="tx1"/>
            </a:solidFill>
          </a:ln>
        </c:spPr>
        <c:crossAx val="201739072"/>
        <c:crosses val="autoZero"/>
        <c:auto val="1"/>
        <c:lblAlgn val="ctr"/>
        <c:lblOffset val="100"/>
        <c:noMultiLvlLbl val="0"/>
      </c:catAx>
      <c:valAx>
        <c:axId val="201739072"/>
        <c:scaling>
          <c:orientation val="minMax"/>
          <c:max val="1"/>
          <c:min val="0"/>
        </c:scaling>
        <c:delete val="0"/>
        <c:axPos val="b"/>
        <c:numFmt formatCode="0.0%" sourceLinked="1"/>
        <c:majorTickMark val="none"/>
        <c:minorTickMark val="none"/>
        <c:tickLblPos val="none"/>
        <c:crossAx val="201205760"/>
        <c:crosses val="autoZero"/>
        <c:crossBetween val="between"/>
        <c:majorUnit val="0.25"/>
        <c:minorUnit val="0.05"/>
      </c:valAx>
      <c:spPr>
        <a:ln w="12700">
          <a:solidFill>
            <a:schemeClr val="bg1">
              <a:lumMod val="65000"/>
            </a:schemeClr>
          </a:solidFill>
        </a:ln>
      </c:spPr>
    </c:plotArea>
    <c:legend>
      <c:legendPos val="t"/>
      <c:layout>
        <c:manualLayout>
          <c:xMode val="edge"/>
          <c:yMode val="edge"/>
          <c:x val="0.24395689655172401"/>
          <c:y val="0.124367553451934"/>
          <c:w val="0.56546200510855704"/>
          <c:h val="6.3775637886948497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Figure F16 Earnings</a:t>
            </a:r>
            <a:r>
              <a:rPr lang="cs-CZ" sz="800" baseline="0"/>
              <a:t> of men and women ICT specialists in the Czech Republic</a:t>
            </a:r>
            <a:endParaRPr lang="cs-CZ" sz="800"/>
          </a:p>
        </c:rich>
      </c:tx>
      <c:layout>
        <c:manualLayout>
          <c:xMode val="edge"/>
          <c:yMode val="edge"/>
          <c:x val="8.5672527235465396E-2"/>
          <c:y val="9.2028807817707906E-3"/>
        </c:manualLayout>
      </c:layout>
      <c:overlay val="0"/>
    </c:title>
    <c:autoTitleDeleted val="0"/>
    <c:plotArea>
      <c:layout>
        <c:manualLayout>
          <c:layoutTarget val="inner"/>
          <c:xMode val="edge"/>
          <c:yMode val="edge"/>
          <c:x val="2.8070165098249299E-2"/>
          <c:y val="0.31249709892660299"/>
          <c:w val="0.94448243933588805"/>
          <c:h val="0.436413548012765"/>
        </c:manualLayout>
      </c:layout>
      <c:barChart>
        <c:barDir val="col"/>
        <c:grouping val="clustered"/>
        <c:varyColors val="0"/>
        <c:ser>
          <c:idx val="0"/>
          <c:order val="0"/>
          <c:tx>
            <c:strRef>
              <c:f>F_EN!$A$223</c:f>
              <c:strCache>
                <c:ptCount val="1"/>
                <c:pt idx="0">
                  <c:v> Average gross monthly earnings (wage) in thous. CZK</c:v>
                </c:pt>
              </c:strCache>
            </c:strRef>
          </c:tx>
          <c:spPr>
            <a:solidFill>
              <a:srgbClr val="009BB4"/>
            </a:solidFill>
          </c:spPr>
          <c:invertIfNegative val="0"/>
          <c:dPt>
            <c:idx val="3"/>
            <c:invertIfNegative val="0"/>
            <c:bubble3D val="0"/>
            <c:spPr>
              <a:solidFill>
                <a:srgbClr val="ABF3FF"/>
              </a:solidFill>
            </c:spPr>
            <c:extLst>
              <c:ext xmlns:c16="http://schemas.microsoft.com/office/drawing/2014/chart" uri="{C3380CC4-5D6E-409C-BE32-E72D297353CC}">
                <c16:uniqueId val="{00000001-47BB-4000-BCBD-68AD5CB2E001}"/>
              </c:ext>
            </c:extLst>
          </c:dPt>
          <c:dPt>
            <c:idx val="4"/>
            <c:invertIfNegative val="0"/>
            <c:bubble3D val="0"/>
            <c:spPr>
              <a:solidFill>
                <a:srgbClr val="ABF3FF"/>
              </a:solidFill>
            </c:spPr>
            <c:extLst>
              <c:ext xmlns:c16="http://schemas.microsoft.com/office/drawing/2014/chart" uri="{C3380CC4-5D6E-409C-BE32-E72D297353CC}">
                <c16:uniqueId val="{00000003-47BB-4000-BCBD-68AD5CB2E001}"/>
              </c:ext>
            </c:extLst>
          </c:dPt>
          <c:dPt>
            <c:idx val="5"/>
            <c:invertIfNegative val="0"/>
            <c:bubble3D val="0"/>
            <c:spPr>
              <a:solidFill>
                <a:srgbClr val="ABF3FF"/>
              </a:solidFill>
            </c:spPr>
            <c:extLst>
              <c:ext xmlns:c16="http://schemas.microsoft.com/office/drawing/2014/chart" uri="{C3380CC4-5D6E-409C-BE32-E72D297353CC}">
                <c16:uniqueId val="{00000005-47BB-4000-BCBD-68AD5CB2E001}"/>
              </c:ext>
            </c:extLst>
          </c:dPt>
          <c:dLbls>
            <c:dLbl>
              <c:idx val="0"/>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6-47BB-4000-BCBD-68AD5CB2E001}"/>
                </c:ext>
              </c:extLst>
            </c:dLbl>
            <c:dLbl>
              <c:idx val="1"/>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7-47BB-4000-BCBD-68AD5CB2E001}"/>
                </c:ext>
              </c:extLst>
            </c:dLbl>
            <c:dLbl>
              <c:idx val="2"/>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8-47BB-4000-BCBD-68AD5CB2E001}"/>
                </c:ext>
              </c:extLst>
            </c:dLbl>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F_EN!$B$221:$G$222</c:f>
              <c:multiLvlStrCache>
                <c:ptCount val="6"/>
                <c:lvl>
                  <c:pt idx="0">
                    <c:v>2014</c:v>
                  </c:pt>
                  <c:pt idx="1">
                    <c:v>2015</c:v>
                  </c:pt>
                  <c:pt idx="2">
                    <c:v>2016</c:v>
                  </c:pt>
                  <c:pt idx="3">
                    <c:v>2014</c:v>
                  </c:pt>
                  <c:pt idx="4">
                    <c:v>2015</c:v>
                  </c:pt>
                  <c:pt idx="5">
                    <c:v>2016</c:v>
                  </c:pt>
                </c:lvl>
                <c:lvl>
                  <c:pt idx="0">
                    <c:v>Men ICT professionals</c:v>
                  </c:pt>
                  <c:pt idx="3">
                    <c:v>Women ICT professionals</c:v>
                  </c:pt>
                </c:lvl>
              </c:multiLvlStrCache>
            </c:multiLvlStrRef>
          </c:cat>
          <c:val>
            <c:numRef>
              <c:f>F_EN!$B$223:$G$223</c:f>
              <c:numCache>
                <c:formatCode>#,##0.0</c:formatCode>
                <c:ptCount val="6"/>
                <c:pt idx="0">
                  <c:v>50.206460900000003</c:v>
                </c:pt>
                <c:pt idx="1">
                  <c:v>52.296331700000003</c:v>
                </c:pt>
                <c:pt idx="2">
                  <c:v>54.325000000000003</c:v>
                </c:pt>
                <c:pt idx="3">
                  <c:v>42.380536399999997</c:v>
                </c:pt>
                <c:pt idx="4">
                  <c:v>43.700932299999998</c:v>
                </c:pt>
                <c:pt idx="5">
                  <c:v>45.369</c:v>
                </c:pt>
              </c:numCache>
            </c:numRef>
          </c:val>
          <c:extLst>
            <c:ext xmlns:c16="http://schemas.microsoft.com/office/drawing/2014/chart" uri="{C3380CC4-5D6E-409C-BE32-E72D297353CC}">
              <c16:uniqueId val="{00000009-47BB-4000-BCBD-68AD5CB2E001}"/>
            </c:ext>
          </c:extLst>
        </c:ser>
        <c:dLbls>
          <c:showLegendKey val="0"/>
          <c:showVal val="0"/>
          <c:showCatName val="0"/>
          <c:showSerName val="0"/>
          <c:showPercent val="0"/>
          <c:showBubbleSize val="0"/>
        </c:dLbls>
        <c:gapWidth val="40"/>
        <c:axId val="201323520"/>
        <c:axId val="201743104"/>
      </c:barChart>
      <c:scatterChart>
        <c:scatterStyle val="lineMarker"/>
        <c:varyColors val="0"/>
        <c:ser>
          <c:idx val="1"/>
          <c:order val="1"/>
          <c:tx>
            <c:strRef>
              <c:f>F_EN!$A$224</c:f>
              <c:strCache>
                <c:ptCount val="1"/>
                <c:pt idx="0">
                  <c:v> as % of average gross monthly earnings of all men and women workers</c:v>
                </c:pt>
              </c:strCache>
            </c:strRef>
          </c:tx>
          <c:spPr>
            <a:ln w="28575">
              <a:noFill/>
            </a:ln>
          </c:spPr>
          <c:marker>
            <c:symbol val="triangle"/>
            <c:size val="5"/>
            <c:spPr>
              <a:solidFill>
                <a:srgbClr val="47E5FF"/>
              </a:solidFill>
              <a:ln>
                <a:noFill/>
              </a:ln>
            </c:spPr>
          </c:marker>
          <c:dLbls>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xVal>
            <c:multiLvlStrRef>
              <c:f>[IS2018_Grafy_Shrnutí_F.xlsx]F_EN!$B$221:$G$222</c:f>
              <c:multiLvlStrCache>
                <c:ptCount val="6"/>
                <c:lvl>
                  <c:pt idx="0">
                    <c:v>2014</c:v>
                  </c:pt>
                  <c:pt idx="1">
                    <c:v>2015</c:v>
                  </c:pt>
                  <c:pt idx="2">
                    <c:v>2016</c:v>
                  </c:pt>
                  <c:pt idx="3">
                    <c:v>2014</c:v>
                  </c:pt>
                  <c:pt idx="4">
                    <c:v>2015</c:v>
                  </c:pt>
                  <c:pt idx="5">
                    <c:v>2016</c:v>
                  </c:pt>
                </c:lvl>
                <c:lvl>
                  <c:pt idx="0">
                    <c:v>Men ICT professionals</c:v>
                  </c:pt>
                  <c:pt idx="3">
                    <c:v>Women ICT professionals</c:v>
                  </c:pt>
                </c:lvl>
              </c:multiLvlStrCache>
            </c:multiLvlStrRef>
          </c:xVal>
          <c:yVal>
            <c:numRef>
              <c:f>F_EN!$B$224:$G$224</c:f>
              <c:numCache>
                <c:formatCode>0%</c:formatCode>
                <c:ptCount val="6"/>
                <c:pt idx="0">
                  <c:v>1.689258803539585</c:v>
                </c:pt>
                <c:pt idx="1">
                  <c:v>1.6956206374424481</c:v>
                </c:pt>
                <c:pt idx="2">
                  <c:v>1.690571273417564</c:v>
                </c:pt>
                <c:pt idx="3">
                  <c:v>1.826511071844158</c:v>
                </c:pt>
                <c:pt idx="4">
                  <c:v>1.8137682535070969</c:v>
                </c:pt>
                <c:pt idx="5">
                  <c:v>1.794464418779417</c:v>
                </c:pt>
              </c:numCache>
            </c:numRef>
          </c:yVal>
          <c:smooth val="0"/>
          <c:extLst>
            <c:ext xmlns:c16="http://schemas.microsoft.com/office/drawing/2014/chart" uri="{C3380CC4-5D6E-409C-BE32-E72D297353CC}">
              <c16:uniqueId val="{0000000A-47BB-4000-BCBD-68AD5CB2E001}"/>
            </c:ext>
          </c:extLst>
        </c:ser>
        <c:dLbls>
          <c:showLegendKey val="0"/>
          <c:showVal val="0"/>
          <c:showCatName val="0"/>
          <c:showSerName val="0"/>
          <c:showPercent val="0"/>
          <c:showBubbleSize val="0"/>
        </c:dLbls>
        <c:axId val="201867264"/>
        <c:axId val="201743680"/>
      </c:scatterChart>
      <c:catAx>
        <c:axId val="201323520"/>
        <c:scaling>
          <c:orientation val="minMax"/>
        </c:scaling>
        <c:delete val="0"/>
        <c:axPos val="b"/>
        <c:numFmt formatCode="General" sourceLinked="1"/>
        <c:majorTickMark val="out"/>
        <c:minorTickMark val="none"/>
        <c:tickLblPos val="nextTo"/>
        <c:spPr>
          <a:ln w="3175">
            <a:solidFill>
              <a:schemeClr val="tx1"/>
            </a:solidFill>
          </a:ln>
        </c:spPr>
        <c:crossAx val="201743104"/>
        <c:crosses val="autoZero"/>
        <c:auto val="1"/>
        <c:lblAlgn val="ctr"/>
        <c:lblOffset val="100"/>
        <c:noMultiLvlLbl val="0"/>
      </c:catAx>
      <c:valAx>
        <c:axId val="201743104"/>
        <c:scaling>
          <c:orientation val="minMax"/>
          <c:max val="80"/>
          <c:min val="0"/>
        </c:scaling>
        <c:delete val="0"/>
        <c:axPos val="l"/>
        <c:numFmt formatCode="#,##0.0" sourceLinked="1"/>
        <c:majorTickMark val="none"/>
        <c:minorTickMark val="none"/>
        <c:tickLblPos val="none"/>
        <c:crossAx val="201323520"/>
        <c:crosses val="autoZero"/>
        <c:crossBetween val="between"/>
        <c:majorUnit val="10"/>
        <c:minorUnit val="1"/>
      </c:valAx>
      <c:valAx>
        <c:axId val="201743680"/>
        <c:scaling>
          <c:orientation val="minMax"/>
          <c:max val="2.2999999999999998"/>
          <c:min val="0"/>
        </c:scaling>
        <c:delete val="0"/>
        <c:axPos val="r"/>
        <c:numFmt formatCode="0%" sourceLinked="1"/>
        <c:majorTickMark val="none"/>
        <c:minorTickMark val="none"/>
        <c:tickLblPos val="none"/>
        <c:crossAx val="201867264"/>
        <c:crosses val="max"/>
        <c:crossBetween val="midCat"/>
        <c:majorUnit val="1"/>
        <c:minorUnit val="0.1"/>
      </c:valAx>
      <c:valAx>
        <c:axId val="201867264"/>
        <c:scaling>
          <c:orientation val="minMax"/>
        </c:scaling>
        <c:delete val="1"/>
        <c:axPos val="b"/>
        <c:majorTickMark val="out"/>
        <c:minorTickMark val="none"/>
        <c:tickLblPos val="none"/>
        <c:crossAx val="201743680"/>
        <c:crosses val="autoZero"/>
        <c:crossBetween val="midCat"/>
      </c:valAx>
      <c:spPr>
        <a:ln w="12700">
          <a:solidFill>
            <a:schemeClr val="bg1">
              <a:lumMod val="50000"/>
            </a:schemeClr>
          </a:solidFill>
        </a:ln>
      </c:spPr>
    </c:plotArea>
    <c:legend>
      <c:legendPos val="t"/>
      <c:layout>
        <c:manualLayout>
          <c:xMode val="edge"/>
          <c:yMode val="edge"/>
          <c:x val="2.5809067688377998E-2"/>
          <c:y val="0.12929141282274401"/>
          <c:w val="0.94289974457215797"/>
          <c:h val="0.175176602843052"/>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t>Figure F15 ICT</a:t>
            </a:r>
            <a:r>
              <a:rPr lang="cs-CZ" sz="800" b="1" baseline="0"/>
              <a:t> specialists in the Czech Republic</a:t>
            </a:r>
            <a:endParaRPr lang="en-US" sz="800" b="1"/>
          </a:p>
        </c:rich>
      </c:tx>
      <c:layout>
        <c:manualLayout>
          <c:xMode val="edge"/>
          <c:yMode val="edge"/>
          <c:x val="0.10154079796629195"/>
          <c:y val="4.5477061846142461E-3"/>
        </c:manualLayout>
      </c:layout>
      <c:overlay val="0"/>
    </c:title>
    <c:autoTitleDeleted val="0"/>
    <c:plotArea>
      <c:layout>
        <c:manualLayout>
          <c:layoutTarget val="inner"/>
          <c:xMode val="edge"/>
          <c:yMode val="edge"/>
          <c:x val="2.0602668568867999E-2"/>
          <c:y val="0.114313230994152"/>
          <c:w val="0.94717788874052"/>
          <c:h val="0.68095036900875205"/>
        </c:manualLayout>
      </c:layout>
      <c:barChart>
        <c:barDir val="col"/>
        <c:grouping val="stacked"/>
        <c:varyColors val="0"/>
        <c:ser>
          <c:idx val="1"/>
          <c:order val="0"/>
          <c:tx>
            <c:strRef>
              <c:f>F_EN!$C$214</c:f>
              <c:strCache>
                <c:ptCount val="1"/>
                <c:pt idx="0">
                  <c:v> thousand of persons</c:v>
                </c:pt>
              </c:strCache>
            </c:strRef>
          </c:tx>
          <c:spPr>
            <a:solidFill>
              <a:srgbClr val="009BB4"/>
            </a:solidFill>
            <a:ln w="25400">
              <a:noFill/>
            </a:ln>
          </c:spPr>
          <c:invertIfNegative val="0"/>
          <c:dLbls>
            <c:numFmt formatCode="#,##0.0" sourceLinked="0"/>
            <c:spPr>
              <a:noFill/>
              <a:ln w="25400">
                <a:noFill/>
              </a:ln>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F_EN!$D$213:$L$213</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F_EN!$D$214:$L$214</c:f>
              <c:numCache>
                <c:formatCode>0.0</c:formatCode>
                <c:ptCount val="9"/>
                <c:pt idx="0">
                  <c:v>25.88547012500003</c:v>
                </c:pt>
                <c:pt idx="1">
                  <c:v>34.737062725000023</c:v>
                </c:pt>
                <c:pt idx="2">
                  <c:v>36.799999999999997</c:v>
                </c:pt>
                <c:pt idx="3">
                  <c:v>48.9</c:v>
                </c:pt>
                <c:pt idx="4">
                  <c:v>53.203000000000003</c:v>
                </c:pt>
                <c:pt idx="5">
                  <c:v>57.369</c:v>
                </c:pt>
                <c:pt idx="6">
                  <c:v>63.414999999999999</c:v>
                </c:pt>
                <c:pt idx="7">
                  <c:v>66.572999999999979</c:v>
                </c:pt>
                <c:pt idx="8">
                  <c:v>71.926000000000002</c:v>
                </c:pt>
              </c:numCache>
            </c:numRef>
          </c:val>
          <c:extLst>
            <c:ext xmlns:c16="http://schemas.microsoft.com/office/drawing/2014/chart" uri="{C3380CC4-5D6E-409C-BE32-E72D297353CC}">
              <c16:uniqueId val="{00000000-EB01-4AA2-BEC3-FDC18872BEC2}"/>
            </c:ext>
          </c:extLst>
        </c:ser>
        <c:dLbls>
          <c:showLegendKey val="0"/>
          <c:showVal val="0"/>
          <c:showCatName val="0"/>
          <c:showSerName val="0"/>
          <c:showPercent val="0"/>
          <c:showBubbleSize val="0"/>
        </c:dLbls>
        <c:gapWidth val="60"/>
        <c:overlap val="100"/>
        <c:axId val="201322496"/>
        <c:axId val="201740800"/>
      </c:barChart>
      <c:lineChart>
        <c:grouping val="standard"/>
        <c:varyColors val="0"/>
        <c:ser>
          <c:idx val="0"/>
          <c:order val="1"/>
          <c:tx>
            <c:strRef>
              <c:f>F_EN!$C$215</c:f>
              <c:strCache>
                <c:ptCount val="1"/>
                <c:pt idx="0">
                  <c:v> % of total employment</c:v>
                </c:pt>
              </c:strCache>
            </c:strRef>
          </c:tx>
          <c:spPr>
            <a:ln w="19050">
              <a:solidFill>
                <a:srgbClr val="47E5FF"/>
              </a:solidFill>
            </a:ln>
          </c:spPr>
          <c:marker>
            <c:symbol val="diamond"/>
            <c:size val="5"/>
            <c:spPr>
              <a:solidFill>
                <a:srgbClr val="ABF3FF"/>
              </a:solidFill>
              <a:ln w="12700">
                <a:solidFill>
                  <a:srgbClr val="47E5FF"/>
                </a:solidFill>
              </a:ln>
            </c:spPr>
          </c:marker>
          <c:dLbls>
            <c:numFmt formatCode="0.00%" sourceLinked="0"/>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F_EN!$D$213:$L$213</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F_EN!$D$215:$L$215</c:f>
              <c:numCache>
                <c:formatCode>0.0%</c:formatCode>
                <c:ptCount val="9"/>
                <c:pt idx="0">
                  <c:v>5.2161336244368698E-3</c:v>
                </c:pt>
                <c:pt idx="1">
                  <c:v>7.3414999287982601E-3</c:v>
                </c:pt>
                <c:pt idx="2">
                  <c:v>7.7297221101102799E-3</c:v>
                </c:pt>
                <c:pt idx="3">
                  <c:v>1.0006851305772699E-2</c:v>
                </c:pt>
                <c:pt idx="4">
                  <c:v>1.08798411796355E-2</c:v>
                </c:pt>
                <c:pt idx="5">
                  <c:v>1.1572621147061901E-2</c:v>
                </c:pt>
                <c:pt idx="6">
                  <c:v>1.2725421584858799E-2</c:v>
                </c:pt>
                <c:pt idx="7">
                  <c:v>1.32040573299267E-2</c:v>
                </c:pt>
                <c:pt idx="8">
                  <c:v>1.3967450520178301E-2</c:v>
                </c:pt>
              </c:numCache>
            </c:numRef>
          </c:val>
          <c:smooth val="0"/>
          <c:extLst>
            <c:ext xmlns:c16="http://schemas.microsoft.com/office/drawing/2014/chart" uri="{C3380CC4-5D6E-409C-BE32-E72D297353CC}">
              <c16:uniqueId val="{00000001-EB01-4AA2-BEC3-FDC18872BEC2}"/>
            </c:ext>
          </c:extLst>
        </c:ser>
        <c:dLbls>
          <c:showLegendKey val="0"/>
          <c:showVal val="0"/>
          <c:showCatName val="0"/>
          <c:showSerName val="0"/>
          <c:showPercent val="0"/>
          <c:showBubbleSize val="0"/>
        </c:dLbls>
        <c:marker val="1"/>
        <c:smooth val="0"/>
        <c:axId val="201324544"/>
        <c:axId val="201741376"/>
      </c:lineChart>
      <c:catAx>
        <c:axId val="201322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1740800"/>
        <c:crosses val="autoZero"/>
        <c:auto val="0"/>
        <c:lblAlgn val="ctr"/>
        <c:lblOffset val="100"/>
        <c:tickLblSkip val="1"/>
        <c:tickMarkSkip val="1"/>
        <c:noMultiLvlLbl val="0"/>
      </c:catAx>
      <c:valAx>
        <c:axId val="201740800"/>
        <c:scaling>
          <c:orientation val="minMax"/>
          <c:max val="100"/>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322496"/>
        <c:crosses val="autoZero"/>
        <c:crossBetween val="between"/>
        <c:majorUnit val="20"/>
        <c:minorUnit val="10"/>
      </c:valAx>
      <c:valAx>
        <c:axId val="201741376"/>
        <c:scaling>
          <c:orientation val="minMax"/>
          <c:max val="1.7999999999999999E-2"/>
          <c:min val="0"/>
        </c:scaling>
        <c:delete val="0"/>
        <c:axPos val="r"/>
        <c:numFmt formatCode="0.0%" sourceLinked="1"/>
        <c:majorTickMark val="none"/>
        <c:minorTickMark val="none"/>
        <c:tickLblPos val="none"/>
        <c:crossAx val="201324544"/>
        <c:crosses val="max"/>
        <c:crossBetween val="between"/>
        <c:majorUnit val="1E-3"/>
        <c:minorUnit val="1E-4"/>
      </c:valAx>
      <c:catAx>
        <c:axId val="201324544"/>
        <c:scaling>
          <c:orientation val="minMax"/>
        </c:scaling>
        <c:delete val="1"/>
        <c:axPos val="b"/>
        <c:numFmt formatCode="General" sourceLinked="1"/>
        <c:majorTickMark val="out"/>
        <c:minorTickMark val="none"/>
        <c:tickLblPos val="none"/>
        <c:crossAx val="201741376"/>
        <c:crosses val="autoZero"/>
        <c:auto val="0"/>
        <c:lblAlgn val="ctr"/>
        <c:lblOffset val="100"/>
        <c:noMultiLvlLbl val="0"/>
      </c:catAx>
      <c:spPr>
        <a:noFill/>
        <a:ln w="12700">
          <a:solidFill>
            <a:srgbClr val="A6A6A6"/>
          </a:solidFill>
        </a:ln>
      </c:spPr>
    </c:plotArea>
    <c:legend>
      <c:legendPos val="t"/>
      <c:layout>
        <c:manualLayout>
          <c:xMode val="edge"/>
          <c:yMode val="edge"/>
          <c:x val="4.4604235791280804E-2"/>
          <c:y val="0.12750951905659677"/>
          <c:w val="0.46544540229885101"/>
          <c:h val="0.166398391812866"/>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2E-2"/>
          <c:y val="0.142206858986445"/>
          <c:w val="0.94711601307189597"/>
          <c:h val="0.43036054721052502"/>
        </c:manualLayout>
      </c:layout>
      <c:barChart>
        <c:barDir val="col"/>
        <c:grouping val="clustered"/>
        <c:varyColors val="0"/>
        <c:ser>
          <c:idx val="0"/>
          <c:order val="0"/>
          <c:tx>
            <c:strRef>
              <c:f>F_EN!$C$15</c:f>
              <c:strCache>
                <c:ptCount val="1"/>
                <c:pt idx="0">
                  <c:v> school year 2011/2012</c:v>
                </c:pt>
              </c:strCache>
            </c:strRef>
          </c:tx>
          <c:spPr>
            <a:solidFill>
              <a:srgbClr val="47E5FF"/>
            </a:solidFill>
            <a:ln w="25400">
              <a:noFill/>
            </a:ln>
          </c:spPr>
          <c:invertIfNegative val="0"/>
          <c:dLbls>
            <c:dLbl>
              <c:idx val="0"/>
              <c:layout>
                <c:manualLayout>
                  <c:x val="-9.9084967320261608E-4"/>
                  <c:y val="9.575396825396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DF-446A-BDB4-04B259D42F63}"/>
                </c:ext>
              </c:extLst>
            </c:dLbl>
            <c:dLbl>
              <c:idx val="2"/>
              <c:layout>
                <c:manualLayout>
                  <c:x val="0"/>
                  <c:y val="9.07142857142857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DF-446A-BDB4-04B259D42F63}"/>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F_EN!$A$16:$B$19</c:f>
              <c:multiLvlStrCache>
                <c:ptCount val="4"/>
                <c:lvl>
                  <c:pt idx="0">
                    <c:v>Website</c:v>
                  </c:pt>
                  <c:pt idx="1">
                    <c:v>Student information system</c:v>
                  </c:pt>
                  <c:pt idx="2">
                    <c:v>Website</c:v>
                  </c:pt>
                  <c:pt idx="3">
                    <c:v>Student information system</c:v>
                  </c:pt>
                </c:lvl>
                <c:lvl>
                  <c:pt idx="0">
                    <c:v>Elementary schools</c:v>
                  </c:pt>
                  <c:pt idx="2">
                    <c:v>Secondary schools</c:v>
                  </c:pt>
                </c:lvl>
              </c:multiLvlStrCache>
            </c:multiLvlStrRef>
          </c:cat>
          <c:val>
            <c:numRef>
              <c:f>F_EN!$C$16:$C$19</c:f>
              <c:numCache>
                <c:formatCode>0%</c:formatCode>
                <c:ptCount val="4"/>
                <c:pt idx="0">
                  <c:v>0.51028806584362096</c:v>
                </c:pt>
                <c:pt idx="1">
                  <c:v>0.35831863609641301</c:v>
                </c:pt>
                <c:pt idx="2">
                  <c:v>0.96893667861409793</c:v>
                </c:pt>
                <c:pt idx="3">
                  <c:v>0.92712066905615298</c:v>
                </c:pt>
              </c:numCache>
            </c:numRef>
          </c:val>
          <c:extLst>
            <c:ext xmlns:c16="http://schemas.microsoft.com/office/drawing/2014/chart" uri="{C3380CC4-5D6E-409C-BE32-E72D297353CC}">
              <c16:uniqueId val="{00000002-26DF-446A-BDB4-04B259D42F63}"/>
            </c:ext>
          </c:extLst>
        </c:ser>
        <c:ser>
          <c:idx val="1"/>
          <c:order val="1"/>
          <c:tx>
            <c:strRef>
              <c:f>F_EN!$D$15</c:f>
              <c:strCache>
                <c:ptCount val="1"/>
                <c:pt idx="0">
                  <c:v> school year 2016/2017</c:v>
                </c:pt>
              </c:strCache>
            </c:strRef>
          </c:tx>
          <c:spPr>
            <a:solidFill>
              <a:srgbClr val="009BB4"/>
            </a:solidFill>
            <a:ln w="25400">
              <a:noFill/>
            </a:ln>
          </c:spPr>
          <c:invertIfNegative val="0"/>
          <c:dLbls>
            <c:dLbl>
              <c:idx val="0"/>
              <c:layout>
                <c:manualLayout>
                  <c:x val="-1.9022111409629999E-17"/>
                  <c:y val="9.07142857142857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DF-446A-BDB4-04B259D42F63}"/>
                </c:ext>
              </c:extLst>
            </c:dLbl>
            <c:dLbl>
              <c:idx val="1"/>
              <c:layout>
                <c:manualLayout>
                  <c:x val="0"/>
                  <c:y val="8.06349206349206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6DF-446A-BDB4-04B259D42F63}"/>
                </c:ext>
              </c:extLst>
            </c:dLbl>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F_EN!$A$16:$B$19</c:f>
              <c:multiLvlStrCache>
                <c:ptCount val="4"/>
                <c:lvl>
                  <c:pt idx="0">
                    <c:v>Website</c:v>
                  </c:pt>
                  <c:pt idx="1">
                    <c:v>Student information system</c:v>
                  </c:pt>
                  <c:pt idx="2">
                    <c:v>Website</c:v>
                  </c:pt>
                  <c:pt idx="3">
                    <c:v>Student information system</c:v>
                  </c:pt>
                </c:lvl>
                <c:lvl>
                  <c:pt idx="0">
                    <c:v>Elementary schools</c:v>
                  </c:pt>
                  <c:pt idx="2">
                    <c:v>Secondary schools</c:v>
                  </c:pt>
                </c:lvl>
              </c:multiLvlStrCache>
            </c:multiLvlStrRef>
          </c:cat>
          <c:val>
            <c:numRef>
              <c:f>F_EN!$D$16:$D$19</c:f>
              <c:numCache>
                <c:formatCode>0%</c:formatCode>
                <c:ptCount val="4"/>
                <c:pt idx="0">
                  <c:v>0.96389629270656596</c:v>
                </c:pt>
                <c:pt idx="1">
                  <c:v>0.94475405863823592</c:v>
                </c:pt>
                <c:pt idx="2">
                  <c:v>0.99264164827078705</c:v>
                </c:pt>
                <c:pt idx="3">
                  <c:v>0.98896247240618096</c:v>
                </c:pt>
              </c:numCache>
            </c:numRef>
          </c:val>
          <c:extLst>
            <c:ext xmlns:c16="http://schemas.microsoft.com/office/drawing/2014/chart" uri="{C3380CC4-5D6E-409C-BE32-E72D297353CC}">
              <c16:uniqueId val="{00000005-26DF-446A-BDB4-04B259D42F63}"/>
            </c:ext>
          </c:extLst>
        </c:ser>
        <c:dLbls>
          <c:showLegendKey val="0"/>
          <c:showVal val="1"/>
          <c:showCatName val="0"/>
          <c:showSerName val="0"/>
          <c:showPercent val="0"/>
          <c:showBubbleSize val="0"/>
        </c:dLbls>
        <c:gapWidth val="57"/>
        <c:axId val="198902784"/>
        <c:axId val="197286080"/>
      </c:barChart>
      <c:catAx>
        <c:axId val="198902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7286080"/>
        <c:crosses val="autoZero"/>
        <c:auto val="1"/>
        <c:lblAlgn val="ctr"/>
        <c:lblOffset val="40"/>
        <c:noMultiLvlLbl val="0"/>
      </c:catAx>
      <c:valAx>
        <c:axId val="197286080"/>
        <c:scaling>
          <c:orientation val="minMax"/>
          <c:max val="1.25"/>
          <c:min val="0"/>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198902784"/>
        <c:crosses val="autoZero"/>
        <c:crossBetween val="between"/>
        <c:majorUnit val="0.25"/>
        <c:minorUnit val="0.01"/>
      </c:valAx>
      <c:spPr>
        <a:noFill/>
        <a:ln w="12700">
          <a:solidFill>
            <a:srgbClr val="969696"/>
          </a:solidFill>
          <a:prstDash val="solid"/>
        </a:ln>
      </c:spPr>
    </c:plotArea>
    <c:legend>
      <c:legendPos val="t"/>
      <c:layout>
        <c:manualLayout>
          <c:xMode val="edge"/>
          <c:yMode val="edge"/>
          <c:x val="4.5849673202614398E-2"/>
          <c:y val="0.156230158730159"/>
          <c:w val="0.9"/>
          <c:h val="6.9495736702072E-2"/>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a:t>Figure F3 </a:t>
            </a:r>
            <a:r>
              <a:rPr lang="cs-CZ" sz="800" b="1"/>
              <a:t>N</a:t>
            </a:r>
            <a:r>
              <a:rPr lang="en-US" sz="800" b="1"/>
              <a:t>umber of </a:t>
            </a:r>
            <a:r>
              <a:rPr lang="cs-CZ" sz="800" b="1"/>
              <a:t>laptops with internet access</a:t>
            </a:r>
            <a:r>
              <a:rPr lang="en-US" sz="800" b="1"/>
              <a:t> per 100 </a:t>
            </a:r>
            <a:r>
              <a:rPr lang="cs-CZ" sz="800" b="1"/>
              <a:t>s</a:t>
            </a:r>
            <a:r>
              <a:rPr lang="en-US" sz="800" b="1"/>
              <a:t>tudents</a:t>
            </a:r>
            <a:r>
              <a:rPr lang="cs-CZ" sz="800" b="1"/>
              <a:t> </a:t>
            </a:r>
            <a:r>
              <a:rPr lang="en-US" sz="800" b="1"/>
              <a:t>in the Czech </a:t>
            </a:r>
            <a:r>
              <a:rPr lang="cs-CZ" sz="800" b="1"/>
              <a:t>R</a:t>
            </a:r>
            <a:r>
              <a:rPr lang="en-US" sz="800" b="1"/>
              <a:t>epublic</a:t>
            </a:r>
          </a:p>
        </c:rich>
      </c:tx>
      <c:layout/>
      <c:overlay val="1"/>
    </c:title>
    <c:autoTitleDeleted val="0"/>
    <c:plotArea>
      <c:layout>
        <c:manualLayout>
          <c:layoutTarget val="inner"/>
          <c:xMode val="edge"/>
          <c:yMode val="edge"/>
          <c:x val="2.5568121693121702E-2"/>
          <c:y val="0.16446071428571399"/>
          <c:w val="0.95490972222222203"/>
          <c:h val="0.552712301587301"/>
        </c:manualLayout>
      </c:layout>
      <c:barChart>
        <c:barDir val="col"/>
        <c:grouping val="clustered"/>
        <c:varyColors val="0"/>
        <c:ser>
          <c:idx val="4"/>
          <c:order val="0"/>
          <c:tx>
            <c:strRef>
              <c:f>F_EN!$B$23</c:f>
              <c:strCache>
                <c:ptCount val="1"/>
                <c:pt idx="0">
                  <c:v> 2015</c:v>
                </c:pt>
              </c:strCache>
            </c:strRef>
          </c:tx>
          <c:spPr>
            <a:solidFill>
              <a:srgbClr val="ABF3FF"/>
            </a:solidFill>
          </c:spPr>
          <c:invertIfNegative val="0"/>
          <c:dLbls>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F_EN!$B$24:$B$27</c:f>
              <c:numCache>
                <c:formatCode>#\ ##0.0</c:formatCode>
                <c:ptCount val="4"/>
                <c:pt idx="0">
                  <c:v>1.7855458917574007</c:v>
                </c:pt>
                <c:pt idx="1">
                  <c:v>2.5603440148651404</c:v>
                </c:pt>
                <c:pt idx="2">
                  <c:v>2.2026738464395135</c:v>
                </c:pt>
                <c:pt idx="3">
                  <c:v>3.0057290405874282</c:v>
                </c:pt>
              </c:numCache>
            </c:numRef>
          </c:val>
          <c:extLst>
            <c:ext xmlns:c16="http://schemas.microsoft.com/office/drawing/2014/chart" uri="{C3380CC4-5D6E-409C-BE32-E72D297353CC}">
              <c16:uniqueId val="{00000000-F615-4A0A-9936-4ACEA04643ED}"/>
            </c:ext>
          </c:extLst>
        </c:ser>
        <c:ser>
          <c:idx val="0"/>
          <c:order val="1"/>
          <c:tx>
            <c:strRef>
              <c:f>F_EN!$C$23</c:f>
              <c:strCache>
                <c:ptCount val="1"/>
                <c:pt idx="0">
                  <c:v> 2016</c:v>
                </c:pt>
              </c:strCache>
            </c:strRef>
          </c:tx>
          <c:spPr>
            <a:solidFill>
              <a:srgbClr val="47E5FF"/>
            </a:solidFill>
          </c:spPr>
          <c:invertIfNegative val="0"/>
          <c:dLbls>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F_EN!$C$24:$C$27</c:f>
              <c:numCache>
                <c:formatCode>#\ ##0.0</c:formatCode>
                <c:ptCount val="4"/>
                <c:pt idx="0">
                  <c:v>2.2000000000000002</c:v>
                </c:pt>
                <c:pt idx="1">
                  <c:v>3.1</c:v>
                </c:pt>
                <c:pt idx="2">
                  <c:v>2.5</c:v>
                </c:pt>
                <c:pt idx="3">
                  <c:v>3.4</c:v>
                </c:pt>
              </c:numCache>
            </c:numRef>
          </c:val>
          <c:extLst>
            <c:ext xmlns:c16="http://schemas.microsoft.com/office/drawing/2014/chart" uri="{C3380CC4-5D6E-409C-BE32-E72D297353CC}">
              <c16:uniqueId val="{00000001-F615-4A0A-9936-4ACEA04643ED}"/>
            </c:ext>
          </c:extLst>
        </c:ser>
        <c:ser>
          <c:idx val="2"/>
          <c:order val="2"/>
          <c:tx>
            <c:strRef>
              <c:f>F_EN!$D$23</c:f>
              <c:strCache>
                <c:ptCount val="1"/>
                <c:pt idx="0">
                  <c:v> 2017</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F_EN!$D$24:$D$27</c:f>
              <c:numCache>
                <c:formatCode>#\ ##0.0</c:formatCode>
                <c:ptCount val="4"/>
                <c:pt idx="0">
                  <c:v>2.3633878120337188</c:v>
                </c:pt>
                <c:pt idx="1">
                  <c:v>3.2111047376066253</c:v>
                </c:pt>
                <c:pt idx="2">
                  <c:v>2.6405873770861259</c:v>
                </c:pt>
                <c:pt idx="3">
                  <c:v>3.9046653144016226</c:v>
                </c:pt>
              </c:numCache>
            </c:numRef>
          </c:val>
          <c:extLst>
            <c:ext xmlns:c16="http://schemas.microsoft.com/office/drawing/2014/chart" uri="{C3380CC4-5D6E-409C-BE32-E72D297353CC}">
              <c16:uniqueId val="{00000002-F615-4A0A-9936-4ACEA04643ED}"/>
            </c:ext>
          </c:extLst>
        </c:ser>
        <c:dLbls>
          <c:showLegendKey val="0"/>
          <c:showVal val="1"/>
          <c:showCatName val="0"/>
          <c:showSerName val="0"/>
          <c:showPercent val="0"/>
          <c:showBubbleSize val="0"/>
        </c:dLbls>
        <c:gapWidth val="40"/>
        <c:axId val="199427072"/>
        <c:axId val="185098240"/>
      </c:barChart>
      <c:catAx>
        <c:axId val="199427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5098240"/>
        <c:crosses val="autoZero"/>
        <c:auto val="1"/>
        <c:lblAlgn val="ctr"/>
        <c:lblOffset val="40"/>
        <c:noMultiLvlLbl val="0"/>
      </c:catAx>
      <c:valAx>
        <c:axId val="185098240"/>
        <c:scaling>
          <c:orientation val="minMax"/>
          <c:max val="5"/>
          <c:min val="0"/>
        </c:scaling>
        <c:delete val="0"/>
        <c:axPos val="l"/>
        <c:numFmt formatCode="#\ ##0.0" sourceLinked="1"/>
        <c:majorTickMark val="none"/>
        <c:minorTickMark val="none"/>
        <c:tickLblPos val="none"/>
        <c:spPr>
          <a:ln w="9525">
            <a:noFill/>
          </a:ln>
        </c:spPr>
        <c:crossAx val="199427072"/>
        <c:crosses val="autoZero"/>
        <c:crossBetween val="between"/>
      </c:valAx>
      <c:spPr>
        <a:noFill/>
        <a:ln w="12700">
          <a:solidFill>
            <a:srgbClr val="969696"/>
          </a:solidFill>
          <a:prstDash val="solid"/>
        </a:ln>
      </c:spPr>
    </c:plotArea>
    <c:legend>
      <c:legendPos val="t"/>
      <c:layout>
        <c:manualLayout>
          <c:xMode val="edge"/>
          <c:yMode val="edge"/>
          <c:x val="0.19543617724867701"/>
          <c:y val="0.196547619047619"/>
          <c:w val="0.64272552910052905"/>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a:t>Figure F</a:t>
            </a:r>
            <a:r>
              <a:rPr lang="cs-CZ" sz="800" b="1"/>
              <a:t>4</a:t>
            </a:r>
            <a:r>
              <a:rPr lang="en-US" sz="800" b="1"/>
              <a:t> </a:t>
            </a:r>
            <a:r>
              <a:rPr lang="cs-CZ" sz="800" b="1"/>
              <a:t>N</a:t>
            </a:r>
            <a:r>
              <a:rPr lang="en-US" sz="800" b="1"/>
              <a:t>umber of tablets </a:t>
            </a:r>
            <a:endParaRPr lang="cs-CZ" sz="800" b="1"/>
          </a:p>
          <a:p>
            <a:pPr>
              <a:defRPr/>
            </a:pPr>
            <a:r>
              <a:rPr lang="en-US" sz="800" b="1"/>
              <a:t>per 100 </a:t>
            </a:r>
            <a:r>
              <a:rPr lang="cs-CZ" sz="800" b="1"/>
              <a:t>s</a:t>
            </a:r>
            <a:r>
              <a:rPr lang="en-US" sz="800" b="1"/>
              <a:t>tudents</a:t>
            </a:r>
            <a:r>
              <a:rPr lang="cs-CZ" sz="800" b="1"/>
              <a:t> i</a:t>
            </a:r>
            <a:r>
              <a:rPr lang="en-US" sz="800" b="1"/>
              <a:t>n the Czech </a:t>
            </a:r>
            <a:r>
              <a:rPr lang="cs-CZ" sz="800" b="1"/>
              <a:t>R</a:t>
            </a:r>
            <a:r>
              <a:rPr lang="en-US" sz="800" b="1"/>
              <a:t>epublic</a:t>
            </a:r>
          </a:p>
        </c:rich>
      </c:tx>
      <c:layout/>
      <c:overlay val="1"/>
    </c:title>
    <c:autoTitleDeleted val="0"/>
    <c:plotArea>
      <c:layout>
        <c:manualLayout>
          <c:layoutTarget val="inner"/>
          <c:xMode val="edge"/>
          <c:yMode val="edge"/>
          <c:x val="2.5568121693121702E-2"/>
          <c:y val="0.16446071428571399"/>
          <c:w val="0.95490972222222203"/>
          <c:h val="0.552712301587301"/>
        </c:manualLayout>
      </c:layout>
      <c:barChart>
        <c:barDir val="col"/>
        <c:grouping val="clustered"/>
        <c:varyColors val="0"/>
        <c:ser>
          <c:idx val="4"/>
          <c:order val="0"/>
          <c:tx>
            <c:strRef>
              <c:f>F_EN!$B$35</c:f>
              <c:strCache>
                <c:ptCount val="1"/>
                <c:pt idx="0">
                  <c:v> 2015</c:v>
                </c:pt>
              </c:strCache>
            </c:strRef>
          </c:tx>
          <c:spPr>
            <a:solidFill>
              <a:srgbClr val="ABF3FF"/>
            </a:solidFill>
          </c:spPr>
          <c:invertIfNegative val="0"/>
          <c:dLbls>
            <c:dLbl>
              <c:idx val="3"/>
              <c:layout>
                <c:manualLayout>
                  <c:x val="0"/>
                  <c:y val="1.583571428571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964-4D95-954A-B2D38F1C2439}"/>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F_EN!$B$36:$B$39</c:f>
              <c:numCache>
                <c:formatCode>#\ ##0.0</c:formatCode>
                <c:ptCount val="4"/>
                <c:pt idx="0">
                  <c:v>0.92305795135539004</c:v>
                </c:pt>
                <c:pt idx="1">
                  <c:v>1.3794655483345144</c:v>
                </c:pt>
                <c:pt idx="2">
                  <c:v>0.92516943644972616</c:v>
                </c:pt>
                <c:pt idx="3">
                  <c:v>0.46800613249414991</c:v>
                </c:pt>
              </c:numCache>
            </c:numRef>
          </c:val>
          <c:extLst>
            <c:ext xmlns:c16="http://schemas.microsoft.com/office/drawing/2014/chart" uri="{C3380CC4-5D6E-409C-BE32-E72D297353CC}">
              <c16:uniqueId val="{00000001-B964-4D95-954A-B2D38F1C2439}"/>
            </c:ext>
          </c:extLst>
        </c:ser>
        <c:ser>
          <c:idx val="0"/>
          <c:order val="1"/>
          <c:tx>
            <c:strRef>
              <c:f>F_EN!$C$35</c:f>
              <c:strCache>
                <c:ptCount val="1"/>
                <c:pt idx="0">
                  <c:v> 2016</c:v>
                </c:pt>
              </c:strCache>
            </c:strRef>
          </c:tx>
          <c:spPr>
            <a:solidFill>
              <a:srgbClr val="47E5FF"/>
            </a:solidFill>
          </c:spPr>
          <c:invertIfNegative val="0"/>
          <c:dLbls>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F_EN!$C$36:$C$39</c:f>
              <c:numCache>
                <c:formatCode>#\ ##0.0</c:formatCode>
                <c:ptCount val="4"/>
                <c:pt idx="0">
                  <c:v>2.1</c:v>
                </c:pt>
                <c:pt idx="1">
                  <c:v>3.5</c:v>
                </c:pt>
                <c:pt idx="2">
                  <c:v>1.6</c:v>
                </c:pt>
                <c:pt idx="3">
                  <c:v>1.1000000000000001</c:v>
                </c:pt>
              </c:numCache>
            </c:numRef>
          </c:val>
          <c:extLst>
            <c:ext xmlns:c16="http://schemas.microsoft.com/office/drawing/2014/chart" uri="{C3380CC4-5D6E-409C-BE32-E72D297353CC}">
              <c16:uniqueId val="{00000002-B964-4D95-954A-B2D38F1C2439}"/>
            </c:ext>
          </c:extLst>
        </c:ser>
        <c:ser>
          <c:idx val="2"/>
          <c:order val="2"/>
          <c:tx>
            <c:strRef>
              <c:f>F_EN!$D$35</c:f>
              <c:strCache>
                <c:ptCount val="1"/>
                <c:pt idx="0">
                  <c:v> 2017</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F_EN!$D$36:$D$39</c:f>
              <c:numCache>
                <c:formatCode>#\ ##0.0</c:formatCode>
                <c:ptCount val="4"/>
                <c:pt idx="0">
                  <c:v>2.4441591873531134</c:v>
                </c:pt>
                <c:pt idx="1">
                  <c:v>3.7256463161619706</c:v>
                </c:pt>
                <c:pt idx="2">
                  <c:v>1.900198085568221</c:v>
                </c:pt>
                <c:pt idx="3">
                  <c:v>1.069134550371873</c:v>
                </c:pt>
              </c:numCache>
            </c:numRef>
          </c:val>
          <c:extLst>
            <c:ext xmlns:c16="http://schemas.microsoft.com/office/drawing/2014/chart" uri="{C3380CC4-5D6E-409C-BE32-E72D297353CC}">
              <c16:uniqueId val="{00000003-B964-4D95-954A-B2D38F1C2439}"/>
            </c:ext>
          </c:extLst>
        </c:ser>
        <c:dLbls>
          <c:showLegendKey val="0"/>
          <c:showVal val="1"/>
          <c:showCatName val="0"/>
          <c:showSerName val="0"/>
          <c:showPercent val="0"/>
          <c:showBubbleSize val="0"/>
        </c:dLbls>
        <c:gapWidth val="40"/>
        <c:axId val="199340032"/>
        <c:axId val="185099968"/>
      </c:barChart>
      <c:catAx>
        <c:axId val="199340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5099968"/>
        <c:crosses val="autoZero"/>
        <c:auto val="1"/>
        <c:lblAlgn val="ctr"/>
        <c:lblOffset val="40"/>
        <c:noMultiLvlLbl val="0"/>
      </c:catAx>
      <c:valAx>
        <c:axId val="185099968"/>
        <c:scaling>
          <c:orientation val="minMax"/>
          <c:max val="5"/>
          <c:min val="0"/>
        </c:scaling>
        <c:delete val="0"/>
        <c:axPos val="l"/>
        <c:numFmt formatCode="#\ ##0.0" sourceLinked="1"/>
        <c:majorTickMark val="none"/>
        <c:minorTickMark val="none"/>
        <c:tickLblPos val="none"/>
        <c:spPr>
          <a:ln w="9525">
            <a:noFill/>
          </a:ln>
        </c:spPr>
        <c:crossAx val="199340032"/>
        <c:crosses val="autoZero"/>
        <c:crossBetween val="between"/>
      </c:valAx>
      <c:spPr>
        <a:noFill/>
        <a:ln w="12700">
          <a:solidFill>
            <a:srgbClr val="969696"/>
          </a:solidFill>
          <a:prstDash val="solid"/>
        </a:ln>
      </c:spPr>
    </c:plotArea>
    <c:legend>
      <c:legendPos val="t"/>
      <c:layout>
        <c:manualLayout>
          <c:xMode val="edge"/>
          <c:yMode val="edge"/>
          <c:x val="0.19543617724867701"/>
          <c:y val="0.196547619047619"/>
          <c:w val="0.64272552910052905"/>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F5 Computers available to students</a:t>
            </a:r>
            <a:r>
              <a:rPr lang="cs-CZ" sz="800" b="1" baseline="0"/>
              <a:t> in Czech schools by type of device; 2017 (%)</a:t>
            </a:r>
            <a:endParaRPr lang="en-US" sz="800" b="1"/>
          </a:p>
        </c:rich>
      </c:tx>
      <c:layout>
        <c:manualLayout>
          <c:xMode val="edge"/>
          <c:yMode val="edge"/>
          <c:x val="0.134652274425962"/>
          <c:y val="1.8281941997899499E-2"/>
        </c:manualLayout>
      </c:layout>
      <c:overlay val="1"/>
    </c:title>
    <c:autoTitleDeleted val="0"/>
    <c:plotArea>
      <c:layout>
        <c:manualLayout>
          <c:layoutTarget val="inner"/>
          <c:xMode val="edge"/>
          <c:yMode val="edge"/>
          <c:x val="0.27219080687830699"/>
          <c:y val="0.26234185185185199"/>
          <c:w val="0.69210791826309104"/>
          <c:h val="0.56832518518518504"/>
        </c:manualLayout>
      </c:layout>
      <c:barChart>
        <c:barDir val="bar"/>
        <c:grouping val="stacked"/>
        <c:varyColors val="0"/>
        <c:ser>
          <c:idx val="0"/>
          <c:order val="0"/>
          <c:tx>
            <c:strRef>
              <c:f>F_EN!$B$43</c:f>
              <c:strCache>
                <c:ptCount val="1"/>
                <c:pt idx="0">
                  <c:v> Desktop</c:v>
                </c:pt>
              </c:strCache>
            </c:strRef>
          </c:tx>
          <c:spPr>
            <a:solidFill>
              <a:srgbClr val="009BB4"/>
            </a:solidFill>
          </c:spPr>
          <c:invertIfNegative val="0"/>
          <c:dLbls>
            <c:numFmt formatCode="0%" sourceLinked="0"/>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F_EN!$A$44:$A$46</c:f>
              <c:strCache>
                <c:ptCount val="3"/>
                <c:pt idx="0">
                  <c:v>Secondary schools</c:v>
                </c:pt>
                <c:pt idx="1">
                  <c:v>Elementary schools second stage</c:v>
                </c:pt>
                <c:pt idx="2">
                  <c:v>Elementary schools first stage</c:v>
                </c:pt>
              </c:strCache>
            </c:strRef>
          </c:cat>
          <c:val>
            <c:numRef>
              <c:f>F_EN!$B$44:$B$46</c:f>
              <c:numCache>
                <c:formatCode>0%</c:formatCode>
                <c:ptCount val="3"/>
                <c:pt idx="0">
                  <c:v>0.81862373498085883</c:v>
                </c:pt>
                <c:pt idx="1">
                  <c:v>0.75746358012372772</c:v>
                </c:pt>
                <c:pt idx="2">
                  <c:v>0.73529017942537978</c:v>
                </c:pt>
              </c:numCache>
            </c:numRef>
          </c:val>
          <c:extLst>
            <c:ext xmlns:c16="http://schemas.microsoft.com/office/drawing/2014/chart" uri="{C3380CC4-5D6E-409C-BE32-E72D297353CC}">
              <c16:uniqueId val="{00000000-7384-42E7-8CDB-4DC4D0762316}"/>
            </c:ext>
          </c:extLst>
        </c:ser>
        <c:ser>
          <c:idx val="2"/>
          <c:order val="1"/>
          <c:tx>
            <c:strRef>
              <c:f>F_EN!$C$43</c:f>
              <c:strCache>
                <c:ptCount val="1"/>
                <c:pt idx="0">
                  <c:v> Portable</c:v>
                </c:pt>
              </c:strCache>
            </c:strRef>
          </c:tx>
          <c:spPr>
            <a:solidFill>
              <a:srgbClr val="47E5FF"/>
            </a:solidFill>
          </c:spPr>
          <c:invertIfNegative val="0"/>
          <c:dLbls>
            <c:numFmt formatCode="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F_EN!$A$44:$A$46</c:f>
              <c:strCache>
                <c:ptCount val="3"/>
                <c:pt idx="0">
                  <c:v>Secondary schools</c:v>
                </c:pt>
                <c:pt idx="1">
                  <c:v>Elementary schools second stage</c:v>
                </c:pt>
                <c:pt idx="2">
                  <c:v>Elementary schools first stage</c:v>
                </c:pt>
              </c:strCache>
            </c:strRef>
          </c:cat>
          <c:val>
            <c:numRef>
              <c:f>F_EN!$C$44:$C$46</c:f>
              <c:numCache>
                <c:formatCode>0%</c:formatCode>
                <c:ptCount val="3"/>
                <c:pt idx="0">
                  <c:v>0.10547511655232535</c:v>
                </c:pt>
                <c:pt idx="1">
                  <c:v>0.11227299940131712</c:v>
                </c:pt>
                <c:pt idx="2">
                  <c:v>0.13013122154634837</c:v>
                </c:pt>
              </c:numCache>
            </c:numRef>
          </c:val>
          <c:extLst>
            <c:ext xmlns:c16="http://schemas.microsoft.com/office/drawing/2014/chart" uri="{C3380CC4-5D6E-409C-BE32-E72D297353CC}">
              <c16:uniqueId val="{00000001-7384-42E7-8CDB-4DC4D0762316}"/>
            </c:ext>
          </c:extLst>
        </c:ser>
        <c:ser>
          <c:idx val="1"/>
          <c:order val="2"/>
          <c:tx>
            <c:strRef>
              <c:f>F_EN!$D$43</c:f>
              <c:strCache>
                <c:ptCount val="1"/>
                <c:pt idx="0">
                  <c:v> Tablet</c:v>
                </c:pt>
              </c:strCache>
            </c:strRef>
          </c:tx>
          <c:spPr>
            <a:solidFill>
              <a:srgbClr val="BDF6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F_EN!$A$44:$A$46</c:f>
              <c:strCache>
                <c:ptCount val="3"/>
                <c:pt idx="0">
                  <c:v>Secondary schools</c:v>
                </c:pt>
                <c:pt idx="1">
                  <c:v>Elementary schools second stage</c:v>
                </c:pt>
                <c:pt idx="2">
                  <c:v>Elementary schools first stage</c:v>
                </c:pt>
              </c:strCache>
            </c:strRef>
          </c:cat>
          <c:val>
            <c:numRef>
              <c:f>F_EN!$D$44:$D$46</c:f>
              <c:numCache>
                <c:formatCode>0%</c:formatCode>
                <c:ptCount val="3"/>
                <c:pt idx="0">
                  <c:v>7.590114846681574E-2</c:v>
                </c:pt>
                <c:pt idx="1">
                  <c:v>0.13026342047495509</c:v>
                </c:pt>
                <c:pt idx="2">
                  <c:v>0.13457859902827193</c:v>
                </c:pt>
              </c:numCache>
            </c:numRef>
          </c:val>
          <c:extLst>
            <c:ext xmlns:c16="http://schemas.microsoft.com/office/drawing/2014/chart" uri="{C3380CC4-5D6E-409C-BE32-E72D297353CC}">
              <c16:uniqueId val="{00000002-7384-42E7-8CDB-4DC4D0762316}"/>
            </c:ext>
          </c:extLst>
        </c:ser>
        <c:dLbls>
          <c:showLegendKey val="0"/>
          <c:showVal val="0"/>
          <c:showCatName val="0"/>
          <c:showSerName val="0"/>
          <c:showPercent val="0"/>
          <c:showBubbleSize val="0"/>
        </c:dLbls>
        <c:gapWidth val="50"/>
        <c:overlap val="100"/>
        <c:axId val="199426560"/>
        <c:axId val="185101696"/>
      </c:barChart>
      <c:catAx>
        <c:axId val="199426560"/>
        <c:scaling>
          <c:orientation val="minMax"/>
        </c:scaling>
        <c:delete val="0"/>
        <c:axPos val="l"/>
        <c:numFmt formatCode="General" sourceLinked="1"/>
        <c:majorTickMark val="out"/>
        <c:minorTickMark val="none"/>
        <c:tickLblPos val="nextTo"/>
        <c:spPr>
          <a:ln w="3175">
            <a:solidFill>
              <a:schemeClr val="tx1"/>
            </a:solidFill>
          </a:ln>
        </c:spPr>
        <c:crossAx val="185101696"/>
        <c:crosses val="autoZero"/>
        <c:auto val="1"/>
        <c:lblAlgn val="ctr"/>
        <c:lblOffset val="100"/>
        <c:noMultiLvlLbl val="0"/>
      </c:catAx>
      <c:valAx>
        <c:axId val="185101696"/>
        <c:scaling>
          <c:orientation val="minMax"/>
          <c:max val="1"/>
          <c:min val="0"/>
        </c:scaling>
        <c:delete val="0"/>
        <c:axPos val="b"/>
        <c:numFmt formatCode="0%" sourceLinked="1"/>
        <c:majorTickMark val="none"/>
        <c:minorTickMark val="none"/>
        <c:tickLblPos val="none"/>
        <c:crossAx val="199426560"/>
        <c:crosses val="autoZero"/>
        <c:crossBetween val="between"/>
        <c:majorUnit val="0.25"/>
        <c:minorUnit val="0.05"/>
      </c:valAx>
      <c:spPr>
        <a:ln w="12700">
          <a:solidFill>
            <a:schemeClr val="bg1">
              <a:lumMod val="65000"/>
            </a:schemeClr>
          </a:solidFill>
        </a:ln>
      </c:spPr>
    </c:plotArea>
    <c:legend>
      <c:legendPos val="t"/>
      <c:layout>
        <c:manualLayout>
          <c:xMode val="edge"/>
          <c:yMode val="edge"/>
          <c:x val="0.33558630952381002"/>
          <c:y val="0.156212222222222"/>
          <c:w val="0.59364513888888903"/>
          <c:h val="6.9829259259259299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itchFamily="34" charset="0"/>
                <a:ea typeface="+mn-ea"/>
                <a:cs typeface="Arial" pitchFamily="34" charset="0"/>
              </a:defRPr>
            </a:pPr>
            <a:r>
              <a:rPr lang="cs-CZ" sz="800" b="1" i="0" baseline="0">
                <a:effectLst/>
              </a:rPr>
              <a:t>Figure F6 Computers available to students in Czech schools by the age of devices; 2017 (%)</a:t>
            </a:r>
            <a:endParaRPr lang="en-US" sz="800"/>
          </a:p>
        </c:rich>
      </c:tx>
      <c:layout>
        <c:manualLayout>
          <c:xMode val="edge"/>
          <c:yMode val="edge"/>
          <c:x val="0.140815453384419"/>
          <c:y val="1.6798941798941799E-2"/>
        </c:manualLayout>
      </c:layout>
      <c:overlay val="1"/>
    </c:title>
    <c:autoTitleDeleted val="0"/>
    <c:plotArea>
      <c:layout>
        <c:manualLayout>
          <c:layoutTarget val="inner"/>
          <c:xMode val="edge"/>
          <c:yMode val="edge"/>
          <c:x val="4.0354918151528398E-2"/>
          <c:y val="0.25919223985890699"/>
          <c:w val="0.90461366538952803"/>
          <c:h val="0.52125074074074096"/>
        </c:manualLayout>
      </c:layout>
      <c:barChart>
        <c:barDir val="col"/>
        <c:grouping val="percentStacked"/>
        <c:varyColors val="0"/>
        <c:ser>
          <c:idx val="0"/>
          <c:order val="0"/>
          <c:tx>
            <c:strRef>
              <c:f>F_EN!$B$51</c:f>
              <c:strCache>
                <c:ptCount val="1"/>
                <c:pt idx="0">
                  <c:v> less than 2 years</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F_EN!$A$52:$A$55</c:f>
              <c:strCache>
                <c:ptCount val="4"/>
                <c:pt idx="0">
                  <c:v> Computers total</c:v>
                </c:pt>
                <c:pt idx="1">
                  <c:v>  Desktops</c:v>
                </c:pt>
                <c:pt idx="2">
                  <c:v>  Laptops</c:v>
                </c:pt>
                <c:pt idx="3">
                  <c:v>  Tablets</c:v>
                </c:pt>
              </c:strCache>
            </c:strRef>
          </c:cat>
          <c:val>
            <c:numRef>
              <c:f>F_EN!$B$52:$B$55</c:f>
              <c:numCache>
                <c:formatCode>0%</c:formatCode>
                <c:ptCount val="4"/>
                <c:pt idx="0">
                  <c:v>0.16953866017778199</c:v>
                </c:pt>
                <c:pt idx="1">
                  <c:v>0.13931623931623899</c:v>
                </c:pt>
                <c:pt idx="2">
                  <c:v>0.20181100950331701</c:v>
                </c:pt>
                <c:pt idx="3">
                  <c:v>0.33716305788776002</c:v>
                </c:pt>
              </c:numCache>
            </c:numRef>
          </c:val>
          <c:extLst>
            <c:ext xmlns:c16="http://schemas.microsoft.com/office/drawing/2014/chart" uri="{C3380CC4-5D6E-409C-BE32-E72D297353CC}">
              <c16:uniqueId val="{00000000-E3B6-461A-ADC4-D91EAD83F41B}"/>
            </c:ext>
          </c:extLst>
        </c:ser>
        <c:ser>
          <c:idx val="1"/>
          <c:order val="1"/>
          <c:tx>
            <c:strRef>
              <c:f>F_EN!$C$51</c:f>
              <c:strCache>
                <c:ptCount val="1"/>
                <c:pt idx="0">
                  <c:v> 3-9 years</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F_EN!$A$52:$A$55</c:f>
              <c:strCache>
                <c:ptCount val="4"/>
                <c:pt idx="0">
                  <c:v> Computers total</c:v>
                </c:pt>
                <c:pt idx="1">
                  <c:v>  Desktops</c:v>
                </c:pt>
                <c:pt idx="2">
                  <c:v>  Laptops</c:v>
                </c:pt>
                <c:pt idx="3">
                  <c:v>  Tablets</c:v>
                </c:pt>
              </c:strCache>
            </c:strRef>
          </c:cat>
          <c:val>
            <c:numRef>
              <c:f>F_EN!$C$52:$C$55</c:f>
              <c:numCache>
                <c:formatCode>0%</c:formatCode>
                <c:ptCount val="4"/>
                <c:pt idx="0">
                  <c:v>0.76559414166803597</c:v>
                </c:pt>
                <c:pt idx="1">
                  <c:v>0.77894922071392703</c:v>
                </c:pt>
                <c:pt idx="2">
                  <c:v>0.77655250732173797</c:v>
                </c:pt>
                <c:pt idx="3">
                  <c:v>0.66283694211223998</c:v>
                </c:pt>
              </c:numCache>
            </c:numRef>
          </c:val>
          <c:extLst>
            <c:ext xmlns:c16="http://schemas.microsoft.com/office/drawing/2014/chart" uri="{C3380CC4-5D6E-409C-BE32-E72D297353CC}">
              <c16:uniqueId val="{00000001-E3B6-461A-ADC4-D91EAD83F41B}"/>
            </c:ext>
          </c:extLst>
        </c:ser>
        <c:ser>
          <c:idx val="2"/>
          <c:order val="2"/>
          <c:tx>
            <c:strRef>
              <c:f>F_EN!$D$51</c:f>
              <c:strCache>
                <c:ptCount val="1"/>
                <c:pt idx="0">
                  <c:v> 10 years and more</c:v>
                </c:pt>
              </c:strCache>
            </c:strRef>
          </c:tx>
          <c:spPr>
            <a:solidFill>
              <a:srgbClr val="ABF3FF"/>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E3B6-461A-ADC4-D91EAD83F41B}"/>
                </c:ext>
              </c:extLst>
            </c:dLbl>
            <c:dLbl>
              <c:idx val="3"/>
              <c:delete val="1"/>
              <c:extLst>
                <c:ext xmlns:c15="http://schemas.microsoft.com/office/drawing/2012/chart" uri="{CE6537A1-D6FC-4f65-9D91-7224C49458BB}"/>
                <c:ext xmlns:c16="http://schemas.microsoft.com/office/drawing/2014/chart" uri="{C3380CC4-5D6E-409C-BE32-E72D297353CC}">
                  <c16:uniqueId val="{00000003-E3B6-461A-ADC4-D91EAD83F41B}"/>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F_EN!$A$52:$A$55</c:f>
              <c:strCache>
                <c:ptCount val="4"/>
                <c:pt idx="0">
                  <c:v> Computers total</c:v>
                </c:pt>
                <c:pt idx="1">
                  <c:v>  Desktops</c:v>
                </c:pt>
                <c:pt idx="2">
                  <c:v>  Laptops</c:v>
                </c:pt>
                <c:pt idx="3">
                  <c:v>  Tablets</c:v>
                </c:pt>
              </c:strCache>
            </c:strRef>
          </c:cat>
          <c:val>
            <c:numRef>
              <c:f>F_EN!$D$52:$D$55</c:f>
              <c:numCache>
                <c:formatCode>0%</c:formatCode>
                <c:ptCount val="4"/>
                <c:pt idx="0">
                  <c:v>6.4867198154182307E-2</c:v>
                </c:pt>
                <c:pt idx="1">
                  <c:v>8.1734539969834097E-2</c:v>
                </c:pt>
                <c:pt idx="2">
                  <c:v>2.1636483174944699E-2</c:v>
                </c:pt>
                <c:pt idx="3">
                  <c:v>0</c:v>
                </c:pt>
              </c:numCache>
            </c:numRef>
          </c:val>
          <c:extLst>
            <c:ext xmlns:c16="http://schemas.microsoft.com/office/drawing/2014/chart" uri="{C3380CC4-5D6E-409C-BE32-E72D297353CC}">
              <c16:uniqueId val="{00000004-E3B6-461A-ADC4-D91EAD83F41B}"/>
            </c:ext>
          </c:extLst>
        </c:ser>
        <c:dLbls>
          <c:showLegendKey val="0"/>
          <c:showVal val="0"/>
          <c:showCatName val="0"/>
          <c:showSerName val="0"/>
          <c:showPercent val="0"/>
          <c:showBubbleSize val="0"/>
        </c:dLbls>
        <c:gapWidth val="70"/>
        <c:overlap val="100"/>
        <c:axId val="199429120"/>
        <c:axId val="185102848"/>
      </c:barChart>
      <c:catAx>
        <c:axId val="199429120"/>
        <c:scaling>
          <c:orientation val="minMax"/>
        </c:scaling>
        <c:delete val="0"/>
        <c:axPos val="b"/>
        <c:numFmt formatCode="General" sourceLinked="1"/>
        <c:majorTickMark val="out"/>
        <c:minorTickMark val="none"/>
        <c:tickLblPos val="nextTo"/>
        <c:spPr>
          <a:ln w="3175">
            <a:solidFill>
              <a:schemeClr val="tx1"/>
            </a:solidFill>
          </a:ln>
        </c:spPr>
        <c:crossAx val="185102848"/>
        <c:crosses val="autoZero"/>
        <c:auto val="1"/>
        <c:lblAlgn val="ctr"/>
        <c:lblOffset val="100"/>
        <c:noMultiLvlLbl val="0"/>
      </c:catAx>
      <c:valAx>
        <c:axId val="185102848"/>
        <c:scaling>
          <c:orientation val="minMax"/>
          <c:max val="1"/>
          <c:min val="0"/>
        </c:scaling>
        <c:delete val="1"/>
        <c:axPos val="l"/>
        <c:majorGridlines>
          <c:spPr>
            <a:ln>
              <a:noFill/>
              <a:prstDash val="dash"/>
            </a:ln>
          </c:spPr>
        </c:majorGridlines>
        <c:numFmt formatCode="0%" sourceLinked="1"/>
        <c:majorTickMark val="out"/>
        <c:minorTickMark val="none"/>
        <c:tickLblPos val="none"/>
        <c:crossAx val="199429120"/>
        <c:crosses val="autoZero"/>
        <c:crossBetween val="between"/>
        <c:majorUnit val="0.2"/>
        <c:minorUnit val="0.01"/>
      </c:valAx>
      <c:spPr>
        <a:ln w="12700">
          <a:solidFill>
            <a:srgbClr val="A6A6A6"/>
          </a:solidFill>
        </a:ln>
      </c:spPr>
    </c:plotArea>
    <c:legend>
      <c:legendPos val="t"/>
      <c:layout>
        <c:manualLayout>
          <c:xMode val="edge"/>
          <c:yMode val="edge"/>
          <c:x val="6.3472860791826305E-2"/>
          <c:y val="0.151125661375661"/>
          <c:w val="0.85931353767560703"/>
          <c:h val="8.1173280423280397E-2"/>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7283919753086399"/>
          <c:w val="0.90411750841750804"/>
          <c:h val="0.53370401234567899"/>
        </c:manualLayout>
      </c:layout>
      <c:barChart>
        <c:barDir val="col"/>
        <c:grouping val="percentStacked"/>
        <c:varyColors val="0"/>
        <c:ser>
          <c:idx val="0"/>
          <c:order val="0"/>
          <c:tx>
            <c:strRef>
              <c:f>F_EN!$B$63</c:f>
              <c:strCache>
                <c:ptCount val="1"/>
                <c:pt idx="0">
                  <c:v> Have access to the internet and use it</c:v>
                </c:pt>
              </c:strCache>
            </c:strRef>
          </c:tx>
          <c:spPr>
            <a:solidFill>
              <a:srgbClr val="009BB4"/>
            </a:solidFill>
          </c:spPr>
          <c:invertIfNegative val="0"/>
          <c:dPt>
            <c:idx val="6"/>
            <c:invertIfNegative val="0"/>
            <c:bubble3D val="0"/>
            <c:spPr>
              <a:solidFill>
                <a:srgbClr val="009BB4"/>
              </a:solidFill>
              <a:ln w="9525">
                <a:solidFill>
                  <a:srgbClr val="C00000"/>
                </a:solidFill>
              </a:ln>
            </c:spPr>
            <c:extLst>
              <c:ext xmlns:c16="http://schemas.microsoft.com/office/drawing/2014/chart" uri="{C3380CC4-5D6E-409C-BE32-E72D297353CC}">
                <c16:uniqueId val="{00000001-BAF2-4A10-BF05-0F7DD120B834}"/>
              </c:ext>
            </c:extLst>
          </c:dPt>
          <c:dPt>
            <c:idx val="10"/>
            <c:invertIfNegative val="0"/>
            <c:bubble3D val="0"/>
            <c:spPr>
              <a:solidFill>
                <a:srgbClr val="009BB4"/>
              </a:solidFill>
              <a:ln w="9525">
                <a:solidFill>
                  <a:srgbClr val="C00000"/>
                </a:solidFill>
              </a:ln>
            </c:spPr>
            <c:extLst>
              <c:ext xmlns:c16="http://schemas.microsoft.com/office/drawing/2014/chart" uri="{C3380CC4-5D6E-409C-BE32-E72D297353CC}">
                <c16:uniqueId val="{00000003-BAF2-4A10-BF05-0F7DD120B834}"/>
              </c:ext>
            </c:extLst>
          </c:dPt>
          <c:dPt>
            <c:idx val="13"/>
            <c:invertIfNegative val="0"/>
            <c:bubble3D val="0"/>
            <c:extLst>
              <c:ext xmlns:c16="http://schemas.microsoft.com/office/drawing/2014/chart" uri="{C3380CC4-5D6E-409C-BE32-E72D297353CC}">
                <c16:uniqueId val="{00000004-BAF2-4A10-BF05-0F7DD120B834}"/>
              </c:ext>
            </c:extLst>
          </c:dPt>
          <c:dPt>
            <c:idx val="28"/>
            <c:invertIfNegative val="0"/>
            <c:bubble3D val="0"/>
            <c:extLst>
              <c:ext xmlns:c16="http://schemas.microsoft.com/office/drawing/2014/chart" uri="{C3380CC4-5D6E-409C-BE32-E72D297353CC}">
                <c16:uniqueId val="{00000005-BAF2-4A10-BF05-0F7DD120B834}"/>
              </c:ext>
            </c:extLst>
          </c:dPt>
          <c:dLbls>
            <c:dLbl>
              <c:idx val="27"/>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6-BAF2-4A10-BF05-0F7DD120B834}"/>
                </c:ext>
              </c:extLst>
            </c:dLbl>
            <c:dLbl>
              <c:idx val="28"/>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5-BAF2-4A10-BF05-0F7DD120B834}"/>
                </c:ext>
              </c:extLst>
            </c:dLbl>
            <c:numFmt formatCode="0%" sourceLinked="0"/>
            <c:spPr>
              <a:noFill/>
              <a:ln>
                <a:noFill/>
              </a:ln>
              <a:effectLst/>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F_EN!$B$64:$B$88</c:f>
              <c:numCache>
                <c:formatCode>0.0%</c:formatCode>
                <c:ptCount val="25"/>
                <c:pt idx="0">
                  <c:v>0.90110331852583403</c:v>
                </c:pt>
                <c:pt idx="1">
                  <c:v>0.86282694443380703</c:v>
                </c:pt>
                <c:pt idx="2">
                  <c:v>0.82068165662763304</c:v>
                </c:pt>
                <c:pt idx="3">
                  <c:v>0.80597365945437505</c:v>
                </c:pt>
                <c:pt idx="4">
                  <c:v>0.79679018865710205</c:v>
                </c:pt>
                <c:pt idx="5">
                  <c:v>0.78200714947702898</c:v>
                </c:pt>
                <c:pt idx="6">
                  <c:v>0.77626877265665395</c:v>
                </c:pt>
                <c:pt idx="7">
                  <c:v>0.75321768411609002</c:v>
                </c:pt>
                <c:pt idx="8">
                  <c:v>0.73583939113040897</c:v>
                </c:pt>
                <c:pt idx="9">
                  <c:v>0.72220815396302895</c:v>
                </c:pt>
                <c:pt idx="10">
                  <c:v>0.71399589575032496</c:v>
                </c:pt>
                <c:pt idx="11">
                  <c:v>0.70998003992016001</c:v>
                </c:pt>
                <c:pt idx="12">
                  <c:v>0.70140149589717504</c:v>
                </c:pt>
                <c:pt idx="13">
                  <c:v>0.69198243412798</c:v>
                </c:pt>
                <c:pt idx="14">
                  <c:v>0.684941878590834</c:v>
                </c:pt>
                <c:pt idx="15">
                  <c:v>0.67960793441435896</c:v>
                </c:pt>
                <c:pt idx="16">
                  <c:v>0.65154980504911897</c:v>
                </c:pt>
                <c:pt idx="17">
                  <c:v>0.65098523452581802</c:v>
                </c:pt>
                <c:pt idx="18">
                  <c:v>0.65005763803315197</c:v>
                </c:pt>
                <c:pt idx="19">
                  <c:v>0.60080113709781602</c:v>
                </c:pt>
                <c:pt idx="20">
                  <c:v>0.580524414317107</c:v>
                </c:pt>
                <c:pt idx="21">
                  <c:v>0.57761453701913801</c:v>
                </c:pt>
                <c:pt idx="22">
                  <c:v>0.57172651878184799</c:v>
                </c:pt>
                <c:pt idx="23">
                  <c:v>0.54528482214940399</c:v>
                </c:pt>
                <c:pt idx="24">
                  <c:v>0.51502321770008197</c:v>
                </c:pt>
              </c:numCache>
            </c:numRef>
          </c:val>
          <c:extLst>
            <c:ext xmlns:c16="http://schemas.microsoft.com/office/drawing/2014/chart" uri="{C3380CC4-5D6E-409C-BE32-E72D297353CC}">
              <c16:uniqueId val="{00000007-BAF2-4A10-BF05-0F7DD120B834}"/>
            </c:ext>
          </c:extLst>
        </c:ser>
        <c:ser>
          <c:idx val="1"/>
          <c:order val="1"/>
          <c:tx>
            <c:strRef>
              <c:f>F_EN!$C$63</c:f>
              <c:strCache>
                <c:ptCount val="1"/>
                <c:pt idx="0">
                  <c:v> Have access but do not use it</c:v>
                </c:pt>
              </c:strCache>
            </c:strRef>
          </c:tx>
          <c:spPr>
            <a:solidFill>
              <a:srgbClr val="47E5FF"/>
            </a:solidFill>
          </c:spPr>
          <c:invertIfNegative val="0"/>
          <c:dPt>
            <c:idx val="6"/>
            <c:invertIfNegative val="0"/>
            <c:bubble3D val="0"/>
            <c:spPr>
              <a:solidFill>
                <a:srgbClr val="47E5FF"/>
              </a:solidFill>
              <a:ln w="9525">
                <a:solidFill>
                  <a:srgbClr val="C00000"/>
                </a:solidFill>
              </a:ln>
            </c:spPr>
            <c:extLst>
              <c:ext xmlns:c16="http://schemas.microsoft.com/office/drawing/2014/chart" uri="{C3380CC4-5D6E-409C-BE32-E72D297353CC}">
                <c16:uniqueId val="{00000009-BAF2-4A10-BF05-0F7DD120B834}"/>
              </c:ext>
            </c:extLst>
          </c:dPt>
          <c:dPt>
            <c:idx val="10"/>
            <c:invertIfNegative val="0"/>
            <c:bubble3D val="0"/>
            <c:spPr>
              <a:solidFill>
                <a:srgbClr val="47E5FF"/>
              </a:solidFill>
              <a:ln w="9525">
                <a:solidFill>
                  <a:srgbClr val="C00000"/>
                </a:solidFill>
              </a:ln>
            </c:spPr>
            <c:extLst>
              <c:ext xmlns:c16="http://schemas.microsoft.com/office/drawing/2014/chart" uri="{C3380CC4-5D6E-409C-BE32-E72D297353CC}">
                <c16:uniqueId val="{0000000B-BAF2-4A10-BF05-0F7DD120B834}"/>
              </c:ext>
            </c:extLst>
          </c:dPt>
          <c:dLbls>
            <c:numFmt formatCode="0%" sourceLinked="0"/>
            <c:spPr>
              <a:noFill/>
              <a:ln>
                <a:noFill/>
              </a:ln>
              <a:effectLst/>
            </c:spPr>
            <c:txPr>
              <a:bodyPr rot="-5400000" vert="horz"/>
              <a:lstStyle/>
              <a:p>
                <a:pPr>
                  <a:defRPr b="1"/>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F_EN!$C$64:$C$88</c:f>
              <c:numCache>
                <c:formatCode>0.0%</c:formatCode>
                <c:ptCount val="25"/>
                <c:pt idx="0">
                  <c:v>6.6235841221710501E-2</c:v>
                </c:pt>
                <c:pt idx="1">
                  <c:v>7.61908409057339E-2</c:v>
                </c:pt>
                <c:pt idx="2">
                  <c:v>0.11307942683976201</c:v>
                </c:pt>
                <c:pt idx="3">
                  <c:v>8.9070383990421595E-2</c:v>
                </c:pt>
                <c:pt idx="4">
                  <c:v>0.14342927559193699</c:v>
                </c:pt>
                <c:pt idx="5">
                  <c:v>0.115318416523236</c:v>
                </c:pt>
                <c:pt idx="6">
                  <c:v>0.12753754531330899</c:v>
                </c:pt>
                <c:pt idx="7">
                  <c:v>0.16093951981378099</c:v>
                </c:pt>
                <c:pt idx="8">
                  <c:v>0.17059813631263099</c:v>
                </c:pt>
                <c:pt idx="9">
                  <c:v>0.177133451506711</c:v>
                </c:pt>
                <c:pt idx="10">
                  <c:v>0.184056968487392</c:v>
                </c:pt>
                <c:pt idx="11">
                  <c:v>0.19660678642714599</c:v>
                </c:pt>
                <c:pt idx="12">
                  <c:v>0.23800014523273499</c:v>
                </c:pt>
                <c:pt idx="13">
                  <c:v>0.20299874529485601</c:v>
                </c:pt>
                <c:pt idx="14">
                  <c:v>0.234088985881619</c:v>
                </c:pt>
                <c:pt idx="15">
                  <c:v>0.20656373651951301</c:v>
                </c:pt>
                <c:pt idx="16">
                  <c:v>0.29326493715829099</c:v>
                </c:pt>
                <c:pt idx="17">
                  <c:v>0.27200473051705198</c:v>
                </c:pt>
                <c:pt idx="18">
                  <c:v>0.196625193783042</c:v>
                </c:pt>
                <c:pt idx="19">
                  <c:v>0.23367360124047001</c:v>
                </c:pt>
                <c:pt idx="20">
                  <c:v>0.33496592051845497</c:v>
                </c:pt>
                <c:pt idx="21">
                  <c:v>0.32630968490237799</c:v>
                </c:pt>
                <c:pt idx="22">
                  <c:v>0.25044771853353798</c:v>
                </c:pt>
                <c:pt idx="23">
                  <c:v>0.28917937028066698</c:v>
                </c:pt>
                <c:pt idx="24">
                  <c:v>0.40016388964763699</c:v>
                </c:pt>
              </c:numCache>
            </c:numRef>
          </c:val>
          <c:extLst>
            <c:ext xmlns:c16="http://schemas.microsoft.com/office/drawing/2014/chart" uri="{C3380CC4-5D6E-409C-BE32-E72D297353CC}">
              <c16:uniqueId val="{0000000C-BAF2-4A10-BF05-0F7DD120B834}"/>
            </c:ext>
          </c:extLst>
        </c:ser>
        <c:ser>
          <c:idx val="2"/>
          <c:order val="2"/>
          <c:tx>
            <c:strRef>
              <c:f>F_EN!$D$63</c:f>
              <c:strCache>
                <c:ptCount val="1"/>
                <c:pt idx="0">
                  <c:v> Do not have access</c:v>
                </c:pt>
              </c:strCache>
            </c:strRef>
          </c:tx>
          <c:spPr>
            <a:solidFill>
              <a:srgbClr val="ABF3FF"/>
            </a:solidFill>
          </c:spPr>
          <c:invertIfNegative val="0"/>
          <c:dPt>
            <c:idx val="6"/>
            <c:invertIfNegative val="0"/>
            <c:bubble3D val="0"/>
            <c:spPr>
              <a:solidFill>
                <a:srgbClr val="ABF3FF"/>
              </a:solidFill>
              <a:ln w="9525">
                <a:solidFill>
                  <a:srgbClr val="C00000"/>
                </a:solidFill>
              </a:ln>
            </c:spPr>
            <c:extLst>
              <c:ext xmlns:c16="http://schemas.microsoft.com/office/drawing/2014/chart" uri="{C3380CC4-5D6E-409C-BE32-E72D297353CC}">
                <c16:uniqueId val="{0000000E-BAF2-4A10-BF05-0F7DD120B834}"/>
              </c:ext>
            </c:extLst>
          </c:dPt>
          <c:dPt>
            <c:idx val="10"/>
            <c:invertIfNegative val="0"/>
            <c:bubble3D val="0"/>
            <c:spPr>
              <a:solidFill>
                <a:srgbClr val="ABF3FF"/>
              </a:solidFill>
              <a:ln w="9525">
                <a:solidFill>
                  <a:srgbClr val="C00000"/>
                </a:solidFill>
              </a:ln>
            </c:spPr>
            <c:extLst>
              <c:ext xmlns:c16="http://schemas.microsoft.com/office/drawing/2014/chart" uri="{C3380CC4-5D6E-409C-BE32-E72D297353CC}">
                <c16:uniqueId val="{00000010-BAF2-4A10-BF05-0F7DD120B834}"/>
              </c:ext>
            </c:extLst>
          </c:dPt>
          <c:dLbls>
            <c:dLbl>
              <c:idx val="0"/>
              <c:delete val="1"/>
              <c:extLst>
                <c:ext xmlns:c15="http://schemas.microsoft.com/office/drawing/2012/chart" uri="{CE6537A1-D6FC-4f65-9D91-7224C49458BB}"/>
                <c:ext xmlns:c16="http://schemas.microsoft.com/office/drawing/2014/chart" uri="{C3380CC4-5D6E-409C-BE32-E72D297353CC}">
                  <c16:uniqueId val="{00000011-BAF2-4A10-BF05-0F7DD120B834}"/>
                </c:ext>
              </c:extLst>
            </c:dLbl>
            <c:dLbl>
              <c:idx val="6"/>
              <c:layout>
                <c:manualLayout>
                  <c:x val="0"/>
                  <c:y val="-3.66300366300369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AF2-4A10-BF05-0F7DD120B834}"/>
                </c:ext>
              </c:extLst>
            </c:dLbl>
            <c:dLbl>
              <c:idx val="10"/>
              <c:layout>
                <c:manualLayout>
                  <c:x val="-7.6627467283380521E-17"/>
                  <c:y val="-3.66300366300366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AF2-4A10-BF05-0F7DD120B834}"/>
                </c:ext>
              </c:extLst>
            </c:dLbl>
            <c:numFmt formatCode="0%" sourceLinked="0"/>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F_EN!$D$64:$D$88</c:f>
              <c:numCache>
                <c:formatCode>0.0%</c:formatCode>
                <c:ptCount val="25"/>
                <c:pt idx="0">
                  <c:v>3.2660840252455303E-2</c:v>
                </c:pt>
                <c:pt idx="1">
                  <c:v>6.0982214660459201E-2</c:v>
                </c:pt>
                <c:pt idx="2">
                  <c:v>6.6238916532604997E-2</c:v>
                </c:pt>
                <c:pt idx="3">
                  <c:v>0.104955956555204</c:v>
                </c:pt>
                <c:pt idx="4">
                  <c:v>5.97805357509609E-2</c:v>
                </c:pt>
                <c:pt idx="5">
                  <c:v>0.102674433999735</c:v>
                </c:pt>
                <c:pt idx="6">
                  <c:v>9.6193682030036198E-2</c:v>
                </c:pt>
                <c:pt idx="7">
                  <c:v>8.5842796070129096E-2</c:v>
                </c:pt>
                <c:pt idx="8">
                  <c:v>9.3562472556959597E-2</c:v>
                </c:pt>
                <c:pt idx="9">
                  <c:v>0.100658394530261</c:v>
                </c:pt>
                <c:pt idx="10">
                  <c:v>0.10194713576228299</c:v>
                </c:pt>
                <c:pt idx="11">
                  <c:v>9.3413173652694595E-2</c:v>
                </c:pt>
                <c:pt idx="12">
                  <c:v>6.0598358870089297E-2</c:v>
                </c:pt>
                <c:pt idx="13">
                  <c:v>0.105018820577164</c:v>
                </c:pt>
                <c:pt idx="14">
                  <c:v>8.0969135527546393E-2</c:v>
                </c:pt>
                <c:pt idx="15">
                  <c:v>0.113828329066129</c:v>
                </c:pt>
                <c:pt idx="16">
                  <c:v>5.5185257792589697E-2</c:v>
                </c:pt>
                <c:pt idx="17">
                  <c:v>7.70100349571297E-2</c:v>
                </c:pt>
                <c:pt idx="18">
                  <c:v>0.153317168183806</c:v>
                </c:pt>
                <c:pt idx="19">
                  <c:v>0.165525261661713</c:v>
                </c:pt>
                <c:pt idx="20">
                  <c:v>8.4509665164438197E-2</c:v>
                </c:pt>
                <c:pt idx="21">
                  <c:v>9.60757780784844E-2</c:v>
                </c:pt>
                <c:pt idx="22">
                  <c:v>0.177825762684614</c:v>
                </c:pt>
                <c:pt idx="23">
                  <c:v>0.165535807569929</c:v>
                </c:pt>
                <c:pt idx="24">
                  <c:v>8.48128926522808E-2</c:v>
                </c:pt>
              </c:numCache>
            </c:numRef>
          </c:val>
          <c:extLst>
            <c:ext xmlns:c16="http://schemas.microsoft.com/office/drawing/2014/chart" uri="{C3380CC4-5D6E-409C-BE32-E72D297353CC}">
              <c16:uniqueId val="{00000012-BAF2-4A10-BF05-0F7DD120B834}"/>
            </c:ext>
          </c:extLst>
        </c:ser>
        <c:dLbls>
          <c:showLegendKey val="0"/>
          <c:showVal val="0"/>
          <c:showCatName val="0"/>
          <c:showSerName val="0"/>
          <c:showPercent val="0"/>
          <c:showBubbleSize val="0"/>
        </c:dLbls>
        <c:gapWidth val="50"/>
        <c:overlap val="100"/>
        <c:axId val="200084992"/>
        <c:axId val="185104576"/>
      </c:barChart>
      <c:catAx>
        <c:axId val="200084992"/>
        <c:scaling>
          <c:orientation val="minMax"/>
        </c:scaling>
        <c:delete val="0"/>
        <c:axPos val="b"/>
        <c:numFmt formatCode="General" sourceLinked="1"/>
        <c:majorTickMark val="out"/>
        <c:minorTickMark val="none"/>
        <c:tickLblPos val="nextTo"/>
        <c:spPr>
          <a:ln w="3175">
            <a:solidFill>
              <a:schemeClr val="tx1"/>
            </a:solidFill>
          </a:ln>
        </c:spPr>
        <c:crossAx val="185104576"/>
        <c:crosses val="autoZero"/>
        <c:auto val="1"/>
        <c:lblAlgn val="ctr"/>
        <c:lblOffset val="100"/>
        <c:noMultiLvlLbl val="0"/>
      </c:catAx>
      <c:valAx>
        <c:axId val="185104576"/>
        <c:scaling>
          <c:orientation val="minMax"/>
          <c:max val="1"/>
          <c:min val="0"/>
        </c:scaling>
        <c:delete val="1"/>
        <c:axPos val="l"/>
        <c:numFmt formatCode="0%" sourceLinked="1"/>
        <c:majorTickMark val="out"/>
        <c:minorTickMark val="none"/>
        <c:tickLblPos val="nextTo"/>
        <c:crossAx val="200084992"/>
        <c:crosses val="autoZero"/>
        <c:crossBetween val="between"/>
        <c:majorUnit val="0.1"/>
        <c:minorUnit val="0.05"/>
      </c:valAx>
      <c:spPr>
        <a:ln>
          <a:solidFill>
            <a:schemeClr val="tx1">
              <a:tint val="75000"/>
              <a:shade val="95000"/>
              <a:satMod val="105000"/>
            </a:schemeClr>
          </a:solidFill>
        </a:ln>
      </c:spPr>
    </c:plotArea>
    <c:legend>
      <c:legendPos val="t"/>
      <c:layout>
        <c:manualLayout>
          <c:xMode val="edge"/>
          <c:yMode val="edge"/>
          <c:x val="6.3282308857530098E-2"/>
          <c:y val="8.6999074074074007E-2"/>
          <c:w val="0.90533963166706499"/>
          <c:h val="5.8191049382715999E-2"/>
        </c:manualLayout>
      </c:layout>
      <c:overlay val="0"/>
      <c:spPr>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2E-2"/>
          <c:y val="0.13995247808508618"/>
          <c:w val="0.96683104575163403"/>
          <c:h val="0.51572010323222128"/>
        </c:manualLayout>
      </c:layout>
      <c:barChart>
        <c:barDir val="col"/>
        <c:grouping val="clustered"/>
        <c:varyColors val="0"/>
        <c:ser>
          <c:idx val="0"/>
          <c:order val="0"/>
          <c:tx>
            <c:strRef>
              <c:f>F_EN!$D$105</c:f>
              <c:strCache>
                <c:ptCount val="1"/>
                <c:pt idx="0">
                  <c:v> Students (aged 16+)</c:v>
                </c:pt>
              </c:strCache>
            </c:strRef>
          </c:tx>
          <c:spPr>
            <a:solidFill>
              <a:srgbClr val="47E5FF"/>
            </a:solidFill>
            <a:ln w="25400">
              <a:noFill/>
            </a:ln>
          </c:spPr>
          <c:invertIfNegative val="0"/>
          <c:dLbls>
            <c:dLbl>
              <c:idx val="0"/>
              <c:layout>
                <c:manualLayout>
                  <c:x val="-9.9084967320261499E-4"/>
                  <c:y val="0.1268140177106580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915-4E52-91AF-AD90A5363B1F}"/>
                </c:ext>
              </c:extLst>
            </c:dLbl>
            <c:dLbl>
              <c:idx val="2"/>
              <c:layout>
                <c:manualLayout>
                  <c:x val="0"/>
                  <c:y val="0.1373042707346150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915-4E52-91AF-AD90A5363B1F}"/>
                </c:ext>
              </c:extLst>
            </c:dLbl>
            <c:numFmt formatCode="0%" sourceLinked="0"/>
            <c:spPr>
              <a:noFill/>
              <a:ln w="25400">
                <a:noFill/>
              </a:ln>
            </c:spPr>
            <c:txPr>
              <a:bodyPr rot="-540000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F_EN!$B$106:$C$114</c:f>
              <c:multiLvlStrCache>
                <c:ptCount val="9"/>
                <c:lvl>
                  <c:pt idx="0">
                    <c:v>2015</c:v>
                  </c:pt>
                  <c:pt idx="1">
                    <c:v>2016</c:v>
                  </c:pt>
                  <c:pt idx="2">
                    <c:v>2017</c:v>
                  </c:pt>
                  <c:pt idx="3">
                    <c:v>2015</c:v>
                  </c:pt>
                  <c:pt idx="4">
                    <c:v>2016</c:v>
                  </c:pt>
                  <c:pt idx="5">
                    <c:v>2017</c:v>
                  </c:pt>
                  <c:pt idx="6">
                    <c:v>2015</c:v>
                  </c:pt>
                  <c:pt idx="7">
                    <c:v>2016</c:v>
                  </c:pt>
                  <c:pt idx="8">
                    <c:v>2017</c:v>
                  </c:pt>
                </c:lvl>
                <c:lvl>
                  <c:pt idx="0">
                    <c:v>Total</c:v>
                  </c:pt>
                  <c:pt idx="3">
                    <c:v> Mobile networks (e.g. 3G or LTE)</c:v>
                  </c:pt>
                  <c:pt idx="6">
                    <c:v>Wireless network (Wi-Fi)</c:v>
                  </c:pt>
                </c:lvl>
              </c:multiLvlStrCache>
            </c:multiLvlStrRef>
          </c:cat>
          <c:val>
            <c:numRef>
              <c:f>F_EN!$D$106:$D$114</c:f>
              <c:numCache>
                <c:formatCode>0%</c:formatCode>
                <c:ptCount val="9"/>
                <c:pt idx="0">
                  <c:v>0.80067433723423398</c:v>
                </c:pt>
                <c:pt idx="1">
                  <c:v>0.82151458679550804</c:v>
                </c:pt>
                <c:pt idx="2">
                  <c:v>0.86955212055852005</c:v>
                </c:pt>
                <c:pt idx="3">
                  <c:v>0.51938510959587403</c:v>
                </c:pt>
                <c:pt idx="4">
                  <c:v>0.54562499129937903</c:v>
                </c:pt>
                <c:pt idx="5">
                  <c:v>0.59190008601820898</c:v>
                </c:pt>
                <c:pt idx="6">
                  <c:v>0.54853386103365898</c:v>
                </c:pt>
                <c:pt idx="7">
                  <c:v>0.68413689365525099</c:v>
                </c:pt>
                <c:pt idx="8">
                  <c:v>0.82579575338088596</c:v>
                </c:pt>
              </c:numCache>
            </c:numRef>
          </c:val>
          <c:extLst>
            <c:ext xmlns:c16="http://schemas.microsoft.com/office/drawing/2014/chart" uri="{C3380CC4-5D6E-409C-BE32-E72D297353CC}">
              <c16:uniqueId val="{00000002-B915-4E52-91AF-AD90A5363B1F}"/>
            </c:ext>
          </c:extLst>
        </c:ser>
        <c:ser>
          <c:idx val="1"/>
          <c:order val="1"/>
          <c:tx>
            <c:strRef>
              <c:f>F_EN!$E$105</c:f>
              <c:strCache>
                <c:ptCount val="1"/>
                <c:pt idx="0">
                  <c:v> All individuals (aged 16+)</c:v>
                </c:pt>
              </c:strCache>
            </c:strRef>
          </c:tx>
          <c:spPr>
            <a:solidFill>
              <a:srgbClr val="009BB4"/>
            </a:solidFill>
            <a:ln w="25400">
              <a:noFill/>
            </a:ln>
          </c:spPr>
          <c:invertIfNegative val="0"/>
          <c:dLbls>
            <c:dLbl>
              <c:idx val="0"/>
              <c:layout>
                <c:manualLayout>
                  <c:x val="-3.2679738561140398E-7"/>
                  <c:y val="0.12695097469760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915-4E52-91AF-AD90A5363B1F}"/>
                </c:ext>
              </c:extLst>
            </c:dLbl>
            <c:dLbl>
              <c:idx val="1"/>
              <c:layout>
                <c:manualLayout>
                  <c:x val="4.1503267973856204E-3"/>
                  <c:y val="0.1272248886714970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915-4E52-91AF-AD90A5363B1F}"/>
                </c:ext>
              </c:extLst>
            </c:dLbl>
            <c:dLbl>
              <c:idx val="3"/>
              <c:layout>
                <c:manualLayout>
                  <c:x val="-7.6088445638519798E-17"/>
                  <c:y val="0.1242876504335950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915-4E52-91AF-AD90A5363B1F}"/>
                </c:ext>
              </c:extLst>
            </c:dLbl>
            <c:dLbl>
              <c:idx val="6"/>
              <c:layout>
                <c:manualLayout>
                  <c:x val="4.1503267973856204E-3"/>
                  <c:y val="0.11554889792424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15-4E52-91AF-AD90A5363B1F}"/>
                </c:ext>
              </c:extLst>
            </c:dLbl>
            <c:numFmt formatCode="0%" sourceLinked="0"/>
            <c:spPr>
              <a:noFill/>
              <a:ln w="25400">
                <a:noFill/>
              </a:ln>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F_EN!$B$106:$C$114</c:f>
              <c:multiLvlStrCache>
                <c:ptCount val="9"/>
                <c:lvl>
                  <c:pt idx="0">
                    <c:v>2015</c:v>
                  </c:pt>
                  <c:pt idx="1">
                    <c:v>2016</c:v>
                  </c:pt>
                  <c:pt idx="2">
                    <c:v>2017</c:v>
                  </c:pt>
                  <c:pt idx="3">
                    <c:v>2015</c:v>
                  </c:pt>
                  <c:pt idx="4">
                    <c:v>2016</c:v>
                  </c:pt>
                  <c:pt idx="5">
                    <c:v>2017</c:v>
                  </c:pt>
                  <c:pt idx="6">
                    <c:v>2015</c:v>
                  </c:pt>
                  <c:pt idx="7">
                    <c:v>2016</c:v>
                  </c:pt>
                  <c:pt idx="8">
                    <c:v>2017</c:v>
                  </c:pt>
                </c:lvl>
                <c:lvl>
                  <c:pt idx="0">
                    <c:v>Total</c:v>
                  </c:pt>
                  <c:pt idx="3">
                    <c:v> Mobile networks (e.g. 3G or LTE)</c:v>
                  </c:pt>
                  <c:pt idx="6">
                    <c:v>Wireless network (Wi-Fi)</c:v>
                  </c:pt>
                </c:lvl>
              </c:multiLvlStrCache>
            </c:multiLvlStrRef>
          </c:cat>
          <c:val>
            <c:numRef>
              <c:f>F_EN!$E$106:$E$114</c:f>
              <c:numCache>
                <c:formatCode>0%</c:formatCode>
                <c:ptCount val="9"/>
                <c:pt idx="0">
                  <c:v>0.36999594668693803</c:v>
                </c:pt>
                <c:pt idx="1">
                  <c:v>0.412143702828275</c:v>
                </c:pt>
                <c:pt idx="2">
                  <c:v>0.50371415082770499</c:v>
                </c:pt>
                <c:pt idx="3">
                  <c:v>0.26937485913091203</c:v>
                </c:pt>
                <c:pt idx="4">
                  <c:v>0.30604783268458602</c:v>
                </c:pt>
                <c:pt idx="5">
                  <c:v>0.36042298548767499</c:v>
                </c:pt>
                <c:pt idx="6">
                  <c:v>0.234908637887426</c:v>
                </c:pt>
                <c:pt idx="7">
                  <c:v>0.30791327381295802</c:v>
                </c:pt>
                <c:pt idx="8">
                  <c:v>0.463289894249586</c:v>
                </c:pt>
              </c:numCache>
            </c:numRef>
          </c:val>
          <c:extLst>
            <c:ext xmlns:c16="http://schemas.microsoft.com/office/drawing/2014/chart" uri="{C3380CC4-5D6E-409C-BE32-E72D297353CC}">
              <c16:uniqueId val="{00000007-B915-4E52-91AF-AD90A5363B1F}"/>
            </c:ext>
          </c:extLst>
        </c:ser>
        <c:dLbls>
          <c:showLegendKey val="0"/>
          <c:showVal val="1"/>
          <c:showCatName val="0"/>
          <c:showSerName val="0"/>
          <c:showPercent val="0"/>
          <c:showBubbleSize val="0"/>
        </c:dLbls>
        <c:gapWidth val="57"/>
        <c:axId val="200699392"/>
        <c:axId val="200647808"/>
      </c:barChart>
      <c:catAx>
        <c:axId val="200699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0647808"/>
        <c:crosses val="autoZero"/>
        <c:auto val="1"/>
        <c:lblAlgn val="ctr"/>
        <c:lblOffset val="40"/>
        <c:noMultiLvlLbl val="0"/>
      </c:catAx>
      <c:valAx>
        <c:axId val="200647808"/>
        <c:scaling>
          <c:orientation val="minMax"/>
          <c:max val="1"/>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200699392"/>
        <c:crosses val="autoZero"/>
        <c:crossBetween val="between"/>
        <c:majorUnit val="0.25"/>
        <c:minorUnit val="0.01"/>
      </c:valAx>
      <c:spPr>
        <a:noFill/>
        <a:ln w="12700">
          <a:solidFill>
            <a:srgbClr val="969696"/>
          </a:solidFill>
          <a:prstDash val="solid"/>
        </a:ln>
      </c:spPr>
    </c:plotArea>
    <c:legend>
      <c:legendPos val="t"/>
      <c:layout>
        <c:manualLayout>
          <c:xMode val="edge"/>
          <c:yMode val="edge"/>
          <c:x val="0.311470588235294"/>
          <c:y val="0.19246655049779399"/>
          <c:w val="0.45176470588235301"/>
          <c:h val="0.15764360612638001"/>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00246913580299"/>
          <c:y val="0.16443986373569"/>
          <c:w val="0.64897809138842799"/>
          <c:h val="0.62942761681252235"/>
        </c:manualLayout>
      </c:layout>
      <c:barChart>
        <c:barDir val="bar"/>
        <c:grouping val="clustered"/>
        <c:varyColors val="0"/>
        <c:ser>
          <c:idx val="0"/>
          <c:order val="0"/>
          <c:tx>
            <c:strRef>
              <c:f>F_EN!$B$92</c:f>
              <c:strCache>
                <c:ptCount val="1"/>
                <c:pt idx="0">
                  <c:v> All individuals (aged 16+)</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F_EN!$A$93:$A$97</c:f>
              <c:strCache>
                <c:ptCount val="5"/>
                <c:pt idx="0">
                  <c:v>Internet banking</c:v>
                </c:pt>
                <c:pt idx="1">
                  <c:v>Purchasing over the Internet</c:v>
                </c:pt>
                <c:pt idx="2">
                  <c:v>Playing games</c:v>
                </c:pt>
                <c:pt idx="3">
                  <c:v>Reading online news</c:v>
                </c:pt>
                <c:pt idx="4">
                  <c:v>Participating in social networks</c:v>
                </c:pt>
              </c:strCache>
            </c:strRef>
          </c:cat>
          <c:val>
            <c:numRef>
              <c:f>F_EN!$B$93:$B$97</c:f>
              <c:numCache>
                <c:formatCode>###0.0%</c:formatCode>
                <c:ptCount val="5"/>
                <c:pt idx="0">
                  <c:v>0.48017399758345403</c:v>
                </c:pt>
                <c:pt idx="1">
                  <c:v>0.27366655669474499</c:v>
                </c:pt>
                <c:pt idx="2">
                  <c:v>0.19366293388150299</c:v>
                </c:pt>
                <c:pt idx="3">
                  <c:v>0.66186212923015297</c:v>
                </c:pt>
                <c:pt idx="4">
                  <c:v>0.41020998649582402</c:v>
                </c:pt>
              </c:numCache>
            </c:numRef>
          </c:val>
          <c:extLst>
            <c:ext xmlns:c16="http://schemas.microsoft.com/office/drawing/2014/chart" uri="{C3380CC4-5D6E-409C-BE32-E72D297353CC}">
              <c16:uniqueId val="{00000000-3669-4337-8A6F-EC5A6D31CBAA}"/>
            </c:ext>
          </c:extLst>
        </c:ser>
        <c:ser>
          <c:idx val="1"/>
          <c:order val="1"/>
          <c:tx>
            <c:strRef>
              <c:f>F_EN!$C$92</c:f>
              <c:strCache>
                <c:ptCount val="1"/>
                <c:pt idx="0">
                  <c:v> Students (aged 16+)</c:v>
                </c:pt>
              </c:strCache>
            </c:strRef>
          </c:tx>
          <c:spPr>
            <a:solidFill>
              <a:srgbClr val="47E5FF"/>
            </a:solidFill>
          </c:spPr>
          <c:invertIfNegative val="0"/>
          <c:dLbls>
            <c:dLbl>
              <c:idx val="1"/>
              <c:layout>
                <c:manualLayout>
                  <c:x val="-0.1094080061260829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669-4337-8A6F-EC5A6D31CBAA}"/>
                </c:ext>
              </c:extLst>
            </c:dLbl>
            <c:numFmt formatCode="0%" sourceLinked="0"/>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F_EN!$A$93:$A$97</c:f>
              <c:strCache>
                <c:ptCount val="5"/>
                <c:pt idx="0">
                  <c:v>Internet banking</c:v>
                </c:pt>
                <c:pt idx="1">
                  <c:v>Purchasing over the Internet</c:v>
                </c:pt>
                <c:pt idx="2">
                  <c:v>Playing games</c:v>
                </c:pt>
                <c:pt idx="3">
                  <c:v>Reading online news</c:v>
                </c:pt>
                <c:pt idx="4">
                  <c:v>Participating in social networks</c:v>
                </c:pt>
              </c:strCache>
            </c:strRef>
          </c:cat>
          <c:val>
            <c:numRef>
              <c:f>F_EN!$C$93:$C$97</c:f>
              <c:numCache>
                <c:formatCode>###0.0%</c:formatCode>
                <c:ptCount val="5"/>
                <c:pt idx="0">
                  <c:v>0.34191760358565698</c:v>
                </c:pt>
                <c:pt idx="1">
                  <c:v>0.37522565127173602</c:v>
                </c:pt>
                <c:pt idx="2">
                  <c:v>0.63214397413143097</c:v>
                </c:pt>
                <c:pt idx="3">
                  <c:v>0.83536049428433601</c:v>
                </c:pt>
                <c:pt idx="4">
                  <c:v>0.93808200552249599</c:v>
                </c:pt>
              </c:numCache>
            </c:numRef>
          </c:val>
          <c:extLst>
            <c:ext xmlns:c16="http://schemas.microsoft.com/office/drawing/2014/chart" uri="{C3380CC4-5D6E-409C-BE32-E72D297353CC}">
              <c16:uniqueId val="{00000002-3669-4337-8A6F-EC5A6D31CBAA}"/>
            </c:ext>
          </c:extLst>
        </c:ser>
        <c:dLbls>
          <c:showLegendKey val="0"/>
          <c:showVal val="0"/>
          <c:showCatName val="0"/>
          <c:showSerName val="0"/>
          <c:showPercent val="0"/>
          <c:showBubbleSize val="0"/>
        </c:dLbls>
        <c:gapWidth val="49"/>
        <c:axId val="200802304"/>
        <c:axId val="195972480"/>
      </c:barChart>
      <c:catAx>
        <c:axId val="2008023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5972480"/>
        <c:crosses val="autoZero"/>
        <c:auto val="1"/>
        <c:lblAlgn val="ctr"/>
        <c:lblOffset val="100"/>
        <c:tickLblSkip val="1"/>
        <c:tickMarkSkip val="1"/>
        <c:noMultiLvlLbl val="0"/>
      </c:catAx>
      <c:valAx>
        <c:axId val="195972480"/>
        <c:scaling>
          <c:orientation val="minMax"/>
          <c:max val="1.2"/>
          <c:min val="0"/>
        </c:scaling>
        <c:delete val="0"/>
        <c:axPos val="b"/>
        <c:numFmt formatCode="###0.0%" sourceLinked="1"/>
        <c:majorTickMark val="none"/>
        <c:minorTickMark val="none"/>
        <c:tickLblPos val="none"/>
        <c:spPr>
          <a:ln w="9525">
            <a:noFill/>
          </a:ln>
        </c:spPr>
        <c:crossAx val="200802304"/>
        <c:crosses val="autoZero"/>
        <c:crossBetween val="between"/>
        <c:majorUnit val="0.2"/>
        <c:minorUnit val="0.01"/>
      </c:valAx>
      <c:spPr>
        <a:noFill/>
        <a:ln w="12700">
          <a:solidFill>
            <a:srgbClr val="969696"/>
          </a:solidFill>
          <a:prstDash val="solid"/>
        </a:ln>
      </c:spPr>
    </c:plotArea>
    <c:legend>
      <c:legendPos val="r"/>
      <c:layout>
        <c:manualLayout>
          <c:xMode val="edge"/>
          <c:yMode val="edge"/>
          <c:x val="0.61127596439169196"/>
          <c:y val="0.50971111727858198"/>
          <c:w val="0.34520276953511397"/>
          <c:h val="0.19929483285896099"/>
        </c:manualLayout>
      </c:layout>
      <c:overlay val="0"/>
      <c:spPr>
        <a:ln>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0.0567</cdr:x>
      <cdr:y>0.90365</cdr:y>
    </cdr:from>
    <cdr:to>
      <cdr:x>0.98274</cdr:x>
      <cdr:y>0.97724</cdr:y>
    </cdr:to>
    <cdr:sp macro="" textlink="">
      <cdr:nvSpPr>
        <cdr:cNvPr id="5" name="TextovéPole 1"/>
        <cdr:cNvSpPr txBox="1"/>
      </cdr:nvSpPr>
      <cdr:spPr>
        <a:xfrm xmlns:a="http://schemas.openxmlformats.org/drawingml/2006/main">
          <a:off x="153080" y="2114550"/>
          <a:ext cx="2500318" cy="1721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School Inspection, 2018</a:t>
          </a:r>
          <a:endParaRPr lang="en-US" sz="800">
            <a:effectLst/>
            <a:latin typeface="Arial" panose="020B0604020202020204" pitchFamily="34" charset="0"/>
            <a:cs typeface="Arial" panose="020B0604020202020204" pitchFamily="34" charset="0"/>
          </a:endParaRP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0.03885</cdr:x>
      <cdr:y>0.82767</cdr:y>
    </cdr:from>
    <cdr:to>
      <cdr:x>0.99639</cdr:x>
      <cdr:y>0.95013</cdr:y>
    </cdr:to>
    <cdr:sp macro="" textlink="">
      <cdr:nvSpPr>
        <cdr:cNvPr id="8" name="TextovéPole 1"/>
        <cdr:cNvSpPr txBox="1"/>
      </cdr:nvSpPr>
      <cdr:spPr>
        <a:xfrm xmlns:a="http://schemas.openxmlformats.org/drawingml/2006/main">
          <a:off x="117475" y="1936750"/>
          <a:ext cx="2895617" cy="286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schools</a:t>
          </a:r>
          <a:r>
            <a:rPr lang="cs-CZ" sz="800" baseline="0">
              <a:latin typeface="Arial" panose="020B0604020202020204" pitchFamily="34" charset="0"/>
              <a:cs typeface="Arial" panose="020B0604020202020204" pitchFamily="34" charset="0"/>
            </a:rPr>
            <a:t> of a given type</a:t>
          </a:r>
          <a:endParaRPr lang="cs-CZ" sz="8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0.86783</cdr:y>
    </cdr:from>
    <cdr:to>
      <cdr:x>0.98538</cdr:x>
      <cdr:y>0.99162</cdr:y>
    </cdr:to>
    <cdr:sp macro="" textlink="">
      <cdr:nvSpPr>
        <cdr:cNvPr id="2" name="TextovéPole 1"/>
        <cdr:cNvSpPr txBox="1"/>
      </cdr:nvSpPr>
      <cdr:spPr>
        <a:xfrm xmlns:a="http://schemas.openxmlformats.org/drawingml/2006/main">
          <a:off x="0" y="2343151"/>
          <a:ext cx="2908842" cy="3342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0.03227</cdr:x>
      <cdr:y>0.02469</cdr:y>
    </cdr:from>
    <cdr:to>
      <cdr:x>0.98735</cdr:x>
      <cdr:y>0.15169</cdr:y>
    </cdr:to>
    <cdr:sp macro="" textlink="">
      <cdr:nvSpPr>
        <cdr:cNvPr id="3" name="TextovéPole 2"/>
        <cdr:cNvSpPr txBox="1"/>
      </cdr:nvSpPr>
      <cdr:spPr>
        <a:xfrm xmlns:a="http://schemas.openxmlformats.org/drawingml/2006/main">
          <a:off x="95250" y="66676"/>
          <a:ext cx="2819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F10 Word processing software use in the Czech Republic; 2017(%)</a:t>
          </a:r>
          <a:endParaRPr lang="cs-CZ" sz="1100">
            <a:latin typeface="Arial" panose="020B060402020202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0.04359</cdr:x>
      <cdr:y>0.86078</cdr:y>
    </cdr:from>
    <cdr:to>
      <cdr:x>0.9917</cdr:x>
      <cdr:y>0.9913</cdr:y>
    </cdr:to>
    <cdr:sp macro="" textlink="">
      <cdr:nvSpPr>
        <cdr:cNvPr id="3" name="TextovéPole 1"/>
        <cdr:cNvSpPr txBox="1"/>
      </cdr:nvSpPr>
      <cdr:spPr>
        <a:xfrm xmlns:a="http://schemas.openxmlformats.org/drawingml/2006/main">
          <a:off x="136524" y="2324101"/>
          <a:ext cx="2969480" cy="3524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0.01521</cdr:x>
      <cdr:y>0.03881</cdr:y>
    </cdr:from>
    <cdr:to>
      <cdr:x>0.9823</cdr:x>
      <cdr:y>0.14633</cdr:y>
    </cdr:to>
    <cdr:sp macro="" textlink="">
      <cdr:nvSpPr>
        <cdr:cNvPr id="4" name="TextovéPole 3"/>
        <cdr:cNvSpPr txBox="1"/>
      </cdr:nvSpPr>
      <cdr:spPr>
        <a:xfrm xmlns:a="http://schemas.openxmlformats.org/drawingml/2006/main">
          <a:off x="47635" y="118736"/>
          <a:ext cx="3028752" cy="3289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F11 Use of programming by individuals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in the Czech Republic; 2017 (%)</a:t>
          </a:r>
          <a:endParaRPr lang="cs-CZ" sz="800">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0.05793</cdr:x>
      <cdr:y>0.02646</cdr:y>
    </cdr:from>
    <cdr:to>
      <cdr:x>0.98005</cdr:x>
      <cdr:y>0.09995</cdr:y>
    </cdr:to>
    <cdr:sp macro="" textlink="">
      <cdr:nvSpPr>
        <cdr:cNvPr id="3" name="TextovéPole 2"/>
        <cdr:cNvSpPr txBox="1"/>
      </cdr:nvSpPr>
      <cdr:spPr>
        <a:xfrm xmlns:a="http://schemas.openxmlformats.org/drawingml/2006/main">
          <a:off x="352425" y="85725"/>
          <a:ext cx="56102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800" b="1" i="0" baseline="0">
              <a:effectLst/>
              <a:latin typeface="Arial" panose="020B0604020202020204" pitchFamily="34" charset="0"/>
              <a:ea typeface="+mn-ea"/>
              <a:cs typeface="Arial" panose="020B0604020202020204" pitchFamily="34" charset="0"/>
            </a:rPr>
            <a:t>Figure F1</a:t>
          </a:r>
          <a:r>
            <a:rPr lang="cs-CZ" sz="800" b="1" i="0" baseline="0">
              <a:effectLst/>
              <a:latin typeface="Arial" panose="020B0604020202020204" pitchFamily="34" charset="0"/>
              <a:ea typeface="+mn-ea"/>
              <a:cs typeface="Arial" panose="020B0604020202020204" pitchFamily="34" charset="0"/>
            </a:rPr>
            <a:t>2</a:t>
          </a:r>
          <a:r>
            <a:rPr lang="en-US" sz="800" b="1" i="0" baseline="0">
              <a:effectLst/>
              <a:latin typeface="Arial" panose="020B0604020202020204" pitchFamily="34" charset="0"/>
              <a:ea typeface="+mn-ea"/>
              <a:cs typeface="Arial" panose="020B0604020202020204" pitchFamily="34" charset="0"/>
            </a:rPr>
            <a:t> Individuals </a:t>
          </a:r>
          <a:r>
            <a:rPr lang="cs-CZ" sz="800" b="1" i="0" baseline="0">
              <a:effectLst/>
              <a:latin typeface="Arial" panose="020B0604020202020204" pitchFamily="34" charset="0"/>
              <a:ea typeface="+mn-ea"/>
              <a:cs typeface="Arial" panose="020B0604020202020204" pitchFamily="34" charset="0"/>
            </a:rPr>
            <a:t>aged 16–74 in</a:t>
          </a:r>
          <a:r>
            <a:rPr lang="en-US" sz="800" b="1" i="0" baseline="0">
              <a:effectLst/>
              <a:latin typeface="Arial" panose="020B0604020202020204" pitchFamily="34" charset="0"/>
              <a:ea typeface="+mn-ea"/>
              <a:cs typeface="Arial" panose="020B0604020202020204" pitchFamily="34" charset="0"/>
            </a:rPr>
            <a:t> EU countries who used spreadsheet software*; 2017</a:t>
          </a:r>
          <a:r>
            <a:rPr lang="cs-CZ" sz="800" b="1" i="0" baseline="0">
              <a:effectLst/>
              <a:latin typeface="Arial" panose="020B0604020202020204" pitchFamily="34" charset="0"/>
              <a:ea typeface="+mn-ea"/>
              <a:cs typeface="Arial" panose="020B0604020202020204" pitchFamily="34" charset="0"/>
            </a:rPr>
            <a:t> (%)**</a:t>
          </a:r>
          <a:endParaRPr lang="cs-CZ" sz="1100"/>
        </a:p>
      </cdr:txBody>
    </cdr:sp>
  </cdr:relSizeAnchor>
  <cdr:relSizeAnchor xmlns:cdr="http://schemas.openxmlformats.org/drawingml/2006/chartDrawing">
    <cdr:from>
      <cdr:x>0.03131</cdr:x>
      <cdr:y>0.81139</cdr:y>
    </cdr:from>
    <cdr:to>
      <cdr:x>0.764</cdr:x>
      <cdr:y>0.91724</cdr:y>
    </cdr:to>
    <cdr:sp macro="" textlink="">
      <cdr:nvSpPr>
        <cdr:cNvPr id="4" name="TextovéPole 3"/>
        <cdr:cNvSpPr txBox="1"/>
      </cdr:nvSpPr>
      <cdr:spPr>
        <a:xfrm xmlns:a="http://schemas.openxmlformats.org/drawingml/2006/main">
          <a:off x="187009" y="3505127"/>
          <a:ext cx="4376218" cy="457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e.g.. MS Excel or OpenOffice Calc</a:t>
          </a:r>
        </a:p>
        <a:p xmlns:a="http://schemas.openxmlformats.org/drawingml/2006/main">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aged 16 to 74 in a given country</a:t>
          </a:r>
          <a:endParaRPr lang="cs-CZ" sz="800">
            <a:latin typeface="Arial" panose="020B06040202020202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0.92424</cdr:y>
    </cdr:from>
    <cdr:to>
      <cdr:x>0.96594</cdr:x>
      <cdr:y>0.99284</cdr:y>
    </cdr:to>
    <cdr:sp macro="" textlink="">
      <cdr:nvSpPr>
        <cdr:cNvPr id="2" name="TextovéPole 1"/>
        <cdr:cNvSpPr txBox="1"/>
      </cdr:nvSpPr>
      <cdr:spPr>
        <a:xfrm xmlns:a="http://schemas.openxmlformats.org/drawingml/2006/main">
          <a:off x="0" y="2324099"/>
          <a:ext cx="2971800" cy="172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CZSO calculation based on MEYS</a:t>
          </a:r>
          <a:r>
            <a:rPr lang="cs-CZ" sz="800" i="1" baseline="0">
              <a:effectLst/>
              <a:latin typeface="Arial" panose="020B0604020202020204" pitchFamily="34" charset="0"/>
              <a:ea typeface="+mn-ea"/>
              <a:cs typeface="Arial" panose="020B0604020202020204" pitchFamily="34" charset="0"/>
            </a:rPr>
            <a:t> database,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0.0255</cdr:x>
      <cdr:y>0</cdr:y>
    </cdr:from>
    <cdr:to>
      <cdr:x>0.89855</cdr:x>
      <cdr:y>0.17609</cdr:y>
    </cdr:to>
    <cdr:sp macro="" textlink="">
      <cdr:nvSpPr>
        <cdr:cNvPr id="3" name="TextovéPole 2"/>
        <cdr:cNvSpPr txBox="1"/>
      </cdr:nvSpPr>
      <cdr:spPr>
        <a:xfrm xmlns:a="http://schemas.openxmlformats.org/drawingml/2006/main">
          <a:off x="83796" y="0"/>
          <a:ext cx="2868952" cy="43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F13 University students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of ICT field of education in the Czech Republic</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0.90512</cdr:y>
    </cdr:from>
    <cdr:to>
      <cdr:x>0.9917</cdr:x>
      <cdr:y>0.9913</cdr:y>
    </cdr:to>
    <cdr:sp macro="" textlink="">
      <cdr:nvSpPr>
        <cdr:cNvPr id="3" name="TextovéPole 1"/>
        <cdr:cNvSpPr txBox="1"/>
      </cdr:nvSpPr>
      <cdr:spPr>
        <a:xfrm xmlns:a="http://schemas.openxmlformats.org/drawingml/2006/main">
          <a:off x="0" y="2491546"/>
          <a:ext cx="3041593" cy="2372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CZSO calculation based on MEYS</a:t>
          </a:r>
          <a:r>
            <a:rPr lang="cs-CZ" sz="800" i="1" baseline="0">
              <a:effectLst/>
              <a:latin typeface="Arial" panose="020B0604020202020204" pitchFamily="34" charset="0"/>
              <a:ea typeface="+mn-ea"/>
              <a:cs typeface="Arial" panose="020B0604020202020204" pitchFamily="34" charset="0"/>
            </a:rPr>
            <a:t> database, 2018</a:t>
          </a:r>
          <a:endParaRPr lang="cs-CZ" sz="800">
            <a:effectLst/>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0.02433</cdr:x>
      <cdr:y>0.90152</cdr:y>
    </cdr:from>
    <cdr:to>
      <cdr:x>0.9671</cdr:x>
      <cdr:y>0.98787</cdr:y>
    </cdr:to>
    <cdr:sp macro="" textlink="">
      <cdr:nvSpPr>
        <cdr:cNvPr id="2" name="TextovéPole 1"/>
        <cdr:cNvSpPr txBox="1"/>
      </cdr:nvSpPr>
      <cdr:spPr>
        <a:xfrm xmlns:a="http://schemas.openxmlformats.org/drawingml/2006/main">
          <a:off x="76200" y="2486025"/>
          <a:ext cx="2952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Source: CZSO, Structural Earnings Statistics, 2018</a:t>
          </a:r>
        </a:p>
      </cdr:txBody>
    </cdr:sp>
  </cdr:relSizeAnchor>
</c:userShapes>
</file>

<file path=word/drawings/drawing16.xml><?xml version="1.0" encoding="utf-8"?>
<c:userShapes xmlns:c="http://schemas.openxmlformats.org/drawingml/2006/chart">
  <cdr:relSizeAnchor xmlns:cdr="http://schemas.openxmlformats.org/drawingml/2006/chartDrawing">
    <cdr:from>
      <cdr:x>0.17296</cdr:x>
      <cdr:y>0.88424</cdr:y>
    </cdr:from>
    <cdr:to>
      <cdr:x>0.96102</cdr:x>
      <cdr:y>0.94425</cdr:y>
    </cdr:to>
    <cdr:sp macro="" textlink="">
      <cdr:nvSpPr>
        <cdr:cNvPr id="2" name="TextovéPole 1"/>
        <cdr:cNvSpPr txBox="1"/>
      </cdr:nvSpPr>
      <cdr:spPr>
        <a:xfrm xmlns:a="http://schemas.openxmlformats.org/drawingml/2006/main">
          <a:off x="523875" y="2417228"/>
          <a:ext cx="2387007" cy="164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Source: CZSO, Labour Force Survey,</a:t>
          </a:r>
          <a:r>
            <a:rPr lang="cs-CZ" sz="800" i="1" baseline="0">
              <a:latin typeface="Arial" panose="020B0604020202020204" pitchFamily="34" charset="0"/>
              <a:cs typeface="Arial" panose="020B0604020202020204" pitchFamily="34" charset="0"/>
            </a:rPr>
            <a:t> 2018</a:t>
          </a:r>
          <a:endParaRPr lang="cs-CZ" sz="800" i="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0.13891</cdr:x>
      <cdr:y>0.91848</cdr:y>
    </cdr:from>
    <cdr:to>
      <cdr:x>0.98647</cdr:x>
      <cdr:y>0.9903</cdr:y>
    </cdr:to>
    <cdr:sp macro="" textlink="">
      <cdr:nvSpPr>
        <cdr:cNvPr id="2" name="TextovéPole 1"/>
        <cdr:cNvSpPr txBox="1"/>
      </cdr:nvSpPr>
      <cdr:spPr>
        <a:xfrm xmlns:a="http://schemas.openxmlformats.org/drawingml/2006/main">
          <a:off x="400050" y="2314576"/>
          <a:ext cx="2440984"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School Inspection, 2018</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0.02016</cdr:y>
    </cdr:from>
    <cdr:to>
      <cdr:x>1</cdr:x>
      <cdr:y>0.16631</cdr:y>
    </cdr:to>
    <cdr:sp macro="" textlink="">
      <cdr:nvSpPr>
        <cdr:cNvPr id="4" name="TextovéPole 1"/>
        <cdr:cNvSpPr txBox="1"/>
      </cdr:nvSpPr>
      <cdr:spPr>
        <a:xfrm xmlns:a="http://schemas.openxmlformats.org/drawingml/2006/main">
          <a:off x="0" y="50800"/>
          <a:ext cx="3060000" cy="3683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Figure F2 Elementary and secondary schools in the Czech Republic with a website and Student information system</a:t>
          </a:r>
          <a:r>
            <a:rPr lang="cs-CZ" sz="800" b="1" baseline="0">
              <a:latin typeface="Arial" pitchFamily="34" charset="0"/>
              <a:cs typeface="Arial" pitchFamily="34" charset="0"/>
            </a:rPr>
            <a:t> (</a:t>
          </a:r>
          <a:r>
            <a:rPr lang="cs-CZ" sz="800" b="1">
              <a:latin typeface="Arial" pitchFamily="34" charset="0"/>
              <a:cs typeface="Arial" pitchFamily="34" charset="0"/>
            </a:rPr>
            <a:t>%)*</a:t>
          </a:r>
        </a:p>
      </cdr:txBody>
    </cdr:sp>
  </cdr:relSizeAnchor>
  <cdr:relSizeAnchor xmlns:cdr="http://schemas.openxmlformats.org/drawingml/2006/chartDrawing">
    <cdr:from>
      <cdr:x>0</cdr:x>
      <cdr:y>0.85171</cdr:y>
    </cdr:from>
    <cdr:to>
      <cdr:x>0.94628</cdr:x>
      <cdr:y>0.9629</cdr:y>
    </cdr:to>
    <cdr:sp macro="" textlink="">
      <cdr:nvSpPr>
        <cdr:cNvPr id="5" name="TextovéPole 1"/>
        <cdr:cNvSpPr txBox="1"/>
      </cdr:nvSpPr>
      <cdr:spPr>
        <a:xfrm xmlns:a="http://schemas.openxmlformats.org/drawingml/2006/main">
          <a:off x="0" y="2146300"/>
          <a:ext cx="2895609" cy="2802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schools</a:t>
          </a:r>
          <a:r>
            <a:rPr lang="cs-CZ" sz="800" baseline="0">
              <a:latin typeface="Arial" panose="020B0604020202020204" pitchFamily="34" charset="0"/>
              <a:cs typeface="Arial" panose="020B0604020202020204" pitchFamily="34" charset="0"/>
            </a:rPr>
            <a:t> of a given type</a:t>
          </a:r>
          <a:endParaRPr lang="cs-CZ" sz="8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0.0063</cdr:x>
      <cdr:y>0.86935</cdr:y>
    </cdr:from>
    <cdr:to>
      <cdr:x>0.99219</cdr:x>
      <cdr:y>0.99786</cdr:y>
    </cdr:to>
    <cdr:sp macro="" textlink="">
      <cdr:nvSpPr>
        <cdr:cNvPr id="2" name="TextovéPole 1"/>
        <cdr:cNvSpPr txBox="1"/>
      </cdr:nvSpPr>
      <cdr:spPr>
        <a:xfrm xmlns:a="http://schemas.openxmlformats.org/drawingml/2006/main">
          <a:off x="19049" y="2190750"/>
          <a:ext cx="298132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Education, Youth and Sports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0.01575</cdr:x>
      <cdr:y>0.88068</cdr:y>
    </cdr:from>
    <cdr:to>
      <cdr:x>0.97644</cdr:x>
      <cdr:y>0.97707</cdr:y>
    </cdr:to>
    <cdr:sp macro="" textlink="">
      <cdr:nvSpPr>
        <cdr:cNvPr id="3" name="TextovéPole 1"/>
        <cdr:cNvSpPr txBox="1"/>
      </cdr:nvSpPr>
      <cdr:spPr>
        <a:xfrm xmlns:a="http://schemas.openxmlformats.org/drawingml/2006/main">
          <a:off x="47625" y="2219325"/>
          <a:ext cx="2905125" cy="242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 </a:t>
          </a:r>
          <a:endParaRPr lang="cs-CZ" sz="80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0.0063</cdr:x>
      <cdr:y>0.86935</cdr:y>
    </cdr:from>
    <cdr:to>
      <cdr:x>0.99219</cdr:x>
      <cdr:y>0.99786</cdr:y>
    </cdr:to>
    <cdr:sp macro="" textlink="">
      <cdr:nvSpPr>
        <cdr:cNvPr id="2" name="TextovéPole 1"/>
        <cdr:cNvSpPr txBox="1"/>
      </cdr:nvSpPr>
      <cdr:spPr>
        <a:xfrm xmlns:a="http://schemas.openxmlformats.org/drawingml/2006/main">
          <a:off x="19049" y="2190750"/>
          <a:ext cx="298132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Education, Youth and Sports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0.01575</cdr:x>
      <cdr:y>0.88068</cdr:y>
    </cdr:from>
    <cdr:to>
      <cdr:x>0.97644</cdr:x>
      <cdr:y>0.97707</cdr:y>
    </cdr:to>
    <cdr:sp macro="" textlink="">
      <cdr:nvSpPr>
        <cdr:cNvPr id="3" name="TextovéPole 1"/>
        <cdr:cNvSpPr txBox="1"/>
      </cdr:nvSpPr>
      <cdr:spPr>
        <a:xfrm xmlns:a="http://schemas.openxmlformats.org/drawingml/2006/main">
          <a:off x="47625" y="2219325"/>
          <a:ext cx="2905125" cy="242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 </a:t>
          </a:r>
          <a:endParaRPr lang="cs-CZ" sz="80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0.04044</cdr:x>
      <cdr:y>0.86631</cdr:y>
    </cdr:from>
    <cdr:to>
      <cdr:x>0.98855</cdr:x>
      <cdr:y>0.98072</cdr:y>
    </cdr:to>
    <cdr:sp macro="" textlink="">
      <cdr:nvSpPr>
        <cdr:cNvPr id="3" name="TextovéPole 1"/>
        <cdr:cNvSpPr txBox="1"/>
      </cdr:nvSpPr>
      <cdr:spPr>
        <a:xfrm xmlns:a="http://schemas.openxmlformats.org/drawingml/2006/main">
          <a:off x="122291" y="2339049"/>
          <a:ext cx="2867085" cy="308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Ministry of Education, Youth and Sports </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endParaRPr lang="cs-CZ" sz="800">
            <a:effectLst/>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0.10137</cdr:x>
      <cdr:y>0.85843</cdr:y>
    </cdr:from>
    <cdr:to>
      <cdr:x>0.9732</cdr:x>
      <cdr:y>0.97283</cdr:y>
    </cdr:to>
    <cdr:sp macro="" textlink="">
      <cdr:nvSpPr>
        <cdr:cNvPr id="2" name="TextovéPole 1"/>
        <cdr:cNvSpPr txBox="1"/>
      </cdr:nvSpPr>
      <cdr:spPr>
        <a:xfrm xmlns:a="http://schemas.openxmlformats.org/drawingml/2006/main">
          <a:off x="317500" y="2317750"/>
          <a:ext cx="2730557" cy="308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Ministry of Education, Youth and Sports </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endParaRPr lang="cs-CZ" sz="800">
            <a:effectLst/>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0.23732</cdr:x>
      <cdr:y>0.92425</cdr:y>
    </cdr:from>
    <cdr:to>
      <cdr:x>0.96898</cdr:x>
      <cdr:y>0.99143</cdr:y>
    </cdr:to>
    <cdr:sp macro="" textlink="">
      <cdr:nvSpPr>
        <cdr:cNvPr id="2" name="TextovéPole 1"/>
        <cdr:cNvSpPr txBox="1"/>
      </cdr:nvSpPr>
      <cdr:spPr>
        <a:xfrm xmlns:a="http://schemas.openxmlformats.org/drawingml/2006/main">
          <a:off x="1190682" y="3202926"/>
          <a:ext cx="3670884" cy="2328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OECD 2015,</a:t>
          </a:r>
          <a:r>
            <a:rPr lang="cs-CZ" sz="800" i="1" baseline="0">
              <a:latin typeface="Arial" panose="020B0604020202020204" pitchFamily="34" charset="0"/>
              <a:cs typeface="Arial" panose="020B0604020202020204" pitchFamily="34" charset="0"/>
            </a:rPr>
            <a:t> survey PISA</a:t>
          </a:r>
          <a:endParaRPr lang="cs-CZ" sz="800"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0.05323</cdr:x>
      <cdr:y>0.89191</cdr:y>
    </cdr:from>
    <cdr:to>
      <cdr:x>0.94101</cdr:x>
      <cdr:y>0.95605</cdr:y>
    </cdr:to>
    <cdr:sp macro="" textlink="">
      <cdr:nvSpPr>
        <cdr:cNvPr id="3" name="TextovéPole 2"/>
        <cdr:cNvSpPr txBox="1"/>
      </cdr:nvSpPr>
      <cdr:spPr>
        <a:xfrm xmlns:a="http://schemas.openxmlformats.org/drawingml/2006/main">
          <a:off x="267065" y="3090864"/>
          <a:ext cx="4454159"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as a percentage of all 15 years old students in a given country</a:t>
          </a:r>
        </a:p>
      </cdr:txBody>
    </cdr:sp>
  </cdr:relSizeAnchor>
  <cdr:relSizeAnchor xmlns:cdr="http://schemas.openxmlformats.org/drawingml/2006/chartDrawing">
    <cdr:from>
      <cdr:x>0.02348</cdr:x>
      <cdr:y>0.01176</cdr:y>
    </cdr:from>
    <cdr:to>
      <cdr:x>0.97849</cdr:x>
      <cdr:y>0.07644</cdr:y>
    </cdr:to>
    <cdr:sp macro="" textlink="">
      <cdr:nvSpPr>
        <cdr:cNvPr id="4" name="TextovéPole 3"/>
        <cdr:cNvSpPr txBox="1"/>
      </cdr:nvSpPr>
      <cdr:spPr>
        <a:xfrm xmlns:a="http://schemas.openxmlformats.org/drawingml/2006/main">
          <a:off x="142875" y="38100"/>
          <a:ext cx="58102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Figure F</a:t>
          </a:r>
          <a:r>
            <a:rPr lang="cs-CZ" sz="800" b="1" i="0" baseline="0">
              <a:effectLst/>
              <a:latin typeface="Arial" panose="020B0604020202020204" pitchFamily="34" charset="0"/>
              <a:ea typeface="+mn-ea"/>
              <a:cs typeface="Arial" panose="020B0604020202020204" pitchFamily="34" charset="0"/>
            </a:rPr>
            <a:t>7 </a:t>
          </a:r>
          <a:r>
            <a:rPr lang="en-US" sz="800" b="1" i="0" baseline="0">
              <a:effectLst/>
              <a:latin typeface="Arial" panose="020B0604020202020204" pitchFamily="34" charset="0"/>
              <a:ea typeface="+mn-ea"/>
              <a:cs typeface="Arial" panose="020B0604020202020204" pitchFamily="34" charset="0"/>
            </a:rPr>
            <a:t>15 years old students in EU countries with</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the </a:t>
          </a:r>
          <a:r>
            <a:rPr lang="cs-CZ" sz="800" b="1" i="0" baseline="0">
              <a:effectLst/>
              <a:latin typeface="Arial" panose="020B0604020202020204" pitchFamily="34" charset="0"/>
              <a:ea typeface="+mn-ea"/>
              <a:cs typeface="Arial" panose="020B0604020202020204" pitchFamily="34" charset="0"/>
            </a:rPr>
            <a:t>i</a:t>
          </a:r>
          <a:r>
            <a:rPr lang="en-US" sz="800" b="1" i="0" baseline="0">
              <a:effectLst/>
              <a:latin typeface="Arial" panose="020B0604020202020204" pitchFamily="34" charset="0"/>
              <a:ea typeface="+mn-ea"/>
              <a:cs typeface="Arial" panose="020B0604020202020204" pitchFamily="34" charset="0"/>
            </a:rPr>
            <a:t>nternet access at school; 2015</a:t>
          </a:r>
          <a:r>
            <a:rPr lang="cs-CZ" sz="800" b="1" i="0" baseline="0">
              <a:effectLst/>
              <a:latin typeface="Arial" panose="020B0604020202020204" pitchFamily="34" charset="0"/>
              <a:ea typeface="+mn-ea"/>
              <a:cs typeface="Arial" panose="020B0604020202020204" pitchFamily="34" charset="0"/>
            </a:rPr>
            <a:t>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8.xml><?xml version="1.0" encoding="utf-8"?>
<c:userShapes xmlns:c="http://schemas.openxmlformats.org/drawingml/2006/chart">
  <cdr:relSizeAnchor xmlns:cdr="http://schemas.openxmlformats.org/drawingml/2006/chartDrawing">
    <cdr:from>
      <cdr:x>0.00311</cdr:x>
      <cdr:y>0.88132</cdr:y>
    </cdr:from>
    <cdr:to>
      <cdr:x>0.98647</cdr:x>
      <cdr:y>0.97839</cdr:y>
    </cdr:to>
    <cdr:sp macro="" textlink="">
      <cdr:nvSpPr>
        <cdr:cNvPr id="2" name="TextovéPole 1"/>
        <cdr:cNvSpPr txBox="1"/>
      </cdr:nvSpPr>
      <cdr:spPr>
        <a:xfrm xmlns:a="http://schemas.openxmlformats.org/drawingml/2006/main">
          <a:off x="9525" y="2162175"/>
          <a:ext cx="3009073"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400" i="1">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0.02016</cdr:y>
    </cdr:from>
    <cdr:to>
      <cdr:x>1</cdr:x>
      <cdr:y>0.16631</cdr:y>
    </cdr:to>
    <cdr:sp macro="" textlink="">
      <cdr:nvSpPr>
        <cdr:cNvPr id="4" name="TextovéPole 1"/>
        <cdr:cNvSpPr txBox="1"/>
      </cdr:nvSpPr>
      <cdr:spPr>
        <a:xfrm xmlns:a="http://schemas.openxmlformats.org/drawingml/2006/main">
          <a:off x="0" y="50800"/>
          <a:ext cx="3060000" cy="3683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Figure F9 Students and individuals </a:t>
          </a:r>
        </a:p>
        <a:p xmlns:a="http://schemas.openxmlformats.org/drawingml/2006/main">
          <a:pPr algn="ctr"/>
          <a:r>
            <a:rPr lang="cs-CZ" sz="800" b="1">
              <a:latin typeface="Arial" pitchFamily="34" charset="0"/>
              <a:cs typeface="Arial" pitchFamily="34" charset="0"/>
            </a:rPr>
            <a:t>in the Czech Republic using internet on mobile phone </a:t>
          </a:r>
        </a:p>
        <a:p xmlns:a="http://schemas.openxmlformats.org/drawingml/2006/main">
          <a:pPr algn="ctr"/>
          <a:r>
            <a:rPr lang="cs-CZ" sz="800" b="1">
              <a:latin typeface="Arial" pitchFamily="34" charset="0"/>
              <a:cs typeface="Arial" pitchFamily="34" charset="0"/>
            </a:rPr>
            <a:t>by type of network (%)*</a:t>
          </a:r>
        </a:p>
      </cdr:txBody>
    </cdr:sp>
  </cdr:relSizeAnchor>
  <cdr:relSizeAnchor xmlns:cdr="http://schemas.openxmlformats.org/drawingml/2006/chartDrawing">
    <cdr:from>
      <cdr:x>0.0249</cdr:x>
      <cdr:y>0.81144</cdr:y>
    </cdr:from>
    <cdr:to>
      <cdr:x>1</cdr:x>
      <cdr:y>0.88132</cdr:y>
    </cdr:to>
    <cdr:sp macro="" textlink="">
      <cdr:nvSpPr>
        <cdr:cNvPr id="3" name="TextovéPole 2"/>
        <cdr:cNvSpPr txBox="1"/>
      </cdr:nvSpPr>
      <cdr:spPr>
        <a:xfrm xmlns:a="http://schemas.openxmlformats.org/drawingml/2006/main">
          <a:off x="76200" y="1990724"/>
          <a:ext cx="2983800" cy="171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students and individuals aged 16+</a:t>
          </a:r>
          <a:endParaRPr lang="cs-CZ" sz="800">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0.89362</cdr:y>
    </cdr:from>
    <cdr:to>
      <cdr:x>1</cdr:x>
      <cdr:y>0.98524</cdr:y>
    </cdr:to>
    <cdr:sp macro="" textlink="">
      <cdr:nvSpPr>
        <cdr:cNvPr id="2" name="TextovéPole 1"/>
        <cdr:cNvSpPr txBox="1"/>
      </cdr:nvSpPr>
      <cdr:spPr>
        <a:xfrm xmlns:a="http://schemas.openxmlformats.org/drawingml/2006/main">
          <a:off x="0" y="2400301"/>
          <a:ext cx="3657601" cy="246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ICT use survey in households</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0.8273</cdr:y>
    </cdr:from>
    <cdr:to>
      <cdr:x>0.90208</cdr:x>
      <cdr:y>0.88068</cdr:y>
    </cdr:to>
    <cdr:sp macro="" textlink="">
      <cdr:nvSpPr>
        <cdr:cNvPr id="3" name="TextovéPole 1"/>
        <cdr:cNvSpPr txBox="1"/>
      </cdr:nvSpPr>
      <cdr:spPr>
        <a:xfrm xmlns:a="http://schemas.openxmlformats.org/drawingml/2006/main">
          <a:off x="0" y="2828925"/>
          <a:ext cx="2630393" cy="1825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students aged 16+</a:t>
          </a:r>
        </a:p>
      </cdr:txBody>
    </cdr:sp>
  </cdr:relSizeAnchor>
  <cdr:relSizeAnchor xmlns:cdr="http://schemas.openxmlformats.org/drawingml/2006/chartDrawing">
    <cdr:from>
      <cdr:x>0</cdr:x>
      <cdr:y>3.31189E-7</cdr:y>
    </cdr:from>
    <cdr:to>
      <cdr:x>1</cdr:x>
      <cdr:y>0.16404</cdr:y>
    </cdr:to>
    <cdr:sp macro="" textlink="">
      <cdr:nvSpPr>
        <cdr:cNvPr id="4" name="TextovéPole 3"/>
        <cdr:cNvSpPr txBox="1"/>
      </cdr:nvSpPr>
      <cdr:spPr>
        <a:xfrm xmlns:a="http://schemas.openxmlformats.org/drawingml/2006/main">
          <a:off x="0" y="1"/>
          <a:ext cx="2857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F8 Students and individuals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in the Czech Republic aged 16+ using the internet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for selected activities; 2015–2017 (%)*</a:t>
          </a:r>
          <a:endParaRPr lang="cs-CZ" sz="800">
            <a:effectLst/>
            <a:latin typeface="Arial" panose="020B0604020202020204" pitchFamily="34" charset="0"/>
            <a:cs typeface="Arial" panose="020B0604020202020204" pitchFamily="34" charset="0"/>
          </a:endParaRP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endParaRPr lang="cs-CZ"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06A06-278F-4341-889D-E1FA6FC2D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EN_2017-08-14-3.dotx</Template>
  <TotalTime>1</TotalTime>
  <Pages>8</Pages>
  <Words>2344</Words>
  <Characters>13835</Characters>
  <Application>Microsoft Office Word</Application>
  <DocSecurity>0</DocSecurity>
  <Lines>115</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Kotrbatá</dc:creator>
  <cp:keywords/>
  <cp:lastModifiedBy>Alena Kotrbatá</cp:lastModifiedBy>
  <cp:revision>2</cp:revision>
  <cp:lastPrinted>2019-01-03T11:43:00Z</cp:lastPrinted>
  <dcterms:created xsi:type="dcterms:W3CDTF">2019-01-10T06:56:00Z</dcterms:created>
  <dcterms:modified xsi:type="dcterms:W3CDTF">2019-01-10T06:56:00Z</dcterms:modified>
</cp:coreProperties>
</file>