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46" w:rsidRPr="001771EA" w:rsidRDefault="000F1A46" w:rsidP="000F1A46">
      <w:pPr>
        <w:pStyle w:val="Nzev"/>
        <w:spacing w:before="120"/>
        <w:rPr>
          <w:caps/>
        </w:rPr>
      </w:pPr>
      <w:r w:rsidRPr="001771EA">
        <w:rPr>
          <w:caps/>
        </w:rPr>
        <w:t>Meziroční index spotřebitelských cen se zvýšil</w:t>
      </w:r>
    </w:p>
    <w:p w:rsidR="000F1A46" w:rsidRPr="001771EA" w:rsidRDefault="000F1A46" w:rsidP="000F1A46">
      <w:pPr>
        <w:pStyle w:val="Podtitulek"/>
        <w:spacing w:before="120" w:line="240" w:lineRule="auto"/>
        <w:jc w:val="center"/>
        <w:rPr>
          <w:sz w:val="24"/>
          <w:szCs w:val="24"/>
        </w:rPr>
      </w:pPr>
      <w:r w:rsidRPr="001771EA">
        <w:rPr>
          <w:sz w:val="24"/>
          <w:szCs w:val="24"/>
        </w:rPr>
        <w:t>Indexy spotřebitelských cen – inflace – červenec 2014</w:t>
      </w:r>
    </w:p>
    <w:p w:rsidR="000F1A46" w:rsidRDefault="000F1A46" w:rsidP="000F1A46">
      <w:pPr>
        <w:pStyle w:val="Perex"/>
        <w:spacing w:before="120"/>
      </w:pPr>
      <w:r w:rsidRPr="000C78D5">
        <w:t>Spotřebitelské ceny vzrostly v červenci proti červnu o 0,2  %. Tento vývoj ovlivnilo zejména zvýšení cen v oddíle rekreace a kultura a v oddíle bydlení. Meziročně vzrostly spotřebitelské ceny v červenci o 0,5 % (v červnu o 0,0 %).</w:t>
      </w:r>
    </w:p>
    <w:p w:rsidR="000F1A46" w:rsidRPr="000C78D5" w:rsidRDefault="000F1A46" w:rsidP="000F1A46">
      <w:pPr>
        <w:spacing w:before="120" w:line="276" w:lineRule="auto"/>
        <w:rPr>
          <w:rFonts w:cs="Arial"/>
          <w:bCs/>
          <w:szCs w:val="20"/>
        </w:rPr>
      </w:pPr>
      <w:r w:rsidRPr="000C78D5">
        <w:rPr>
          <w:rFonts w:cs="Arial"/>
          <w:b/>
          <w:bCs/>
          <w:szCs w:val="20"/>
        </w:rPr>
        <w:t xml:space="preserve">Meziměsíční </w:t>
      </w:r>
      <w:r w:rsidRPr="000C78D5">
        <w:rPr>
          <w:rFonts w:cs="Arial"/>
          <w:bCs/>
          <w:szCs w:val="20"/>
        </w:rPr>
        <w:t>růst</w:t>
      </w:r>
      <w:r w:rsidRPr="000C78D5">
        <w:rPr>
          <w:rFonts w:cs="Arial"/>
          <w:b/>
          <w:bCs/>
          <w:szCs w:val="20"/>
        </w:rPr>
        <w:t xml:space="preserve"> </w:t>
      </w:r>
      <w:r w:rsidRPr="000C78D5">
        <w:rPr>
          <w:rFonts w:cs="Arial"/>
          <w:bCs/>
          <w:szCs w:val="20"/>
        </w:rPr>
        <w:t>spotřebitelských</w:t>
      </w:r>
      <w:r w:rsidRPr="000C78D5">
        <w:rPr>
          <w:rFonts w:cs="Arial"/>
          <w:b/>
          <w:bCs/>
          <w:szCs w:val="20"/>
        </w:rPr>
        <w:t xml:space="preserve"> </w:t>
      </w:r>
      <w:r w:rsidRPr="000C78D5">
        <w:rPr>
          <w:rFonts w:cs="Arial"/>
          <w:bCs/>
          <w:szCs w:val="20"/>
        </w:rPr>
        <w:t>cen v oddíle rekreace a kultura způsobilo zvýšení sezónních cen dovolených s komplexními službami o 12,6 %. V oddíle bydlení vzrostly ceny zemního plynu o 2,7 %</w:t>
      </w:r>
      <w:r>
        <w:rPr>
          <w:rFonts w:cs="Arial"/>
          <w:bCs/>
          <w:szCs w:val="20"/>
        </w:rPr>
        <w:t xml:space="preserve"> </w:t>
      </w:r>
      <w:r w:rsidRPr="00D179E6">
        <w:rPr>
          <w:rFonts w:cs="Arial"/>
          <w:bCs/>
          <w:szCs w:val="20"/>
        </w:rPr>
        <w:t>v důsledku ukončení platnosti slev z loňského července.</w:t>
      </w:r>
      <w:r>
        <w:rPr>
          <w:rFonts w:cs="Arial"/>
          <w:bCs/>
          <w:szCs w:val="20"/>
        </w:rPr>
        <w:t xml:space="preserve"> Čisté nájemné bylo vyšší o 0,7 %. </w:t>
      </w:r>
      <w:r w:rsidRPr="000C78D5">
        <w:rPr>
          <w:rFonts w:cs="Arial"/>
          <w:bCs/>
          <w:szCs w:val="20"/>
        </w:rPr>
        <w:t>V oddíle alkoholické nápoje a tabák vzrostly ceny alkoholických nápojů o 1,1 %. Růst cen v oddíle doprava ovlivnilo zvýšení cen pohonných hmot o 1,3 %. Z potravin byly v červenci vyšší než</w:t>
      </w:r>
      <w:r>
        <w:rPr>
          <w:rFonts w:cs="Arial"/>
          <w:bCs/>
          <w:szCs w:val="20"/>
        </w:rPr>
        <w:t xml:space="preserve"> v červnu zejména ceny chleba o </w:t>
      </w:r>
      <w:r w:rsidRPr="000C78D5">
        <w:rPr>
          <w:rFonts w:cs="Arial"/>
          <w:bCs/>
          <w:szCs w:val="20"/>
        </w:rPr>
        <w:t>1,1 %, vepřového masa o 1,5 %, drůbeže o 1,8 %, sýrů o 1,0 %, jogurtů o 5,8 %.</w:t>
      </w:r>
    </w:p>
    <w:p w:rsidR="000F1A46" w:rsidRPr="000C78D5" w:rsidRDefault="000F1A46" w:rsidP="000F1A46">
      <w:pPr>
        <w:spacing w:before="120" w:line="276" w:lineRule="auto"/>
        <w:rPr>
          <w:rFonts w:cs="Arial"/>
          <w:szCs w:val="20"/>
        </w:rPr>
      </w:pPr>
      <w:r w:rsidRPr="000C78D5">
        <w:rPr>
          <w:rFonts w:cs="Arial"/>
          <w:szCs w:val="20"/>
        </w:rPr>
        <w:t>Na snižování</w:t>
      </w:r>
      <w:r w:rsidRPr="000C78D5">
        <w:rPr>
          <w:rFonts w:cs="Arial"/>
          <w:i/>
          <w:szCs w:val="20"/>
        </w:rPr>
        <w:t xml:space="preserve"> </w:t>
      </w:r>
      <w:r w:rsidRPr="000C78D5">
        <w:rPr>
          <w:rFonts w:cs="Arial"/>
          <w:szCs w:val="20"/>
        </w:rPr>
        <w:t>celkové úrovně spotřebitelských cen v červenci působil pokles cen zejména v oddíle</w:t>
      </w:r>
      <w:r>
        <w:rPr>
          <w:rFonts w:cs="Arial"/>
          <w:szCs w:val="20"/>
        </w:rPr>
        <w:t xml:space="preserve"> odívání a </w:t>
      </w:r>
      <w:r w:rsidRPr="000C78D5">
        <w:rPr>
          <w:rFonts w:cs="Arial"/>
          <w:szCs w:val="20"/>
        </w:rPr>
        <w:t>obuv a v oddíle potraviny a nealkoholické nápoje. Ceny oděvů se snížily o 1,5 % a obuvi o 4,7 %. V oddíle potraviny a nealkoholické nápoje klesly především ceny ovoce o 3,1 % a brambor o 8,8 %. Ceny běžného pečiva byly nižší o 0,7 %, mouky o 1,3 %, rýže o 1,7 %, vajec o 1,3 %, olejů a tuků o 1,1 %, cukru o 3,6 %, nealkoholických nápojů o 2,8 %.</w:t>
      </w:r>
    </w:p>
    <w:p w:rsidR="000F1A46" w:rsidRPr="000C78D5" w:rsidRDefault="000F1A46" w:rsidP="000F1A46">
      <w:pPr>
        <w:pStyle w:val="Zkladntextodsazen2"/>
        <w:spacing w:before="120" w:after="0" w:line="276" w:lineRule="auto"/>
        <w:ind w:left="0"/>
        <w:rPr>
          <w:rFonts w:cs="Arial"/>
          <w:szCs w:val="20"/>
        </w:rPr>
      </w:pPr>
      <w:r w:rsidRPr="000C78D5">
        <w:rPr>
          <w:rFonts w:cs="Arial"/>
          <w:szCs w:val="20"/>
        </w:rPr>
        <w:t>Ceny zboží úhrnem klesly o 0,1 %</w:t>
      </w:r>
      <w:r w:rsidRPr="000C78D5">
        <w:t xml:space="preserve">, zatímco </w:t>
      </w:r>
      <w:r w:rsidRPr="000C78D5">
        <w:rPr>
          <w:rFonts w:cs="Arial"/>
          <w:szCs w:val="20"/>
        </w:rPr>
        <w:t>ceny služeb vzrostly o 0,8 %.</w:t>
      </w:r>
    </w:p>
    <w:p w:rsidR="000F1A46" w:rsidRPr="000C78D5" w:rsidRDefault="000F1A46" w:rsidP="000F1A46">
      <w:pPr>
        <w:pStyle w:val="Zkladntext"/>
        <w:tabs>
          <w:tab w:val="left" w:pos="4900"/>
        </w:tabs>
        <w:spacing w:before="120" w:line="276" w:lineRule="auto"/>
        <w:rPr>
          <w:rFonts w:cs="Arial"/>
          <w:i w:val="0"/>
          <w:sz w:val="20"/>
          <w:szCs w:val="20"/>
        </w:rPr>
      </w:pPr>
      <w:r w:rsidRPr="000C78D5">
        <w:rPr>
          <w:rFonts w:cs="Arial"/>
          <w:b/>
          <w:i w:val="0"/>
          <w:sz w:val="20"/>
          <w:szCs w:val="20"/>
        </w:rPr>
        <w:t>Meziročně</w:t>
      </w:r>
      <w:r w:rsidRPr="000C78D5">
        <w:rPr>
          <w:rFonts w:cs="Arial"/>
          <w:i w:val="0"/>
          <w:sz w:val="20"/>
          <w:szCs w:val="20"/>
        </w:rPr>
        <w:t xml:space="preserve"> vzrostly spotřebitelské ceny v červenci o 0,5 % (z 0,0 % v červnu). Tento vývoj ovlivnily zejména ceny v oddíle potraviny a nealkoholické nápoje, které přešly z červnového poklesu o 1,1 % v růst o 0,8 %</w:t>
      </w:r>
      <w:r>
        <w:rPr>
          <w:rFonts w:cs="Arial"/>
          <w:i w:val="0"/>
          <w:sz w:val="20"/>
          <w:szCs w:val="20"/>
        </w:rPr>
        <w:t xml:space="preserve"> v </w:t>
      </w:r>
      <w:r w:rsidRPr="000C78D5">
        <w:rPr>
          <w:rFonts w:cs="Arial"/>
          <w:i w:val="0"/>
          <w:sz w:val="20"/>
          <w:szCs w:val="20"/>
        </w:rPr>
        <w:t>červenci. Důvodem bylo zejména zrychlení meziročního cenového růs</w:t>
      </w:r>
      <w:r>
        <w:rPr>
          <w:rFonts w:cs="Arial"/>
          <w:i w:val="0"/>
          <w:sz w:val="20"/>
          <w:szCs w:val="20"/>
        </w:rPr>
        <w:t>tu u některých druhů potravin a </w:t>
      </w:r>
      <w:r w:rsidRPr="000C78D5">
        <w:rPr>
          <w:rFonts w:cs="Arial"/>
          <w:i w:val="0"/>
          <w:sz w:val="20"/>
          <w:szCs w:val="20"/>
        </w:rPr>
        <w:t xml:space="preserve">zmírnění poklesu cen brambor. Růst cen zrychlil zejména u chleba na 0,7 % (z 0,4 % v červnu), vepřového masa na 4,8 % (z 2,4 % v červnu), </w:t>
      </w:r>
      <w:bookmarkStart w:id="0" w:name="_GoBack"/>
      <w:bookmarkEnd w:id="0"/>
      <w:r w:rsidRPr="000C78D5">
        <w:rPr>
          <w:rFonts w:cs="Arial"/>
          <w:i w:val="0"/>
          <w:sz w:val="20"/>
          <w:szCs w:val="20"/>
        </w:rPr>
        <w:t xml:space="preserve">drůbeže na 6,3 % (z 2,3 % v červnu), vajec na </w:t>
      </w:r>
      <w:proofErr w:type="gramStart"/>
      <w:r w:rsidRPr="000C78D5">
        <w:rPr>
          <w:rFonts w:cs="Arial"/>
          <w:i w:val="0"/>
          <w:sz w:val="20"/>
          <w:szCs w:val="20"/>
        </w:rPr>
        <w:t>10,5 % (z 7,4</w:t>
      </w:r>
      <w:proofErr w:type="gramEnd"/>
      <w:r w:rsidRPr="000C78D5">
        <w:rPr>
          <w:rFonts w:cs="Arial"/>
          <w:i w:val="0"/>
          <w:sz w:val="20"/>
          <w:szCs w:val="20"/>
        </w:rPr>
        <w:t xml:space="preserve"> % v červnu), jogurtů na 14,0 % (z 9,9 % v červnu). Ceny brambor byly v červenci nižší o 39,9 % (v červnu o 53,3 %). </w:t>
      </w:r>
      <w:r>
        <w:rPr>
          <w:rFonts w:cs="Arial"/>
          <w:i w:val="0"/>
          <w:sz w:val="20"/>
          <w:szCs w:val="20"/>
        </w:rPr>
        <w:t>V </w:t>
      </w:r>
      <w:r w:rsidRPr="000C78D5">
        <w:rPr>
          <w:rFonts w:cs="Arial"/>
          <w:i w:val="0"/>
          <w:sz w:val="20"/>
          <w:szCs w:val="20"/>
        </w:rPr>
        <w:t>oddíle bydlení zmírnil cenový pokles vlivem cen zemního plynu.</w:t>
      </w:r>
    </w:p>
    <w:p w:rsidR="000F1A46" w:rsidRPr="000C78D5" w:rsidRDefault="000F1A46" w:rsidP="000F1A46">
      <w:pPr>
        <w:pStyle w:val="Zkladntext"/>
        <w:tabs>
          <w:tab w:val="left" w:pos="4900"/>
        </w:tabs>
        <w:spacing w:before="120" w:line="276" w:lineRule="auto"/>
        <w:rPr>
          <w:rFonts w:cs="Arial"/>
          <w:i w:val="0"/>
          <w:sz w:val="20"/>
          <w:szCs w:val="20"/>
        </w:rPr>
      </w:pPr>
      <w:r w:rsidRPr="000C78D5">
        <w:rPr>
          <w:rFonts w:cs="Arial"/>
          <w:i w:val="0"/>
          <w:sz w:val="20"/>
          <w:szCs w:val="20"/>
        </w:rPr>
        <w:t xml:space="preserve">Největší vliv na meziroční růst spotřebitelských cen měly ceny </w:t>
      </w:r>
      <w:r>
        <w:rPr>
          <w:rFonts w:cs="Arial"/>
          <w:i w:val="0"/>
          <w:sz w:val="20"/>
          <w:szCs w:val="20"/>
        </w:rPr>
        <w:t>v oddíle alkoholické nápoje a </w:t>
      </w:r>
      <w:r w:rsidRPr="000C78D5">
        <w:rPr>
          <w:rFonts w:cs="Arial"/>
          <w:i w:val="0"/>
          <w:sz w:val="20"/>
          <w:szCs w:val="20"/>
        </w:rPr>
        <w:t>tabák, kde ceny alkoholických nápojů vzrostly o 2,5 % a tabákových výrobků o 4,0 %. Mírný vliv na růst cenové hladiny měly v červenci (po jejich poklesu v červnu) ceny v oddíle potraviny a nealkoholické nápoje. Zhruba stejně ovlivnily cenovou hladinu ceny v oddíle odívání a obuv, kde ceny oděvů byly vyšší o 2,1 % a obuvi o 5,7 %. V oddíle doprava vzrostly ceny pohonných hmot o 1,3 %. V oddíle stravování a ubytování ovlivnily cenový růst ceny stravovacích služeb, které se zvýšily o 2,0 %.</w:t>
      </w:r>
    </w:p>
    <w:p w:rsidR="000F1A46" w:rsidRPr="000C78D5" w:rsidRDefault="000F1A46" w:rsidP="000F1A46">
      <w:pPr>
        <w:pStyle w:val="Zkladntext"/>
        <w:tabs>
          <w:tab w:val="left" w:pos="4900"/>
        </w:tabs>
        <w:spacing w:before="120" w:line="276" w:lineRule="auto"/>
        <w:rPr>
          <w:rFonts w:cs="Arial"/>
          <w:i w:val="0"/>
          <w:sz w:val="20"/>
          <w:szCs w:val="20"/>
        </w:rPr>
      </w:pPr>
      <w:r w:rsidRPr="000C78D5">
        <w:rPr>
          <w:rFonts w:cs="Arial"/>
          <w:i w:val="0"/>
          <w:sz w:val="20"/>
          <w:szCs w:val="20"/>
        </w:rPr>
        <w:t>Na snižování meziročního cenového růstu působil pokles cen v oddíle bydlení vlivem poklesu cen elektřiny o 10,5 %. Meziroční pokles cen pokračoval v oddíle pošty a telekomunikace v důsledku snížení cen telefonických a telefaxových služeb o 3,1 %.</w:t>
      </w:r>
    </w:p>
    <w:p w:rsidR="000F1A46" w:rsidRPr="000C78D5" w:rsidRDefault="000F1A46" w:rsidP="000F1A46">
      <w:pPr>
        <w:pStyle w:val="Zkladntext"/>
        <w:tabs>
          <w:tab w:val="left" w:pos="4900"/>
        </w:tabs>
        <w:spacing w:before="120" w:line="276" w:lineRule="auto"/>
        <w:rPr>
          <w:rFonts w:cs="Arial"/>
          <w:i w:val="0"/>
          <w:sz w:val="20"/>
          <w:szCs w:val="20"/>
        </w:rPr>
      </w:pPr>
      <w:r w:rsidRPr="000C78D5">
        <w:rPr>
          <w:rFonts w:cs="Arial"/>
          <w:i w:val="0"/>
          <w:sz w:val="20"/>
          <w:szCs w:val="20"/>
        </w:rPr>
        <w:t>Ceny zboží úhrnem vzrostly o 0,1 % a ceny služeb o 1,0 %. Úhrnný index spotřebitelských cen bez započtení imputovaného nájemného byl meziročně 100,4 %.</w:t>
      </w:r>
    </w:p>
    <w:p w:rsidR="000F1A46" w:rsidRPr="000C78D5" w:rsidRDefault="000F1A46" w:rsidP="007B4DFC">
      <w:pPr>
        <w:pStyle w:val="Zkladntext"/>
        <w:spacing w:before="120" w:line="276" w:lineRule="auto"/>
        <w:rPr>
          <w:rFonts w:cs="Arial"/>
          <w:bCs/>
          <w:i w:val="0"/>
          <w:sz w:val="20"/>
          <w:szCs w:val="20"/>
        </w:rPr>
      </w:pPr>
      <w:r w:rsidRPr="000C78D5">
        <w:rPr>
          <w:rFonts w:cs="Arial"/>
          <w:i w:val="0"/>
          <w:sz w:val="20"/>
          <w:szCs w:val="20"/>
        </w:rPr>
        <w:t xml:space="preserve">Míra inflace vyjádřená přírůstkem </w:t>
      </w:r>
      <w:r w:rsidRPr="000C78D5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červenci 0,6 %.</w:t>
      </w:r>
    </w:p>
    <w:p w:rsidR="000F1A46" w:rsidRDefault="000F1A46" w:rsidP="007B4DFC">
      <w:pPr>
        <w:pStyle w:val="Zkladntextodsazen3"/>
        <w:spacing w:before="120" w:after="0" w:line="276" w:lineRule="auto"/>
        <w:ind w:left="0"/>
        <w:rPr>
          <w:rFonts w:cs="Arial"/>
          <w:sz w:val="20"/>
          <w:szCs w:val="20"/>
        </w:rPr>
      </w:pPr>
      <w:r w:rsidRPr="000C78D5">
        <w:rPr>
          <w:rFonts w:cs="Arial"/>
          <w:sz w:val="20"/>
          <w:szCs w:val="20"/>
        </w:rPr>
        <w:t xml:space="preserve">Meziroční přírůstek průměrného </w:t>
      </w:r>
      <w:r w:rsidRPr="000C78D5">
        <w:rPr>
          <w:rFonts w:cs="Arial"/>
          <w:b/>
          <w:bCs/>
          <w:sz w:val="20"/>
          <w:szCs w:val="20"/>
        </w:rPr>
        <w:t>harmonizovaného indexu spotřebitelských cen</w:t>
      </w:r>
      <w:r w:rsidRPr="000C78D5">
        <w:rPr>
          <w:rFonts w:cs="Arial"/>
          <w:sz w:val="20"/>
          <w:szCs w:val="20"/>
        </w:rPr>
        <w:t xml:space="preserve"> (HICP)</w:t>
      </w:r>
      <w:r w:rsidRPr="000C78D5">
        <w:rPr>
          <w:rStyle w:val="Znakapoznpodarou"/>
          <w:rFonts w:cs="Arial"/>
          <w:sz w:val="20"/>
          <w:szCs w:val="20"/>
        </w:rPr>
        <w:footnoteReference w:id="1"/>
      </w:r>
      <w:r w:rsidRPr="000C78D5">
        <w:rPr>
          <w:rFonts w:cs="Arial"/>
          <w:sz w:val="20"/>
          <w:szCs w:val="20"/>
          <w:vertAlign w:val="superscript"/>
        </w:rPr>
        <w:t>)</w:t>
      </w:r>
      <w:r w:rsidRPr="000C78D5">
        <w:rPr>
          <w:rFonts w:cs="Arial"/>
          <w:sz w:val="20"/>
          <w:szCs w:val="20"/>
        </w:rPr>
        <w:t xml:space="preserve"> </w:t>
      </w:r>
      <w:r w:rsidRPr="000C78D5">
        <w:rPr>
          <w:rFonts w:cs="Arial"/>
          <w:b/>
          <w:bCs/>
          <w:sz w:val="20"/>
          <w:szCs w:val="20"/>
        </w:rPr>
        <w:t>28 členských zemí EU</w:t>
      </w:r>
      <w:r w:rsidRPr="000C78D5">
        <w:rPr>
          <w:rFonts w:cs="Arial"/>
          <w:sz w:val="20"/>
          <w:szCs w:val="20"/>
        </w:rPr>
        <w:t xml:space="preserve"> byl podle předběžných údajů </w:t>
      </w:r>
      <w:proofErr w:type="spellStart"/>
      <w:r w:rsidRPr="000C78D5">
        <w:rPr>
          <w:rFonts w:cs="Arial"/>
          <w:sz w:val="20"/>
          <w:szCs w:val="20"/>
        </w:rPr>
        <w:t>Eurostatu</w:t>
      </w:r>
      <w:proofErr w:type="spellEnd"/>
      <w:r w:rsidRPr="000C78D5">
        <w:rPr>
          <w:rFonts w:cs="Arial"/>
          <w:sz w:val="20"/>
          <w:szCs w:val="20"/>
        </w:rPr>
        <w:t xml:space="preserve"> </w:t>
      </w:r>
      <w:r w:rsidRPr="000C78D5">
        <w:rPr>
          <w:rFonts w:cs="Arial"/>
          <w:b/>
          <w:sz w:val="20"/>
          <w:szCs w:val="20"/>
        </w:rPr>
        <w:t xml:space="preserve">v červnu </w:t>
      </w:r>
      <w:r w:rsidRPr="000C78D5">
        <w:rPr>
          <w:rFonts w:cs="Arial"/>
          <w:sz w:val="20"/>
          <w:szCs w:val="20"/>
        </w:rPr>
        <w:t>0,7</w:t>
      </w:r>
      <w:r w:rsidRPr="000C78D5">
        <w:rPr>
          <w:rFonts w:cs="Arial"/>
          <w:b/>
          <w:sz w:val="20"/>
          <w:szCs w:val="20"/>
        </w:rPr>
        <w:t xml:space="preserve"> %, </w:t>
      </w:r>
      <w:r w:rsidRPr="000C78D5">
        <w:rPr>
          <w:rFonts w:cs="Arial"/>
          <w:sz w:val="20"/>
          <w:szCs w:val="20"/>
        </w:rPr>
        <w:t>což je o 0,1 procentního bodu více než v květnu. Nejvíce vzrostly ceny ve S</w:t>
      </w:r>
      <w:r>
        <w:rPr>
          <w:rFonts w:cs="Arial"/>
          <w:sz w:val="20"/>
          <w:szCs w:val="20"/>
        </w:rPr>
        <w:t xml:space="preserve">pojeném království (o 1,9 %) a </w:t>
      </w:r>
      <w:r w:rsidRPr="003C44A3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> </w:t>
      </w:r>
      <w:r w:rsidRPr="003C44A3">
        <w:rPr>
          <w:rFonts w:cs="Arial"/>
          <w:sz w:val="20"/>
          <w:szCs w:val="20"/>
        </w:rPr>
        <w:t>Rakousku</w:t>
      </w:r>
      <w:r>
        <w:rPr>
          <w:rFonts w:cs="Arial"/>
          <w:sz w:val="20"/>
          <w:szCs w:val="20"/>
        </w:rPr>
        <w:t xml:space="preserve"> (o 1,7</w:t>
      </w:r>
      <w:r w:rsidRPr="003C44A3">
        <w:rPr>
          <w:rFonts w:cs="Arial"/>
          <w:sz w:val="20"/>
          <w:szCs w:val="20"/>
        </w:rPr>
        <w:t> %)</w:t>
      </w:r>
      <w:r>
        <w:rPr>
          <w:rFonts w:cs="Arial"/>
          <w:sz w:val="20"/>
          <w:szCs w:val="20"/>
        </w:rPr>
        <w:t xml:space="preserve">. </w:t>
      </w:r>
      <w:r w:rsidRPr="003C44A3">
        <w:rPr>
          <w:rFonts w:cs="Arial"/>
          <w:sz w:val="20"/>
          <w:szCs w:val="20"/>
        </w:rPr>
        <w:t>Naopak pokles cen nastal v Bulharsku o 1,8</w:t>
      </w:r>
      <w:r>
        <w:rPr>
          <w:rFonts w:cs="Arial"/>
          <w:sz w:val="20"/>
          <w:szCs w:val="20"/>
        </w:rPr>
        <w:t> </w:t>
      </w:r>
      <w:r w:rsidRPr="003C44A3">
        <w:rPr>
          <w:rFonts w:cs="Arial"/>
          <w:sz w:val="20"/>
          <w:szCs w:val="20"/>
        </w:rPr>
        <w:t>%</w:t>
      </w:r>
      <w:r>
        <w:rPr>
          <w:rFonts w:cs="Arial"/>
          <w:sz w:val="20"/>
          <w:szCs w:val="20"/>
        </w:rPr>
        <w:t xml:space="preserve"> a v Řecku o 1,5 %</w:t>
      </w:r>
      <w:r w:rsidRPr="003C44A3">
        <w:rPr>
          <w:rFonts w:cs="Arial"/>
          <w:sz w:val="20"/>
          <w:szCs w:val="20"/>
        </w:rPr>
        <w:t xml:space="preserve">. Na Slovensku </w:t>
      </w:r>
      <w:r>
        <w:rPr>
          <w:rFonts w:cs="Arial"/>
          <w:sz w:val="20"/>
          <w:szCs w:val="20"/>
        </w:rPr>
        <w:t xml:space="preserve">klesly ceny </w:t>
      </w:r>
      <w:r w:rsidRPr="003C44A3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> červnu o 0,1</w:t>
      </w:r>
      <w:r w:rsidRPr="003C44A3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květnu meziroční změna 0,0</w:t>
      </w:r>
      <w:r w:rsidRPr="003C44A3">
        <w:rPr>
          <w:rFonts w:cs="Arial"/>
          <w:sz w:val="20"/>
          <w:szCs w:val="20"/>
        </w:rPr>
        <w:t> %). V Německu z</w:t>
      </w:r>
      <w:r>
        <w:rPr>
          <w:rFonts w:cs="Arial"/>
          <w:sz w:val="20"/>
          <w:szCs w:val="20"/>
        </w:rPr>
        <w:t>rychli</w:t>
      </w:r>
      <w:r w:rsidRPr="003C44A3">
        <w:rPr>
          <w:rFonts w:cs="Arial"/>
          <w:sz w:val="20"/>
          <w:szCs w:val="20"/>
        </w:rPr>
        <w:t>l růst cen v </w:t>
      </w:r>
      <w:r>
        <w:rPr>
          <w:rFonts w:cs="Arial"/>
          <w:sz w:val="20"/>
          <w:szCs w:val="20"/>
        </w:rPr>
        <w:t>červnu</w:t>
      </w:r>
      <w:r w:rsidRPr="003C44A3">
        <w:rPr>
          <w:rFonts w:cs="Arial"/>
          <w:sz w:val="20"/>
          <w:szCs w:val="20"/>
        </w:rPr>
        <w:t xml:space="preserve"> na</w:t>
      </w:r>
      <w:r>
        <w:rPr>
          <w:rFonts w:cs="Arial"/>
          <w:sz w:val="20"/>
          <w:szCs w:val="20"/>
        </w:rPr>
        <w:t xml:space="preserve"> 1,0</w:t>
      </w:r>
      <w:r w:rsidRPr="003C44A3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 z 0,6</w:t>
      </w:r>
      <w:r w:rsidRPr="003C44A3">
        <w:rPr>
          <w:rFonts w:cs="Arial"/>
          <w:sz w:val="20"/>
          <w:szCs w:val="20"/>
        </w:rPr>
        <w:t> % v </w:t>
      </w:r>
      <w:r>
        <w:rPr>
          <w:rFonts w:cs="Arial"/>
          <w:sz w:val="20"/>
          <w:szCs w:val="20"/>
        </w:rPr>
        <w:t>květnu</w:t>
      </w:r>
      <w:r w:rsidRPr="003C44A3">
        <w:rPr>
          <w:rFonts w:cs="Arial"/>
          <w:sz w:val="20"/>
          <w:szCs w:val="20"/>
        </w:rPr>
        <w:t xml:space="preserve">. Podle předběžných výpočtů </w:t>
      </w:r>
      <w:r>
        <w:rPr>
          <w:rFonts w:cs="Arial"/>
          <w:sz w:val="20"/>
          <w:szCs w:val="20"/>
        </w:rPr>
        <w:t>vzrostl</w:t>
      </w:r>
      <w:r w:rsidRPr="003C44A3">
        <w:rPr>
          <w:rFonts w:cs="Arial"/>
          <w:sz w:val="20"/>
          <w:szCs w:val="20"/>
        </w:rPr>
        <w:t xml:space="preserve"> </w:t>
      </w:r>
      <w:r w:rsidRPr="003C44A3">
        <w:rPr>
          <w:rFonts w:cs="Arial"/>
          <w:b/>
          <w:sz w:val="20"/>
          <w:szCs w:val="20"/>
        </w:rPr>
        <w:t>v červ</w:t>
      </w:r>
      <w:r>
        <w:rPr>
          <w:rFonts w:cs="Arial"/>
          <w:b/>
          <w:sz w:val="20"/>
          <w:szCs w:val="20"/>
        </w:rPr>
        <w:t>enci</w:t>
      </w:r>
      <w:r w:rsidRPr="003C44A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HICP v ČR </w:t>
      </w:r>
      <w:r w:rsidRPr="003C44A3">
        <w:rPr>
          <w:rFonts w:cs="Arial"/>
          <w:b/>
          <w:sz w:val="20"/>
          <w:szCs w:val="20"/>
        </w:rPr>
        <w:t>meziměsíčn</w:t>
      </w:r>
      <w:r>
        <w:rPr>
          <w:rFonts w:cs="Arial"/>
          <w:b/>
          <w:sz w:val="20"/>
          <w:szCs w:val="20"/>
        </w:rPr>
        <w:t>ě</w:t>
      </w:r>
      <w:r w:rsidRPr="003C44A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o 0,2 % a </w:t>
      </w:r>
      <w:r w:rsidRPr="003C44A3">
        <w:rPr>
          <w:rFonts w:cs="Arial"/>
          <w:b/>
          <w:sz w:val="20"/>
          <w:szCs w:val="20"/>
        </w:rPr>
        <w:t>meziročn</w:t>
      </w:r>
      <w:r>
        <w:rPr>
          <w:rFonts w:cs="Arial"/>
          <w:b/>
          <w:sz w:val="20"/>
          <w:szCs w:val="20"/>
        </w:rPr>
        <w:t>ě</w:t>
      </w:r>
      <w:r>
        <w:rPr>
          <w:rFonts w:cs="Arial"/>
          <w:sz w:val="20"/>
          <w:szCs w:val="20"/>
        </w:rPr>
        <w:t xml:space="preserve"> o 0</w:t>
      </w:r>
      <w:r w:rsidRPr="003C44A3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6</w:t>
      </w:r>
      <w:r w:rsidRPr="003C44A3">
        <w:rPr>
          <w:rFonts w:cs="Arial"/>
          <w:sz w:val="20"/>
          <w:szCs w:val="20"/>
        </w:rPr>
        <w:t> %</w:t>
      </w:r>
      <w:r w:rsidRPr="003C44A3">
        <w:rPr>
          <w:rFonts w:cs="Arial"/>
          <w:bCs/>
          <w:sz w:val="20"/>
          <w:szCs w:val="20"/>
        </w:rPr>
        <w:t xml:space="preserve"> (v </w:t>
      </w:r>
      <w:r>
        <w:rPr>
          <w:rFonts w:cs="Arial"/>
          <w:bCs/>
          <w:sz w:val="20"/>
          <w:szCs w:val="20"/>
        </w:rPr>
        <w:t>červnu</w:t>
      </w:r>
      <w:r w:rsidRPr="003C44A3">
        <w:rPr>
          <w:rFonts w:cs="Arial"/>
          <w:bCs/>
          <w:sz w:val="20"/>
          <w:szCs w:val="20"/>
        </w:rPr>
        <w:t xml:space="preserve"> meziročně</w:t>
      </w:r>
      <w:r>
        <w:rPr>
          <w:rFonts w:cs="Arial"/>
          <w:bCs/>
          <w:sz w:val="20"/>
          <w:szCs w:val="20"/>
        </w:rPr>
        <w:t xml:space="preserve"> o </w:t>
      </w:r>
      <w:r w:rsidRPr="003C44A3">
        <w:rPr>
          <w:rFonts w:cs="Arial"/>
          <w:bCs/>
          <w:sz w:val="20"/>
          <w:szCs w:val="20"/>
        </w:rPr>
        <w:t xml:space="preserve"> 0,</w:t>
      </w:r>
      <w:r>
        <w:rPr>
          <w:rFonts w:cs="Arial"/>
          <w:bCs/>
          <w:sz w:val="20"/>
          <w:szCs w:val="20"/>
        </w:rPr>
        <w:t>0</w:t>
      </w:r>
      <w:r w:rsidRPr="003C44A3">
        <w:rPr>
          <w:rFonts w:cs="Arial"/>
          <w:bCs/>
          <w:sz w:val="20"/>
          <w:szCs w:val="20"/>
        </w:rPr>
        <w:t xml:space="preserve"> %). </w:t>
      </w:r>
      <w:r w:rsidRPr="003C44A3">
        <w:rPr>
          <w:rFonts w:cs="Arial"/>
          <w:sz w:val="20"/>
          <w:szCs w:val="20"/>
        </w:rPr>
        <w:t>Bleskový odhad meziroční změny HICP pro</w:t>
      </w:r>
      <w:r w:rsidRPr="003C44A3">
        <w:rPr>
          <w:rFonts w:cs="Arial"/>
          <w:b/>
          <w:bCs/>
          <w:sz w:val="20"/>
          <w:szCs w:val="20"/>
        </w:rPr>
        <w:t> </w:t>
      </w:r>
      <w:proofErr w:type="spellStart"/>
      <w:r w:rsidRPr="003C44A3">
        <w:rPr>
          <w:rFonts w:cs="Arial"/>
          <w:b/>
          <w:bCs/>
          <w:sz w:val="20"/>
          <w:szCs w:val="20"/>
        </w:rPr>
        <w:t>eurozónu</w:t>
      </w:r>
      <w:proofErr w:type="spellEnd"/>
      <w:r w:rsidRPr="003C44A3">
        <w:rPr>
          <w:rFonts w:cs="Arial"/>
          <w:b/>
          <w:bCs/>
          <w:sz w:val="20"/>
          <w:szCs w:val="20"/>
        </w:rPr>
        <w:t xml:space="preserve"> </w:t>
      </w:r>
      <w:r w:rsidRPr="003C44A3">
        <w:rPr>
          <w:rFonts w:cs="Arial"/>
          <w:b/>
          <w:sz w:val="20"/>
          <w:szCs w:val="20"/>
        </w:rPr>
        <w:t>za</w:t>
      </w:r>
      <w:r w:rsidRPr="003C44A3">
        <w:rPr>
          <w:rFonts w:cs="Arial"/>
          <w:b/>
          <w:bCs/>
          <w:sz w:val="20"/>
          <w:szCs w:val="20"/>
        </w:rPr>
        <w:t> červen</w:t>
      </w:r>
      <w:r>
        <w:rPr>
          <w:rFonts w:cs="Arial"/>
          <w:b/>
          <w:bCs/>
          <w:sz w:val="20"/>
          <w:szCs w:val="20"/>
        </w:rPr>
        <w:t>ec</w:t>
      </w:r>
      <w:r w:rsidRPr="003C44A3">
        <w:rPr>
          <w:rFonts w:cs="Arial"/>
          <w:b/>
          <w:bCs/>
          <w:sz w:val="20"/>
          <w:szCs w:val="20"/>
        </w:rPr>
        <w:t xml:space="preserve"> 2014</w:t>
      </w:r>
      <w:r w:rsidRPr="003C44A3">
        <w:rPr>
          <w:rFonts w:cs="Arial"/>
          <w:sz w:val="20"/>
          <w:szCs w:val="20"/>
        </w:rPr>
        <w:t xml:space="preserve"> je </w:t>
      </w:r>
      <w:r>
        <w:rPr>
          <w:rFonts w:cs="Arial"/>
          <w:sz w:val="20"/>
          <w:szCs w:val="20"/>
        </w:rPr>
        <w:t>0,4 </w:t>
      </w:r>
      <w:r w:rsidRPr="009F55AA">
        <w:rPr>
          <w:rFonts w:cs="Arial"/>
          <w:sz w:val="20"/>
          <w:szCs w:val="20"/>
        </w:rPr>
        <w:t xml:space="preserve">%, jak uvedl </w:t>
      </w:r>
      <w:proofErr w:type="spellStart"/>
      <w:r w:rsidRPr="009F55AA">
        <w:rPr>
          <w:rFonts w:cs="Arial"/>
          <w:sz w:val="20"/>
          <w:szCs w:val="20"/>
        </w:rPr>
        <w:t>Eurostat</w:t>
      </w:r>
      <w:proofErr w:type="spellEnd"/>
      <w:r w:rsidRPr="009F55A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9F55AA">
        <w:rPr>
          <w:rFonts w:cs="Arial"/>
          <w:sz w:val="20"/>
          <w:szCs w:val="20"/>
        </w:rPr>
        <w:t>Eurostatu</w:t>
      </w:r>
      <w:proofErr w:type="spellEnd"/>
      <w:r w:rsidRPr="009F55AA">
        <w:rPr>
          <w:rFonts w:cs="Arial"/>
          <w:sz w:val="20"/>
          <w:szCs w:val="20"/>
        </w:rPr>
        <w:t xml:space="preserve">: </w:t>
      </w:r>
      <w:hyperlink r:id="rId6" w:history="1">
        <w:r w:rsidRPr="009F55AA">
          <w:rPr>
            <w:rStyle w:val="Hypertextovodkaz"/>
            <w:sz w:val="20"/>
            <w:szCs w:val="20"/>
          </w:rPr>
          <w:t>HICP</w:t>
        </w:r>
      </w:hyperlink>
      <w:r w:rsidRPr="009F55AA">
        <w:rPr>
          <w:rFonts w:cs="Arial"/>
          <w:sz w:val="20"/>
          <w:szCs w:val="20"/>
        </w:rPr>
        <w:t>).</w:t>
      </w:r>
    </w:p>
    <w:p w:rsidR="000F1A46" w:rsidRPr="001771EA" w:rsidRDefault="000F1A46" w:rsidP="007B4DFC">
      <w:pPr>
        <w:spacing w:before="120" w:line="276" w:lineRule="auto"/>
        <w:rPr>
          <w:szCs w:val="20"/>
        </w:rPr>
      </w:pPr>
    </w:p>
    <w:p w:rsidR="007B4DFC" w:rsidRPr="007B4DFC" w:rsidRDefault="007B4DFC" w:rsidP="007B4DFC">
      <w:pPr>
        <w:pStyle w:val="Zkladntext"/>
        <w:spacing w:before="120" w:line="276" w:lineRule="auto"/>
        <w:rPr>
          <w:rFonts w:cs="Arial"/>
          <w:i w:val="0"/>
          <w:sz w:val="20"/>
          <w:szCs w:val="20"/>
        </w:rPr>
      </w:pPr>
      <w:r w:rsidRPr="007B4DFC">
        <w:rPr>
          <w:rFonts w:cs="Arial"/>
          <w:i w:val="0"/>
          <w:sz w:val="20"/>
          <w:szCs w:val="20"/>
        </w:rPr>
        <w:lastRenderedPageBreak/>
        <w:t xml:space="preserve">Spotřebitelské ceny v červenci u </w:t>
      </w:r>
      <w:r w:rsidRPr="007B4DFC">
        <w:rPr>
          <w:rFonts w:cs="Arial"/>
          <w:b/>
          <w:bCs/>
          <w:i w:val="0"/>
          <w:sz w:val="20"/>
          <w:szCs w:val="20"/>
        </w:rPr>
        <w:t>domácností důchodců</w:t>
      </w:r>
      <w:r w:rsidRPr="007B4DFC">
        <w:rPr>
          <w:rFonts w:cs="Arial"/>
          <w:i w:val="0"/>
          <w:sz w:val="20"/>
          <w:szCs w:val="20"/>
        </w:rPr>
        <w:t xml:space="preserve"> vzrostly ve srov</w:t>
      </w:r>
      <w:r>
        <w:rPr>
          <w:rFonts w:cs="Arial"/>
          <w:i w:val="0"/>
          <w:sz w:val="20"/>
          <w:szCs w:val="20"/>
        </w:rPr>
        <w:t>nání s předcházejícím měsícem o </w:t>
      </w:r>
      <w:r w:rsidRPr="007B4DFC">
        <w:rPr>
          <w:rFonts w:cs="Arial"/>
          <w:i w:val="0"/>
          <w:sz w:val="20"/>
          <w:szCs w:val="20"/>
        </w:rPr>
        <w:t xml:space="preserve">0,3 %. V oddíle rekreace a kultura se zvýšil index spotřebitelských cen o 2,3 %. Růst byl způsoben cenami zahraniční rekreace. V oddíle bydlení, voda, energie, paliva došlo ke zvýšení cen o 0,8 %. Vzrostlo například čisté nájemné placené nájemníky v nájemních bytech. Zvýšení celkového indexu spotřebitelských cen bylo také ovlivněno růstem cen v oddíle alkoholické nápoje a tabák o 0,8 %. Došlo ke zvýšení cen </w:t>
      </w:r>
      <w:r w:rsidR="00A63895">
        <w:rPr>
          <w:rFonts w:cs="Arial"/>
          <w:i w:val="0"/>
          <w:sz w:val="20"/>
          <w:szCs w:val="20"/>
        </w:rPr>
        <w:t>zejména piva a </w:t>
      </w:r>
      <w:r w:rsidRPr="007B4DFC">
        <w:rPr>
          <w:rFonts w:cs="Arial"/>
          <w:i w:val="0"/>
          <w:sz w:val="20"/>
          <w:szCs w:val="20"/>
        </w:rPr>
        <w:t>lihovin. Na druhé straně se projevilo snížení cen v oddíle odívání a obuv o 2,2 %. Pokles byl způsoben zejména nižšími cenami obuvi. Snížil se cenový index v oddíle pošty a telekomunikace o 0,6 %, přičemž klesly hlavně ceny telefonických a telefaxových služeb.</w:t>
      </w:r>
    </w:p>
    <w:p w:rsidR="007B4DFC" w:rsidRPr="007B4DFC" w:rsidRDefault="007B4DFC" w:rsidP="007B4DFC">
      <w:pPr>
        <w:pStyle w:val="Zkladntext"/>
        <w:spacing w:before="120" w:line="276" w:lineRule="auto"/>
        <w:rPr>
          <w:rFonts w:cs="Arial"/>
          <w:b/>
          <w:bCs/>
          <w:i w:val="0"/>
          <w:sz w:val="20"/>
        </w:rPr>
      </w:pPr>
      <w:r w:rsidRPr="007B4DFC">
        <w:rPr>
          <w:rFonts w:cs="Arial"/>
          <w:b/>
          <w:bCs/>
          <w:i w:val="0"/>
          <w:sz w:val="20"/>
          <w:szCs w:val="20"/>
        </w:rPr>
        <w:t>V hlavním městě Praze</w:t>
      </w:r>
      <w:r w:rsidRPr="007B4DFC">
        <w:rPr>
          <w:rFonts w:cs="Arial"/>
          <w:i w:val="0"/>
          <w:sz w:val="20"/>
          <w:szCs w:val="20"/>
        </w:rPr>
        <w:t xml:space="preserve"> vzrostl úhrnný index spotřebitelských cen (životních nákladů) ve srovnání s minulým měsícem o 0,1 % (v celé ČR o 0,2 %). Na tento vývoj působil růst indexu spotřebitelských cen v oddíle rekreace a kultura o 2,9 % (2,7 % v ČR). Jednalo se zejména o důsledek zvýšení cen zahraniční rekreace. Dále byl v Praze zaznamenán růst hladiny spotřebitelských cen v oddíle doprava o 0,4 % (0,5</w:t>
      </w:r>
      <w:r w:rsidR="00A63895">
        <w:rPr>
          <w:rFonts w:cs="Arial"/>
          <w:i w:val="0"/>
          <w:sz w:val="20"/>
          <w:szCs w:val="20"/>
        </w:rPr>
        <w:t> % v </w:t>
      </w:r>
      <w:r w:rsidRPr="007B4DFC">
        <w:rPr>
          <w:rFonts w:cs="Arial"/>
          <w:i w:val="0"/>
          <w:sz w:val="20"/>
          <w:szCs w:val="20"/>
        </w:rPr>
        <w:t>ČR). V tomto oddíle se projevilo zejména zvýšení cen pohonných hmot. Na druhé straně bylo zjištěno snížení indexu spotřebitelských cen v oddíle odívání a obuv o 4,0 % (-2,2 % v ČR), přičemž klesly zejména ceny obuvi. V oddíle bytové vybavení, zaříz</w:t>
      </w:r>
      <w:r w:rsidRPr="007B4DFC">
        <w:rPr>
          <w:rFonts w:cs="Arial"/>
          <w:i w:val="0"/>
          <w:sz w:val="20"/>
        </w:rPr>
        <w:t>ení domácnosti se snížily spotřebitelské ceny o 0,9 % (-0,5</w:t>
      </w:r>
      <w:r w:rsidR="00A63895">
        <w:rPr>
          <w:rFonts w:cs="Arial"/>
          <w:i w:val="0"/>
          <w:sz w:val="20"/>
        </w:rPr>
        <w:t> </w:t>
      </w:r>
      <w:r w:rsidRPr="007B4DFC">
        <w:rPr>
          <w:rFonts w:cs="Arial"/>
          <w:i w:val="0"/>
          <w:sz w:val="20"/>
        </w:rPr>
        <w:t xml:space="preserve">% </w:t>
      </w:r>
      <w:r w:rsidR="00A63895">
        <w:rPr>
          <w:rFonts w:cs="Arial"/>
          <w:i w:val="0"/>
          <w:sz w:val="20"/>
        </w:rPr>
        <w:t>v </w:t>
      </w:r>
      <w:r w:rsidRPr="007B4DFC">
        <w:rPr>
          <w:rFonts w:cs="Arial"/>
          <w:i w:val="0"/>
          <w:sz w:val="20"/>
        </w:rPr>
        <w:t>ČR).</w:t>
      </w:r>
    </w:p>
    <w:p w:rsidR="00927AA0" w:rsidRPr="007B4DFC" w:rsidRDefault="00927AA0" w:rsidP="007B4DFC">
      <w:pPr>
        <w:spacing w:before="120" w:line="276" w:lineRule="auto"/>
        <w:rPr>
          <w:szCs w:val="20"/>
        </w:rPr>
      </w:pPr>
    </w:p>
    <w:sectPr w:rsidR="00927AA0" w:rsidRPr="007B4DFC" w:rsidSect="008C3834">
      <w:footerReference w:type="default" r:id="rId7"/>
      <w:pgSz w:w="11906" w:h="16838"/>
      <w:pgMar w:top="993" w:right="1133" w:bottom="993" w:left="1134" w:header="708" w:footer="3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A4F" w:rsidRDefault="00A37A4F" w:rsidP="008C3834">
      <w:pPr>
        <w:spacing w:line="240" w:lineRule="auto"/>
      </w:pPr>
      <w:r>
        <w:separator/>
      </w:r>
    </w:p>
  </w:endnote>
  <w:endnote w:type="continuationSeparator" w:id="0">
    <w:p w:rsidR="00A37A4F" w:rsidRDefault="00A37A4F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34" w:rsidRDefault="008C38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A4F" w:rsidRDefault="00A37A4F" w:rsidP="008C3834">
      <w:pPr>
        <w:spacing w:line="240" w:lineRule="auto"/>
      </w:pPr>
      <w:r>
        <w:separator/>
      </w:r>
    </w:p>
  </w:footnote>
  <w:footnote w:type="continuationSeparator" w:id="0">
    <w:p w:rsidR="00A37A4F" w:rsidRDefault="00A37A4F" w:rsidP="008C3834">
      <w:pPr>
        <w:spacing w:line="240" w:lineRule="auto"/>
      </w:pPr>
      <w:r>
        <w:continuationSeparator/>
      </w:r>
    </w:p>
  </w:footnote>
  <w:footnote w:id="1">
    <w:p w:rsidR="000F1A46" w:rsidRDefault="000F1A46" w:rsidP="000F1A46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13C77"/>
    <w:rsid w:val="00020834"/>
    <w:rsid w:val="00023D3B"/>
    <w:rsid w:val="000E345D"/>
    <w:rsid w:val="000F1A46"/>
    <w:rsid w:val="001145D6"/>
    <w:rsid w:val="00135563"/>
    <w:rsid w:val="00144A18"/>
    <w:rsid w:val="00150AD2"/>
    <w:rsid w:val="0018137E"/>
    <w:rsid w:val="001C4722"/>
    <w:rsid w:val="001E3FE3"/>
    <w:rsid w:val="001F1410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23EB0"/>
    <w:rsid w:val="00380909"/>
    <w:rsid w:val="00384E86"/>
    <w:rsid w:val="003D14A1"/>
    <w:rsid w:val="003D1F96"/>
    <w:rsid w:val="003E0C74"/>
    <w:rsid w:val="004102C7"/>
    <w:rsid w:val="004127A6"/>
    <w:rsid w:val="004342F3"/>
    <w:rsid w:val="004516B1"/>
    <w:rsid w:val="004828D6"/>
    <w:rsid w:val="004A23B0"/>
    <w:rsid w:val="004E157A"/>
    <w:rsid w:val="004E330B"/>
    <w:rsid w:val="004E42A1"/>
    <w:rsid w:val="00501EEB"/>
    <w:rsid w:val="005C742B"/>
    <w:rsid w:val="005F7A6D"/>
    <w:rsid w:val="006018E5"/>
    <w:rsid w:val="0066105E"/>
    <w:rsid w:val="0067046B"/>
    <w:rsid w:val="006A67B4"/>
    <w:rsid w:val="006B6F19"/>
    <w:rsid w:val="006E7332"/>
    <w:rsid w:val="0070777D"/>
    <w:rsid w:val="00720426"/>
    <w:rsid w:val="0073782D"/>
    <w:rsid w:val="00752226"/>
    <w:rsid w:val="00787CF5"/>
    <w:rsid w:val="007B4DFC"/>
    <w:rsid w:val="007E69C2"/>
    <w:rsid w:val="008C3834"/>
    <w:rsid w:val="008E23B3"/>
    <w:rsid w:val="00903099"/>
    <w:rsid w:val="0090611F"/>
    <w:rsid w:val="00910650"/>
    <w:rsid w:val="00927AA0"/>
    <w:rsid w:val="00954772"/>
    <w:rsid w:val="00975476"/>
    <w:rsid w:val="00986BAE"/>
    <w:rsid w:val="009D2599"/>
    <w:rsid w:val="009E320A"/>
    <w:rsid w:val="00A37A4F"/>
    <w:rsid w:val="00A63895"/>
    <w:rsid w:val="00AA69A3"/>
    <w:rsid w:val="00AE5A76"/>
    <w:rsid w:val="00AE7968"/>
    <w:rsid w:val="00B15546"/>
    <w:rsid w:val="00B67728"/>
    <w:rsid w:val="00C026A2"/>
    <w:rsid w:val="00C06D31"/>
    <w:rsid w:val="00C15407"/>
    <w:rsid w:val="00C51FC0"/>
    <w:rsid w:val="00C708E7"/>
    <w:rsid w:val="00C75051"/>
    <w:rsid w:val="00CD6D9F"/>
    <w:rsid w:val="00CF291B"/>
    <w:rsid w:val="00D11186"/>
    <w:rsid w:val="00D839A7"/>
    <w:rsid w:val="00DA31FA"/>
    <w:rsid w:val="00DF6361"/>
    <w:rsid w:val="00DF7C28"/>
    <w:rsid w:val="00E31EA7"/>
    <w:rsid w:val="00E9287C"/>
    <w:rsid w:val="00E9477D"/>
    <w:rsid w:val="00E96BFA"/>
    <w:rsid w:val="00EA3504"/>
    <w:rsid w:val="00EB4260"/>
    <w:rsid w:val="00EE79EB"/>
    <w:rsid w:val="00EF15EB"/>
    <w:rsid w:val="00F165F9"/>
    <w:rsid w:val="00F2499C"/>
    <w:rsid w:val="00F97CF8"/>
    <w:rsid w:val="00FB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818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5635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3</cp:revision>
  <dcterms:created xsi:type="dcterms:W3CDTF">2014-08-15T07:29:00Z</dcterms:created>
  <dcterms:modified xsi:type="dcterms:W3CDTF">2014-08-15T07:37:00Z</dcterms:modified>
</cp:coreProperties>
</file>