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C39" w:rsidRDefault="005C2CD0">
      <w:pPr>
        <w:pStyle w:val="Nadpis1"/>
        <w:rPr>
          <w:i/>
          <w:lang w:val="en-GB"/>
        </w:rPr>
      </w:pPr>
      <w:bookmarkStart w:id="0" w:name="_Toc490036460"/>
      <w:r>
        <w:rPr>
          <w:i/>
          <w:lang w:val="en-GB"/>
        </w:rPr>
        <w:t xml:space="preserve"> Introduction</w:t>
      </w:r>
      <w:bookmarkEnd w:id="0"/>
    </w:p>
    <w:p w:rsidR="00E92C39" w:rsidRDefault="005C2CD0">
      <w:pPr>
        <w:jc w:val="both"/>
        <w:rPr>
          <w:i/>
          <w:lang w:val="en-GB"/>
        </w:rPr>
      </w:pPr>
      <w:r>
        <w:rPr>
          <w:i/>
          <w:lang w:val="en-GB"/>
        </w:rPr>
        <w:t>The Integrated Farm Survey 202</w:t>
      </w:r>
      <w:r w:rsidR="00794553">
        <w:rPr>
          <w:i/>
          <w:lang w:val="en-GB"/>
        </w:rPr>
        <w:t>3</w:t>
      </w:r>
      <w:r>
        <w:rPr>
          <w:i/>
          <w:lang w:val="en-GB"/>
        </w:rPr>
        <w:t xml:space="preserve"> was conducted during autumn 202</w:t>
      </w:r>
      <w:r w:rsidR="00794553">
        <w:rPr>
          <w:i/>
          <w:lang w:val="en-GB"/>
        </w:rPr>
        <w:t>3</w:t>
      </w:r>
      <w:r>
        <w:rPr>
          <w:i/>
          <w:lang w:val="en-GB"/>
        </w:rPr>
        <w:t xml:space="preserve"> as a </w:t>
      </w:r>
      <w:r w:rsidR="00794553">
        <w:rPr>
          <w:i/>
          <w:lang w:val="en-GB"/>
        </w:rPr>
        <w:t>sample</w:t>
      </w:r>
      <w:r>
        <w:rPr>
          <w:i/>
          <w:lang w:val="en-GB"/>
        </w:rPr>
        <w:t xml:space="preserve"> survey. </w:t>
      </w:r>
      <w:r w:rsidR="00794553">
        <w:rPr>
          <w:i/>
          <w:lang w:val="en-GB"/>
        </w:rPr>
        <w:t>In its contents and aims, it</w:t>
      </w:r>
      <w:r>
        <w:rPr>
          <w:i/>
          <w:lang w:val="en-GB"/>
        </w:rPr>
        <w:t xml:space="preserve"> followed </w:t>
      </w:r>
      <w:r w:rsidR="00794553">
        <w:rPr>
          <w:i/>
          <w:lang w:val="en-GB"/>
        </w:rPr>
        <w:t xml:space="preserve">exhaustive Integrated Farm Survey 2020, </w:t>
      </w:r>
      <w:r>
        <w:rPr>
          <w:i/>
          <w:lang w:val="en-GB"/>
        </w:rPr>
        <w:t>sample structural surveys carried out in 2016, 2013, 2007, 2005, and 2003</w:t>
      </w:r>
      <w:r w:rsidR="00794553">
        <w:rPr>
          <w:i/>
          <w:lang w:val="en-GB"/>
        </w:rPr>
        <w:t>,</w:t>
      </w:r>
      <w:r>
        <w:rPr>
          <w:i/>
          <w:lang w:val="en-GB"/>
        </w:rPr>
        <w:t xml:space="preserve"> </w:t>
      </w:r>
      <w:r w:rsidR="00794553">
        <w:rPr>
          <w:i/>
          <w:lang w:val="en-GB"/>
        </w:rPr>
        <w:t xml:space="preserve">and </w:t>
      </w:r>
      <w:r>
        <w:rPr>
          <w:i/>
          <w:lang w:val="en-GB"/>
        </w:rPr>
        <w:t>Agricultural censuses 2010 and 2000. Surveys on farm structure contribute to systematic building of European Communities’ statistics on structure of agricultural holdings, which provide comparable outputs for all EU member states.</w:t>
      </w:r>
    </w:p>
    <w:p w:rsidR="00E92C39" w:rsidRDefault="005C2CD0">
      <w:pPr>
        <w:jc w:val="both"/>
        <w:rPr>
          <w:i/>
          <w:lang w:val="en-GB"/>
        </w:rPr>
      </w:pPr>
      <w:r>
        <w:rPr>
          <w:i/>
          <w:lang w:val="en-GB"/>
        </w:rPr>
        <w:t>The aim of the survey is to obtain detailed and complex information on the Czech agricultural sector, i.e. its size, structure and development of agricultural holdings, on their equipment, specialisation of their production, and other gainful activities. The results are used in classification of agricultural holdings by their production orientation and economic size.</w:t>
      </w:r>
    </w:p>
    <w:p w:rsidR="00E92C39" w:rsidRDefault="005C2CD0">
      <w:pPr>
        <w:jc w:val="both"/>
        <w:rPr>
          <w:i/>
          <w:lang w:val="en-GB"/>
        </w:rPr>
      </w:pPr>
      <w:r>
        <w:rPr>
          <w:i/>
          <w:lang w:val="en-GB"/>
        </w:rPr>
        <w:t>The data obtained in the survey are used for update of the Farm Register, which is maintained by the Czech Statistical office and serves as a basis for yearly surveys in agriculture. Results will be used for agricultural policy forming not only in the Czech Republic but also in the whole European Union.</w:t>
      </w:r>
    </w:p>
    <w:p w:rsidR="00E92C39" w:rsidRDefault="005C2CD0">
      <w:pPr>
        <w:pStyle w:val="Nadpis2"/>
        <w:rPr>
          <w:i/>
          <w:lang w:val="en-GB"/>
        </w:rPr>
      </w:pPr>
      <w:bookmarkStart w:id="1" w:name="_Toc490036461"/>
      <w:r>
        <w:rPr>
          <w:i/>
          <w:lang w:val="en-GB"/>
        </w:rPr>
        <w:t>Legislation</w:t>
      </w:r>
      <w:bookmarkEnd w:id="1"/>
    </w:p>
    <w:p w:rsidR="00E92C39" w:rsidRDefault="005C2CD0">
      <w:pPr>
        <w:jc w:val="both"/>
        <w:rPr>
          <w:i/>
          <w:lang w:val="en-GB"/>
        </w:rPr>
      </w:pPr>
      <w:r>
        <w:rPr>
          <w:i/>
          <w:lang w:val="en-GB"/>
        </w:rPr>
        <w:t>The Farm Structure Survey is conducted in all the European Union member countries following requirements of EU/EC legislation. The most important legal acts are Regulation (EC) No 2018/1091</w:t>
      </w:r>
      <w:r>
        <w:rPr>
          <w:rStyle w:val="FootnoteAnchor"/>
          <w:i/>
        </w:rPr>
        <w:footnoteReference w:id="1"/>
      </w:r>
      <w:r>
        <w:rPr>
          <w:i/>
          <w:vertAlign w:val="superscript"/>
        </w:rPr>
        <w:t>)</w:t>
      </w:r>
      <w:r>
        <w:rPr>
          <w:i/>
        </w:rPr>
        <w:t xml:space="preserve"> </w:t>
      </w:r>
      <w:r>
        <w:rPr>
          <w:i/>
          <w:lang w:val="en-GB"/>
        </w:rPr>
        <w:t xml:space="preserve">of the European Parliament and Commission Implementing Regulation No </w:t>
      </w:r>
      <w:r w:rsidR="00794553" w:rsidRPr="00794553">
        <w:rPr>
          <w:i/>
          <w:lang w:eastAsia="en-US"/>
        </w:rPr>
        <w:t>2021/2286</w:t>
      </w:r>
      <w:r>
        <w:rPr>
          <w:rStyle w:val="FootnoteAnchor"/>
          <w:i/>
        </w:rPr>
        <w:footnoteReference w:id="2"/>
      </w:r>
      <w:r>
        <w:rPr>
          <w:i/>
          <w:vertAlign w:val="superscript"/>
        </w:rPr>
        <w:t>)</w:t>
      </w:r>
      <w:r>
        <w:rPr>
          <w:i/>
          <w:lang w:val="en-GB"/>
        </w:rPr>
        <w:t>.</w:t>
      </w:r>
    </w:p>
    <w:p w:rsidR="00E92C39" w:rsidRDefault="005C2CD0">
      <w:pPr>
        <w:jc w:val="both"/>
        <w:rPr>
          <w:i/>
          <w:lang w:val="en-GB"/>
        </w:rPr>
      </w:pPr>
      <w:r>
        <w:rPr>
          <w:i/>
          <w:lang w:val="en-GB"/>
        </w:rPr>
        <w:t xml:space="preserve">In the Czech Republic, the survey is conducted on the basis of Act No 89/1995 Coll., on the State Statistical Service, as amended, and of Programme of Statistical Surveys for the year </w:t>
      </w:r>
      <w:r>
        <w:rPr>
          <w:i/>
        </w:rPr>
        <w:t>202</w:t>
      </w:r>
      <w:r w:rsidR="001666A7">
        <w:rPr>
          <w:i/>
        </w:rPr>
        <w:t>3</w:t>
      </w:r>
      <w:r>
        <w:rPr>
          <w:rStyle w:val="FootnoteAnchor"/>
          <w:i/>
        </w:rPr>
        <w:footnoteReference w:id="3"/>
      </w:r>
      <w:r>
        <w:rPr>
          <w:i/>
          <w:vertAlign w:val="superscript"/>
        </w:rPr>
        <w:t>)</w:t>
      </w:r>
      <w:r>
        <w:rPr>
          <w:i/>
          <w:lang w:val="en-GB"/>
        </w:rPr>
        <w:t>.</w:t>
      </w:r>
    </w:p>
    <w:p w:rsidR="00E92C39" w:rsidRDefault="005C2CD0">
      <w:pPr>
        <w:pStyle w:val="Nadpis2"/>
        <w:rPr>
          <w:i/>
          <w:lang w:val="en-GB"/>
        </w:rPr>
      </w:pPr>
      <w:bookmarkStart w:id="2" w:name="_Ref490202752"/>
      <w:bookmarkStart w:id="3" w:name="_Toc490036462"/>
      <w:r>
        <w:rPr>
          <w:i/>
          <w:lang w:val="en-GB"/>
        </w:rPr>
        <w:t>Definition of the agricultural holding</w:t>
      </w:r>
      <w:bookmarkEnd w:id="2"/>
      <w:bookmarkEnd w:id="3"/>
    </w:p>
    <w:p w:rsidR="00E92C39" w:rsidRDefault="005C2CD0">
      <w:pPr>
        <w:jc w:val="both"/>
        <w:rPr>
          <w:i/>
          <w:lang w:val="en-GB"/>
        </w:rPr>
      </w:pPr>
      <w:r>
        <w:rPr>
          <w:i/>
          <w:lang w:val="en-GB"/>
        </w:rPr>
        <w:t>Agricultural holding means a single unit, both technically and economically, which has a single management and undertakes agricultural activities based on the common statistical classification of economic activities (CZ-NACE), either as its primary or secondary activity. Among these activities belong: growing of non-perennial crops (01.1); growing of perennial crops (01.2) including wine production from self-produced grapes; plant propagation (01.3); animal production (01.4); mixed farming (01.5); support activities to agriculture and post-harvest crop activities (01.6). Agricultural holdings raising other animals (01.49) are excluded, except ones raising and breeding ostriches, emus and rabbits, and dealing with bee-keeping and production of honey and beeswax. Furthermore, all agricultural holdings carrying out activities under 01.6 of CZ-NACE are excluded, except holdings exclusively maintaining agricultural land in good agricultural and environmental condition.</w:t>
      </w:r>
    </w:p>
    <w:p w:rsidR="00E92C39" w:rsidRDefault="005C2CD0">
      <w:pPr>
        <w:jc w:val="both"/>
        <w:rPr>
          <w:i/>
          <w:lang w:val="en-GB"/>
        </w:rPr>
      </w:pPr>
      <w:r>
        <w:rPr>
          <w:i/>
          <w:lang w:val="en-GB"/>
        </w:rPr>
        <w:t>The thresholds for the Integrated Farm Survey 202</w:t>
      </w:r>
      <w:r w:rsidR="00333A0B">
        <w:rPr>
          <w:i/>
          <w:lang w:val="en-GB"/>
        </w:rPr>
        <w:t>3</w:t>
      </w:r>
      <w:r>
        <w:rPr>
          <w:i/>
          <w:lang w:val="en-GB"/>
        </w:rPr>
        <w:t xml:space="preserve"> were set by Regulation (EU) No 2018/1091 of the European Parliament and of the Council to correspond to 98% coverage of total cultivated agricultural land (excluding kitchen gardens) and 98% coverage of livestock units</w:t>
      </w:r>
      <w:r>
        <w:rPr>
          <w:rStyle w:val="FootnoteAnchor"/>
          <w:i/>
          <w:lang w:val="en-GB"/>
        </w:rPr>
        <w:footnoteReference w:id="4"/>
      </w:r>
      <w:r>
        <w:rPr>
          <w:i/>
          <w:lang w:val="en-GB"/>
        </w:rPr>
        <w:t>.</w:t>
      </w:r>
    </w:p>
    <w:p w:rsidR="00E92C39" w:rsidRDefault="005C2CD0">
      <w:pPr>
        <w:jc w:val="both"/>
        <w:rPr>
          <w:i/>
          <w:lang w:val="en-GB"/>
        </w:rPr>
      </w:pPr>
      <w:r>
        <w:rPr>
          <w:i/>
          <w:lang w:val="en-GB"/>
        </w:rPr>
        <w:lastRenderedPageBreak/>
        <w:t>Threshold values for the survey:</w:t>
      </w:r>
    </w:p>
    <w:p w:rsidR="00E92C39" w:rsidRDefault="005C2CD0">
      <w:pPr>
        <w:pStyle w:val="Seznam"/>
        <w:numPr>
          <w:ilvl w:val="0"/>
          <w:numId w:val="3"/>
        </w:numPr>
        <w:rPr>
          <w:i/>
          <w:lang w:val="en-GB"/>
        </w:rPr>
      </w:pPr>
      <w:r>
        <w:rPr>
          <w:i/>
          <w:lang w:val="en-GB"/>
        </w:rPr>
        <w:t>5 ha of utilised agricultural area (own or rented), or</w:t>
      </w:r>
    </w:p>
    <w:p w:rsidR="00E92C39" w:rsidRDefault="005C2CD0">
      <w:pPr>
        <w:pStyle w:val="Seznam"/>
        <w:numPr>
          <w:ilvl w:val="0"/>
          <w:numId w:val="3"/>
        </w:numPr>
        <w:rPr>
          <w:i/>
          <w:lang w:val="en-GB"/>
        </w:rPr>
      </w:pPr>
      <w:r>
        <w:rPr>
          <w:i/>
          <w:lang w:val="en-GB"/>
        </w:rPr>
        <w:t>2 ha of arable land, or</w:t>
      </w:r>
    </w:p>
    <w:p w:rsidR="00E92C39" w:rsidRDefault="005C2CD0">
      <w:pPr>
        <w:pStyle w:val="Seznam"/>
        <w:numPr>
          <w:ilvl w:val="0"/>
          <w:numId w:val="3"/>
        </w:numPr>
        <w:rPr>
          <w:i/>
          <w:lang w:val="en-GB"/>
        </w:rPr>
      </w:pPr>
      <w:r>
        <w:rPr>
          <w:i/>
          <w:lang w:val="en-GB"/>
        </w:rPr>
        <w:t>0.5 ha of potatoes, or</w:t>
      </w:r>
    </w:p>
    <w:p w:rsidR="00E92C39" w:rsidRDefault="005C2CD0">
      <w:pPr>
        <w:pStyle w:val="Seznam"/>
        <w:numPr>
          <w:ilvl w:val="0"/>
          <w:numId w:val="3"/>
        </w:numPr>
        <w:rPr>
          <w:i/>
          <w:lang w:val="en-GB"/>
        </w:rPr>
      </w:pPr>
      <w:r>
        <w:rPr>
          <w:i/>
          <w:lang w:val="en-GB"/>
        </w:rPr>
        <w:t>0.5 ha of vegetables and strawberries, or</w:t>
      </w:r>
    </w:p>
    <w:p w:rsidR="00E92C39" w:rsidRDefault="005C2CD0">
      <w:pPr>
        <w:pStyle w:val="Seznam"/>
        <w:numPr>
          <w:ilvl w:val="0"/>
          <w:numId w:val="3"/>
        </w:numPr>
        <w:rPr>
          <w:i/>
          <w:lang w:val="en-GB"/>
        </w:rPr>
      </w:pPr>
      <w:r>
        <w:rPr>
          <w:i/>
          <w:lang w:val="en-GB"/>
        </w:rPr>
        <w:t>summed area of aromatical, medicinal, and culinary plants, flowers and</w:t>
      </w:r>
      <w:r>
        <w:rPr>
          <w:i/>
          <w:sz w:val="19"/>
          <w:szCs w:val="19"/>
          <w:lang w:val="en-GB"/>
        </w:rPr>
        <w:t xml:space="preserve"> ornamental plants, seeds and seedlings, and nurseries at least 2 000 m</w:t>
      </w:r>
      <w:r>
        <w:rPr>
          <w:i/>
          <w:sz w:val="19"/>
          <w:szCs w:val="19"/>
          <w:vertAlign w:val="superscript"/>
          <w:lang w:val="en-GB"/>
        </w:rPr>
        <w:t>2</w:t>
      </w:r>
      <w:r>
        <w:rPr>
          <w:i/>
          <w:sz w:val="19"/>
          <w:szCs w:val="19"/>
          <w:lang w:val="en-GB"/>
        </w:rPr>
        <w:t>, or</w:t>
      </w:r>
    </w:p>
    <w:p w:rsidR="00E92C39" w:rsidRDefault="005C2CD0">
      <w:pPr>
        <w:pStyle w:val="Seznam"/>
        <w:numPr>
          <w:ilvl w:val="0"/>
          <w:numId w:val="3"/>
        </w:numPr>
        <w:rPr>
          <w:i/>
          <w:lang w:val="en-GB"/>
        </w:rPr>
      </w:pPr>
      <w:r>
        <w:rPr>
          <w:i/>
          <w:lang w:val="en-GB"/>
        </w:rPr>
        <w:t xml:space="preserve">summed area of orchards and other permanent crops </w:t>
      </w:r>
      <w:r>
        <w:rPr>
          <w:i/>
          <w:sz w:val="19"/>
          <w:szCs w:val="19"/>
          <w:lang w:val="en-GB"/>
        </w:rPr>
        <w:t>at least 3 000 m</w:t>
      </w:r>
      <w:r>
        <w:rPr>
          <w:i/>
          <w:sz w:val="19"/>
          <w:szCs w:val="19"/>
          <w:vertAlign w:val="superscript"/>
          <w:lang w:val="en-GB"/>
        </w:rPr>
        <w:t>2</w:t>
      </w:r>
      <w:r>
        <w:rPr>
          <w:i/>
          <w:lang w:val="en-GB"/>
        </w:rPr>
        <w:t>, or</w:t>
      </w:r>
    </w:p>
    <w:p w:rsidR="00E92C39" w:rsidRDefault="005C2CD0">
      <w:pPr>
        <w:pStyle w:val="Seznam"/>
        <w:numPr>
          <w:ilvl w:val="0"/>
          <w:numId w:val="3"/>
        </w:numPr>
        <w:rPr>
          <w:i/>
          <w:lang w:val="en-GB"/>
        </w:rPr>
      </w:pPr>
      <w:r>
        <w:rPr>
          <w:i/>
          <w:lang w:val="en-GB"/>
        </w:rPr>
        <w:t>1 000 m</w:t>
      </w:r>
      <w:r>
        <w:rPr>
          <w:i/>
          <w:vertAlign w:val="superscript"/>
          <w:lang w:val="en-GB"/>
        </w:rPr>
        <w:t>2</w:t>
      </w:r>
      <w:r>
        <w:rPr>
          <w:i/>
          <w:lang w:val="en-GB"/>
        </w:rPr>
        <w:t xml:space="preserve"> of vineyards;</w:t>
      </w:r>
    </w:p>
    <w:p w:rsidR="00E92C39" w:rsidRDefault="005C2CD0">
      <w:pPr>
        <w:pStyle w:val="Seznam"/>
        <w:numPr>
          <w:ilvl w:val="0"/>
          <w:numId w:val="3"/>
        </w:numPr>
        <w:rPr>
          <w:i/>
          <w:lang w:val="en-GB"/>
        </w:rPr>
      </w:pPr>
      <w:r>
        <w:rPr>
          <w:i/>
          <w:lang w:val="en-GB"/>
        </w:rPr>
        <w:t>100 m</w:t>
      </w:r>
      <w:r>
        <w:rPr>
          <w:i/>
          <w:vertAlign w:val="superscript"/>
          <w:lang w:val="en-GB"/>
        </w:rPr>
        <w:t>2</w:t>
      </w:r>
      <w:r>
        <w:rPr>
          <w:i/>
          <w:lang w:val="en-GB"/>
        </w:rPr>
        <w:t xml:space="preserve"> of areas under cover, or</w:t>
      </w:r>
    </w:p>
    <w:p w:rsidR="00E92C39" w:rsidRDefault="005C2CD0">
      <w:pPr>
        <w:pStyle w:val="Seznam"/>
        <w:numPr>
          <w:ilvl w:val="0"/>
          <w:numId w:val="3"/>
        </w:numPr>
        <w:rPr>
          <w:i/>
          <w:lang w:val="en-GB"/>
        </w:rPr>
      </w:pPr>
      <w:r>
        <w:rPr>
          <w:i/>
          <w:lang w:val="en-GB"/>
        </w:rPr>
        <w:t>100 m</w:t>
      </w:r>
      <w:r>
        <w:rPr>
          <w:i/>
          <w:vertAlign w:val="superscript"/>
          <w:lang w:val="en-GB"/>
        </w:rPr>
        <w:t>2</w:t>
      </w:r>
      <w:r>
        <w:rPr>
          <w:i/>
          <w:lang w:val="en-GB"/>
        </w:rPr>
        <w:t xml:space="preserve"> of cultivated mushrooms, or </w:t>
      </w:r>
    </w:p>
    <w:p w:rsidR="00E92C39" w:rsidRDefault="005C2CD0">
      <w:pPr>
        <w:pStyle w:val="Seznam"/>
        <w:numPr>
          <w:ilvl w:val="0"/>
          <w:numId w:val="3"/>
        </w:numPr>
        <w:rPr>
          <w:i/>
          <w:lang w:val="en-GB"/>
        </w:rPr>
      </w:pPr>
      <w:r>
        <w:rPr>
          <w:i/>
          <w:lang w:val="en-GB"/>
        </w:rPr>
        <w:t>1.7 livestock units.</w:t>
      </w:r>
    </w:p>
    <w:p w:rsidR="00E92C39" w:rsidRDefault="005C2CD0">
      <w:pPr>
        <w:pStyle w:val="Nadpis2"/>
        <w:rPr>
          <w:i/>
          <w:lang w:val="en-GB"/>
        </w:rPr>
      </w:pPr>
      <w:bookmarkStart w:id="4" w:name="_Toc490036463"/>
      <w:r>
        <w:rPr>
          <w:i/>
          <w:lang w:val="en-GB"/>
        </w:rPr>
        <w:t>Questionnaire and Reporting duty</w:t>
      </w:r>
      <w:bookmarkEnd w:id="4"/>
    </w:p>
    <w:p w:rsidR="00E92C39" w:rsidRDefault="005C2CD0">
      <w:pPr>
        <w:jc w:val="both"/>
        <w:rPr>
          <w:i/>
          <w:lang w:val="en-GB"/>
        </w:rPr>
      </w:pPr>
      <w:r>
        <w:rPr>
          <w:i/>
          <w:lang w:val="en-GB"/>
        </w:rPr>
        <w:t xml:space="preserve">Reporting duty applied to all reporting units included in the sample. </w:t>
      </w:r>
    </w:p>
    <w:p w:rsidR="00E92C39" w:rsidRDefault="005C2CD0">
      <w:pPr>
        <w:jc w:val="both"/>
        <w:rPr>
          <w:i/>
          <w:highlight w:val="yellow"/>
          <w:lang w:val="en-GB"/>
        </w:rPr>
      </w:pPr>
      <w:r>
        <w:rPr>
          <w:i/>
          <w:lang w:val="en-GB"/>
        </w:rPr>
        <w:t xml:space="preserve">The questionnaire was sent electronically to legal persons and natural persons with a data box. Natural persons without a data were contacted by </w:t>
      </w:r>
      <w:r w:rsidR="00333A0B">
        <w:rPr>
          <w:i/>
          <w:lang w:val="en-GB"/>
        </w:rPr>
        <w:t>regular mail or</w:t>
      </w:r>
      <w:r>
        <w:rPr>
          <w:i/>
          <w:lang w:val="en-GB"/>
        </w:rPr>
        <w:t xml:space="preserve"> by trained external interviewers.</w:t>
      </w:r>
    </w:p>
    <w:p w:rsidR="00E92C39" w:rsidRDefault="005C2CD0">
      <w:pPr>
        <w:jc w:val="both"/>
        <w:rPr>
          <w:i/>
          <w:lang w:val="en-GB"/>
        </w:rPr>
      </w:pPr>
      <w:r>
        <w:rPr>
          <w:i/>
          <w:lang w:val="en-GB"/>
        </w:rPr>
        <w:t>Pursuant to Act No. 89/1995 Coll., on the State Statistical Service, as amended, the reporting unit shall supply all requested data.</w:t>
      </w:r>
    </w:p>
    <w:p w:rsidR="00E92C39" w:rsidRDefault="005C2CD0">
      <w:pPr>
        <w:pStyle w:val="Nadpis2"/>
        <w:rPr>
          <w:i/>
          <w:lang w:val="en-GB"/>
        </w:rPr>
      </w:pPr>
      <w:r>
        <w:rPr>
          <w:i/>
          <w:lang w:val="en-GB"/>
        </w:rPr>
        <w:t>Output tables</w:t>
      </w:r>
    </w:p>
    <w:p w:rsidR="00E92C39" w:rsidRDefault="005C2CD0">
      <w:pPr>
        <w:rPr>
          <w:i/>
          <w:lang w:val="en-GB"/>
        </w:rPr>
      </w:pPr>
      <w:r>
        <w:rPr>
          <w:i/>
          <w:lang w:val="en-GB"/>
        </w:rPr>
        <w:t>The tables in the publication summarise the data for agricultural holdings that utilise at least 98% of the agricultural land or keep at least 98% of the total number of livestock units.</w:t>
      </w:r>
    </w:p>
    <w:p w:rsidR="00E92C39" w:rsidRDefault="005C2CD0">
      <w:pPr>
        <w:rPr>
          <w:i/>
          <w:lang w:val="en-GB"/>
        </w:rPr>
      </w:pPr>
      <w:r>
        <w:rPr>
          <w:i/>
          <w:lang w:val="en-GB"/>
        </w:rPr>
        <w:t>Calculations in the tables are based on non-rounded figures (incl. totals).</w:t>
      </w:r>
    </w:p>
    <w:p w:rsidR="00E92C39" w:rsidRDefault="005C2CD0">
      <w:pPr>
        <w:pStyle w:val="Nadpis2"/>
        <w:rPr>
          <w:i/>
          <w:lang w:val="en-GB"/>
        </w:rPr>
      </w:pPr>
      <w:bookmarkStart w:id="5" w:name="_Toc490036464"/>
      <w:r>
        <w:rPr>
          <w:i/>
          <w:lang w:val="en-GB"/>
        </w:rPr>
        <w:t>Farm Structure Survey results in international comparison</w:t>
      </w:r>
      <w:bookmarkEnd w:id="5"/>
    </w:p>
    <w:p w:rsidR="00E92C39" w:rsidRDefault="005C2CD0">
      <w:pPr>
        <w:jc w:val="both"/>
        <w:rPr>
          <w:i/>
          <w:lang w:val="en-GB"/>
        </w:rPr>
      </w:pPr>
      <w:r>
        <w:rPr>
          <w:i/>
          <w:lang w:val="en-GB"/>
        </w:rPr>
        <w:t xml:space="preserve">The European Statistical Office (Eurostat) collects results from all member countries and compiles publications summarizing main characteristic features of agriculture in each of them. These publications are available on Eurostat internet pages </w:t>
      </w:r>
      <w:r>
        <w:rPr>
          <w:lang w:val="en-GB" w:eastAsia="en-US"/>
        </w:rPr>
        <w:t>(http://ec.europa.eu/eurostat/publications/all-publications).</w:t>
      </w:r>
    </w:p>
    <w:p w:rsidR="00E92C39" w:rsidRDefault="005C2CD0">
      <w:pPr>
        <w:jc w:val="both"/>
        <w:rPr>
          <w:i/>
          <w:lang w:val="en-GB"/>
        </w:rPr>
      </w:pPr>
      <w:r>
        <w:rPr>
          <w:i/>
          <w:lang w:val="en-GB"/>
        </w:rPr>
        <w:t xml:space="preserve">Eurostat provides a database on its website, which is intended to serve for the comparison of the Farm Structure Surveys results on an international level; it contains aggregated tables in a demanded structure </w:t>
      </w:r>
      <w:r>
        <w:rPr>
          <w:lang w:val="en-GB" w:eastAsia="en-US"/>
        </w:rPr>
        <w:t>(http://ec.europa.eu/eurostat/data/database)</w:t>
      </w:r>
      <w:r>
        <w:rPr>
          <w:i/>
          <w:lang w:val="en-GB"/>
        </w:rPr>
        <w:t>.</w:t>
      </w:r>
    </w:p>
    <w:p w:rsidR="00E92C39" w:rsidRDefault="005C2CD0">
      <w:pPr>
        <w:jc w:val="both"/>
        <w:rPr>
          <w:i/>
          <w:lang w:val="en-GB"/>
        </w:rPr>
      </w:pPr>
      <w:r>
        <w:rPr>
          <w:i/>
          <w:lang w:val="en-GB"/>
        </w:rPr>
        <w:t>Several methodological differences should be taken into account when using data from the Eurostat database:</w:t>
      </w:r>
    </w:p>
    <w:p w:rsidR="00E92C39" w:rsidRDefault="005C2CD0">
      <w:pPr>
        <w:pStyle w:val="Seznam"/>
        <w:numPr>
          <w:ilvl w:val="0"/>
          <w:numId w:val="2"/>
        </w:numPr>
        <w:jc w:val="both"/>
        <w:rPr>
          <w:i/>
          <w:lang w:val="en-GB"/>
        </w:rPr>
      </w:pPr>
      <w:r>
        <w:rPr>
          <w:i/>
          <w:lang w:val="en-GB"/>
        </w:rPr>
        <w:t xml:space="preserve">According to the EU definition, hop is included in crops grown on arable land. In the Czech Republic, however, hop or hop-gardens are reported as permanent crops according to the Law No 252/1997 Coll., on agriculture, as amended. Due to this different approach, data on total arable area and permanent crops in Eurostat database differ from the data published at the national level. Data on total utilised agricultural area (permanent crops plus </w:t>
      </w:r>
      <w:r w:rsidR="00701A23">
        <w:rPr>
          <w:i/>
          <w:lang w:val="en-GB"/>
        </w:rPr>
        <w:t xml:space="preserve">permanent grasslands plus </w:t>
      </w:r>
      <w:r>
        <w:rPr>
          <w:i/>
          <w:lang w:val="en-GB"/>
        </w:rPr>
        <w:t>arable land) are identical.</w:t>
      </w:r>
    </w:p>
    <w:p w:rsidR="00E92C39" w:rsidRDefault="005C2CD0">
      <w:pPr>
        <w:pStyle w:val="Seznam"/>
        <w:numPr>
          <w:ilvl w:val="0"/>
          <w:numId w:val="2"/>
        </w:numPr>
        <w:jc w:val="both"/>
        <w:rPr>
          <w:i/>
          <w:lang w:val="en-GB"/>
        </w:rPr>
      </w:pPr>
      <w:r>
        <w:rPr>
          <w:i/>
          <w:lang w:val="en-GB"/>
        </w:rPr>
        <w:t>Areas of grain maize and of green maize differ due to difference in inclusion of corn</w:t>
      </w:r>
      <w:r>
        <w:rPr>
          <w:i/>
        </w:rPr>
        <w:t xml:space="preserve">-cob-mix. </w:t>
      </w:r>
      <w:r>
        <w:rPr>
          <w:i/>
          <w:lang w:val="en-GB"/>
        </w:rPr>
        <w:t>According to the EU methodology, it is included in grain maize</w:t>
      </w:r>
      <w:r>
        <w:t xml:space="preserve"> </w:t>
      </w:r>
      <w:r>
        <w:rPr>
          <w:i/>
          <w:lang w:val="en-GB"/>
        </w:rPr>
        <w:t>unlike the practice in the Czech Republic where its areas are included in green maize.</w:t>
      </w:r>
    </w:p>
    <w:p w:rsidR="00E92C39" w:rsidRDefault="001F4116" w:rsidP="001F4116">
      <w:pPr>
        <w:pStyle w:val="Seznam"/>
        <w:numPr>
          <w:ilvl w:val="0"/>
          <w:numId w:val="2"/>
        </w:numPr>
        <w:jc w:val="both"/>
        <w:rPr>
          <w:i/>
          <w:lang w:val="en-GB"/>
        </w:rPr>
      </w:pPr>
      <w:r w:rsidRPr="001F4116">
        <w:rPr>
          <w:i/>
          <w:lang w:val="en-GB"/>
        </w:rPr>
        <w:t xml:space="preserve">Eurostat publishes indicators on the </w:t>
      </w:r>
      <w:r>
        <w:rPr>
          <w:i/>
          <w:lang w:val="en-GB"/>
        </w:rPr>
        <w:t xml:space="preserve">utilised </w:t>
      </w:r>
      <w:r w:rsidRPr="001F4116">
        <w:rPr>
          <w:i/>
          <w:lang w:val="en-GB"/>
        </w:rPr>
        <w:t xml:space="preserve">agricultural </w:t>
      </w:r>
      <w:r>
        <w:rPr>
          <w:i/>
          <w:lang w:val="en-GB"/>
        </w:rPr>
        <w:t>area</w:t>
      </w:r>
      <w:r w:rsidRPr="001F4116">
        <w:rPr>
          <w:i/>
          <w:lang w:val="en-GB"/>
        </w:rPr>
        <w:t xml:space="preserve"> broken down into outdoor and under cover areas. Data on irrigation and </w:t>
      </w:r>
      <w:r>
        <w:rPr>
          <w:i/>
          <w:lang w:val="en-GB"/>
        </w:rPr>
        <w:t>soil</w:t>
      </w:r>
      <w:bookmarkStart w:id="6" w:name="_GoBack"/>
      <w:bookmarkEnd w:id="6"/>
      <w:r w:rsidRPr="001F4116">
        <w:rPr>
          <w:i/>
          <w:lang w:val="en-GB"/>
        </w:rPr>
        <w:t xml:space="preserve"> management practices are reported for outdoor areas only. The areas reported in this publication include both types of areas. </w:t>
      </w:r>
    </w:p>
    <w:p w:rsidR="00E92C39" w:rsidRDefault="005C2CD0">
      <w:pPr>
        <w:spacing w:before="2400" w:line="240" w:lineRule="auto"/>
        <w:jc w:val="center"/>
        <w:rPr>
          <w:rFonts w:cs="Arial"/>
          <w:sz w:val="48"/>
          <w:szCs w:val="48"/>
        </w:rPr>
      </w:pPr>
      <w:r>
        <w:rPr>
          <w:rFonts w:cs="Arial"/>
          <w:sz w:val="48"/>
          <w:szCs w:val="48"/>
        </w:rPr>
        <w:lastRenderedPageBreak/>
        <w:t>***</w:t>
      </w:r>
    </w:p>
    <w:p w:rsidR="00E92C39" w:rsidRDefault="005C2CD0">
      <w:pPr>
        <w:spacing w:line="480" w:lineRule="auto"/>
        <w:rPr>
          <w:rFonts w:eastAsia="Calibri"/>
          <w:b/>
          <w:lang w:val="en-GB" w:eastAsia="en-US"/>
        </w:rPr>
      </w:pPr>
      <w:r>
        <w:rPr>
          <w:rFonts w:eastAsia="Calibri"/>
          <w:b/>
          <w:lang w:val="en-GB" w:eastAsia="en-US"/>
        </w:rPr>
        <w:t>SYMBOLS USED IN TABLES</w:t>
      </w:r>
    </w:p>
    <w:p w:rsidR="00E92C39" w:rsidRDefault="005C2CD0">
      <w:pPr>
        <w:pStyle w:val="Seznam"/>
        <w:spacing w:line="480" w:lineRule="auto"/>
        <w:jc w:val="both"/>
        <w:rPr>
          <w:i/>
          <w:lang w:val="en-GB"/>
        </w:rPr>
      </w:pPr>
      <w:r>
        <w:rPr>
          <w:i/>
          <w:lang w:val="en-GB"/>
        </w:rPr>
        <w:t>-</w:t>
      </w:r>
      <w:r>
        <w:rPr>
          <w:i/>
          <w:lang w:val="en-GB"/>
        </w:rPr>
        <w:tab/>
        <w:t xml:space="preserve">no cases registered </w:t>
      </w:r>
    </w:p>
    <w:p w:rsidR="00E92C39" w:rsidRDefault="005C2CD0">
      <w:pPr>
        <w:pStyle w:val="Seznam"/>
        <w:spacing w:line="480" w:lineRule="auto"/>
        <w:jc w:val="both"/>
        <w:rPr>
          <w:i/>
          <w:lang w:val="en-GB"/>
        </w:rPr>
      </w:pPr>
      <w:r>
        <w:rPr>
          <w:i/>
          <w:lang w:val="en-GB"/>
        </w:rPr>
        <w:t>.</w:t>
      </w:r>
      <w:r>
        <w:rPr>
          <w:i/>
          <w:lang w:val="en-GB"/>
        </w:rPr>
        <w:tab/>
        <w:t xml:space="preserve">data unavailable or unreliable </w:t>
      </w:r>
    </w:p>
    <w:p w:rsidR="00E92C39" w:rsidRDefault="005C2CD0">
      <w:pPr>
        <w:pStyle w:val="Seznam"/>
        <w:spacing w:line="480" w:lineRule="auto"/>
        <w:jc w:val="both"/>
        <w:rPr>
          <w:i/>
          <w:lang w:val="en-GB"/>
        </w:rPr>
      </w:pPr>
      <w:r>
        <w:rPr>
          <w:i/>
          <w:lang w:val="en-GB"/>
        </w:rPr>
        <w:t>x</w:t>
      </w:r>
      <w:r>
        <w:rPr>
          <w:i/>
          <w:lang w:val="en-GB"/>
        </w:rPr>
        <w:tab/>
        <w:t xml:space="preserve">not applicable </w:t>
      </w:r>
    </w:p>
    <w:p w:rsidR="00E92C39" w:rsidRDefault="005C2CD0">
      <w:pPr>
        <w:pStyle w:val="Seznam"/>
        <w:spacing w:line="480" w:lineRule="auto"/>
        <w:jc w:val="both"/>
        <w:rPr>
          <w:i/>
          <w:lang w:val="en-GB"/>
        </w:rPr>
      </w:pPr>
      <w:r>
        <w:rPr>
          <w:i/>
          <w:lang w:val="en-GB"/>
        </w:rPr>
        <w:t>0</w:t>
      </w:r>
      <w:r>
        <w:rPr>
          <w:i/>
          <w:lang w:val="en-GB"/>
        </w:rPr>
        <w:tab/>
        <w:t xml:space="preserve">less than half the final digit shown and greater than real zero </w:t>
      </w:r>
    </w:p>
    <w:p w:rsidR="00E92C39" w:rsidRDefault="005C2CD0">
      <w:pPr>
        <w:pStyle w:val="Seznam"/>
        <w:spacing w:line="480" w:lineRule="auto"/>
        <w:jc w:val="both"/>
        <w:rPr>
          <w:i/>
          <w:lang w:val="en-GB"/>
        </w:rPr>
      </w:pPr>
      <w:proofErr w:type="spellStart"/>
      <w:r>
        <w:rPr>
          <w:i/>
          <w:lang w:val="en-GB"/>
        </w:rPr>
        <w:t>i</w:t>
      </w:r>
      <w:proofErr w:type="spellEnd"/>
      <w:r>
        <w:rPr>
          <w:i/>
          <w:lang w:val="en-GB"/>
        </w:rPr>
        <w:t>. d.</w:t>
      </w:r>
      <w:r>
        <w:rPr>
          <w:i/>
          <w:lang w:val="en-GB"/>
        </w:rPr>
        <w:tab/>
        <w:t>individual data</w:t>
      </w:r>
    </w:p>
    <w:sectPr w:rsidR="00E92C39">
      <w:footerReference w:type="even" r:id="rId8"/>
      <w:footerReference w:type="default" r:id="rId9"/>
      <w:pgSz w:w="11906" w:h="16838"/>
      <w:pgMar w:top="1134" w:right="1134" w:bottom="1418" w:left="1134" w:header="0" w:footer="680" w:gutter="0"/>
      <w:cols w:space="708"/>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4EC0" w:rsidRDefault="00374EC0">
      <w:pPr>
        <w:spacing w:after="0" w:line="240" w:lineRule="auto"/>
      </w:pPr>
      <w:r>
        <w:separator/>
      </w:r>
    </w:p>
  </w:endnote>
  <w:endnote w:type="continuationSeparator" w:id="0">
    <w:p w:rsidR="00374EC0" w:rsidRDefault="00374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default"/>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altName w:val="Arial"/>
    <w:panose1 w:val="020B0604020202020204"/>
    <w:charset w:val="80"/>
    <w:family w:val="swiss"/>
    <w:pitch w:val="variable"/>
    <w:sig w:usb0="F7FFAFFF" w:usb1="E9DFFFFF" w:usb2="0000003F" w:usb3="00000000" w:csb0="003F01FF" w:csb1="00000000"/>
  </w:font>
  <w:font w:name="EUAlbertina">
    <w:altName w:val="Arial"/>
    <w:charset w:val="EE"/>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C39" w:rsidRDefault="005C2CD0">
    <w:pPr>
      <w:pStyle w:val="Zpat"/>
      <w:rPr>
        <w:szCs w:val="16"/>
      </w:rPr>
    </w:pPr>
    <w:r>
      <w:rPr>
        <w:szCs w:val="16"/>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C39" w:rsidRDefault="005C2CD0">
    <w:pPr>
      <w:pStyle w:val="Zpat"/>
      <w:rPr>
        <w:szCs w:val="16"/>
      </w:rPr>
    </w:pPr>
    <w:r>
      <w:rPr>
        <w:szCs w:val="16"/>
      </w:rPr>
      <w:tab/>
    </w:r>
    <w:r>
      <w:rPr>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4EC0" w:rsidRDefault="00374EC0">
      <w:pPr>
        <w:rPr>
          <w:sz w:val="12"/>
        </w:rPr>
      </w:pPr>
      <w:r>
        <w:separator/>
      </w:r>
    </w:p>
  </w:footnote>
  <w:footnote w:type="continuationSeparator" w:id="0">
    <w:p w:rsidR="00374EC0" w:rsidRDefault="00374EC0">
      <w:pPr>
        <w:rPr>
          <w:sz w:val="12"/>
        </w:rPr>
      </w:pPr>
      <w:r>
        <w:continuationSeparator/>
      </w:r>
    </w:p>
  </w:footnote>
  <w:footnote w:id="1">
    <w:p w:rsidR="00E92C39" w:rsidRDefault="005C2CD0" w:rsidP="003B5571">
      <w:pPr>
        <w:spacing w:before="120" w:after="0" w:line="240" w:lineRule="auto"/>
        <w:jc w:val="both"/>
        <w:rPr>
          <w:i/>
          <w:sz w:val="18"/>
          <w:szCs w:val="18"/>
        </w:rPr>
      </w:pPr>
      <w:r>
        <w:rPr>
          <w:rStyle w:val="FootnoteCharacters"/>
        </w:rPr>
        <w:footnoteRef/>
      </w:r>
      <w:r>
        <w:rPr>
          <w:i/>
          <w:sz w:val="18"/>
          <w:szCs w:val="18"/>
          <w:vertAlign w:val="superscript"/>
        </w:rPr>
        <w:t>)</w:t>
      </w:r>
      <w:r>
        <w:rPr>
          <w:i/>
          <w:sz w:val="18"/>
          <w:szCs w:val="18"/>
        </w:rPr>
        <w:t xml:space="preserve"> </w:t>
      </w:r>
      <w:r>
        <w:rPr>
          <w:bCs/>
          <w:i/>
          <w:sz w:val="18"/>
          <w:szCs w:val="18"/>
          <w:lang w:val="en-GB"/>
        </w:rPr>
        <w:t>Regulation (EU) 2018/1091 of the European Parliament and of the Council of 18 July 2018 on integrated farm statistics and repealing Regulations (EC) No 1166/2008 and (EU) No 1337/2011.</w:t>
      </w:r>
    </w:p>
  </w:footnote>
  <w:footnote w:id="2">
    <w:p w:rsidR="00E92C39" w:rsidRDefault="005C2CD0" w:rsidP="00794553">
      <w:pPr>
        <w:spacing w:before="120" w:after="0" w:line="240" w:lineRule="auto"/>
        <w:jc w:val="both"/>
        <w:rPr>
          <w:rStyle w:val="FootnoteCharacters"/>
        </w:rPr>
      </w:pPr>
      <w:r>
        <w:rPr>
          <w:rStyle w:val="FootnoteCharacters"/>
        </w:rPr>
        <w:footnoteRef/>
      </w:r>
      <w:r>
        <w:rPr>
          <w:rStyle w:val="FootnoteCharacters"/>
        </w:rPr>
        <w:t xml:space="preserve">) </w:t>
      </w:r>
      <w:r w:rsidR="00794553" w:rsidRPr="00794553">
        <w:rPr>
          <w:bCs/>
          <w:i/>
          <w:sz w:val="18"/>
          <w:szCs w:val="18"/>
          <w:lang w:val="en-GB"/>
        </w:rPr>
        <w:t>Commission Implementing Regulation (EU) 2021/2286</w:t>
      </w:r>
      <w:r w:rsidR="00794553">
        <w:rPr>
          <w:bCs/>
          <w:i/>
          <w:sz w:val="18"/>
          <w:szCs w:val="18"/>
          <w:lang w:val="en-GB"/>
        </w:rPr>
        <w:t xml:space="preserve"> </w:t>
      </w:r>
      <w:r w:rsidR="00794553" w:rsidRPr="00794553">
        <w:rPr>
          <w:bCs/>
          <w:i/>
          <w:sz w:val="18"/>
          <w:szCs w:val="18"/>
          <w:lang w:val="en-GB"/>
        </w:rPr>
        <w:t>of 16 December 2021</w:t>
      </w:r>
      <w:r w:rsidR="00794553">
        <w:rPr>
          <w:bCs/>
          <w:i/>
          <w:sz w:val="18"/>
          <w:szCs w:val="18"/>
          <w:lang w:val="en-GB"/>
        </w:rPr>
        <w:t xml:space="preserve"> </w:t>
      </w:r>
      <w:r w:rsidR="00794553" w:rsidRPr="00794553">
        <w:rPr>
          <w:bCs/>
          <w:i/>
          <w:sz w:val="18"/>
          <w:szCs w:val="18"/>
          <w:lang w:val="en-GB"/>
        </w:rPr>
        <w:t>on the data to be provided for the reference year 2023 pursuant to Regulation (EU) 2018/1091 of the European Parliament and of the Council on integrated farm statistics as regards the list of variables and their description and repealing Commission Regulation (EC) No 1200/2009</w:t>
      </w:r>
      <w:r>
        <w:rPr>
          <w:bCs/>
          <w:i/>
          <w:sz w:val="18"/>
          <w:szCs w:val="18"/>
          <w:lang w:val="en-GB"/>
        </w:rPr>
        <w:t xml:space="preserve">. </w:t>
      </w:r>
    </w:p>
  </w:footnote>
  <w:footnote w:id="3">
    <w:p w:rsidR="00E92C39" w:rsidRDefault="005C2CD0" w:rsidP="003B5571">
      <w:pPr>
        <w:spacing w:before="120" w:after="0" w:line="240" w:lineRule="auto"/>
        <w:jc w:val="both"/>
        <w:rPr>
          <w:rStyle w:val="FootnoteCharacters"/>
        </w:rPr>
      </w:pPr>
      <w:r>
        <w:rPr>
          <w:rStyle w:val="FootnoteCharacters"/>
        </w:rPr>
        <w:footnoteRef/>
      </w:r>
      <w:r>
        <w:rPr>
          <w:rStyle w:val="FootnoteCharacters"/>
        </w:rPr>
        <w:t xml:space="preserve">) </w:t>
      </w:r>
      <w:r>
        <w:rPr>
          <w:bCs/>
          <w:i/>
          <w:sz w:val="18"/>
          <w:szCs w:val="18"/>
          <w:lang w:val="en-GB"/>
        </w:rPr>
        <w:t xml:space="preserve">Decree No. </w:t>
      </w:r>
      <w:r w:rsidR="001666A7">
        <w:rPr>
          <w:bCs/>
          <w:i/>
          <w:sz w:val="18"/>
          <w:szCs w:val="18"/>
          <w:lang w:val="en-GB"/>
        </w:rPr>
        <w:t>324</w:t>
      </w:r>
      <w:r>
        <w:rPr>
          <w:bCs/>
          <w:i/>
          <w:sz w:val="18"/>
          <w:szCs w:val="18"/>
          <w:lang w:val="en-GB"/>
        </w:rPr>
        <w:t xml:space="preserve"> of </w:t>
      </w:r>
      <w:r w:rsidR="001666A7">
        <w:rPr>
          <w:bCs/>
          <w:i/>
          <w:sz w:val="18"/>
          <w:szCs w:val="18"/>
          <w:lang w:val="en-GB"/>
        </w:rPr>
        <w:t>12 Octo</w:t>
      </w:r>
      <w:r>
        <w:rPr>
          <w:bCs/>
          <w:i/>
          <w:sz w:val="18"/>
          <w:szCs w:val="18"/>
          <w:lang w:val="en-GB"/>
        </w:rPr>
        <w:t>ber 20</w:t>
      </w:r>
      <w:r w:rsidR="001666A7">
        <w:rPr>
          <w:bCs/>
          <w:i/>
          <w:sz w:val="18"/>
          <w:szCs w:val="18"/>
          <w:lang w:val="en-GB"/>
        </w:rPr>
        <w:t>22</w:t>
      </w:r>
      <w:r>
        <w:rPr>
          <w:bCs/>
          <w:i/>
          <w:sz w:val="18"/>
          <w:szCs w:val="18"/>
          <w:lang w:val="en-GB"/>
        </w:rPr>
        <w:t xml:space="preserve"> on the Statistical Survey Programme for 202</w:t>
      </w:r>
      <w:r w:rsidR="001666A7">
        <w:rPr>
          <w:bCs/>
          <w:i/>
          <w:sz w:val="18"/>
          <w:szCs w:val="18"/>
          <w:lang w:val="en-GB"/>
        </w:rPr>
        <w:t>3</w:t>
      </w:r>
      <w:r>
        <w:rPr>
          <w:bCs/>
          <w:i/>
          <w:sz w:val="18"/>
          <w:szCs w:val="18"/>
          <w:lang w:val="en-GB"/>
        </w:rPr>
        <w:t>, No. 1</w:t>
      </w:r>
      <w:r w:rsidR="001666A7">
        <w:rPr>
          <w:bCs/>
          <w:i/>
          <w:sz w:val="18"/>
          <w:szCs w:val="18"/>
          <w:lang w:val="en-GB"/>
        </w:rPr>
        <w:t>50</w:t>
      </w:r>
      <w:r>
        <w:rPr>
          <w:bCs/>
          <w:i/>
          <w:sz w:val="18"/>
          <w:szCs w:val="18"/>
          <w:lang w:val="en-GB"/>
        </w:rPr>
        <w:t>/20</w:t>
      </w:r>
      <w:r w:rsidR="001666A7">
        <w:rPr>
          <w:bCs/>
          <w:i/>
          <w:sz w:val="18"/>
          <w:szCs w:val="18"/>
          <w:lang w:val="en-GB"/>
        </w:rPr>
        <w:t>22</w:t>
      </w:r>
      <w:r>
        <w:rPr>
          <w:bCs/>
          <w:i/>
          <w:sz w:val="18"/>
          <w:szCs w:val="18"/>
          <w:lang w:val="en-GB"/>
        </w:rPr>
        <w:t xml:space="preserve"> Coll., distributed on </w:t>
      </w:r>
      <w:r w:rsidR="001666A7">
        <w:rPr>
          <w:bCs/>
          <w:i/>
          <w:sz w:val="18"/>
          <w:szCs w:val="18"/>
          <w:lang w:val="en-GB"/>
        </w:rPr>
        <w:t>3 </w:t>
      </w:r>
      <w:r>
        <w:rPr>
          <w:bCs/>
          <w:i/>
          <w:sz w:val="18"/>
          <w:szCs w:val="18"/>
          <w:lang w:val="en-GB"/>
        </w:rPr>
        <w:t>November 20</w:t>
      </w:r>
      <w:r w:rsidR="001666A7">
        <w:rPr>
          <w:bCs/>
          <w:i/>
          <w:sz w:val="18"/>
          <w:szCs w:val="18"/>
          <w:lang w:val="en-GB"/>
        </w:rPr>
        <w:t>22</w:t>
      </w:r>
      <w:r>
        <w:rPr>
          <w:bCs/>
          <w:i/>
          <w:sz w:val="18"/>
          <w:szCs w:val="18"/>
          <w:lang w:val="en-GB"/>
        </w:rPr>
        <w:t>, including Annexes 1 and 2.</w:t>
      </w:r>
    </w:p>
  </w:footnote>
  <w:footnote w:id="4">
    <w:p w:rsidR="00E92C39" w:rsidRDefault="005C2CD0" w:rsidP="003B5571">
      <w:pPr>
        <w:spacing w:before="120" w:after="0" w:line="240" w:lineRule="auto"/>
        <w:jc w:val="both"/>
        <w:rPr>
          <w:rStyle w:val="FootnoteCharacters"/>
        </w:rPr>
      </w:pPr>
      <w:r>
        <w:rPr>
          <w:rStyle w:val="FootnoteCharacters"/>
        </w:rPr>
        <w:footnoteRef/>
      </w:r>
      <w:r>
        <w:rPr>
          <w:rStyle w:val="FootnoteCharacters"/>
        </w:rPr>
        <w:t xml:space="preserve">) </w:t>
      </w:r>
      <w:r>
        <w:rPr>
          <w:bCs/>
          <w:i/>
          <w:sz w:val="18"/>
          <w:szCs w:val="18"/>
          <w:lang w:val="en-GB"/>
        </w:rPr>
        <w:t>Livestock unit (LSU) means a standard measurement unit that allows the aggregation of various categories of livestock in order to enable their comparison. 1 LSU represents 500 kg of live weight of an animal.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470BA3"/>
    <w:multiLevelType w:val="multilevel"/>
    <w:tmpl w:val="27149894"/>
    <w:lvl w:ilvl="0">
      <w:start w:val="1"/>
      <w:numFmt w:val="decimal"/>
      <w:pStyle w:val="Nadpis1"/>
      <w:lvlText w:val="%1"/>
      <w:lvlJc w:val="left"/>
      <w:pPr>
        <w:tabs>
          <w:tab w:val="num" w:pos="0"/>
        </w:tabs>
        <w:ind w:left="432" w:hanging="432"/>
      </w:pPr>
    </w:lvl>
    <w:lvl w:ilvl="1">
      <w:start w:val="1"/>
      <w:numFmt w:val="decimal"/>
      <w:pStyle w:val="Nadpis2"/>
      <w:lvlText w:val="%1.%2"/>
      <w:lvlJc w:val="left"/>
      <w:pPr>
        <w:tabs>
          <w:tab w:val="num" w:pos="0"/>
        </w:tabs>
        <w:ind w:left="576" w:hanging="576"/>
      </w:pPr>
    </w:lvl>
    <w:lvl w:ilvl="2">
      <w:start w:val="1"/>
      <w:numFmt w:val="decimal"/>
      <w:pStyle w:val="Nadpis3"/>
      <w:lvlText w:val="%1.%2.%3"/>
      <w:lvlJc w:val="left"/>
      <w:pPr>
        <w:tabs>
          <w:tab w:val="num" w:pos="0"/>
        </w:tabs>
        <w:ind w:left="720" w:hanging="720"/>
      </w:pPr>
    </w:lvl>
    <w:lvl w:ilvl="3">
      <w:start w:val="1"/>
      <w:numFmt w:val="decimal"/>
      <w:pStyle w:val="Nadpis4"/>
      <w:lvlText w:val="%1.%2.%3.%4"/>
      <w:lvlJc w:val="left"/>
      <w:pPr>
        <w:tabs>
          <w:tab w:val="num" w:pos="0"/>
        </w:tabs>
        <w:ind w:left="864" w:hanging="864"/>
      </w:pPr>
    </w:lvl>
    <w:lvl w:ilvl="4">
      <w:start w:val="1"/>
      <w:numFmt w:val="decimal"/>
      <w:pStyle w:val="Nadpis5"/>
      <w:lvlText w:val="%1.%2.%3.%4.%5"/>
      <w:lvlJc w:val="left"/>
      <w:pPr>
        <w:tabs>
          <w:tab w:val="num" w:pos="0"/>
        </w:tabs>
        <w:ind w:left="1008" w:hanging="1008"/>
      </w:pPr>
    </w:lvl>
    <w:lvl w:ilvl="5">
      <w:start w:val="1"/>
      <w:numFmt w:val="decimal"/>
      <w:pStyle w:val="Nadpis6"/>
      <w:lvlText w:val="%1.%2.%3.%4.%5.%6"/>
      <w:lvlJc w:val="left"/>
      <w:pPr>
        <w:tabs>
          <w:tab w:val="num" w:pos="0"/>
        </w:tabs>
        <w:ind w:left="1152" w:hanging="1152"/>
      </w:pPr>
    </w:lvl>
    <w:lvl w:ilvl="6">
      <w:start w:val="1"/>
      <w:numFmt w:val="decimal"/>
      <w:pStyle w:val="Nadpis7"/>
      <w:lvlText w:val="%1.%2.%3.%4.%5.%6.%7"/>
      <w:lvlJc w:val="left"/>
      <w:pPr>
        <w:tabs>
          <w:tab w:val="num" w:pos="0"/>
        </w:tabs>
        <w:ind w:left="1296" w:hanging="1296"/>
      </w:pPr>
    </w:lvl>
    <w:lvl w:ilvl="7">
      <w:start w:val="1"/>
      <w:numFmt w:val="decimal"/>
      <w:pStyle w:val="Nadpis8"/>
      <w:lvlText w:val="%1.%2.%3.%4.%5.%6.%7.%8"/>
      <w:lvlJc w:val="left"/>
      <w:pPr>
        <w:tabs>
          <w:tab w:val="num" w:pos="0"/>
        </w:tabs>
        <w:ind w:left="1440" w:hanging="1440"/>
      </w:pPr>
    </w:lvl>
    <w:lvl w:ilvl="8">
      <w:start w:val="1"/>
      <w:numFmt w:val="decimal"/>
      <w:pStyle w:val="Nadpis9"/>
      <w:lvlText w:val="%1.%2.%3.%4.%5.%6.%7.%8.%9"/>
      <w:lvlJc w:val="left"/>
      <w:pPr>
        <w:tabs>
          <w:tab w:val="num" w:pos="0"/>
        </w:tabs>
        <w:ind w:left="1584" w:hanging="1584"/>
      </w:pPr>
    </w:lvl>
  </w:abstractNum>
  <w:abstractNum w:abstractNumId="1" w15:restartNumberingAfterBreak="0">
    <w:nsid w:val="669B18B7"/>
    <w:multiLevelType w:val="multilevel"/>
    <w:tmpl w:val="A38E2B5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704D0622"/>
    <w:multiLevelType w:val="multilevel"/>
    <w:tmpl w:val="E6FA8E4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mirrorMargins/>
  <w:proofState w:spelling="clean" w:grammar="clean"/>
  <w:defaultTabStop w:val="708"/>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C39"/>
    <w:rsid w:val="001666A7"/>
    <w:rsid w:val="001F4116"/>
    <w:rsid w:val="00333A0B"/>
    <w:rsid w:val="00374EC0"/>
    <w:rsid w:val="003B5571"/>
    <w:rsid w:val="00591F4F"/>
    <w:rsid w:val="005C2CD0"/>
    <w:rsid w:val="00682C06"/>
    <w:rsid w:val="006B5FAB"/>
    <w:rsid w:val="00701A23"/>
    <w:rsid w:val="00794553"/>
    <w:rsid w:val="00A27910"/>
    <w:rsid w:val="00D25454"/>
    <w:rsid w:val="00E92C39"/>
    <w:rsid w:val="00E96134"/>
    <w:rsid w:val="00F77C6B"/>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3BE80"/>
  <w15:docId w15:val="{1D256B91-D7BA-4D09-88E4-8F0B74D8C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F42FF"/>
    <w:pPr>
      <w:spacing w:after="240" w:line="288" w:lineRule="auto"/>
    </w:pPr>
    <w:rPr>
      <w:rFonts w:ascii="Arial" w:eastAsia="Times New Roman" w:hAnsi="Arial"/>
      <w:szCs w:val="24"/>
      <w:lang w:eastAsia="cs-CZ"/>
    </w:rPr>
  </w:style>
  <w:style w:type="paragraph" w:styleId="Nadpis1">
    <w:name w:val="heading 1"/>
    <w:next w:val="Normln"/>
    <w:link w:val="Nadpis1Char"/>
    <w:uiPriority w:val="9"/>
    <w:qFormat/>
    <w:rsid w:val="00BE3108"/>
    <w:pPr>
      <w:keepNext/>
      <w:keepLines/>
      <w:numPr>
        <w:numId w:val="1"/>
      </w:numPr>
      <w:spacing w:after="100" w:line="288" w:lineRule="auto"/>
      <w:contextualSpacing/>
      <w:outlineLvl w:val="0"/>
    </w:pPr>
    <w:rPr>
      <w:rFonts w:ascii="Arial" w:eastAsia="MS Gothic" w:hAnsi="Arial"/>
      <w:b/>
      <w:bCs/>
      <w:sz w:val="32"/>
      <w:szCs w:val="28"/>
      <w:lang w:eastAsia="cs-CZ"/>
    </w:rPr>
  </w:style>
  <w:style w:type="paragraph" w:styleId="Nadpis2">
    <w:name w:val="heading 2"/>
    <w:next w:val="Normln"/>
    <w:link w:val="Nadpis2Char"/>
    <w:uiPriority w:val="9"/>
    <w:qFormat/>
    <w:rsid w:val="00BE3108"/>
    <w:pPr>
      <w:keepNext/>
      <w:keepLines/>
      <w:numPr>
        <w:ilvl w:val="1"/>
        <w:numId w:val="1"/>
      </w:numPr>
      <w:spacing w:line="288" w:lineRule="auto"/>
      <w:outlineLvl w:val="1"/>
    </w:pPr>
    <w:rPr>
      <w:rFonts w:ascii="Arial" w:eastAsia="MS Gothic" w:hAnsi="Arial"/>
      <w:b/>
      <w:bCs/>
      <w:sz w:val="28"/>
      <w:szCs w:val="26"/>
      <w:lang w:eastAsia="cs-CZ"/>
    </w:rPr>
  </w:style>
  <w:style w:type="paragraph" w:styleId="Nadpis3">
    <w:name w:val="heading 3"/>
    <w:next w:val="Normln"/>
    <w:link w:val="Nadpis3Char"/>
    <w:uiPriority w:val="9"/>
    <w:qFormat/>
    <w:rsid w:val="00BE3108"/>
    <w:pPr>
      <w:keepNext/>
      <w:keepLines/>
      <w:numPr>
        <w:ilvl w:val="2"/>
        <w:numId w:val="1"/>
      </w:numPr>
      <w:spacing w:line="288" w:lineRule="auto"/>
      <w:outlineLvl w:val="2"/>
    </w:pPr>
    <w:rPr>
      <w:rFonts w:ascii="Arial" w:eastAsia="MS Gothic" w:hAnsi="Arial"/>
      <w:b/>
      <w:bCs/>
      <w:sz w:val="24"/>
      <w:szCs w:val="24"/>
      <w:lang w:eastAsia="cs-CZ"/>
    </w:rPr>
  </w:style>
  <w:style w:type="paragraph" w:styleId="Nadpis4">
    <w:name w:val="heading 4"/>
    <w:next w:val="Normln"/>
    <w:link w:val="Nadpis4Char"/>
    <w:uiPriority w:val="9"/>
    <w:qFormat/>
    <w:rsid w:val="00BE3108"/>
    <w:pPr>
      <w:keepNext/>
      <w:keepLines/>
      <w:numPr>
        <w:ilvl w:val="3"/>
        <w:numId w:val="1"/>
      </w:numPr>
      <w:spacing w:line="288" w:lineRule="auto"/>
      <w:outlineLvl w:val="3"/>
    </w:pPr>
    <w:rPr>
      <w:rFonts w:ascii="Arial" w:eastAsia="MS Gothic" w:hAnsi="Arial"/>
      <w:b/>
      <w:bCs/>
      <w:iCs/>
      <w:szCs w:val="24"/>
      <w:lang w:eastAsia="cs-CZ"/>
    </w:rPr>
  </w:style>
  <w:style w:type="paragraph" w:styleId="Nadpis5">
    <w:name w:val="heading 5"/>
    <w:basedOn w:val="Normln"/>
    <w:next w:val="Normln"/>
    <w:link w:val="Nadpis5Char"/>
    <w:uiPriority w:val="9"/>
    <w:semiHidden/>
    <w:unhideWhenUsed/>
    <w:qFormat/>
    <w:rsid w:val="00A361D5"/>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A361D5"/>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A361D5"/>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A361D5"/>
    <w:pPr>
      <w:keepNext/>
      <w:keepLines/>
      <w:numPr>
        <w:ilvl w:val="7"/>
        <w:numId w:val="1"/>
      </w:numPr>
      <w:spacing w:before="200" w:after="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
    <w:semiHidden/>
    <w:unhideWhenUsed/>
    <w:qFormat/>
    <w:rsid w:val="00A30F65"/>
    <w:pPr>
      <w:numPr>
        <w:ilvl w:val="8"/>
        <w:numId w:val="1"/>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qFormat/>
    <w:rsid w:val="00BE3108"/>
    <w:rPr>
      <w:rFonts w:ascii="Arial" w:eastAsia="MS Gothic" w:hAnsi="Arial"/>
      <w:b/>
      <w:bCs/>
      <w:sz w:val="32"/>
      <w:szCs w:val="28"/>
      <w:lang w:eastAsia="cs-CZ"/>
    </w:rPr>
  </w:style>
  <w:style w:type="character" w:customStyle="1" w:styleId="Nadpis2Char">
    <w:name w:val="Nadpis 2 Char"/>
    <w:link w:val="Nadpis2"/>
    <w:uiPriority w:val="9"/>
    <w:qFormat/>
    <w:rsid w:val="00BE3108"/>
    <w:rPr>
      <w:rFonts w:ascii="Arial" w:eastAsia="MS Gothic" w:hAnsi="Arial"/>
      <w:b/>
      <w:bCs/>
      <w:sz w:val="28"/>
      <w:szCs w:val="26"/>
      <w:lang w:eastAsia="cs-CZ"/>
    </w:rPr>
  </w:style>
  <w:style w:type="character" w:customStyle="1" w:styleId="Nadpis3Char">
    <w:name w:val="Nadpis 3 Char"/>
    <w:link w:val="Nadpis3"/>
    <w:uiPriority w:val="9"/>
    <w:qFormat/>
    <w:rsid w:val="00BE3108"/>
    <w:rPr>
      <w:rFonts w:ascii="Arial" w:eastAsia="MS Gothic" w:hAnsi="Arial"/>
      <w:b/>
      <w:bCs/>
      <w:sz w:val="24"/>
      <w:szCs w:val="24"/>
      <w:lang w:eastAsia="cs-CZ"/>
    </w:rPr>
  </w:style>
  <w:style w:type="character" w:customStyle="1" w:styleId="Nadpis4Char">
    <w:name w:val="Nadpis 4 Char"/>
    <w:link w:val="Nadpis4"/>
    <w:uiPriority w:val="9"/>
    <w:qFormat/>
    <w:rsid w:val="00BE3108"/>
    <w:rPr>
      <w:rFonts w:ascii="Arial" w:eastAsia="MS Gothic" w:hAnsi="Arial"/>
      <w:b/>
      <w:bCs/>
      <w:iCs/>
      <w:szCs w:val="24"/>
      <w:lang w:eastAsia="cs-CZ"/>
    </w:rPr>
  </w:style>
  <w:style w:type="character" w:customStyle="1" w:styleId="Nadpis9Char">
    <w:name w:val="Nadpis 9 Char"/>
    <w:link w:val="Nadpis9"/>
    <w:uiPriority w:val="9"/>
    <w:semiHidden/>
    <w:qFormat/>
    <w:rsid w:val="00A30F65"/>
    <w:rPr>
      <w:rFonts w:ascii="Cambria" w:eastAsia="Times New Roman" w:hAnsi="Cambria"/>
      <w:sz w:val="22"/>
      <w:szCs w:val="22"/>
      <w:lang w:eastAsia="cs-CZ"/>
    </w:rPr>
  </w:style>
  <w:style w:type="character" w:styleId="Hypertextovodkaz">
    <w:name w:val="Hyperlink"/>
    <w:uiPriority w:val="99"/>
    <w:rsid w:val="00E71A58"/>
    <w:rPr>
      <w:color w:val="0000FF"/>
      <w:u w:val="single"/>
    </w:rPr>
  </w:style>
  <w:style w:type="character" w:customStyle="1" w:styleId="ZhlavChar">
    <w:name w:val="Záhlaví Char"/>
    <w:link w:val="Zhlav"/>
    <w:uiPriority w:val="99"/>
    <w:qFormat/>
    <w:rsid w:val="00A418BC"/>
    <w:rPr>
      <w:rFonts w:ascii="Arial" w:hAnsi="Arial"/>
      <w:sz w:val="16"/>
      <w:szCs w:val="22"/>
      <w:lang w:eastAsia="en-US"/>
    </w:rPr>
  </w:style>
  <w:style w:type="character" w:customStyle="1" w:styleId="ZpatChar">
    <w:name w:val="Zápatí Char"/>
    <w:link w:val="Zpat"/>
    <w:uiPriority w:val="99"/>
    <w:qFormat/>
    <w:rsid w:val="00031AE0"/>
    <w:rPr>
      <w:rFonts w:ascii="Arial" w:hAnsi="Arial" w:cs="Arial"/>
      <w:sz w:val="16"/>
      <w:lang w:eastAsia="en-US"/>
    </w:rPr>
  </w:style>
  <w:style w:type="character" w:customStyle="1" w:styleId="TextbublinyChar">
    <w:name w:val="Text bubliny Char"/>
    <w:link w:val="Textbubliny"/>
    <w:uiPriority w:val="99"/>
    <w:semiHidden/>
    <w:qFormat/>
    <w:rsid w:val="00E71A58"/>
    <w:rPr>
      <w:rFonts w:ascii="Tahoma" w:hAnsi="Tahoma" w:cs="Tahoma"/>
      <w:sz w:val="16"/>
      <w:szCs w:val="16"/>
    </w:rPr>
  </w:style>
  <w:style w:type="character" w:customStyle="1" w:styleId="ZkladnodstavecChar">
    <w:name w:val="[Základní odstavec] Char"/>
    <w:link w:val="Zkladnodstavec"/>
    <w:uiPriority w:val="99"/>
    <w:qFormat/>
    <w:rsid w:val="0008263E"/>
    <w:rPr>
      <w:rFonts w:ascii="Arial" w:hAnsi="Arial" w:cs="Minion Pro"/>
      <w:color w:val="000000"/>
      <w:szCs w:val="24"/>
    </w:rPr>
  </w:style>
  <w:style w:type="character" w:styleId="Siln">
    <w:name w:val="Strong"/>
    <w:qFormat/>
    <w:rsid w:val="00EC03D7"/>
    <w:rPr>
      <w:rFonts w:ascii="Arial" w:hAnsi="Arial"/>
      <w:b/>
      <w:bCs/>
      <w:sz w:val="20"/>
    </w:rPr>
  </w:style>
  <w:style w:type="character" w:customStyle="1" w:styleId="NzevChar">
    <w:name w:val="Název Char"/>
    <w:link w:val="Nzev"/>
    <w:uiPriority w:val="10"/>
    <w:qFormat/>
    <w:rsid w:val="000E6FBD"/>
    <w:rPr>
      <w:rFonts w:ascii="Arial" w:eastAsia="Times New Roman" w:hAnsi="Arial"/>
      <w:b/>
      <w:bCs/>
      <w:caps/>
      <w:kern w:val="2"/>
      <w:sz w:val="56"/>
      <w:szCs w:val="32"/>
    </w:rPr>
  </w:style>
  <w:style w:type="character" w:customStyle="1" w:styleId="PodnadpisChar">
    <w:name w:val="Podnadpis Char"/>
    <w:link w:val="Podnadpis"/>
    <w:uiPriority w:val="11"/>
    <w:qFormat/>
    <w:rsid w:val="0012192F"/>
    <w:rPr>
      <w:rFonts w:ascii="Arial" w:eastAsia="Times New Roman" w:hAnsi="Arial" w:cs="Arial"/>
      <w:b/>
      <w:sz w:val="28"/>
      <w:szCs w:val="24"/>
    </w:rPr>
  </w:style>
  <w:style w:type="character" w:customStyle="1" w:styleId="ZkladntextChar">
    <w:name w:val="Základní text Char"/>
    <w:basedOn w:val="Standardnpsmoodstavce"/>
    <w:link w:val="Zkladntext"/>
    <w:semiHidden/>
    <w:qFormat/>
    <w:rsid w:val="00C07BC3"/>
    <w:rPr>
      <w:rFonts w:ascii="Arial" w:eastAsia="Times New Roman" w:hAnsi="Arial" w:cs="Arial"/>
      <w:bCs/>
      <w:iCs/>
      <w:lang w:eastAsia="cs-CZ"/>
    </w:rPr>
  </w:style>
  <w:style w:type="character" w:customStyle="1" w:styleId="ZkladntextodsazenChar">
    <w:name w:val="Základní text odsazený Char"/>
    <w:basedOn w:val="Standardnpsmoodstavce"/>
    <w:link w:val="Zkladntextodsazen"/>
    <w:semiHidden/>
    <w:qFormat/>
    <w:rsid w:val="00C07BC3"/>
    <w:rPr>
      <w:rFonts w:ascii="Arial" w:eastAsia="Times New Roman" w:hAnsi="Arial" w:cs="Arial"/>
      <w:bCs/>
      <w:sz w:val="22"/>
      <w:szCs w:val="18"/>
      <w:lang w:eastAsia="cs-CZ"/>
    </w:rPr>
  </w:style>
  <w:style w:type="character" w:customStyle="1" w:styleId="TextpoznpodarouChar">
    <w:name w:val="Text pozn. pod čarou Char"/>
    <w:basedOn w:val="Standardnpsmoodstavce"/>
    <w:link w:val="Textpoznpodarou"/>
    <w:semiHidden/>
    <w:qFormat/>
    <w:rsid w:val="003C2208"/>
    <w:rPr>
      <w:rFonts w:ascii="Times New Roman" w:eastAsia="Times New Roman" w:hAnsi="Times New Roman"/>
      <w:bCs/>
      <w:iCs/>
      <w:lang w:eastAsia="cs-CZ"/>
    </w:rPr>
  </w:style>
  <w:style w:type="character" w:customStyle="1" w:styleId="FootnoteCharacters">
    <w:name w:val="Footnote Characters"/>
    <w:basedOn w:val="Standardnpsmoodstavce"/>
    <w:semiHidden/>
    <w:qFormat/>
    <w:rsid w:val="003C2208"/>
    <w:rPr>
      <w:vertAlign w:val="superscript"/>
    </w:rPr>
  </w:style>
  <w:style w:type="character" w:customStyle="1" w:styleId="FootnoteAnchor">
    <w:name w:val="Footnote Anchor"/>
    <w:rPr>
      <w:vertAlign w:val="superscript"/>
    </w:rPr>
  </w:style>
  <w:style w:type="character" w:customStyle="1" w:styleId="nezalamovatgen">
    <w:name w:val="nezalamovatgen"/>
    <w:basedOn w:val="Standardnpsmoodstavce"/>
    <w:qFormat/>
    <w:rsid w:val="00AD2963"/>
  </w:style>
  <w:style w:type="character" w:customStyle="1" w:styleId="Zkladntextodsazen3Char">
    <w:name w:val="Základní text odsazený 3 Char"/>
    <w:basedOn w:val="Standardnpsmoodstavce"/>
    <w:link w:val="Zkladntextodsazen3"/>
    <w:uiPriority w:val="99"/>
    <w:semiHidden/>
    <w:qFormat/>
    <w:rsid w:val="003461F0"/>
    <w:rPr>
      <w:rFonts w:ascii="Arial" w:eastAsia="Times New Roman" w:hAnsi="Arial"/>
      <w:sz w:val="16"/>
      <w:szCs w:val="16"/>
      <w:lang w:eastAsia="cs-CZ"/>
    </w:rPr>
  </w:style>
  <w:style w:type="character" w:customStyle="1" w:styleId="Zkladntext3Char">
    <w:name w:val="Základní text 3 Char"/>
    <w:basedOn w:val="Standardnpsmoodstavce"/>
    <w:link w:val="Zkladntext3"/>
    <w:uiPriority w:val="99"/>
    <w:semiHidden/>
    <w:qFormat/>
    <w:rsid w:val="003461F0"/>
    <w:rPr>
      <w:rFonts w:ascii="Arial" w:eastAsia="Times New Roman" w:hAnsi="Arial"/>
      <w:sz w:val="16"/>
      <w:szCs w:val="16"/>
      <w:lang w:eastAsia="cs-CZ"/>
    </w:rPr>
  </w:style>
  <w:style w:type="character" w:customStyle="1" w:styleId="hps">
    <w:name w:val="hps"/>
    <w:basedOn w:val="Standardnpsmoodstavce"/>
    <w:qFormat/>
    <w:rsid w:val="001E183D"/>
  </w:style>
  <w:style w:type="character" w:customStyle="1" w:styleId="Nadpis5Char">
    <w:name w:val="Nadpis 5 Char"/>
    <w:basedOn w:val="Standardnpsmoodstavce"/>
    <w:link w:val="Nadpis5"/>
    <w:uiPriority w:val="9"/>
    <w:semiHidden/>
    <w:qFormat/>
    <w:rsid w:val="00A361D5"/>
    <w:rPr>
      <w:rFonts w:asciiTheme="majorHAnsi" w:eastAsiaTheme="majorEastAsia" w:hAnsiTheme="majorHAnsi" w:cstheme="majorBidi"/>
      <w:color w:val="243F60" w:themeColor="accent1" w:themeShade="7F"/>
      <w:szCs w:val="24"/>
      <w:lang w:eastAsia="cs-CZ"/>
    </w:rPr>
  </w:style>
  <w:style w:type="character" w:customStyle="1" w:styleId="Nadpis6Char">
    <w:name w:val="Nadpis 6 Char"/>
    <w:basedOn w:val="Standardnpsmoodstavce"/>
    <w:link w:val="Nadpis6"/>
    <w:uiPriority w:val="9"/>
    <w:semiHidden/>
    <w:qFormat/>
    <w:rsid w:val="00A361D5"/>
    <w:rPr>
      <w:rFonts w:asciiTheme="majorHAnsi" w:eastAsiaTheme="majorEastAsia" w:hAnsiTheme="majorHAnsi" w:cstheme="majorBidi"/>
      <w:i/>
      <w:iCs/>
      <w:color w:val="243F60" w:themeColor="accent1" w:themeShade="7F"/>
      <w:szCs w:val="24"/>
      <w:lang w:eastAsia="cs-CZ"/>
    </w:rPr>
  </w:style>
  <w:style w:type="character" w:customStyle="1" w:styleId="Nadpis7Char">
    <w:name w:val="Nadpis 7 Char"/>
    <w:basedOn w:val="Standardnpsmoodstavce"/>
    <w:link w:val="Nadpis7"/>
    <w:uiPriority w:val="9"/>
    <w:semiHidden/>
    <w:qFormat/>
    <w:rsid w:val="00A361D5"/>
    <w:rPr>
      <w:rFonts w:asciiTheme="majorHAnsi" w:eastAsiaTheme="majorEastAsia" w:hAnsiTheme="majorHAnsi" w:cstheme="majorBidi"/>
      <w:i/>
      <w:iCs/>
      <w:color w:val="404040" w:themeColor="text1" w:themeTint="BF"/>
      <w:szCs w:val="24"/>
      <w:lang w:eastAsia="cs-CZ"/>
    </w:rPr>
  </w:style>
  <w:style w:type="character" w:customStyle="1" w:styleId="Nadpis8Char">
    <w:name w:val="Nadpis 8 Char"/>
    <w:basedOn w:val="Standardnpsmoodstavce"/>
    <w:link w:val="Nadpis8"/>
    <w:uiPriority w:val="9"/>
    <w:semiHidden/>
    <w:qFormat/>
    <w:rsid w:val="00A361D5"/>
    <w:rPr>
      <w:rFonts w:asciiTheme="majorHAnsi" w:eastAsiaTheme="majorEastAsia" w:hAnsiTheme="majorHAnsi" w:cstheme="majorBidi"/>
      <w:color w:val="404040" w:themeColor="text1" w:themeTint="BF"/>
      <w:lang w:eastAsia="cs-CZ"/>
    </w:rPr>
  </w:style>
  <w:style w:type="character" w:customStyle="1" w:styleId="TextvysvtlivekChar">
    <w:name w:val="Text vysvětlivek Char"/>
    <w:basedOn w:val="Standardnpsmoodstavce"/>
    <w:link w:val="Textvysvtlivek"/>
    <w:uiPriority w:val="99"/>
    <w:semiHidden/>
    <w:qFormat/>
    <w:rsid w:val="005E263E"/>
    <w:rPr>
      <w:rFonts w:ascii="Arial" w:eastAsia="Times New Roman" w:hAnsi="Arial"/>
      <w:lang w:eastAsia="cs-CZ"/>
    </w:rPr>
  </w:style>
  <w:style w:type="character" w:customStyle="1" w:styleId="EndnoteCharacters">
    <w:name w:val="Endnote Characters"/>
    <w:basedOn w:val="Standardnpsmoodstavce"/>
    <w:uiPriority w:val="99"/>
    <w:semiHidden/>
    <w:unhideWhenUsed/>
    <w:qFormat/>
    <w:rsid w:val="005E263E"/>
    <w:rPr>
      <w:vertAlign w:val="superscript"/>
    </w:rPr>
  </w:style>
  <w:style w:type="character" w:customStyle="1" w:styleId="EndnoteAnchor">
    <w:name w:val="Endnote Anchor"/>
    <w:rPr>
      <w:vertAlign w:val="superscript"/>
    </w:rPr>
  </w:style>
  <w:style w:type="character" w:customStyle="1" w:styleId="TextkomenteChar">
    <w:name w:val="Text komentáře Char"/>
    <w:basedOn w:val="Standardnpsmoodstavce"/>
    <w:link w:val="Textkomente"/>
    <w:uiPriority w:val="99"/>
    <w:semiHidden/>
    <w:qFormat/>
    <w:rPr>
      <w:rFonts w:ascii="Arial" w:eastAsia="Times New Roman" w:hAnsi="Arial"/>
      <w:lang w:eastAsia="cs-CZ"/>
    </w:rPr>
  </w:style>
  <w:style w:type="character" w:styleId="Odkaznakoment">
    <w:name w:val="annotation reference"/>
    <w:basedOn w:val="Standardnpsmoodstavce"/>
    <w:uiPriority w:val="99"/>
    <w:semiHidden/>
    <w:unhideWhenUsed/>
    <w:qFormat/>
    <w:rPr>
      <w:sz w:val="16"/>
      <w:szCs w:val="16"/>
    </w:rPr>
  </w:style>
  <w:style w:type="character" w:customStyle="1" w:styleId="LineNumbering">
    <w:name w:val="Line Numbering"/>
  </w:style>
  <w:style w:type="paragraph" w:customStyle="1" w:styleId="Heading">
    <w:name w:val="Heading"/>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semiHidden/>
    <w:rsid w:val="00C07BC3"/>
    <w:pPr>
      <w:spacing w:after="0" w:line="240" w:lineRule="auto"/>
    </w:pPr>
    <w:rPr>
      <w:rFonts w:cs="Arial"/>
      <w:bCs/>
      <w:iCs/>
      <w:szCs w:val="20"/>
    </w:rPr>
  </w:style>
  <w:style w:type="paragraph" w:styleId="Seznam">
    <w:name w:val="List"/>
    <w:basedOn w:val="Normln"/>
    <w:uiPriority w:val="99"/>
    <w:unhideWhenUsed/>
    <w:qFormat/>
    <w:rsid w:val="00481E40"/>
    <w:pPr>
      <w:contextualSpacing/>
    </w:pPr>
  </w:style>
  <w:style w:type="paragraph" w:styleId="Titulek">
    <w:name w:val="caption"/>
    <w:basedOn w:val="Normln"/>
    <w:qFormat/>
    <w:pPr>
      <w:suppressLineNumbers/>
      <w:spacing w:before="120" w:after="120"/>
    </w:pPr>
    <w:rPr>
      <w:rFonts w:cs="Lucida Sans"/>
      <w:i/>
      <w:iCs/>
      <w:sz w:val="24"/>
    </w:rPr>
  </w:style>
  <w:style w:type="paragraph" w:customStyle="1" w:styleId="Index">
    <w:name w:val="Index"/>
    <w:basedOn w:val="Normln"/>
    <w:qFormat/>
    <w:pPr>
      <w:suppressLineNumbers/>
    </w:pPr>
    <w:rPr>
      <w:rFonts w:cs="Lucida Sans"/>
    </w:rPr>
  </w:style>
  <w:style w:type="paragraph" w:customStyle="1" w:styleId="HeaderandFooter">
    <w:name w:val="Header and Footer"/>
    <w:basedOn w:val="Normln"/>
    <w:qFormat/>
  </w:style>
  <w:style w:type="paragraph" w:styleId="Zhlav">
    <w:name w:val="header"/>
    <w:link w:val="ZhlavChar"/>
    <w:uiPriority w:val="99"/>
    <w:unhideWhenUsed/>
    <w:qFormat/>
    <w:rsid w:val="00A418BC"/>
    <w:pPr>
      <w:spacing w:line="288" w:lineRule="auto"/>
    </w:pPr>
    <w:rPr>
      <w:rFonts w:ascii="Arial" w:hAnsi="Arial"/>
      <w:sz w:val="16"/>
      <w:szCs w:val="22"/>
    </w:rPr>
  </w:style>
  <w:style w:type="paragraph" w:styleId="Zpat">
    <w:name w:val="footer"/>
    <w:link w:val="ZpatChar"/>
    <w:uiPriority w:val="99"/>
    <w:unhideWhenUsed/>
    <w:qFormat/>
    <w:rsid w:val="00031AE0"/>
    <w:pPr>
      <w:tabs>
        <w:tab w:val="center" w:pos="4820"/>
        <w:tab w:val="right" w:pos="9639"/>
      </w:tabs>
    </w:pPr>
    <w:rPr>
      <w:rFonts w:ascii="Arial" w:hAnsi="Arial" w:cs="Arial"/>
      <w:sz w:val="16"/>
    </w:rPr>
  </w:style>
  <w:style w:type="paragraph" w:styleId="Textbubliny">
    <w:name w:val="Balloon Text"/>
    <w:basedOn w:val="Normln"/>
    <w:link w:val="TextbublinyChar"/>
    <w:uiPriority w:val="99"/>
    <w:semiHidden/>
    <w:unhideWhenUsed/>
    <w:qFormat/>
    <w:rsid w:val="00E71A58"/>
    <w:rPr>
      <w:rFonts w:ascii="Tahoma" w:eastAsia="Calibri" w:hAnsi="Tahoma"/>
      <w:sz w:val="16"/>
      <w:szCs w:val="16"/>
    </w:rPr>
  </w:style>
  <w:style w:type="paragraph" w:customStyle="1" w:styleId="Zkladnodstavec">
    <w:name w:val="[Základní odstavec]"/>
    <w:link w:val="ZkladnodstavecChar"/>
    <w:uiPriority w:val="99"/>
    <w:qFormat/>
    <w:rsid w:val="0008263E"/>
    <w:pPr>
      <w:spacing w:line="276" w:lineRule="auto"/>
      <w:textAlignment w:val="center"/>
    </w:pPr>
    <w:rPr>
      <w:rFonts w:ascii="Arial" w:hAnsi="Arial" w:cs="Minion Pro"/>
      <w:color w:val="000000"/>
      <w:szCs w:val="24"/>
      <w:lang w:eastAsia="cs-CZ"/>
    </w:rPr>
  </w:style>
  <w:style w:type="paragraph" w:styleId="Obsah1">
    <w:name w:val="toc 1"/>
    <w:basedOn w:val="Obsahpoloky"/>
    <w:next w:val="Obsahpoloky"/>
    <w:autoRedefine/>
    <w:uiPriority w:val="39"/>
    <w:unhideWhenUsed/>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2E57D3"/>
    <w:pPr>
      <w:spacing w:after="80" w:line="288" w:lineRule="auto"/>
    </w:pPr>
    <w:rPr>
      <w:rFonts w:ascii="Arial" w:eastAsia="Times New Roman" w:hAnsi="Arial"/>
      <w:b/>
      <w:color w:val="747678"/>
      <w:sz w:val="32"/>
      <w:szCs w:val="24"/>
      <w:lang w:eastAsia="cs-CZ"/>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Box1">
    <w:name w:val="Box 1"/>
    <w:next w:val="Normln"/>
    <w:qFormat/>
    <w:rsid w:val="00BE3108"/>
    <w:pPr>
      <w:shd w:val="clear" w:color="auto" w:fill="E3E3E3"/>
      <w:spacing w:before="240" w:after="240" w:line="288" w:lineRule="auto"/>
      <w:ind w:left="709"/>
      <w:contextualSpacing/>
    </w:pPr>
    <w:rPr>
      <w:rFonts w:ascii="Arial" w:hAnsi="Arial" w:cs="Arial"/>
      <w:lang w:eastAsia="cs-CZ"/>
    </w:rPr>
  </w:style>
  <w:style w:type="paragraph" w:customStyle="1" w:styleId="Box2">
    <w:name w:val="Box 2"/>
    <w:qFormat/>
    <w:rsid w:val="00F0585C"/>
    <w:pPr>
      <w:spacing w:before="240" w:after="240" w:line="288" w:lineRule="auto"/>
      <w:ind w:left="709"/>
      <w:contextualSpacing/>
    </w:pPr>
    <w:rPr>
      <w:rFonts w:ascii="Arial" w:hAnsi="Arial" w:cs="Arial"/>
      <w:lang w:eastAsia="cs-CZ"/>
    </w:rPr>
  </w:style>
  <w:style w:type="paragraph" w:customStyle="1" w:styleId="TLKontaktyerven">
    <w:name w:val="TL Kontakty červené"/>
    <w:basedOn w:val="Normln"/>
    <w:qFormat/>
    <w:rsid w:val="002E57D3"/>
    <w:pPr>
      <w:spacing w:after="40"/>
      <w:contextualSpacing/>
    </w:pPr>
    <w:rPr>
      <w:b/>
      <w:caps/>
      <w:color w:val="747678"/>
      <w:sz w:val="24"/>
    </w:rPr>
  </w:style>
  <w:style w:type="paragraph" w:customStyle="1" w:styleId="TLKontakty">
    <w:name w:val="TL Kontakty"/>
    <w:qFormat/>
    <w:rsid w:val="002E57D3"/>
    <w:pPr>
      <w:spacing w:after="160" w:line="259" w:lineRule="auto"/>
      <w:contextualSpacing/>
    </w:pPr>
    <w:rPr>
      <w:rFonts w:ascii="Arial" w:eastAsia="Times New Roman" w:hAnsi="Arial"/>
      <w:b/>
      <w:lang w:eastAsia="cs-CZ"/>
    </w:rPr>
  </w:style>
  <w:style w:type="paragraph" w:styleId="Nzev">
    <w:name w:val="Title"/>
    <w:link w:val="NzevChar"/>
    <w:uiPriority w:val="10"/>
    <w:qFormat/>
    <w:rsid w:val="000E6FBD"/>
    <w:pPr>
      <w:spacing w:line="288" w:lineRule="auto"/>
    </w:pPr>
    <w:rPr>
      <w:rFonts w:ascii="Arial" w:eastAsia="Times New Roman" w:hAnsi="Arial"/>
      <w:b/>
      <w:bCs/>
      <w:caps/>
      <w:kern w:val="2"/>
      <w:sz w:val="56"/>
      <w:szCs w:val="32"/>
      <w:lang w:eastAsia="cs-CZ"/>
    </w:rPr>
  </w:style>
  <w:style w:type="paragraph" w:styleId="Podnadpis">
    <w:name w:val="Subtitle"/>
    <w:link w:val="PodnadpisChar"/>
    <w:uiPriority w:val="11"/>
    <w:qFormat/>
    <w:rsid w:val="0012192F"/>
    <w:pPr>
      <w:spacing w:line="288" w:lineRule="auto"/>
    </w:pPr>
    <w:rPr>
      <w:rFonts w:ascii="Arial" w:eastAsia="Times New Roman" w:hAnsi="Arial" w:cs="Arial"/>
      <w:b/>
      <w:sz w:val="28"/>
      <w:szCs w:val="24"/>
      <w:lang w:eastAsia="cs-CZ"/>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paragraph" w:styleId="Zkladntextodsazen">
    <w:name w:val="Body Text Indent"/>
    <w:basedOn w:val="Normln"/>
    <w:link w:val="ZkladntextodsazenChar"/>
    <w:semiHidden/>
    <w:rsid w:val="00C07BC3"/>
    <w:pPr>
      <w:spacing w:after="0" w:line="360" w:lineRule="auto"/>
      <w:ind w:firstLine="709"/>
      <w:jc w:val="both"/>
    </w:pPr>
    <w:rPr>
      <w:rFonts w:cs="Arial"/>
      <w:bCs/>
      <w:sz w:val="22"/>
      <w:szCs w:val="18"/>
    </w:rPr>
  </w:style>
  <w:style w:type="paragraph" w:styleId="Odstavecseseznamem">
    <w:name w:val="List Paragraph"/>
    <w:basedOn w:val="Normln"/>
    <w:uiPriority w:val="34"/>
    <w:qFormat/>
    <w:rsid w:val="00C07BC3"/>
    <w:pPr>
      <w:ind w:left="720"/>
      <w:contextualSpacing/>
    </w:pPr>
  </w:style>
  <w:style w:type="paragraph" w:styleId="Textpoznpodarou">
    <w:name w:val="footnote text"/>
    <w:basedOn w:val="Normln"/>
    <w:link w:val="TextpoznpodarouChar"/>
    <w:semiHidden/>
    <w:rsid w:val="003C2208"/>
    <w:pPr>
      <w:spacing w:after="0" w:line="240" w:lineRule="auto"/>
    </w:pPr>
    <w:rPr>
      <w:rFonts w:ascii="Times New Roman" w:hAnsi="Times New Roman"/>
      <w:bCs/>
      <w:iCs/>
      <w:szCs w:val="20"/>
    </w:rPr>
  </w:style>
  <w:style w:type="paragraph" w:styleId="Normlnweb">
    <w:name w:val="Normal (Web)"/>
    <w:basedOn w:val="Normln"/>
    <w:semiHidden/>
    <w:qFormat/>
    <w:rsid w:val="00AD2963"/>
    <w:pPr>
      <w:spacing w:beforeAutospacing="1" w:afterAutospacing="1" w:line="240" w:lineRule="auto"/>
    </w:pPr>
    <w:rPr>
      <w:rFonts w:ascii="Arial Unicode MS" w:eastAsia="Arial Unicode MS" w:hAnsi="Arial Unicode MS" w:cs="Arial Unicode MS"/>
      <w:color w:val="000000"/>
      <w:sz w:val="24"/>
    </w:rPr>
  </w:style>
  <w:style w:type="paragraph" w:styleId="Zkladntextodsazen3">
    <w:name w:val="Body Text Indent 3"/>
    <w:basedOn w:val="Normln"/>
    <w:link w:val="Zkladntextodsazen3Char"/>
    <w:uiPriority w:val="99"/>
    <w:semiHidden/>
    <w:unhideWhenUsed/>
    <w:qFormat/>
    <w:rsid w:val="003461F0"/>
    <w:pPr>
      <w:spacing w:after="120"/>
      <w:ind w:left="283"/>
    </w:pPr>
    <w:rPr>
      <w:sz w:val="16"/>
      <w:szCs w:val="16"/>
    </w:rPr>
  </w:style>
  <w:style w:type="paragraph" w:styleId="Zkladntext3">
    <w:name w:val="Body Text 3"/>
    <w:basedOn w:val="Normln"/>
    <w:link w:val="Zkladntext3Char"/>
    <w:uiPriority w:val="99"/>
    <w:semiHidden/>
    <w:unhideWhenUsed/>
    <w:qFormat/>
    <w:rsid w:val="003461F0"/>
    <w:pPr>
      <w:spacing w:after="120"/>
    </w:pPr>
    <w:rPr>
      <w:sz w:val="16"/>
      <w:szCs w:val="16"/>
    </w:rPr>
  </w:style>
  <w:style w:type="paragraph" w:customStyle="1" w:styleId="Default">
    <w:name w:val="Default"/>
    <w:qFormat/>
    <w:rsid w:val="00D068B5"/>
    <w:rPr>
      <w:rFonts w:ascii="EUAlbertina" w:hAnsi="EUAlbertina" w:cs="EUAlbertina"/>
      <w:color w:val="000000"/>
      <w:sz w:val="24"/>
      <w:szCs w:val="24"/>
    </w:rPr>
  </w:style>
  <w:style w:type="paragraph" w:styleId="Textvysvtlivek">
    <w:name w:val="endnote text"/>
    <w:basedOn w:val="Normln"/>
    <w:link w:val="TextvysvtlivekChar"/>
    <w:uiPriority w:val="99"/>
    <w:semiHidden/>
    <w:unhideWhenUsed/>
    <w:rsid w:val="005E263E"/>
    <w:pPr>
      <w:spacing w:after="0" w:line="240" w:lineRule="auto"/>
    </w:pPr>
    <w:rPr>
      <w:szCs w:val="20"/>
    </w:rPr>
  </w:style>
  <w:style w:type="paragraph" w:styleId="Textkomente">
    <w:name w:val="annotation text"/>
    <w:basedOn w:val="Normln"/>
    <w:link w:val="TextkomenteChar"/>
    <w:uiPriority w:val="99"/>
    <w:semiHidden/>
    <w:unhideWhenUsed/>
    <w:qFormat/>
    <w:pPr>
      <w:spacing w:line="240" w:lineRule="auto"/>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1AC7C-57EB-4E14-AF8C-89EF924C8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881</Words>
  <Characters>5198</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CSU</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cermakova138</dc:creator>
  <dc:description/>
  <cp:lastModifiedBy>Mácová Marcela</cp:lastModifiedBy>
  <cp:revision>10</cp:revision>
  <cp:lastPrinted>2021-07-26T11:01:00Z</cp:lastPrinted>
  <dcterms:created xsi:type="dcterms:W3CDTF">2024-01-03T07:22:00Z</dcterms:created>
  <dcterms:modified xsi:type="dcterms:W3CDTF">2024-09-18T13:11:00Z</dcterms:modified>
  <dc:language>cs-CZ</dc:language>
</cp:coreProperties>
</file>