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262CD7" w:rsidP="00B112AC">
      <w:pPr>
        <w:pStyle w:val="Nadpis1"/>
        <w:spacing w:after="120"/>
        <w:rPr>
          <w:b w:val="0"/>
        </w:rPr>
      </w:pPr>
      <w:r>
        <w:rPr>
          <w:sz w:val="30"/>
          <w:szCs w:val="30"/>
        </w:rPr>
        <w:t>3</w:t>
      </w:r>
      <w:r w:rsidR="006D0540">
        <w:rPr>
          <w:sz w:val="30"/>
          <w:szCs w:val="30"/>
        </w:rPr>
        <w:t xml:space="preserve">.  </w:t>
      </w:r>
      <w:r w:rsidR="00B112AC" w:rsidRPr="00B112AC">
        <w:rPr>
          <w:sz w:val="30"/>
          <w:szCs w:val="30"/>
        </w:rPr>
        <w:t>Webové stránky a jejich využití</w:t>
      </w:r>
    </w:p>
    <w:p w:rsidR="002C05D3" w:rsidRDefault="00E06380" w:rsidP="0093217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ED5BCB">
        <w:rPr>
          <w:rFonts w:ascii="Arial" w:hAnsi="Arial" w:cs="Arial"/>
          <w:b/>
          <w:bCs/>
          <w:sz w:val="20"/>
          <w:szCs w:val="20"/>
          <w:lang w:eastAsia="cs-CZ"/>
        </w:rPr>
        <w:t>Webové stránky</w:t>
      </w:r>
      <w:r w:rsidR="00A34E5A" w:rsidRPr="00ED5BCB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="00ED5BCB">
        <w:rPr>
          <w:rFonts w:ascii="Arial" w:hAnsi="Arial" w:cs="Arial"/>
          <w:b/>
          <w:bCs/>
          <w:sz w:val="20"/>
          <w:szCs w:val="20"/>
          <w:lang w:eastAsia="cs-CZ"/>
        </w:rPr>
        <w:t xml:space="preserve">– </w:t>
      </w:r>
      <w:r w:rsidR="00ED5BCB" w:rsidRPr="00ED5BCB">
        <w:rPr>
          <w:rFonts w:ascii="Arial" w:hAnsi="Arial" w:cs="Arial"/>
          <w:bCs/>
          <w:sz w:val="20"/>
          <w:szCs w:val="20"/>
          <w:lang w:eastAsia="cs-CZ"/>
        </w:rPr>
        <w:t>z</w:t>
      </w:r>
      <w:r w:rsidR="00A34E5A" w:rsidRPr="00ED5BCB">
        <w:rPr>
          <w:rFonts w:ascii="Arial" w:hAnsi="Arial" w:cs="Arial"/>
          <w:bCs/>
          <w:sz w:val="20"/>
          <w:szCs w:val="20"/>
          <w:lang w:eastAsia="cs-CZ"/>
        </w:rPr>
        <w:t xml:space="preserve">a firemní webové stránky považujeme i stránky společné s jiným právním subjektem (např. webové stránky mateřské společnosti), pokud firma může alespoň částečně měnit jejich obsah. </w:t>
      </w:r>
    </w:p>
    <w:p w:rsidR="00E06380" w:rsidRPr="00E640B7" w:rsidRDefault="002C05D3" w:rsidP="0093217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Nezahrnují se případy, kdy</w:t>
      </w:r>
      <w:r w:rsidR="00A34E5A" w:rsidRPr="00ED5BCB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informace o subjektu jsou pouze v </w:t>
      </w:r>
      <w:r w:rsidR="00A34E5A" w:rsidRPr="00ED5BCB">
        <w:rPr>
          <w:rFonts w:ascii="Arial" w:hAnsi="Arial" w:cs="Arial"/>
          <w:bCs/>
          <w:sz w:val="20"/>
          <w:szCs w:val="20"/>
          <w:lang w:eastAsia="cs-CZ"/>
        </w:rPr>
        <w:t>internetových databázích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(katalozích)</w:t>
      </w:r>
      <w:r w:rsidR="00A34E5A" w:rsidRPr="00ED5BCB">
        <w:rPr>
          <w:rFonts w:ascii="Arial" w:hAnsi="Arial" w:cs="Arial"/>
          <w:bCs/>
          <w:sz w:val="20"/>
          <w:szCs w:val="20"/>
          <w:lang w:eastAsia="cs-CZ"/>
        </w:rPr>
        <w:t xml:space="preserve"> firem</w:t>
      </w:r>
      <w:r>
        <w:rPr>
          <w:rFonts w:ascii="Arial" w:hAnsi="Arial" w:cs="Arial"/>
          <w:bCs/>
          <w:sz w:val="20"/>
          <w:szCs w:val="20"/>
          <w:lang w:eastAsia="cs-CZ"/>
        </w:rPr>
        <w:t>.</w:t>
      </w:r>
      <w:r w:rsidR="00A34E5A" w:rsidRPr="00ED5BCB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B11A56" w:rsidRDefault="00B112AC" w:rsidP="00B11A5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F4018">
        <w:rPr>
          <w:rFonts w:ascii="Arial" w:hAnsi="Arial" w:cs="Arial"/>
          <w:sz w:val="20"/>
        </w:rPr>
        <w:t>V lednu 201</w:t>
      </w:r>
      <w:r w:rsidR="009354AF" w:rsidRPr="00DF4018">
        <w:rPr>
          <w:rFonts w:ascii="Arial" w:hAnsi="Arial" w:cs="Arial"/>
          <w:sz w:val="20"/>
        </w:rPr>
        <w:t>7</w:t>
      </w:r>
      <w:r w:rsidRPr="00DF4018">
        <w:rPr>
          <w:rFonts w:ascii="Arial" w:hAnsi="Arial" w:cs="Arial"/>
          <w:sz w:val="20"/>
        </w:rPr>
        <w:t xml:space="preserve"> </w:t>
      </w:r>
      <w:r w:rsidR="00FD18A2" w:rsidRPr="00DF4018">
        <w:rPr>
          <w:rFonts w:ascii="Arial" w:hAnsi="Arial" w:cs="Arial"/>
          <w:sz w:val="20"/>
        </w:rPr>
        <w:t>mělo</w:t>
      </w:r>
      <w:r w:rsidRPr="00DF4018">
        <w:rPr>
          <w:rFonts w:ascii="Arial" w:hAnsi="Arial" w:cs="Arial"/>
          <w:sz w:val="20"/>
        </w:rPr>
        <w:t xml:space="preserve"> v České republice </w:t>
      </w:r>
      <w:r w:rsidRPr="00ED5BCB">
        <w:rPr>
          <w:rFonts w:ascii="Arial" w:hAnsi="Arial" w:cs="Arial"/>
          <w:b/>
          <w:sz w:val="20"/>
        </w:rPr>
        <w:t>webov</w:t>
      </w:r>
      <w:r w:rsidR="00FD18A2" w:rsidRPr="00ED5BCB">
        <w:rPr>
          <w:rFonts w:ascii="Arial" w:hAnsi="Arial" w:cs="Arial"/>
          <w:b/>
          <w:sz w:val="20"/>
        </w:rPr>
        <w:t>é</w:t>
      </w:r>
      <w:r w:rsidRPr="00ED5BCB">
        <w:rPr>
          <w:rFonts w:ascii="Arial" w:hAnsi="Arial" w:cs="Arial"/>
          <w:b/>
          <w:sz w:val="20"/>
        </w:rPr>
        <w:t xml:space="preserve"> stránk</w:t>
      </w:r>
      <w:r w:rsidR="00FD18A2" w:rsidRPr="00ED5BCB">
        <w:rPr>
          <w:rFonts w:ascii="Arial" w:hAnsi="Arial" w:cs="Arial"/>
          <w:b/>
          <w:sz w:val="20"/>
        </w:rPr>
        <w:t>y</w:t>
      </w:r>
      <w:r w:rsidR="00FD18A2" w:rsidRPr="00DF4018">
        <w:rPr>
          <w:rFonts w:ascii="Arial" w:hAnsi="Arial" w:cs="Arial"/>
          <w:sz w:val="20"/>
        </w:rPr>
        <w:t xml:space="preserve"> </w:t>
      </w:r>
      <w:r w:rsidRPr="00DF4018">
        <w:rPr>
          <w:rFonts w:ascii="Arial" w:hAnsi="Arial" w:cs="Arial"/>
          <w:sz w:val="20"/>
        </w:rPr>
        <w:t>8</w:t>
      </w:r>
      <w:r w:rsidR="009354AF" w:rsidRPr="00DF4018">
        <w:rPr>
          <w:rFonts w:ascii="Arial" w:hAnsi="Arial" w:cs="Arial"/>
          <w:sz w:val="20"/>
        </w:rPr>
        <w:t>3</w:t>
      </w:r>
      <w:r w:rsidRPr="00DF4018">
        <w:rPr>
          <w:rFonts w:ascii="Arial" w:hAnsi="Arial" w:cs="Arial"/>
          <w:sz w:val="20"/>
        </w:rPr>
        <w:t xml:space="preserve"> % </w:t>
      </w:r>
      <w:r w:rsidR="00FD18A2" w:rsidRPr="00DF4018">
        <w:rPr>
          <w:rFonts w:ascii="Arial" w:hAnsi="Arial" w:cs="Arial"/>
          <w:sz w:val="20"/>
        </w:rPr>
        <w:t>firem</w:t>
      </w:r>
      <w:r w:rsidRPr="00DF4018">
        <w:rPr>
          <w:rFonts w:ascii="Arial" w:hAnsi="Arial" w:cs="Arial"/>
          <w:sz w:val="20"/>
        </w:rPr>
        <w:t xml:space="preserve"> s deseti a více zaměstnanci. Oproti konci roku 200</w:t>
      </w:r>
      <w:r w:rsidR="00862335" w:rsidRPr="00DF4018">
        <w:rPr>
          <w:rFonts w:ascii="Arial" w:hAnsi="Arial" w:cs="Arial"/>
          <w:sz w:val="20"/>
        </w:rPr>
        <w:t>1</w:t>
      </w:r>
      <w:r w:rsidRPr="00DF4018">
        <w:rPr>
          <w:rFonts w:ascii="Arial" w:hAnsi="Arial" w:cs="Arial"/>
          <w:sz w:val="20"/>
        </w:rPr>
        <w:t>, kdy měl</w:t>
      </w:r>
      <w:r w:rsidR="00884009" w:rsidRPr="00DF4018">
        <w:rPr>
          <w:rFonts w:ascii="Arial" w:hAnsi="Arial" w:cs="Arial"/>
          <w:sz w:val="20"/>
        </w:rPr>
        <w:t>a</w:t>
      </w:r>
      <w:r w:rsidRPr="00DF4018">
        <w:rPr>
          <w:rFonts w:ascii="Arial" w:hAnsi="Arial" w:cs="Arial"/>
          <w:sz w:val="20"/>
        </w:rPr>
        <w:t xml:space="preserve"> webov</w:t>
      </w:r>
      <w:r w:rsidR="00884009" w:rsidRPr="00DF4018">
        <w:rPr>
          <w:rFonts w:ascii="Arial" w:hAnsi="Arial" w:cs="Arial"/>
          <w:sz w:val="20"/>
        </w:rPr>
        <w:t>é</w:t>
      </w:r>
      <w:r w:rsidRPr="00DF4018">
        <w:rPr>
          <w:rFonts w:ascii="Arial" w:hAnsi="Arial" w:cs="Arial"/>
          <w:sz w:val="20"/>
        </w:rPr>
        <w:t xml:space="preserve"> stránk</w:t>
      </w:r>
      <w:r w:rsidR="00884009" w:rsidRPr="00DF4018">
        <w:rPr>
          <w:rFonts w:ascii="Arial" w:hAnsi="Arial" w:cs="Arial"/>
          <w:sz w:val="20"/>
        </w:rPr>
        <w:t>y</w:t>
      </w:r>
      <w:r w:rsidRPr="00DF4018">
        <w:rPr>
          <w:rFonts w:ascii="Arial" w:hAnsi="Arial" w:cs="Arial"/>
          <w:sz w:val="20"/>
        </w:rPr>
        <w:t xml:space="preserve"> </w:t>
      </w:r>
      <w:r w:rsidR="00884009" w:rsidRPr="00DF4018">
        <w:rPr>
          <w:rFonts w:ascii="Arial" w:hAnsi="Arial" w:cs="Arial"/>
          <w:sz w:val="20"/>
        </w:rPr>
        <w:t>necelá polovina</w:t>
      </w:r>
      <w:r w:rsidRPr="00DF4018">
        <w:rPr>
          <w:rFonts w:ascii="Arial" w:hAnsi="Arial" w:cs="Arial"/>
          <w:sz w:val="20"/>
        </w:rPr>
        <w:t xml:space="preserve"> </w:t>
      </w:r>
      <w:r w:rsidR="00FD18A2" w:rsidRPr="00DF4018">
        <w:rPr>
          <w:rFonts w:ascii="Arial" w:hAnsi="Arial" w:cs="Arial"/>
          <w:sz w:val="20"/>
        </w:rPr>
        <w:t>subjektů</w:t>
      </w:r>
      <w:r w:rsidR="00884009" w:rsidRPr="00DF4018">
        <w:rPr>
          <w:rFonts w:ascii="Arial" w:hAnsi="Arial" w:cs="Arial"/>
          <w:sz w:val="20"/>
        </w:rPr>
        <w:t xml:space="preserve"> (45 %)</w:t>
      </w:r>
      <w:r w:rsidRPr="00DF4018">
        <w:rPr>
          <w:rFonts w:ascii="Arial" w:hAnsi="Arial" w:cs="Arial"/>
          <w:sz w:val="20"/>
        </w:rPr>
        <w:t xml:space="preserve">, se jejich podíl </w:t>
      </w:r>
      <w:r w:rsidR="00862335" w:rsidRPr="00DF4018">
        <w:rPr>
          <w:rFonts w:ascii="Arial" w:hAnsi="Arial" w:cs="Arial"/>
          <w:sz w:val="20"/>
        </w:rPr>
        <w:t>téměř</w:t>
      </w:r>
      <w:r w:rsidRPr="00DF4018">
        <w:rPr>
          <w:rFonts w:ascii="Arial" w:hAnsi="Arial" w:cs="Arial"/>
          <w:sz w:val="20"/>
        </w:rPr>
        <w:t xml:space="preserve"> zdvojnásobil. </w:t>
      </w:r>
      <w:r w:rsidR="003645AE" w:rsidRPr="00DF4018">
        <w:rPr>
          <w:rFonts w:ascii="Arial" w:hAnsi="Arial" w:cs="Arial"/>
          <w:sz w:val="20"/>
        </w:rPr>
        <w:t>Nejvyšší nárůst p</w:t>
      </w:r>
      <w:r w:rsidRPr="00DF4018">
        <w:rPr>
          <w:rFonts w:ascii="Arial" w:hAnsi="Arial" w:cs="Arial"/>
          <w:sz w:val="20"/>
        </w:rPr>
        <w:t>odíl</w:t>
      </w:r>
      <w:r w:rsidR="003645AE" w:rsidRPr="00DF4018">
        <w:rPr>
          <w:rFonts w:ascii="Arial" w:hAnsi="Arial" w:cs="Arial"/>
          <w:sz w:val="20"/>
        </w:rPr>
        <w:t>u</w:t>
      </w:r>
      <w:r w:rsidRPr="00DF4018">
        <w:rPr>
          <w:rFonts w:ascii="Arial" w:hAnsi="Arial" w:cs="Arial"/>
          <w:sz w:val="20"/>
        </w:rPr>
        <w:t xml:space="preserve"> </w:t>
      </w:r>
      <w:r w:rsidR="00FD18A2" w:rsidRPr="00DF4018">
        <w:rPr>
          <w:rFonts w:ascii="Arial" w:hAnsi="Arial" w:cs="Arial"/>
          <w:sz w:val="20"/>
        </w:rPr>
        <w:t>firem</w:t>
      </w:r>
      <w:r w:rsidR="00E06380" w:rsidRPr="00DF4018">
        <w:rPr>
          <w:rFonts w:ascii="Arial" w:hAnsi="Arial" w:cs="Arial"/>
          <w:sz w:val="20"/>
        </w:rPr>
        <w:t xml:space="preserve"> s </w:t>
      </w:r>
      <w:r w:rsidRPr="00DF4018">
        <w:rPr>
          <w:rFonts w:ascii="Arial" w:hAnsi="Arial" w:cs="Arial"/>
          <w:sz w:val="20"/>
        </w:rPr>
        <w:t>webov</w:t>
      </w:r>
      <w:r w:rsidR="00E06380" w:rsidRPr="00DF4018">
        <w:rPr>
          <w:rFonts w:ascii="Arial" w:hAnsi="Arial" w:cs="Arial"/>
          <w:sz w:val="20"/>
        </w:rPr>
        <w:t>ými</w:t>
      </w:r>
      <w:r w:rsidRPr="00DF4018">
        <w:rPr>
          <w:rFonts w:ascii="Arial" w:hAnsi="Arial" w:cs="Arial"/>
          <w:sz w:val="20"/>
        </w:rPr>
        <w:t xml:space="preserve"> stránk</w:t>
      </w:r>
      <w:r w:rsidR="00E06380" w:rsidRPr="00DF4018">
        <w:rPr>
          <w:rFonts w:ascii="Arial" w:hAnsi="Arial" w:cs="Arial"/>
          <w:sz w:val="20"/>
        </w:rPr>
        <w:t>ami</w:t>
      </w:r>
      <w:r w:rsidR="00862335" w:rsidRPr="00DF4018">
        <w:rPr>
          <w:rFonts w:ascii="Arial" w:hAnsi="Arial" w:cs="Arial"/>
          <w:sz w:val="20"/>
        </w:rPr>
        <w:t xml:space="preserve"> </w:t>
      </w:r>
      <w:r w:rsidR="003645AE" w:rsidRPr="00DF4018">
        <w:rPr>
          <w:rFonts w:ascii="Arial" w:hAnsi="Arial" w:cs="Arial"/>
          <w:sz w:val="20"/>
        </w:rPr>
        <w:t>zaznamenal</w:t>
      </w:r>
      <w:r w:rsidR="00FD18A2" w:rsidRPr="00DF4018">
        <w:rPr>
          <w:rFonts w:ascii="Arial" w:hAnsi="Arial" w:cs="Arial"/>
          <w:sz w:val="20"/>
        </w:rPr>
        <w:t xml:space="preserve"> </w:t>
      </w:r>
      <w:r w:rsidR="000B5B64" w:rsidRPr="00DF4018">
        <w:rPr>
          <w:rFonts w:ascii="Arial" w:hAnsi="Arial" w:cs="Arial"/>
          <w:sz w:val="20"/>
        </w:rPr>
        <w:t xml:space="preserve">ČSÚ </w:t>
      </w:r>
      <w:r w:rsidR="003645AE" w:rsidRPr="00DF4018">
        <w:rPr>
          <w:rFonts w:ascii="Arial" w:hAnsi="Arial" w:cs="Arial"/>
          <w:sz w:val="20"/>
        </w:rPr>
        <w:t>před rokem</w:t>
      </w:r>
      <w:r w:rsidR="00FD18A2" w:rsidRPr="00DF4018">
        <w:rPr>
          <w:rFonts w:ascii="Arial" w:hAnsi="Arial" w:cs="Arial"/>
          <w:sz w:val="20"/>
        </w:rPr>
        <w:t xml:space="preserve"> 2004</w:t>
      </w:r>
      <w:r w:rsidR="00FF5FF4" w:rsidRPr="00DF4018">
        <w:rPr>
          <w:rFonts w:ascii="Arial" w:hAnsi="Arial" w:cs="Arial"/>
          <w:sz w:val="20"/>
        </w:rPr>
        <w:t xml:space="preserve">, </w:t>
      </w:r>
      <w:r w:rsidR="003645AE" w:rsidRPr="00DF4018">
        <w:rPr>
          <w:rFonts w:ascii="Arial" w:hAnsi="Arial" w:cs="Arial"/>
          <w:sz w:val="20"/>
        </w:rPr>
        <w:t>v</w:t>
      </w:r>
      <w:r w:rsidR="00862335" w:rsidRPr="00DF4018">
        <w:rPr>
          <w:rFonts w:ascii="Arial" w:hAnsi="Arial" w:cs="Arial"/>
          <w:sz w:val="20"/>
        </w:rPr>
        <w:t> následujících letech</w:t>
      </w:r>
      <w:r w:rsidR="003645AE" w:rsidRPr="00DF4018">
        <w:rPr>
          <w:rFonts w:ascii="Arial" w:hAnsi="Arial" w:cs="Arial"/>
          <w:sz w:val="20"/>
        </w:rPr>
        <w:t xml:space="preserve"> tento podíl</w:t>
      </w:r>
      <w:r w:rsidR="00FF5FF4" w:rsidRPr="00DF4018">
        <w:rPr>
          <w:rFonts w:ascii="Arial" w:hAnsi="Arial" w:cs="Arial"/>
          <w:sz w:val="20"/>
        </w:rPr>
        <w:t xml:space="preserve"> </w:t>
      </w:r>
      <w:r w:rsidRPr="00DF4018">
        <w:rPr>
          <w:rFonts w:ascii="Arial" w:hAnsi="Arial" w:cs="Arial"/>
          <w:sz w:val="20"/>
        </w:rPr>
        <w:t>narůstal</w:t>
      </w:r>
      <w:r w:rsidR="003645AE" w:rsidRPr="00DF4018">
        <w:rPr>
          <w:rFonts w:ascii="Arial" w:hAnsi="Arial" w:cs="Arial"/>
          <w:sz w:val="20"/>
        </w:rPr>
        <w:t xml:space="preserve"> už</w:t>
      </w:r>
      <w:r w:rsidR="00862335" w:rsidRPr="00DF4018">
        <w:rPr>
          <w:rFonts w:ascii="Arial" w:hAnsi="Arial" w:cs="Arial"/>
          <w:sz w:val="20"/>
        </w:rPr>
        <w:t xml:space="preserve"> jen</w:t>
      </w:r>
      <w:r w:rsidRPr="00DF4018">
        <w:rPr>
          <w:rFonts w:ascii="Arial" w:hAnsi="Arial" w:cs="Arial"/>
          <w:sz w:val="20"/>
        </w:rPr>
        <w:t xml:space="preserve"> pozvolna</w:t>
      </w:r>
      <w:r w:rsidR="003645AE" w:rsidRPr="00DF4018">
        <w:rPr>
          <w:rFonts w:ascii="Arial" w:hAnsi="Arial" w:cs="Arial"/>
          <w:sz w:val="20"/>
        </w:rPr>
        <w:t xml:space="preserve"> a o</w:t>
      </w:r>
      <w:r w:rsidR="00FF5FF4" w:rsidRPr="00DF4018">
        <w:rPr>
          <w:rFonts w:ascii="Arial" w:hAnsi="Arial" w:cs="Arial"/>
          <w:sz w:val="20"/>
        </w:rPr>
        <w:t>d roku</w:t>
      </w:r>
      <w:r w:rsidR="002B4A34" w:rsidRPr="00DF4018">
        <w:rPr>
          <w:rFonts w:ascii="Arial" w:hAnsi="Arial" w:cs="Arial"/>
          <w:sz w:val="20"/>
        </w:rPr>
        <w:t xml:space="preserve"> 2014</w:t>
      </w:r>
      <w:r w:rsidR="00FF5FF4" w:rsidRPr="00DF4018">
        <w:rPr>
          <w:rFonts w:ascii="Arial" w:hAnsi="Arial" w:cs="Arial"/>
          <w:sz w:val="20"/>
        </w:rPr>
        <w:t xml:space="preserve"> stagn</w:t>
      </w:r>
      <w:r w:rsidR="002B4A34" w:rsidRPr="00DF4018">
        <w:rPr>
          <w:rFonts w:ascii="Arial" w:hAnsi="Arial" w:cs="Arial"/>
          <w:sz w:val="20"/>
        </w:rPr>
        <w:t>uje</w:t>
      </w:r>
      <w:r w:rsidR="00FF5FF4" w:rsidRPr="00DF4018">
        <w:rPr>
          <w:rFonts w:ascii="Arial" w:hAnsi="Arial" w:cs="Arial"/>
          <w:sz w:val="20"/>
        </w:rPr>
        <w:t>.</w:t>
      </w:r>
      <w:r w:rsidR="007D22B8">
        <w:rPr>
          <w:rFonts w:ascii="Arial" w:hAnsi="Arial" w:cs="Arial"/>
          <w:sz w:val="20"/>
        </w:rPr>
        <w:t xml:space="preserve"> </w:t>
      </w:r>
      <w:r w:rsidR="00B11A56" w:rsidRPr="00B11A56">
        <w:rPr>
          <w:rFonts w:ascii="Arial" w:hAnsi="Arial" w:cs="Arial"/>
          <w:sz w:val="20"/>
        </w:rPr>
        <w:t>Webovou prezentaci měly v lednu 2017 nejčastěji subjekty působící v ubytování, v cestovním ruchu a v sektoru informačních a</w:t>
      </w:r>
      <w:r w:rsidR="00B11A56">
        <w:rPr>
          <w:rFonts w:ascii="Arial" w:hAnsi="Arial" w:cs="Arial"/>
          <w:sz w:val="20"/>
        </w:rPr>
        <w:t> </w:t>
      </w:r>
      <w:r w:rsidR="00B11A56" w:rsidRPr="00B11A56">
        <w:rPr>
          <w:rFonts w:ascii="Arial" w:hAnsi="Arial" w:cs="Arial"/>
          <w:sz w:val="20"/>
        </w:rPr>
        <w:t xml:space="preserve">komunikačních činností (více než 96 %). </w:t>
      </w:r>
    </w:p>
    <w:p w:rsidR="007D22B8" w:rsidRPr="007D22B8" w:rsidRDefault="007D22B8" w:rsidP="00953E9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7D22B8">
        <w:rPr>
          <w:rFonts w:ascii="Arial" w:hAnsi="Arial" w:cs="Arial"/>
          <w:sz w:val="20"/>
        </w:rPr>
        <w:t xml:space="preserve">Mezi </w:t>
      </w:r>
      <w:r w:rsidRPr="007D22B8">
        <w:rPr>
          <w:rFonts w:ascii="Arial" w:hAnsi="Arial" w:cs="Arial"/>
          <w:b/>
          <w:sz w:val="20"/>
        </w:rPr>
        <w:t>zeměmi EU28</w:t>
      </w:r>
      <w:r w:rsidRPr="007D22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firmy v </w:t>
      </w:r>
      <w:r w:rsidRPr="007D22B8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 xml:space="preserve">eské republice v tomto ukazateli </w:t>
      </w:r>
      <w:r w:rsidRPr="007D22B8">
        <w:rPr>
          <w:rFonts w:ascii="Arial" w:hAnsi="Arial" w:cs="Arial"/>
          <w:sz w:val="20"/>
        </w:rPr>
        <w:t>v roce 2016</w:t>
      </w:r>
      <w:r w:rsidR="00161DA1">
        <w:rPr>
          <w:rStyle w:val="Znakapoznpodarou"/>
          <w:rFonts w:ascii="Arial" w:hAnsi="Arial" w:cs="Arial"/>
          <w:sz w:val="20"/>
        </w:rPr>
        <w:footnoteReference w:id="1"/>
      </w:r>
      <w:r w:rsidRPr="007D22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umístil</w:t>
      </w:r>
      <w:r w:rsidR="00161DA1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na</w:t>
      </w:r>
      <w:r w:rsidR="002C05D3">
        <w:rPr>
          <w:rFonts w:ascii="Arial" w:hAnsi="Arial" w:cs="Arial"/>
          <w:sz w:val="20"/>
        </w:rPr>
        <w:t xml:space="preserve"> nadprůměrném</w:t>
      </w:r>
      <w:r w:rsidRPr="007D22B8">
        <w:rPr>
          <w:rFonts w:ascii="Arial" w:hAnsi="Arial" w:cs="Arial"/>
          <w:sz w:val="20"/>
        </w:rPr>
        <w:t xml:space="preserve"> </w:t>
      </w:r>
      <w:r w:rsidR="002C05D3">
        <w:rPr>
          <w:rFonts w:ascii="Arial" w:hAnsi="Arial" w:cs="Arial"/>
          <w:sz w:val="20"/>
        </w:rPr>
        <w:t>10.</w:t>
      </w:r>
      <w:r w:rsidRPr="007D22B8">
        <w:rPr>
          <w:rFonts w:ascii="Arial" w:hAnsi="Arial" w:cs="Arial"/>
          <w:sz w:val="20"/>
        </w:rPr>
        <w:t xml:space="preserve"> místě. Průměr evropské osmadvacítky dosáhl v roce 2016 hranice 77 %</w:t>
      </w:r>
      <w:r>
        <w:rPr>
          <w:rFonts w:ascii="Arial" w:hAnsi="Arial" w:cs="Arial"/>
          <w:sz w:val="20"/>
        </w:rPr>
        <w:t xml:space="preserve"> firem s webovými stránkami</w:t>
      </w:r>
      <w:r w:rsidRPr="007D22B8">
        <w:rPr>
          <w:rFonts w:ascii="Arial" w:hAnsi="Arial" w:cs="Arial"/>
          <w:sz w:val="20"/>
        </w:rPr>
        <w:t xml:space="preserve">. </w:t>
      </w:r>
    </w:p>
    <w:p w:rsidR="00A34E5A" w:rsidRPr="00B11A56" w:rsidRDefault="00DF4018" w:rsidP="00953E9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B11A56">
        <w:rPr>
          <w:rFonts w:ascii="Arial" w:hAnsi="Arial" w:cs="Arial"/>
          <w:sz w:val="20"/>
        </w:rPr>
        <w:t>Více než dvě pětiny</w:t>
      </w:r>
      <w:r w:rsidR="00C45250" w:rsidRPr="00B11A56">
        <w:rPr>
          <w:rFonts w:ascii="Arial" w:hAnsi="Arial" w:cs="Arial"/>
          <w:sz w:val="20"/>
        </w:rPr>
        <w:t xml:space="preserve"> firem</w:t>
      </w:r>
      <w:r w:rsidR="000B5B64" w:rsidRPr="00B11A56">
        <w:rPr>
          <w:rFonts w:ascii="Arial" w:hAnsi="Arial" w:cs="Arial"/>
          <w:sz w:val="20"/>
        </w:rPr>
        <w:t xml:space="preserve"> v</w:t>
      </w:r>
      <w:r w:rsidRPr="00B11A56">
        <w:rPr>
          <w:rFonts w:ascii="Arial" w:hAnsi="Arial" w:cs="Arial"/>
          <w:sz w:val="20"/>
        </w:rPr>
        <w:t> </w:t>
      </w:r>
      <w:r w:rsidR="000B5B64" w:rsidRPr="00B11A56">
        <w:rPr>
          <w:rFonts w:ascii="Arial" w:hAnsi="Arial" w:cs="Arial"/>
          <w:sz w:val="20"/>
        </w:rPr>
        <w:t>ČR</w:t>
      </w:r>
      <w:r w:rsidRPr="00B11A56">
        <w:rPr>
          <w:rFonts w:ascii="Arial" w:hAnsi="Arial" w:cs="Arial"/>
          <w:sz w:val="20"/>
        </w:rPr>
        <w:t>, resp. více než polovina firem s webovými stránkami</w:t>
      </w:r>
      <w:r w:rsidR="00C45250" w:rsidRPr="00B11A56">
        <w:rPr>
          <w:rFonts w:ascii="Arial" w:hAnsi="Arial" w:cs="Arial"/>
          <w:sz w:val="20"/>
        </w:rPr>
        <w:t xml:space="preserve"> měl</w:t>
      </w:r>
      <w:r w:rsidRPr="00B11A56">
        <w:rPr>
          <w:rFonts w:ascii="Arial" w:hAnsi="Arial" w:cs="Arial"/>
          <w:sz w:val="20"/>
        </w:rPr>
        <w:t>a</w:t>
      </w:r>
      <w:r w:rsidR="00C45250" w:rsidRPr="00B11A56">
        <w:rPr>
          <w:rFonts w:ascii="Arial" w:hAnsi="Arial" w:cs="Arial"/>
          <w:sz w:val="20"/>
        </w:rPr>
        <w:t xml:space="preserve"> v lednu 201</w:t>
      </w:r>
      <w:r w:rsidRPr="00B11A56">
        <w:rPr>
          <w:rFonts w:ascii="Arial" w:hAnsi="Arial" w:cs="Arial"/>
          <w:sz w:val="20"/>
        </w:rPr>
        <w:t>7</w:t>
      </w:r>
      <w:r w:rsidR="00C45250" w:rsidRPr="00B11A56">
        <w:rPr>
          <w:rFonts w:ascii="Arial" w:hAnsi="Arial" w:cs="Arial"/>
          <w:sz w:val="20"/>
        </w:rPr>
        <w:t xml:space="preserve"> </w:t>
      </w:r>
      <w:r w:rsidR="00911872" w:rsidRPr="00B11A56">
        <w:rPr>
          <w:rFonts w:ascii="Arial" w:hAnsi="Arial" w:cs="Arial"/>
          <w:sz w:val="20"/>
        </w:rPr>
        <w:t>sv</w:t>
      </w:r>
      <w:r w:rsidR="00817313" w:rsidRPr="00B11A56">
        <w:rPr>
          <w:rFonts w:ascii="Arial" w:hAnsi="Arial" w:cs="Arial"/>
          <w:sz w:val="20"/>
        </w:rPr>
        <w:t>ůj</w:t>
      </w:r>
      <w:r w:rsidR="00911872" w:rsidRPr="00B11A56">
        <w:rPr>
          <w:rFonts w:ascii="Arial" w:hAnsi="Arial" w:cs="Arial"/>
          <w:sz w:val="20"/>
        </w:rPr>
        <w:t xml:space="preserve"> </w:t>
      </w:r>
      <w:r w:rsidR="00C45250" w:rsidRPr="00B11A56">
        <w:rPr>
          <w:rFonts w:ascii="Arial" w:hAnsi="Arial" w:cs="Arial"/>
          <w:sz w:val="20"/>
        </w:rPr>
        <w:t xml:space="preserve">web </w:t>
      </w:r>
      <w:r w:rsidR="00C45250" w:rsidRPr="00B11A56">
        <w:rPr>
          <w:rFonts w:ascii="Arial" w:hAnsi="Arial" w:cs="Arial"/>
          <w:b/>
          <w:sz w:val="20"/>
        </w:rPr>
        <w:t>p</w:t>
      </w:r>
      <w:r w:rsidR="009C3EFC" w:rsidRPr="00B11A56">
        <w:rPr>
          <w:rFonts w:ascii="Arial" w:hAnsi="Arial" w:cs="Arial"/>
          <w:b/>
          <w:sz w:val="20"/>
        </w:rPr>
        <w:t>řizpůsoben pro mobilní</w:t>
      </w:r>
      <w:r w:rsidR="00C45250" w:rsidRPr="00B11A56">
        <w:rPr>
          <w:rFonts w:ascii="Arial" w:hAnsi="Arial" w:cs="Arial"/>
          <w:b/>
          <w:sz w:val="20"/>
        </w:rPr>
        <w:t xml:space="preserve"> zařízení</w:t>
      </w:r>
      <w:r w:rsidR="00C45250" w:rsidRPr="00B11A56">
        <w:rPr>
          <w:rFonts w:ascii="Arial" w:hAnsi="Arial" w:cs="Arial"/>
          <w:sz w:val="20"/>
        </w:rPr>
        <w:t xml:space="preserve">. Webové stránky použitelné na jakémkoli přenosném zařízení </w:t>
      </w:r>
      <w:r w:rsidR="00817313" w:rsidRPr="00B11A56">
        <w:rPr>
          <w:rFonts w:ascii="Arial" w:hAnsi="Arial" w:cs="Arial"/>
          <w:sz w:val="20"/>
        </w:rPr>
        <w:t xml:space="preserve">měly </w:t>
      </w:r>
      <w:r w:rsidR="00C45250" w:rsidRPr="00B11A56">
        <w:rPr>
          <w:rFonts w:ascii="Arial" w:hAnsi="Arial" w:cs="Arial"/>
          <w:sz w:val="20"/>
        </w:rPr>
        <w:t>častěji velké firmy</w:t>
      </w:r>
      <w:r w:rsidR="00643526" w:rsidRPr="00B11A56">
        <w:rPr>
          <w:rFonts w:ascii="Arial" w:hAnsi="Arial" w:cs="Arial"/>
          <w:sz w:val="20"/>
        </w:rPr>
        <w:t xml:space="preserve"> (59 %)</w:t>
      </w:r>
      <w:r w:rsidR="00C45250" w:rsidRPr="00B11A56">
        <w:rPr>
          <w:rFonts w:ascii="Arial" w:hAnsi="Arial" w:cs="Arial"/>
          <w:sz w:val="20"/>
        </w:rPr>
        <w:t xml:space="preserve"> </w:t>
      </w:r>
      <w:r w:rsidR="00FF199B" w:rsidRPr="00B11A56">
        <w:rPr>
          <w:rFonts w:ascii="Arial" w:hAnsi="Arial" w:cs="Arial"/>
          <w:sz w:val="20"/>
        </w:rPr>
        <w:t>a z hlediska odvětvového firmy poskytující ubytování</w:t>
      </w:r>
      <w:r w:rsidR="00643526" w:rsidRPr="00B11A56">
        <w:rPr>
          <w:rFonts w:ascii="Arial" w:hAnsi="Arial" w:cs="Arial"/>
          <w:sz w:val="20"/>
        </w:rPr>
        <w:t xml:space="preserve"> (70 %)</w:t>
      </w:r>
      <w:r w:rsidR="0075639A" w:rsidRPr="00B11A56">
        <w:rPr>
          <w:rFonts w:ascii="Arial" w:hAnsi="Arial" w:cs="Arial"/>
          <w:sz w:val="20"/>
        </w:rPr>
        <w:t>, dále</w:t>
      </w:r>
      <w:r w:rsidR="00FF199B" w:rsidRPr="00B11A56">
        <w:rPr>
          <w:rFonts w:ascii="Arial" w:hAnsi="Arial" w:cs="Arial"/>
          <w:sz w:val="20"/>
        </w:rPr>
        <w:t xml:space="preserve"> subjekty působící v oblasti </w:t>
      </w:r>
      <w:r w:rsidR="00104DB3" w:rsidRPr="00B11A56">
        <w:rPr>
          <w:rFonts w:ascii="Arial" w:hAnsi="Arial" w:cs="Arial"/>
          <w:sz w:val="20"/>
        </w:rPr>
        <w:t>IT či v telekomunikačním sektoru</w:t>
      </w:r>
      <w:r w:rsidR="0075639A" w:rsidRPr="00B11A56">
        <w:rPr>
          <w:rFonts w:ascii="Arial" w:hAnsi="Arial" w:cs="Arial"/>
          <w:sz w:val="20"/>
        </w:rPr>
        <w:t xml:space="preserve"> nebo </w:t>
      </w:r>
      <w:r w:rsidR="00FF199B" w:rsidRPr="00B11A56">
        <w:rPr>
          <w:rFonts w:ascii="Arial" w:hAnsi="Arial" w:cs="Arial"/>
          <w:sz w:val="20"/>
        </w:rPr>
        <w:t xml:space="preserve">cestovní </w:t>
      </w:r>
      <w:r w:rsidR="00817313" w:rsidRPr="00B11A56">
        <w:rPr>
          <w:rFonts w:ascii="Arial" w:hAnsi="Arial" w:cs="Arial"/>
          <w:sz w:val="20"/>
        </w:rPr>
        <w:t xml:space="preserve">agentury a </w:t>
      </w:r>
      <w:r w:rsidR="00FF199B" w:rsidRPr="00B11A56">
        <w:rPr>
          <w:rFonts w:ascii="Arial" w:hAnsi="Arial" w:cs="Arial"/>
          <w:sz w:val="20"/>
        </w:rPr>
        <w:t>kancelář</w:t>
      </w:r>
      <w:r w:rsidR="0075639A" w:rsidRPr="00B11A56">
        <w:rPr>
          <w:rFonts w:ascii="Arial" w:hAnsi="Arial" w:cs="Arial"/>
          <w:sz w:val="20"/>
        </w:rPr>
        <w:t>e</w:t>
      </w:r>
      <w:r w:rsidR="00643526" w:rsidRPr="00B11A56">
        <w:rPr>
          <w:rFonts w:ascii="Arial" w:hAnsi="Arial" w:cs="Arial"/>
          <w:sz w:val="20"/>
        </w:rPr>
        <w:t xml:space="preserve"> (65 %)</w:t>
      </w:r>
      <w:r w:rsidR="00FF199B" w:rsidRPr="00B11A56">
        <w:rPr>
          <w:rFonts w:ascii="Arial" w:hAnsi="Arial" w:cs="Arial"/>
          <w:sz w:val="20"/>
        </w:rPr>
        <w:t>.</w:t>
      </w:r>
    </w:p>
    <w:p w:rsidR="007D22B8" w:rsidRPr="00161DA1" w:rsidRDefault="007D22B8" w:rsidP="00953E93">
      <w:pPr>
        <w:numPr>
          <w:ilvl w:val="0"/>
          <w:numId w:val="2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161DA1">
        <w:rPr>
          <w:rFonts w:ascii="Arial" w:hAnsi="Arial" w:cs="Arial"/>
          <w:sz w:val="20"/>
        </w:rPr>
        <w:t xml:space="preserve">V českých </w:t>
      </w:r>
      <w:r w:rsidR="00161DA1">
        <w:rPr>
          <w:rFonts w:ascii="Arial" w:hAnsi="Arial" w:cs="Arial"/>
          <w:sz w:val="20"/>
        </w:rPr>
        <w:t>firmách</w:t>
      </w:r>
      <w:r w:rsidR="00643526">
        <w:rPr>
          <w:rFonts w:ascii="Arial" w:hAnsi="Arial" w:cs="Arial"/>
          <w:sz w:val="20"/>
        </w:rPr>
        <w:t xml:space="preserve"> s deseti a více zaměstnanci</w:t>
      </w:r>
      <w:r w:rsidRPr="00161DA1">
        <w:rPr>
          <w:rFonts w:ascii="Arial" w:hAnsi="Arial" w:cs="Arial"/>
          <w:sz w:val="20"/>
        </w:rPr>
        <w:t xml:space="preserve">, které mají webové stránky, provádí vývoj </w:t>
      </w:r>
      <w:r w:rsidR="00161DA1" w:rsidRPr="00161DA1">
        <w:rPr>
          <w:rFonts w:ascii="Arial" w:hAnsi="Arial" w:cs="Arial"/>
          <w:sz w:val="20"/>
        </w:rPr>
        <w:t xml:space="preserve">webových stránek </w:t>
      </w:r>
      <w:r w:rsidRPr="00161DA1">
        <w:rPr>
          <w:rFonts w:ascii="Arial" w:hAnsi="Arial" w:cs="Arial"/>
          <w:sz w:val="20"/>
        </w:rPr>
        <w:t xml:space="preserve">i </w:t>
      </w:r>
      <w:r w:rsidR="00161DA1" w:rsidRPr="00161DA1">
        <w:rPr>
          <w:rFonts w:ascii="Arial" w:hAnsi="Arial" w:cs="Arial"/>
          <w:sz w:val="20"/>
        </w:rPr>
        <w:t xml:space="preserve">jejich následnou </w:t>
      </w:r>
      <w:r w:rsidRPr="00161DA1">
        <w:rPr>
          <w:rFonts w:ascii="Arial" w:hAnsi="Arial" w:cs="Arial"/>
          <w:sz w:val="20"/>
        </w:rPr>
        <w:t>podporu</w:t>
      </w:r>
      <w:r w:rsidR="00161DA1" w:rsidRPr="00161DA1">
        <w:rPr>
          <w:rFonts w:ascii="Arial" w:hAnsi="Arial" w:cs="Arial"/>
          <w:sz w:val="20"/>
        </w:rPr>
        <w:t xml:space="preserve"> (správu jejich obsahu a aktualizace)</w:t>
      </w:r>
      <w:r w:rsidRPr="00161DA1">
        <w:rPr>
          <w:rFonts w:ascii="Arial" w:hAnsi="Arial" w:cs="Arial"/>
          <w:sz w:val="20"/>
        </w:rPr>
        <w:t xml:space="preserve"> </w:t>
      </w:r>
      <w:r w:rsidRPr="00953E93">
        <w:rPr>
          <w:rFonts w:ascii="Arial" w:hAnsi="Arial" w:cs="Arial"/>
          <w:b/>
          <w:sz w:val="20"/>
        </w:rPr>
        <w:t>častěji externisté než vlastní zaměstnanci</w:t>
      </w:r>
      <w:r w:rsidRPr="00161DA1">
        <w:rPr>
          <w:rFonts w:ascii="Arial" w:hAnsi="Arial" w:cs="Arial"/>
          <w:sz w:val="20"/>
        </w:rPr>
        <w:t xml:space="preserve"> firem. Z</w:t>
      </w:r>
      <w:r w:rsidR="00161DA1">
        <w:rPr>
          <w:rFonts w:ascii="Arial" w:hAnsi="Arial" w:cs="Arial"/>
          <w:sz w:val="20"/>
        </w:rPr>
        <w:t> </w:t>
      </w:r>
      <w:r w:rsidRPr="00161DA1">
        <w:rPr>
          <w:rFonts w:ascii="Arial" w:hAnsi="Arial" w:cs="Arial"/>
          <w:sz w:val="20"/>
        </w:rPr>
        <w:t>mezinárodního srovnání firem s webovými stránkami</w:t>
      </w:r>
      <w:r w:rsidR="00817313">
        <w:rPr>
          <w:rFonts w:ascii="Arial" w:hAnsi="Arial" w:cs="Arial"/>
          <w:sz w:val="20"/>
        </w:rPr>
        <w:t xml:space="preserve"> navíc</w:t>
      </w:r>
      <w:r w:rsidR="00161DA1" w:rsidRPr="00161DA1">
        <w:rPr>
          <w:rFonts w:ascii="Arial" w:hAnsi="Arial" w:cs="Arial"/>
          <w:sz w:val="20"/>
        </w:rPr>
        <w:t xml:space="preserve"> vyplývá, že</w:t>
      </w:r>
      <w:r w:rsidRPr="00161DA1">
        <w:rPr>
          <w:rFonts w:ascii="Arial" w:hAnsi="Arial" w:cs="Arial"/>
          <w:sz w:val="20"/>
        </w:rPr>
        <w:t xml:space="preserve"> české podniky</w:t>
      </w:r>
      <w:r w:rsidR="00161DA1" w:rsidRPr="00161DA1">
        <w:rPr>
          <w:rFonts w:ascii="Arial" w:hAnsi="Arial" w:cs="Arial"/>
          <w:sz w:val="20"/>
        </w:rPr>
        <w:t xml:space="preserve"> jsou </w:t>
      </w:r>
      <w:r w:rsidRPr="00161DA1">
        <w:rPr>
          <w:rFonts w:ascii="Arial" w:hAnsi="Arial" w:cs="Arial"/>
          <w:sz w:val="20"/>
        </w:rPr>
        <w:t xml:space="preserve">jedny z těch, </w:t>
      </w:r>
      <w:r w:rsidR="00161DA1" w:rsidRPr="00161DA1">
        <w:rPr>
          <w:rFonts w:ascii="Arial" w:hAnsi="Arial" w:cs="Arial"/>
          <w:sz w:val="20"/>
        </w:rPr>
        <w:t>které</w:t>
      </w:r>
      <w:r w:rsidRPr="00161DA1">
        <w:rPr>
          <w:rFonts w:ascii="Arial" w:hAnsi="Arial" w:cs="Arial"/>
          <w:sz w:val="20"/>
        </w:rPr>
        <w:t xml:space="preserve"> vývoj a podporu </w:t>
      </w:r>
      <w:r w:rsidR="00161DA1" w:rsidRPr="00161DA1">
        <w:rPr>
          <w:rFonts w:ascii="Arial" w:hAnsi="Arial" w:cs="Arial"/>
          <w:sz w:val="20"/>
        </w:rPr>
        <w:t>vlastních</w:t>
      </w:r>
      <w:r w:rsidRPr="00161DA1">
        <w:rPr>
          <w:rFonts w:ascii="Arial" w:hAnsi="Arial" w:cs="Arial"/>
          <w:sz w:val="20"/>
        </w:rPr>
        <w:t xml:space="preserve"> webových stránek nejčastěji zajišťují externě.</w:t>
      </w:r>
      <w:r w:rsidR="00AD76F0">
        <w:rPr>
          <w:rFonts w:ascii="Arial" w:hAnsi="Arial" w:cs="Arial"/>
          <w:sz w:val="20"/>
        </w:rPr>
        <w:t xml:space="preserve"> Na externí pracovníky se v záležitostech spojených s webovými stránkami obrací naprostá většina firem, výjimkou jsou jen firmy působící v IT odvětví, kde více než 60 % firem provádí vývoj webových stránek i</w:t>
      </w:r>
      <w:r w:rsidR="002A3D56">
        <w:rPr>
          <w:rFonts w:ascii="Arial" w:hAnsi="Arial" w:cs="Arial"/>
          <w:sz w:val="20"/>
        </w:rPr>
        <w:t> </w:t>
      </w:r>
      <w:r w:rsidR="00AD76F0">
        <w:rPr>
          <w:rFonts w:ascii="Arial" w:hAnsi="Arial" w:cs="Arial"/>
          <w:sz w:val="20"/>
        </w:rPr>
        <w:t xml:space="preserve">jejich následnou podporu díky svým vlastním zaměstnancům. </w:t>
      </w:r>
    </w:p>
    <w:p w:rsidR="00B112AC" w:rsidRPr="00F0027D" w:rsidRDefault="00B112AC" w:rsidP="00953E9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F0027D">
        <w:rPr>
          <w:rFonts w:ascii="Arial" w:hAnsi="Arial" w:cs="Arial"/>
          <w:sz w:val="20"/>
        </w:rPr>
        <w:t xml:space="preserve">Nejčastější službou, kterou </w:t>
      </w:r>
      <w:r w:rsidR="009C3EFC" w:rsidRPr="00F0027D">
        <w:rPr>
          <w:rFonts w:ascii="Arial" w:hAnsi="Arial" w:cs="Arial"/>
          <w:sz w:val="20"/>
        </w:rPr>
        <w:t>firemní</w:t>
      </w:r>
      <w:r w:rsidRPr="00F0027D">
        <w:rPr>
          <w:rFonts w:ascii="Arial" w:hAnsi="Arial" w:cs="Arial"/>
          <w:sz w:val="20"/>
        </w:rPr>
        <w:t xml:space="preserve"> webové stránky ve vztahu ke svým zákazníkům nabízejí, je </w:t>
      </w:r>
      <w:r w:rsidR="0006111E" w:rsidRPr="00F0027D">
        <w:rPr>
          <w:rFonts w:ascii="Arial" w:hAnsi="Arial" w:cs="Arial"/>
          <w:sz w:val="20"/>
        </w:rPr>
        <w:t xml:space="preserve">možnost </w:t>
      </w:r>
      <w:r w:rsidR="0006111E" w:rsidRPr="00953E93">
        <w:rPr>
          <w:rFonts w:ascii="Arial" w:hAnsi="Arial" w:cs="Arial"/>
          <w:b/>
          <w:sz w:val="20"/>
        </w:rPr>
        <w:t>na</w:t>
      </w:r>
      <w:r w:rsidRPr="00953E93">
        <w:rPr>
          <w:rFonts w:ascii="Arial" w:hAnsi="Arial" w:cs="Arial"/>
          <w:b/>
          <w:sz w:val="20"/>
        </w:rPr>
        <w:t>hlížení</w:t>
      </w:r>
      <w:r w:rsidR="0006111E" w:rsidRPr="00953E93">
        <w:rPr>
          <w:rFonts w:ascii="Arial" w:hAnsi="Arial" w:cs="Arial"/>
          <w:b/>
          <w:sz w:val="20"/>
        </w:rPr>
        <w:t xml:space="preserve"> do</w:t>
      </w:r>
      <w:r w:rsidRPr="00953E93">
        <w:rPr>
          <w:rFonts w:ascii="Arial" w:hAnsi="Arial" w:cs="Arial"/>
          <w:b/>
          <w:sz w:val="20"/>
        </w:rPr>
        <w:t xml:space="preserve"> katalogů a ceníků</w:t>
      </w:r>
      <w:r w:rsidRPr="00F0027D">
        <w:rPr>
          <w:rFonts w:ascii="Arial" w:hAnsi="Arial" w:cs="Arial"/>
          <w:sz w:val="20"/>
        </w:rPr>
        <w:t xml:space="preserve"> nabízených výrobků a služeb. T</w:t>
      </w:r>
      <w:r w:rsidR="009C3EFC" w:rsidRPr="00F0027D">
        <w:rPr>
          <w:rFonts w:ascii="Arial" w:hAnsi="Arial" w:cs="Arial"/>
          <w:sz w:val="20"/>
        </w:rPr>
        <w:t>uto</w:t>
      </w:r>
      <w:r w:rsidRPr="00F0027D">
        <w:rPr>
          <w:rFonts w:ascii="Arial" w:hAnsi="Arial" w:cs="Arial"/>
          <w:sz w:val="20"/>
        </w:rPr>
        <w:t xml:space="preserve"> možnost </w:t>
      </w:r>
      <w:r w:rsidR="00817313">
        <w:rPr>
          <w:rFonts w:ascii="Arial" w:hAnsi="Arial" w:cs="Arial"/>
          <w:sz w:val="20"/>
        </w:rPr>
        <w:t>umožňovaly</w:t>
      </w:r>
      <w:r w:rsidR="009C3EFC" w:rsidRPr="00F0027D">
        <w:rPr>
          <w:rFonts w:ascii="Arial" w:hAnsi="Arial" w:cs="Arial"/>
          <w:sz w:val="20"/>
        </w:rPr>
        <w:t xml:space="preserve"> </w:t>
      </w:r>
      <w:r w:rsidR="002F6063" w:rsidRPr="00F0027D">
        <w:rPr>
          <w:rFonts w:ascii="Arial" w:hAnsi="Arial" w:cs="Arial"/>
          <w:sz w:val="20"/>
        </w:rPr>
        <w:t>dvě třetiny webových stránek</w:t>
      </w:r>
      <w:r w:rsidRPr="00F0027D">
        <w:rPr>
          <w:rFonts w:ascii="Arial" w:hAnsi="Arial" w:cs="Arial"/>
          <w:sz w:val="20"/>
        </w:rPr>
        <w:t xml:space="preserve"> </w:t>
      </w:r>
      <w:r w:rsidR="0006111E" w:rsidRPr="00F0027D">
        <w:rPr>
          <w:rFonts w:ascii="Arial" w:hAnsi="Arial" w:cs="Arial"/>
          <w:sz w:val="20"/>
        </w:rPr>
        <w:t xml:space="preserve">českých </w:t>
      </w:r>
      <w:r w:rsidR="009C3EFC" w:rsidRPr="00F0027D">
        <w:rPr>
          <w:rFonts w:ascii="Arial" w:hAnsi="Arial" w:cs="Arial"/>
          <w:sz w:val="20"/>
        </w:rPr>
        <w:t>firem</w:t>
      </w:r>
      <w:r w:rsidR="00F0027D" w:rsidRPr="00F0027D">
        <w:rPr>
          <w:rFonts w:ascii="Arial" w:hAnsi="Arial" w:cs="Arial"/>
          <w:sz w:val="20"/>
        </w:rPr>
        <w:t xml:space="preserve"> (65 %)</w:t>
      </w:r>
      <w:r w:rsidRPr="00F0027D">
        <w:rPr>
          <w:rFonts w:ascii="Arial" w:hAnsi="Arial" w:cs="Arial"/>
          <w:sz w:val="20"/>
        </w:rPr>
        <w:t>. Z</w:t>
      </w:r>
      <w:r w:rsidR="002F6063" w:rsidRPr="00F0027D">
        <w:rPr>
          <w:rFonts w:ascii="Arial" w:hAnsi="Arial" w:cs="Arial"/>
          <w:sz w:val="20"/>
        </w:rPr>
        <w:t> téměř 40 %</w:t>
      </w:r>
      <w:r w:rsidRPr="00F0027D">
        <w:rPr>
          <w:rFonts w:ascii="Arial" w:hAnsi="Arial" w:cs="Arial"/>
          <w:sz w:val="20"/>
        </w:rPr>
        <w:t xml:space="preserve"> webových stránek </w:t>
      </w:r>
      <w:r w:rsidR="009C3EFC" w:rsidRPr="00F0027D">
        <w:rPr>
          <w:rFonts w:ascii="Arial" w:hAnsi="Arial" w:cs="Arial"/>
          <w:sz w:val="20"/>
        </w:rPr>
        <w:t>firem</w:t>
      </w:r>
      <w:r w:rsidRPr="00F0027D">
        <w:rPr>
          <w:rFonts w:ascii="Arial" w:hAnsi="Arial" w:cs="Arial"/>
          <w:sz w:val="20"/>
        </w:rPr>
        <w:t xml:space="preserve"> mohl zákazník </w:t>
      </w:r>
      <w:r w:rsidRPr="00953E93">
        <w:rPr>
          <w:rFonts w:ascii="Arial" w:hAnsi="Arial" w:cs="Arial"/>
          <w:b/>
          <w:sz w:val="20"/>
        </w:rPr>
        <w:t>objedn</w:t>
      </w:r>
      <w:r w:rsidR="001E09D8" w:rsidRPr="00953E93">
        <w:rPr>
          <w:rFonts w:ascii="Arial" w:hAnsi="Arial" w:cs="Arial"/>
          <w:b/>
          <w:sz w:val="20"/>
        </w:rPr>
        <w:t>ávat</w:t>
      </w:r>
      <w:r w:rsidRPr="00953E93">
        <w:rPr>
          <w:rFonts w:ascii="Arial" w:hAnsi="Arial" w:cs="Arial"/>
          <w:b/>
          <w:sz w:val="20"/>
        </w:rPr>
        <w:t xml:space="preserve"> či rezervovat</w:t>
      </w:r>
      <w:r w:rsidRPr="00F0027D">
        <w:rPr>
          <w:rFonts w:ascii="Arial" w:hAnsi="Arial" w:cs="Arial"/>
          <w:sz w:val="20"/>
        </w:rPr>
        <w:t xml:space="preserve"> </w:t>
      </w:r>
      <w:r w:rsidR="00884009" w:rsidRPr="00F0027D">
        <w:rPr>
          <w:rFonts w:ascii="Arial" w:hAnsi="Arial" w:cs="Arial"/>
          <w:sz w:val="20"/>
        </w:rPr>
        <w:t>nabízený</w:t>
      </w:r>
      <w:r w:rsidRPr="00F0027D">
        <w:rPr>
          <w:rFonts w:ascii="Arial" w:hAnsi="Arial" w:cs="Arial"/>
          <w:sz w:val="20"/>
        </w:rPr>
        <w:t xml:space="preserve"> produkt</w:t>
      </w:r>
      <w:r w:rsidR="001E09D8" w:rsidRPr="00F0027D">
        <w:rPr>
          <w:rFonts w:ascii="Arial" w:hAnsi="Arial" w:cs="Arial"/>
          <w:sz w:val="20"/>
        </w:rPr>
        <w:t xml:space="preserve"> </w:t>
      </w:r>
      <w:r w:rsidR="009C3EFC" w:rsidRPr="00F0027D">
        <w:rPr>
          <w:rFonts w:ascii="Arial" w:hAnsi="Arial" w:cs="Arial"/>
          <w:sz w:val="20"/>
        </w:rPr>
        <w:t>či</w:t>
      </w:r>
      <w:r w:rsidR="001E09D8" w:rsidRPr="00F0027D">
        <w:rPr>
          <w:rFonts w:ascii="Arial" w:hAnsi="Arial" w:cs="Arial"/>
          <w:sz w:val="20"/>
        </w:rPr>
        <w:t xml:space="preserve"> službu</w:t>
      </w:r>
      <w:r w:rsidRPr="00F0027D">
        <w:rPr>
          <w:rFonts w:ascii="Arial" w:hAnsi="Arial" w:cs="Arial"/>
          <w:sz w:val="20"/>
        </w:rPr>
        <w:t>.</w:t>
      </w:r>
      <w:r w:rsidR="001E09D8" w:rsidRPr="00F0027D">
        <w:rPr>
          <w:rFonts w:ascii="Arial" w:hAnsi="Arial" w:cs="Arial"/>
          <w:sz w:val="20"/>
        </w:rPr>
        <w:t xml:space="preserve"> </w:t>
      </w:r>
    </w:p>
    <w:p w:rsidR="001E09D8" w:rsidRPr="00914466" w:rsidRDefault="00A34E5A" w:rsidP="00953E93">
      <w:pPr>
        <w:numPr>
          <w:ilvl w:val="0"/>
          <w:numId w:val="2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A34E5A">
        <w:rPr>
          <w:rFonts w:ascii="Arial" w:hAnsi="Arial" w:cs="Arial"/>
          <w:sz w:val="20"/>
        </w:rPr>
        <w:t xml:space="preserve">Mezi méně často vyskytující se </w:t>
      </w:r>
      <w:r w:rsidRPr="00953E93">
        <w:rPr>
          <w:rFonts w:ascii="Arial" w:hAnsi="Arial" w:cs="Arial"/>
          <w:b/>
          <w:sz w:val="20"/>
        </w:rPr>
        <w:t>funkcionality</w:t>
      </w:r>
      <w:r w:rsidRPr="00A34E5A">
        <w:rPr>
          <w:rFonts w:ascii="Arial" w:hAnsi="Arial" w:cs="Arial"/>
          <w:sz w:val="20"/>
        </w:rPr>
        <w:t xml:space="preserve"> webových stránek podniků patřila v lednu 201</w:t>
      </w:r>
      <w:r>
        <w:rPr>
          <w:rFonts w:ascii="Arial" w:hAnsi="Arial" w:cs="Arial"/>
          <w:sz w:val="20"/>
        </w:rPr>
        <w:t>7</w:t>
      </w:r>
      <w:r w:rsidRPr="00A34E5A">
        <w:rPr>
          <w:rFonts w:ascii="Arial" w:hAnsi="Arial" w:cs="Arial"/>
          <w:sz w:val="20"/>
        </w:rPr>
        <w:t xml:space="preserve"> možnost konfigurovat nabízený produkt podle vlastních požadavků. </w:t>
      </w:r>
      <w:r w:rsidR="00643526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ožnost </w:t>
      </w:r>
      <w:r w:rsidRPr="00817313">
        <w:rPr>
          <w:rFonts w:ascii="Arial" w:hAnsi="Arial" w:cs="Arial"/>
          <w:b/>
          <w:sz w:val="20"/>
        </w:rPr>
        <w:t>přizpůsobovat si na míru</w:t>
      </w:r>
      <w:r w:rsidRPr="00F0027D">
        <w:rPr>
          <w:rFonts w:ascii="Arial" w:hAnsi="Arial" w:cs="Arial"/>
          <w:sz w:val="20"/>
        </w:rPr>
        <w:t xml:space="preserve"> standardně </w:t>
      </w:r>
      <w:r w:rsidR="00643526">
        <w:rPr>
          <w:rFonts w:ascii="Arial" w:hAnsi="Arial" w:cs="Arial"/>
          <w:sz w:val="20"/>
        </w:rPr>
        <w:t>prodávaný</w:t>
      </w:r>
      <w:r w:rsidRPr="00F0027D">
        <w:rPr>
          <w:rFonts w:ascii="Arial" w:hAnsi="Arial" w:cs="Arial"/>
          <w:sz w:val="20"/>
        </w:rPr>
        <w:t xml:space="preserve"> výrobek</w:t>
      </w:r>
      <w:r w:rsidR="00817313">
        <w:rPr>
          <w:rFonts w:ascii="Arial" w:hAnsi="Arial" w:cs="Arial"/>
          <w:sz w:val="20"/>
        </w:rPr>
        <w:t>/</w:t>
      </w:r>
      <w:r w:rsidRPr="00F0027D">
        <w:rPr>
          <w:rFonts w:ascii="Arial" w:hAnsi="Arial" w:cs="Arial"/>
          <w:sz w:val="20"/>
        </w:rPr>
        <w:t>službu</w:t>
      </w:r>
      <w:r>
        <w:rPr>
          <w:rFonts w:ascii="Arial" w:hAnsi="Arial" w:cs="Arial"/>
          <w:sz w:val="20"/>
        </w:rPr>
        <w:t xml:space="preserve"> nabízelo svým</w:t>
      </w:r>
      <w:r w:rsidRPr="00F002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zákazníkům </w:t>
      </w:r>
      <w:r w:rsidR="007D22B8">
        <w:rPr>
          <w:rFonts w:ascii="Arial" w:hAnsi="Arial" w:cs="Arial"/>
          <w:sz w:val="20"/>
        </w:rPr>
        <w:t xml:space="preserve">13 </w:t>
      </w:r>
      <w:r w:rsidRPr="00F0027D">
        <w:rPr>
          <w:rFonts w:ascii="Arial" w:hAnsi="Arial" w:cs="Arial"/>
          <w:sz w:val="20"/>
        </w:rPr>
        <w:t xml:space="preserve">% </w:t>
      </w:r>
      <w:r w:rsidR="007D22B8">
        <w:rPr>
          <w:rFonts w:ascii="Arial" w:hAnsi="Arial" w:cs="Arial"/>
          <w:sz w:val="20"/>
        </w:rPr>
        <w:t xml:space="preserve">firem s webovými stránkami. </w:t>
      </w:r>
      <w:r w:rsidR="00F0027D" w:rsidRPr="007D22B8">
        <w:rPr>
          <w:rFonts w:ascii="Arial" w:hAnsi="Arial" w:cs="Arial"/>
          <w:sz w:val="20"/>
        </w:rPr>
        <w:t>D</w:t>
      </w:r>
      <w:r w:rsidR="002F6063" w:rsidRPr="007D22B8">
        <w:rPr>
          <w:rFonts w:ascii="Arial" w:hAnsi="Arial" w:cs="Arial"/>
          <w:sz w:val="20"/>
        </w:rPr>
        <w:t xml:space="preserve">esetina firem s webovými stránkami nabízela </w:t>
      </w:r>
      <w:r w:rsidR="006D44A5" w:rsidRPr="007D22B8">
        <w:rPr>
          <w:rFonts w:ascii="Arial" w:hAnsi="Arial" w:cs="Arial"/>
          <w:sz w:val="20"/>
        </w:rPr>
        <w:t>svým</w:t>
      </w:r>
      <w:r w:rsidR="002F6063" w:rsidRPr="007D22B8">
        <w:rPr>
          <w:rFonts w:ascii="Arial" w:hAnsi="Arial" w:cs="Arial"/>
          <w:sz w:val="20"/>
        </w:rPr>
        <w:t xml:space="preserve"> návštěvníkům</w:t>
      </w:r>
      <w:r w:rsidR="006D44A5" w:rsidRPr="007D22B8">
        <w:rPr>
          <w:rFonts w:ascii="Arial" w:hAnsi="Arial" w:cs="Arial"/>
          <w:sz w:val="20"/>
        </w:rPr>
        <w:t xml:space="preserve"> možnost</w:t>
      </w:r>
      <w:r w:rsidR="002F6063" w:rsidRPr="007D22B8">
        <w:rPr>
          <w:rFonts w:ascii="Arial" w:hAnsi="Arial" w:cs="Arial"/>
          <w:sz w:val="20"/>
        </w:rPr>
        <w:t xml:space="preserve"> </w:t>
      </w:r>
      <w:r w:rsidR="002F6063" w:rsidRPr="00817313">
        <w:rPr>
          <w:rFonts w:ascii="Arial" w:hAnsi="Arial" w:cs="Arial"/>
          <w:b/>
          <w:sz w:val="20"/>
        </w:rPr>
        <w:t>sledovat stav vyřizované zakázky</w:t>
      </w:r>
      <w:r w:rsidR="00F0027D" w:rsidRPr="007D22B8">
        <w:rPr>
          <w:rFonts w:ascii="Arial" w:hAnsi="Arial" w:cs="Arial"/>
          <w:sz w:val="20"/>
        </w:rPr>
        <w:t xml:space="preserve"> či umožňovala zákazníkům za objednané produkty nebo služby přímo </w:t>
      </w:r>
      <w:r w:rsidR="00F0027D" w:rsidRPr="00817313">
        <w:rPr>
          <w:rFonts w:ascii="Arial" w:hAnsi="Arial" w:cs="Arial"/>
          <w:b/>
          <w:sz w:val="20"/>
        </w:rPr>
        <w:t>zaplatit</w:t>
      </w:r>
      <w:r w:rsidR="002F6063" w:rsidRPr="007D22B8">
        <w:rPr>
          <w:rFonts w:ascii="Arial" w:hAnsi="Arial" w:cs="Arial"/>
          <w:sz w:val="20"/>
        </w:rPr>
        <w:t xml:space="preserve">. </w:t>
      </w:r>
      <w:r w:rsidR="00D90E42" w:rsidRPr="007D22B8">
        <w:rPr>
          <w:rFonts w:ascii="Arial" w:hAnsi="Arial" w:cs="Arial"/>
          <w:sz w:val="20"/>
        </w:rPr>
        <w:t xml:space="preserve">Jen o něco více než </w:t>
      </w:r>
      <w:r w:rsidR="00F0027D" w:rsidRPr="007D22B8">
        <w:rPr>
          <w:rFonts w:ascii="Arial" w:hAnsi="Arial" w:cs="Arial"/>
          <w:sz w:val="20"/>
        </w:rPr>
        <w:t>7</w:t>
      </w:r>
      <w:r w:rsidR="006D44A5" w:rsidRPr="007D22B8">
        <w:rPr>
          <w:rFonts w:ascii="Arial" w:hAnsi="Arial" w:cs="Arial"/>
          <w:sz w:val="20"/>
        </w:rPr>
        <w:t xml:space="preserve"> </w:t>
      </w:r>
      <w:r w:rsidR="00D90E42" w:rsidRPr="007D22B8">
        <w:rPr>
          <w:rFonts w:ascii="Arial" w:hAnsi="Arial" w:cs="Arial"/>
          <w:sz w:val="20"/>
        </w:rPr>
        <w:t xml:space="preserve">% firemních stránek </w:t>
      </w:r>
      <w:r w:rsidR="0073322F">
        <w:rPr>
          <w:rFonts w:ascii="Arial" w:hAnsi="Arial" w:cs="Arial"/>
          <w:sz w:val="20"/>
        </w:rPr>
        <w:t>poskytovalo</w:t>
      </w:r>
      <w:r w:rsidR="00D90E42" w:rsidRPr="007D22B8">
        <w:rPr>
          <w:rFonts w:ascii="Arial" w:hAnsi="Arial" w:cs="Arial"/>
          <w:sz w:val="20"/>
        </w:rPr>
        <w:t xml:space="preserve"> </w:t>
      </w:r>
      <w:r w:rsidR="001E09D8" w:rsidRPr="007D22B8">
        <w:rPr>
          <w:rFonts w:ascii="Arial" w:hAnsi="Arial" w:cs="Arial"/>
          <w:sz w:val="20"/>
        </w:rPr>
        <w:t xml:space="preserve">registrovaným uživatelům možnost </w:t>
      </w:r>
      <w:r w:rsidR="001E09D8" w:rsidRPr="00817313">
        <w:rPr>
          <w:rFonts w:ascii="Arial" w:hAnsi="Arial" w:cs="Arial"/>
          <w:b/>
          <w:sz w:val="20"/>
        </w:rPr>
        <w:t>přizpůsobovat zobrazovaný obsah</w:t>
      </w:r>
      <w:r w:rsidR="001E09D8" w:rsidRPr="007D22B8">
        <w:rPr>
          <w:rFonts w:ascii="Arial" w:hAnsi="Arial" w:cs="Arial"/>
          <w:sz w:val="20"/>
        </w:rPr>
        <w:t xml:space="preserve"> stránek jejich preferencím</w:t>
      </w:r>
      <w:r w:rsidR="00D90E42" w:rsidRPr="00914466">
        <w:rPr>
          <w:rFonts w:ascii="Arial" w:hAnsi="Arial" w:cs="Arial"/>
          <w:sz w:val="20"/>
        </w:rPr>
        <w:t>.</w:t>
      </w:r>
    </w:p>
    <w:p w:rsidR="0093217F" w:rsidRDefault="00DD0B3A" w:rsidP="00953E9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F0027D">
        <w:rPr>
          <w:rFonts w:ascii="Arial" w:hAnsi="Arial" w:cs="Arial"/>
          <w:sz w:val="20"/>
        </w:rPr>
        <w:t xml:space="preserve">Nejvíce </w:t>
      </w:r>
      <w:r w:rsidR="00F0027D" w:rsidRPr="00F0027D">
        <w:rPr>
          <w:rFonts w:ascii="Arial" w:hAnsi="Arial" w:cs="Arial"/>
          <w:sz w:val="20"/>
        </w:rPr>
        <w:t xml:space="preserve">výše zmíněných </w:t>
      </w:r>
      <w:r w:rsidR="00643526">
        <w:rPr>
          <w:rFonts w:ascii="Arial" w:hAnsi="Arial" w:cs="Arial"/>
          <w:sz w:val="20"/>
        </w:rPr>
        <w:t>funkcionalit</w:t>
      </w:r>
      <w:r w:rsidR="00F0027D" w:rsidRPr="00F0027D">
        <w:rPr>
          <w:rFonts w:ascii="Arial" w:hAnsi="Arial" w:cs="Arial"/>
          <w:sz w:val="20"/>
        </w:rPr>
        <w:t xml:space="preserve"> </w:t>
      </w:r>
      <w:r w:rsidRPr="00F0027D">
        <w:rPr>
          <w:rFonts w:ascii="Arial" w:hAnsi="Arial" w:cs="Arial"/>
          <w:sz w:val="20"/>
        </w:rPr>
        <w:t>nabízely návštěvníkům webových stránek v lednu 201</w:t>
      </w:r>
      <w:r w:rsidR="00F0027D" w:rsidRPr="00F0027D">
        <w:rPr>
          <w:rFonts w:ascii="Arial" w:hAnsi="Arial" w:cs="Arial"/>
          <w:sz w:val="20"/>
        </w:rPr>
        <w:t>7</w:t>
      </w:r>
      <w:r w:rsidR="0093217F" w:rsidRPr="00F0027D">
        <w:rPr>
          <w:rFonts w:ascii="Arial" w:hAnsi="Arial" w:cs="Arial"/>
          <w:sz w:val="20"/>
        </w:rPr>
        <w:t xml:space="preserve"> firmy poskytující ubytování</w:t>
      </w:r>
      <w:r w:rsidR="00F0027D" w:rsidRPr="00F0027D">
        <w:rPr>
          <w:rFonts w:ascii="Arial" w:hAnsi="Arial" w:cs="Arial"/>
          <w:sz w:val="20"/>
        </w:rPr>
        <w:t>,</w:t>
      </w:r>
      <w:r w:rsidR="0093217F" w:rsidRPr="00F0027D">
        <w:rPr>
          <w:rFonts w:ascii="Arial" w:hAnsi="Arial" w:cs="Arial"/>
          <w:sz w:val="20"/>
        </w:rPr>
        <w:t xml:space="preserve"> stravování</w:t>
      </w:r>
      <w:r w:rsidR="00F0027D" w:rsidRPr="00F0027D">
        <w:rPr>
          <w:rFonts w:ascii="Arial" w:hAnsi="Arial" w:cs="Arial"/>
          <w:sz w:val="20"/>
        </w:rPr>
        <w:t xml:space="preserve"> a pohostinství a také</w:t>
      </w:r>
      <w:r w:rsidR="0093217F" w:rsidRPr="00F0027D">
        <w:rPr>
          <w:rFonts w:ascii="Arial" w:hAnsi="Arial" w:cs="Arial"/>
          <w:sz w:val="20"/>
        </w:rPr>
        <w:t xml:space="preserve"> subjekty zabývající se obchodem</w:t>
      </w:r>
      <w:r w:rsidR="00F0027D" w:rsidRPr="00F0027D">
        <w:rPr>
          <w:rFonts w:ascii="Arial" w:hAnsi="Arial" w:cs="Arial"/>
          <w:sz w:val="20"/>
        </w:rPr>
        <w:t>. Třetí příčka patří za rok 2017 firmám zabývajících se</w:t>
      </w:r>
      <w:r w:rsidR="0093217F" w:rsidRPr="00F0027D">
        <w:rPr>
          <w:rFonts w:ascii="Arial" w:hAnsi="Arial" w:cs="Arial"/>
          <w:sz w:val="20"/>
        </w:rPr>
        <w:t xml:space="preserve"> informačními a komunikačními činnostmi. </w:t>
      </w:r>
      <w:r w:rsidR="00F0027D">
        <w:rPr>
          <w:rFonts w:ascii="Arial" w:hAnsi="Arial" w:cs="Arial"/>
          <w:sz w:val="20"/>
        </w:rPr>
        <w:t>Firmy poskytující ubytování a stravovací služby mají na svých webových stránkách častěji zveřejněné katalogy a</w:t>
      </w:r>
      <w:r w:rsidR="00953E93">
        <w:rPr>
          <w:rFonts w:ascii="Arial" w:hAnsi="Arial" w:cs="Arial"/>
          <w:sz w:val="20"/>
        </w:rPr>
        <w:t> </w:t>
      </w:r>
      <w:r w:rsidR="00F0027D">
        <w:rPr>
          <w:rFonts w:ascii="Arial" w:hAnsi="Arial" w:cs="Arial"/>
          <w:sz w:val="20"/>
        </w:rPr>
        <w:t xml:space="preserve">ceníky a jejich </w:t>
      </w:r>
      <w:r w:rsidR="00817313">
        <w:rPr>
          <w:rFonts w:ascii="Arial" w:hAnsi="Arial" w:cs="Arial"/>
          <w:sz w:val="20"/>
        </w:rPr>
        <w:t>zákazníci</w:t>
      </w:r>
      <w:r w:rsidR="00F0027D">
        <w:rPr>
          <w:rFonts w:ascii="Arial" w:hAnsi="Arial" w:cs="Arial"/>
          <w:sz w:val="20"/>
        </w:rPr>
        <w:t xml:space="preserve"> mohou přímo z webových stránek učinit objednávku nebo rezervaci pří</w:t>
      </w:r>
      <w:r w:rsidR="00267D0C">
        <w:rPr>
          <w:rFonts w:ascii="Arial" w:hAnsi="Arial" w:cs="Arial"/>
          <w:sz w:val="20"/>
        </w:rPr>
        <w:t>s</w:t>
      </w:r>
      <w:r w:rsidR="00F0027D">
        <w:rPr>
          <w:rFonts w:ascii="Arial" w:hAnsi="Arial" w:cs="Arial"/>
          <w:sz w:val="20"/>
        </w:rPr>
        <w:t xml:space="preserve">lušné služby. Firmy působící v obchodě naproti tomu častěji umožňují svým </w:t>
      </w:r>
      <w:r w:rsidR="00817313">
        <w:rPr>
          <w:rFonts w:ascii="Arial" w:hAnsi="Arial" w:cs="Arial"/>
          <w:sz w:val="20"/>
        </w:rPr>
        <w:t>klient</w:t>
      </w:r>
      <w:r w:rsidR="00F0027D">
        <w:rPr>
          <w:rFonts w:ascii="Arial" w:hAnsi="Arial" w:cs="Arial"/>
          <w:sz w:val="20"/>
        </w:rPr>
        <w:t>ům sledovat stav vyřizované zakázky</w:t>
      </w:r>
      <w:r w:rsidR="00267D0C">
        <w:rPr>
          <w:rFonts w:ascii="Arial" w:hAnsi="Arial" w:cs="Arial"/>
          <w:sz w:val="20"/>
        </w:rPr>
        <w:t xml:space="preserve"> a učinit platbu za objednané produkty</w:t>
      </w:r>
      <w:r w:rsidR="00817313">
        <w:rPr>
          <w:rFonts w:ascii="Arial" w:hAnsi="Arial" w:cs="Arial"/>
          <w:sz w:val="20"/>
        </w:rPr>
        <w:t>/služby</w:t>
      </w:r>
      <w:r w:rsidR="00267D0C">
        <w:rPr>
          <w:rFonts w:ascii="Arial" w:hAnsi="Arial" w:cs="Arial"/>
          <w:sz w:val="20"/>
        </w:rPr>
        <w:t>.</w:t>
      </w:r>
    </w:p>
    <w:p w:rsidR="00AB1F86" w:rsidRDefault="007D22B8" w:rsidP="00AB1F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  <w:r w:rsidRPr="00AB1F86">
        <w:rPr>
          <w:rFonts w:ascii="Arial" w:hAnsi="Arial" w:cs="Arial"/>
          <w:sz w:val="20"/>
        </w:rPr>
        <w:t xml:space="preserve">Pětina </w:t>
      </w:r>
      <w:r w:rsidR="00C25284" w:rsidRPr="00AB1F86">
        <w:rPr>
          <w:rFonts w:ascii="Arial" w:hAnsi="Arial" w:cs="Arial"/>
          <w:sz w:val="20"/>
        </w:rPr>
        <w:t>firem</w:t>
      </w:r>
      <w:r w:rsidRPr="00AB1F86">
        <w:rPr>
          <w:rFonts w:ascii="Arial" w:hAnsi="Arial" w:cs="Arial"/>
          <w:sz w:val="20"/>
        </w:rPr>
        <w:t xml:space="preserve"> v</w:t>
      </w:r>
      <w:r w:rsidR="00C25284" w:rsidRPr="00AB1F86">
        <w:rPr>
          <w:rFonts w:ascii="Arial" w:hAnsi="Arial" w:cs="Arial"/>
          <w:sz w:val="20"/>
        </w:rPr>
        <w:t> </w:t>
      </w:r>
      <w:r w:rsidRPr="00AB1F86">
        <w:rPr>
          <w:rFonts w:ascii="Arial" w:hAnsi="Arial" w:cs="Arial"/>
          <w:sz w:val="20"/>
        </w:rPr>
        <w:t>ČR</w:t>
      </w:r>
      <w:r w:rsidR="00C25284" w:rsidRPr="00AB1F86">
        <w:rPr>
          <w:rFonts w:ascii="Arial" w:hAnsi="Arial" w:cs="Arial"/>
          <w:sz w:val="20"/>
        </w:rPr>
        <w:t xml:space="preserve"> (19 %)</w:t>
      </w:r>
      <w:r w:rsidRPr="00AB1F86">
        <w:rPr>
          <w:rFonts w:ascii="Arial" w:hAnsi="Arial" w:cs="Arial"/>
          <w:sz w:val="20"/>
        </w:rPr>
        <w:t xml:space="preserve"> </w:t>
      </w:r>
      <w:r w:rsidRPr="00AB1F86">
        <w:rPr>
          <w:rFonts w:ascii="Arial" w:hAnsi="Arial" w:cs="Arial"/>
          <w:b/>
          <w:sz w:val="20"/>
        </w:rPr>
        <w:t>prodávala v roce 201</w:t>
      </w:r>
      <w:r w:rsidR="00C25284" w:rsidRPr="00AB1F86">
        <w:rPr>
          <w:rFonts w:ascii="Arial" w:hAnsi="Arial" w:cs="Arial"/>
          <w:b/>
          <w:sz w:val="20"/>
        </w:rPr>
        <w:t>6</w:t>
      </w:r>
      <w:r w:rsidRPr="00AB1F86">
        <w:rPr>
          <w:rFonts w:ascii="Arial" w:hAnsi="Arial" w:cs="Arial"/>
          <w:b/>
          <w:sz w:val="20"/>
        </w:rPr>
        <w:t xml:space="preserve"> zboží či služby přes webové stránky</w:t>
      </w:r>
      <w:r w:rsidRPr="00AB1F86">
        <w:rPr>
          <w:rFonts w:ascii="Arial" w:hAnsi="Arial" w:cs="Arial"/>
          <w:sz w:val="20"/>
        </w:rPr>
        <w:t xml:space="preserve">. Za posledních </w:t>
      </w:r>
      <w:r w:rsidR="002A3D56">
        <w:rPr>
          <w:rFonts w:ascii="Arial" w:hAnsi="Arial" w:cs="Arial"/>
          <w:sz w:val="20"/>
        </w:rPr>
        <w:t>devět</w:t>
      </w:r>
      <w:r w:rsidRPr="00AB1F86">
        <w:rPr>
          <w:rFonts w:ascii="Arial" w:hAnsi="Arial" w:cs="Arial"/>
          <w:sz w:val="20"/>
        </w:rPr>
        <w:t xml:space="preserve"> let se podíl </w:t>
      </w:r>
      <w:r w:rsidR="00C25284" w:rsidRPr="00AB1F86">
        <w:rPr>
          <w:rFonts w:ascii="Arial" w:hAnsi="Arial" w:cs="Arial"/>
          <w:sz w:val="20"/>
        </w:rPr>
        <w:t>subjektů</w:t>
      </w:r>
      <w:r w:rsidRPr="00AB1F86">
        <w:rPr>
          <w:rFonts w:ascii="Arial" w:hAnsi="Arial" w:cs="Arial"/>
          <w:sz w:val="20"/>
        </w:rPr>
        <w:t xml:space="preserve"> prodávajících přes webové stránky zdvojnásobil. Firmy, které prodávají přes své vlastní webové stránky, prodávají přibližně stejně často </w:t>
      </w:r>
      <w:r w:rsidR="00C25284" w:rsidRPr="00AB1F86">
        <w:rPr>
          <w:rFonts w:ascii="Arial" w:hAnsi="Arial" w:cs="Arial"/>
          <w:sz w:val="20"/>
        </w:rPr>
        <w:t>jak</w:t>
      </w:r>
      <w:r w:rsidRPr="00AB1F86">
        <w:rPr>
          <w:rFonts w:ascii="Arial" w:hAnsi="Arial" w:cs="Arial"/>
          <w:sz w:val="20"/>
        </w:rPr>
        <w:t xml:space="preserve"> koncovým zákazníkům (tzv. B2C prodej) </w:t>
      </w:r>
      <w:r w:rsidR="00C25284" w:rsidRPr="00AB1F86">
        <w:rPr>
          <w:rFonts w:ascii="Arial" w:hAnsi="Arial" w:cs="Arial"/>
          <w:sz w:val="20"/>
        </w:rPr>
        <w:t>tak</w:t>
      </w:r>
      <w:r w:rsidRPr="00AB1F86">
        <w:rPr>
          <w:rFonts w:ascii="Arial" w:hAnsi="Arial" w:cs="Arial"/>
          <w:sz w:val="20"/>
        </w:rPr>
        <w:t xml:space="preserve"> </w:t>
      </w:r>
      <w:r w:rsidR="00C25284" w:rsidRPr="00AB1F86">
        <w:rPr>
          <w:rFonts w:ascii="Arial" w:hAnsi="Arial" w:cs="Arial"/>
          <w:sz w:val="20"/>
        </w:rPr>
        <w:t xml:space="preserve">dalším </w:t>
      </w:r>
      <w:r w:rsidRPr="00AB1F86">
        <w:rPr>
          <w:rFonts w:ascii="Arial" w:hAnsi="Arial" w:cs="Arial"/>
          <w:sz w:val="20"/>
        </w:rPr>
        <w:t xml:space="preserve">firmám </w:t>
      </w:r>
      <w:r w:rsidR="00C25284" w:rsidRPr="00AB1F86">
        <w:rPr>
          <w:rFonts w:ascii="Arial" w:hAnsi="Arial" w:cs="Arial"/>
          <w:sz w:val="20"/>
        </w:rPr>
        <w:t>nebo organizacím veřejné správy (tzv. B2</w:t>
      </w:r>
      <w:r w:rsidR="005B4655" w:rsidRPr="00AB1F86">
        <w:rPr>
          <w:rFonts w:ascii="Arial" w:hAnsi="Arial" w:cs="Arial"/>
          <w:sz w:val="20"/>
        </w:rPr>
        <w:t>B nebo B2</w:t>
      </w:r>
      <w:r w:rsidR="00C25284" w:rsidRPr="00AB1F86">
        <w:rPr>
          <w:rFonts w:ascii="Arial" w:hAnsi="Arial" w:cs="Arial"/>
          <w:sz w:val="20"/>
        </w:rPr>
        <w:t>G prodej)</w:t>
      </w:r>
      <w:r w:rsidRPr="00AB1F86">
        <w:rPr>
          <w:rFonts w:ascii="Arial" w:hAnsi="Arial" w:cs="Arial"/>
          <w:sz w:val="20"/>
        </w:rPr>
        <w:t xml:space="preserve">. </w:t>
      </w:r>
    </w:p>
    <w:p w:rsidR="007D22B8" w:rsidRPr="00AB1F86" w:rsidRDefault="007D22B8" w:rsidP="00AB1F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  <w:r w:rsidRPr="00AB1F86">
        <w:rPr>
          <w:rFonts w:ascii="Arial" w:hAnsi="Arial" w:cs="Arial"/>
          <w:sz w:val="20"/>
        </w:rPr>
        <w:lastRenderedPageBreak/>
        <w:t xml:space="preserve">V mezinárodním srovnání podniků prodávajících přes webové stránky </w:t>
      </w:r>
      <w:r w:rsidR="00C25284" w:rsidRPr="00AB1F86">
        <w:rPr>
          <w:rFonts w:ascii="Arial" w:hAnsi="Arial" w:cs="Arial"/>
          <w:sz w:val="20"/>
        </w:rPr>
        <w:t>byly za rok 2015</w:t>
      </w:r>
      <w:r w:rsidR="00C25284" w:rsidRPr="00C25284">
        <w:rPr>
          <w:rStyle w:val="Znakapoznpodarou"/>
          <w:rFonts w:ascii="Arial" w:hAnsi="Arial" w:cs="Arial"/>
          <w:sz w:val="20"/>
        </w:rPr>
        <w:footnoteReference w:id="2"/>
      </w:r>
      <w:r w:rsidRPr="00AB1F86">
        <w:rPr>
          <w:rFonts w:ascii="Arial" w:hAnsi="Arial" w:cs="Arial"/>
          <w:sz w:val="20"/>
        </w:rPr>
        <w:t xml:space="preserve"> české subjekty na</w:t>
      </w:r>
      <w:r w:rsidR="002A3D56">
        <w:rPr>
          <w:rFonts w:ascii="Arial" w:hAnsi="Arial" w:cs="Arial"/>
          <w:sz w:val="20"/>
        </w:rPr>
        <w:t> </w:t>
      </w:r>
      <w:r w:rsidRPr="00AB1F86">
        <w:rPr>
          <w:rFonts w:ascii="Arial" w:hAnsi="Arial" w:cs="Arial"/>
          <w:sz w:val="20"/>
        </w:rPr>
        <w:t xml:space="preserve">7. místě, </w:t>
      </w:r>
      <w:r w:rsidRPr="00AB1F86">
        <w:rPr>
          <w:rFonts w:ascii="Arial" w:hAnsi="Arial" w:cs="Arial"/>
          <w:b/>
          <w:sz w:val="20"/>
        </w:rPr>
        <w:t>vysoko nad průměrem EU28</w:t>
      </w:r>
      <w:r w:rsidRPr="00AB1F86">
        <w:rPr>
          <w:rFonts w:ascii="Arial" w:hAnsi="Arial" w:cs="Arial"/>
          <w:sz w:val="20"/>
        </w:rPr>
        <w:t xml:space="preserve">. Nejvíce firem prodávajících přes webové stránky </w:t>
      </w:r>
      <w:r w:rsidR="00C25284" w:rsidRPr="00AB1F86">
        <w:rPr>
          <w:rFonts w:ascii="Arial" w:hAnsi="Arial" w:cs="Arial"/>
          <w:sz w:val="20"/>
        </w:rPr>
        <w:t>bylo</w:t>
      </w:r>
      <w:r w:rsidRPr="00AB1F86">
        <w:rPr>
          <w:rFonts w:ascii="Arial" w:hAnsi="Arial" w:cs="Arial"/>
          <w:sz w:val="20"/>
        </w:rPr>
        <w:t xml:space="preserve"> v Irsku. Kdyby se evropský žebříček sestavoval pouze z firem prodávajících přes své webové stránky koncovým zákazníkům (B2C prodeje), byly by firmy v České republice</w:t>
      </w:r>
      <w:r w:rsidR="00C25284" w:rsidRPr="00AB1F86">
        <w:rPr>
          <w:rFonts w:ascii="Arial" w:hAnsi="Arial" w:cs="Arial"/>
          <w:sz w:val="20"/>
        </w:rPr>
        <w:t xml:space="preserve"> za rok 2015</w:t>
      </w:r>
      <w:r w:rsidRPr="00AB1F86">
        <w:rPr>
          <w:rFonts w:ascii="Arial" w:hAnsi="Arial" w:cs="Arial"/>
          <w:sz w:val="20"/>
        </w:rPr>
        <w:t xml:space="preserve"> dokonce na 4. místě.</w:t>
      </w:r>
    </w:p>
    <w:p w:rsidR="00B112AC" w:rsidRDefault="00B112AC" w:rsidP="00B112AC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 xml:space="preserve">Graf </w:t>
      </w:r>
      <w:r w:rsidR="00262CD7"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 xml:space="preserve">.1: </w:t>
      </w:r>
      <w:r w:rsidR="00FD18A2">
        <w:rPr>
          <w:rFonts w:ascii="Arial" w:hAnsi="Arial" w:cs="Arial"/>
          <w:b/>
          <w:sz w:val="20"/>
        </w:rPr>
        <w:t>Firmy</w:t>
      </w:r>
      <w:r w:rsidRPr="00D51846">
        <w:rPr>
          <w:rFonts w:ascii="Arial" w:hAnsi="Arial" w:cs="Arial"/>
          <w:b/>
          <w:sz w:val="20"/>
        </w:rPr>
        <w:t xml:space="preserve"> v ČR s webovými stránkami</w:t>
      </w:r>
    </w:p>
    <w:p w:rsidR="00B112AC" w:rsidRPr="00D51846" w:rsidRDefault="002A3D56" w:rsidP="002951F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drawing>
          <wp:inline distT="0" distB="0" distL="0" distR="0" wp14:anchorId="0AD9BAEA" wp14:editId="5104189A">
            <wp:extent cx="5972810" cy="2068830"/>
            <wp:effectExtent l="0" t="0" r="889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5475" w:rsidRDefault="00B112AC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D51846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FD18A2">
        <w:rPr>
          <w:rFonts w:ascii="Arial" w:hAnsi="Arial" w:cs="Arial"/>
          <w:i/>
          <w:sz w:val="18"/>
          <w:szCs w:val="18"/>
        </w:rPr>
        <w:t>firem</w:t>
      </w:r>
      <w:r w:rsidRPr="00D51846">
        <w:rPr>
          <w:rFonts w:ascii="Arial" w:hAnsi="Arial" w:cs="Arial"/>
          <w:i/>
          <w:sz w:val="18"/>
          <w:szCs w:val="18"/>
        </w:rPr>
        <w:t xml:space="preserve"> v</w:t>
      </w:r>
      <w:r w:rsidR="009354AF">
        <w:rPr>
          <w:rFonts w:ascii="Arial" w:hAnsi="Arial" w:cs="Arial"/>
          <w:i/>
          <w:sz w:val="18"/>
          <w:szCs w:val="18"/>
        </w:rPr>
        <w:t xml:space="preserve"> daných letech </w:t>
      </w:r>
    </w:p>
    <w:p w:rsidR="00953E93" w:rsidRPr="00953E93" w:rsidRDefault="00953E93" w:rsidP="00BD4C80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D54933" w:rsidRDefault="00D54933" w:rsidP="00BD4C80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 w:rsidRPr="00D54933">
        <w:rPr>
          <w:rFonts w:ascii="Arial" w:hAnsi="Arial" w:cs="Arial"/>
          <w:b/>
          <w:sz w:val="20"/>
        </w:rPr>
        <w:t xml:space="preserve">Tab. </w:t>
      </w:r>
      <w:r w:rsidR="00262CD7">
        <w:rPr>
          <w:rFonts w:ascii="Arial" w:hAnsi="Arial" w:cs="Arial"/>
          <w:b/>
          <w:sz w:val="20"/>
        </w:rPr>
        <w:t>3</w:t>
      </w:r>
      <w:r w:rsidRPr="00D54933">
        <w:rPr>
          <w:rFonts w:ascii="Arial" w:hAnsi="Arial" w:cs="Arial"/>
          <w:b/>
          <w:sz w:val="20"/>
        </w:rPr>
        <w:t xml:space="preserve">.1: </w:t>
      </w:r>
      <w:r w:rsidR="002951F4">
        <w:rPr>
          <w:rFonts w:ascii="Arial" w:hAnsi="Arial" w:cs="Arial"/>
          <w:b/>
          <w:sz w:val="20"/>
        </w:rPr>
        <w:t>Webové stránky firem a jejich využití</w:t>
      </w:r>
      <w:r w:rsidRPr="00D54933">
        <w:rPr>
          <w:rFonts w:ascii="Arial" w:hAnsi="Arial" w:cs="Arial"/>
          <w:b/>
          <w:sz w:val="20"/>
        </w:rPr>
        <w:t>, leden 20</w:t>
      </w:r>
      <w:r w:rsidR="00262CD7">
        <w:rPr>
          <w:rFonts w:ascii="Arial" w:hAnsi="Arial" w:cs="Arial"/>
          <w:b/>
          <w:sz w:val="20"/>
        </w:rPr>
        <w:t>17</w:t>
      </w:r>
      <w:r w:rsidR="002951F4">
        <w:rPr>
          <w:rFonts w:ascii="Arial" w:hAnsi="Arial" w:cs="Arial"/>
          <w:b/>
          <w:sz w:val="20"/>
        </w:rPr>
        <w:t xml:space="preserve"> </w:t>
      </w:r>
    </w:p>
    <w:tbl>
      <w:tblPr>
        <w:tblW w:w="9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77"/>
        <w:gridCol w:w="1309"/>
        <w:gridCol w:w="1180"/>
        <w:gridCol w:w="1272"/>
        <w:gridCol w:w="1290"/>
      </w:tblGrid>
      <w:tr w:rsidR="00AB1F86" w:rsidRPr="00AB1F86" w:rsidTr="00AB1F86">
        <w:trPr>
          <w:trHeight w:val="240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s webovými stránkami celkem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přizpůsobenými pro mobilní zařízení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AB1F86" w:rsidRPr="00AB1F86" w:rsidRDefault="00AB1F86" w:rsidP="00AD7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jejichž vývoj ve firmě provád</w:t>
            </w:r>
            <w:r w:rsidR="00AD76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ěli</w:t>
            </w: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převážně vlastní zaměstnanci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7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B1F86" w:rsidRPr="00AB1F86" w:rsidTr="00AB1F86">
        <w:trPr>
          <w:trHeight w:val="660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7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celkového počtu firem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% z firem </w:t>
            </w: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s webovými stránkami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% z celkového počtu firem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% z firem </w:t>
            </w: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AB1F8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s webovými stránkami</w:t>
            </w:r>
          </w:p>
        </w:tc>
      </w:tr>
      <w:tr w:rsidR="00AB1F86" w:rsidRPr="00AB1F86" w:rsidTr="00AB1F86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82,9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42,5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80,4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50,1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91,8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52,6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94,2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62,8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84,4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46,1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88,2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48,8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48,7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92,2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89,9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63,4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70,9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97,3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71,8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72,8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60,9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96,6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67,8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98,4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65,2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39,6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96,4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40,8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68,2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61,1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88,2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88,9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52,1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</w:tr>
      <w:tr w:rsidR="00AB1F86" w:rsidRPr="00AB1F86" w:rsidTr="00AB1F86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54,1 </w:t>
            </w:r>
          </w:p>
        </w:tc>
        <w:tc>
          <w:tcPr>
            <w:tcW w:w="1272" w:type="dxa"/>
            <w:tcBorders>
              <w:top w:val="nil"/>
              <w:left w:val="single" w:sz="4" w:space="0" w:color="969696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AB1F86" w:rsidRPr="00AB1F86" w:rsidRDefault="00AB1F86" w:rsidP="00AB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1F8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</w:tr>
    </w:tbl>
    <w:p w:rsidR="00AB1F86" w:rsidRDefault="00AB1F86" w:rsidP="00BD4C80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</w:p>
    <w:p w:rsidR="001E0F9E" w:rsidRDefault="002B7FC1" w:rsidP="00AD76F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1E0F9E" w:rsidRPr="00D51846">
        <w:rPr>
          <w:rFonts w:ascii="Arial" w:hAnsi="Arial" w:cs="Arial"/>
          <w:b/>
          <w:sz w:val="20"/>
        </w:rPr>
        <w:lastRenderedPageBreak/>
        <w:t xml:space="preserve">Graf </w:t>
      </w:r>
      <w:r w:rsidR="001E0F9E">
        <w:rPr>
          <w:rFonts w:ascii="Arial" w:hAnsi="Arial" w:cs="Arial"/>
          <w:b/>
          <w:sz w:val="20"/>
        </w:rPr>
        <w:t>3</w:t>
      </w:r>
      <w:r w:rsidR="001E0F9E" w:rsidRPr="00D51846">
        <w:rPr>
          <w:rFonts w:ascii="Arial" w:hAnsi="Arial" w:cs="Arial"/>
          <w:b/>
          <w:sz w:val="20"/>
        </w:rPr>
        <w:t>.</w:t>
      </w:r>
      <w:r w:rsidR="001E0F9E">
        <w:rPr>
          <w:rFonts w:ascii="Arial" w:hAnsi="Arial" w:cs="Arial"/>
          <w:b/>
          <w:sz w:val="20"/>
        </w:rPr>
        <w:t>2</w:t>
      </w:r>
      <w:r w:rsidR="001E0F9E" w:rsidRPr="00D51846">
        <w:rPr>
          <w:rFonts w:ascii="Arial" w:hAnsi="Arial" w:cs="Arial"/>
          <w:b/>
          <w:sz w:val="20"/>
        </w:rPr>
        <w:t xml:space="preserve">: </w:t>
      </w:r>
      <w:r w:rsidR="001E0F9E">
        <w:rPr>
          <w:rFonts w:ascii="Arial" w:hAnsi="Arial" w:cs="Arial"/>
          <w:b/>
          <w:sz w:val="20"/>
        </w:rPr>
        <w:t>Firmy</w:t>
      </w:r>
      <w:r w:rsidR="001E0F9E" w:rsidRPr="00D51846">
        <w:rPr>
          <w:rFonts w:ascii="Arial" w:hAnsi="Arial" w:cs="Arial"/>
          <w:b/>
          <w:sz w:val="20"/>
        </w:rPr>
        <w:t xml:space="preserve"> v</w:t>
      </w:r>
      <w:r w:rsidR="001E0F9E">
        <w:rPr>
          <w:rFonts w:ascii="Arial" w:hAnsi="Arial" w:cs="Arial"/>
          <w:b/>
          <w:sz w:val="20"/>
        </w:rPr>
        <w:t> zemích EU</w:t>
      </w:r>
      <w:r w:rsidR="001E0F9E" w:rsidRPr="00D51846">
        <w:rPr>
          <w:rFonts w:ascii="Arial" w:hAnsi="Arial" w:cs="Arial"/>
          <w:b/>
          <w:sz w:val="20"/>
        </w:rPr>
        <w:t xml:space="preserve"> s webovými stránkami</w:t>
      </w:r>
      <w:r w:rsidR="001E0F9E">
        <w:rPr>
          <w:rFonts w:ascii="Arial" w:hAnsi="Arial" w:cs="Arial"/>
          <w:b/>
          <w:sz w:val="20"/>
        </w:rPr>
        <w:t>, leden 2016</w:t>
      </w:r>
    </w:p>
    <w:p w:rsidR="001E0F9E" w:rsidRDefault="001E0F9E" w:rsidP="001E0F9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</w:p>
    <w:p w:rsidR="001E0F9E" w:rsidRDefault="002F44D7" w:rsidP="001E0F9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cs-CZ"/>
        </w:rPr>
        <w:drawing>
          <wp:inline distT="0" distB="0" distL="0" distR="0" wp14:anchorId="39272EF4" wp14:editId="0037ADE4">
            <wp:extent cx="5972810" cy="2311400"/>
            <wp:effectExtent l="0" t="0" r="889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0F9E" w:rsidRDefault="001E0F9E" w:rsidP="001E0F9E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DB697D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>na celkovém</w:t>
      </w:r>
      <w:r w:rsidRPr="00DB697D">
        <w:rPr>
          <w:rFonts w:ascii="Arial" w:hAnsi="Arial" w:cs="Arial"/>
          <w:i/>
          <w:sz w:val="18"/>
          <w:szCs w:val="18"/>
        </w:rPr>
        <w:t xml:space="preserve"> počtu </w:t>
      </w:r>
      <w:r>
        <w:rPr>
          <w:rFonts w:ascii="Arial" w:hAnsi="Arial" w:cs="Arial"/>
          <w:i/>
          <w:sz w:val="18"/>
          <w:szCs w:val="18"/>
        </w:rPr>
        <w:t>firem</w:t>
      </w:r>
      <w:r w:rsidRPr="00DB697D">
        <w:rPr>
          <w:rFonts w:ascii="Arial" w:hAnsi="Arial" w:cs="Arial"/>
          <w:i/>
          <w:sz w:val="18"/>
          <w:szCs w:val="18"/>
        </w:rPr>
        <w:t xml:space="preserve"> s 10 a více zaměstnanci v dané </w:t>
      </w:r>
      <w:proofErr w:type="gramStart"/>
      <w:r w:rsidRPr="00DB697D">
        <w:rPr>
          <w:rFonts w:ascii="Arial" w:hAnsi="Arial" w:cs="Arial"/>
          <w:i/>
          <w:sz w:val="18"/>
          <w:szCs w:val="18"/>
        </w:rPr>
        <w:t>zemi</w:t>
      </w:r>
      <w:r w:rsidR="002F44D7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                      z</w:t>
      </w:r>
      <w:r w:rsidRPr="00DB697D">
        <w:rPr>
          <w:rFonts w:ascii="Arial" w:hAnsi="Arial" w:cs="Arial"/>
          <w:sz w:val="18"/>
          <w:szCs w:val="18"/>
        </w:rPr>
        <w:t>droj</w:t>
      </w:r>
      <w:proofErr w:type="gramEnd"/>
      <w:r>
        <w:rPr>
          <w:rFonts w:ascii="Arial" w:hAnsi="Arial" w:cs="Arial"/>
          <w:sz w:val="18"/>
          <w:szCs w:val="18"/>
        </w:rPr>
        <w:t xml:space="preserve"> dat</w:t>
      </w:r>
      <w:r w:rsidRPr="00DB697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DB697D">
        <w:rPr>
          <w:rFonts w:ascii="Arial" w:hAnsi="Arial" w:cs="Arial"/>
          <w:sz w:val="18"/>
          <w:szCs w:val="18"/>
        </w:rPr>
        <w:t>Eurostat</w:t>
      </w:r>
      <w:proofErr w:type="spellEnd"/>
      <w:r w:rsidRPr="00DB697D">
        <w:rPr>
          <w:rFonts w:ascii="Arial" w:hAnsi="Arial" w:cs="Arial"/>
          <w:sz w:val="18"/>
          <w:szCs w:val="18"/>
        </w:rPr>
        <w:t>, prosinec 2016</w:t>
      </w:r>
    </w:p>
    <w:p w:rsidR="001E0F9E" w:rsidRDefault="001E0F9E" w:rsidP="001E0F9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</w:p>
    <w:p w:rsidR="0073035F" w:rsidRDefault="0073035F" w:rsidP="0073035F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</w:t>
      </w:r>
      <w:r w:rsidRPr="00D51846">
        <w:rPr>
          <w:rFonts w:ascii="Arial" w:hAnsi="Arial" w:cs="Arial"/>
          <w:b/>
          <w:sz w:val="20"/>
        </w:rPr>
        <w:t xml:space="preserve"> v ČR </w:t>
      </w:r>
      <w:r>
        <w:rPr>
          <w:rFonts w:ascii="Arial" w:hAnsi="Arial" w:cs="Arial"/>
          <w:b/>
          <w:sz w:val="20"/>
        </w:rPr>
        <w:t>prodávající přes</w:t>
      </w:r>
      <w:r w:rsidRPr="00D51846">
        <w:rPr>
          <w:rFonts w:ascii="Arial" w:hAnsi="Arial" w:cs="Arial"/>
          <w:b/>
          <w:sz w:val="20"/>
        </w:rPr>
        <w:t> webov</w:t>
      </w:r>
      <w:r>
        <w:rPr>
          <w:rFonts w:ascii="Arial" w:hAnsi="Arial" w:cs="Arial"/>
          <w:b/>
          <w:sz w:val="20"/>
        </w:rPr>
        <w:t>é</w:t>
      </w:r>
      <w:r w:rsidRPr="00D51846">
        <w:rPr>
          <w:rFonts w:ascii="Arial" w:hAnsi="Arial" w:cs="Arial"/>
          <w:b/>
          <w:sz w:val="20"/>
        </w:rPr>
        <w:t xml:space="preserve"> stránk</w:t>
      </w:r>
      <w:r>
        <w:rPr>
          <w:rFonts w:ascii="Arial" w:hAnsi="Arial" w:cs="Arial"/>
          <w:b/>
          <w:sz w:val="20"/>
        </w:rPr>
        <w:t>y</w:t>
      </w:r>
    </w:p>
    <w:p w:rsidR="0073035F" w:rsidRDefault="002A3D56" w:rsidP="0073035F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FF7A40F" wp14:editId="1B40ABCB">
            <wp:extent cx="5972175" cy="180022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5703C">
        <w:rPr>
          <w:noProof/>
          <w:lang w:eastAsia="cs-CZ"/>
        </w:rPr>
        <w:t xml:space="preserve"> </w:t>
      </w:r>
    </w:p>
    <w:p w:rsidR="0073035F" w:rsidRDefault="0073035F" w:rsidP="0073035F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D5184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 v dané velikostní skupině</w:t>
      </w:r>
      <w:r w:rsidRPr="00D51846">
        <w:rPr>
          <w:rFonts w:ascii="Arial" w:hAnsi="Arial" w:cs="Arial"/>
          <w:i/>
          <w:sz w:val="18"/>
          <w:szCs w:val="18"/>
        </w:rPr>
        <w:t xml:space="preserve"> v</w:t>
      </w:r>
      <w:r>
        <w:rPr>
          <w:rFonts w:ascii="Arial" w:hAnsi="Arial" w:cs="Arial"/>
          <w:i/>
          <w:sz w:val="18"/>
          <w:szCs w:val="18"/>
        </w:rPr>
        <w:t xml:space="preserve"> daných letech </w:t>
      </w:r>
    </w:p>
    <w:p w:rsidR="001E0F9E" w:rsidRDefault="001E0F9E" w:rsidP="001E0F9E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>.</w:t>
      </w:r>
      <w:r w:rsidR="0073035F">
        <w:rPr>
          <w:rFonts w:ascii="Arial" w:hAnsi="Arial" w:cs="Arial"/>
          <w:b/>
          <w:sz w:val="20"/>
        </w:rPr>
        <w:t>4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</w:t>
      </w:r>
      <w:r w:rsidRPr="00D51846">
        <w:rPr>
          <w:rFonts w:ascii="Arial" w:hAnsi="Arial" w:cs="Arial"/>
          <w:b/>
          <w:sz w:val="20"/>
        </w:rPr>
        <w:t xml:space="preserve"> v</w:t>
      </w:r>
      <w:r>
        <w:rPr>
          <w:rFonts w:ascii="Arial" w:hAnsi="Arial" w:cs="Arial"/>
          <w:b/>
          <w:sz w:val="20"/>
        </w:rPr>
        <w:t> zemích EU</w:t>
      </w:r>
      <w:r w:rsidRPr="00D5184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prodávající přes</w:t>
      </w:r>
      <w:r w:rsidRPr="00D51846">
        <w:rPr>
          <w:rFonts w:ascii="Arial" w:hAnsi="Arial" w:cs="Arial"/>
          <w:b/>
          <w:sz w:val="20"/>
        </w:rPr>
        <w:t> webov</w:t>
      </w:r>
      <w:r>
        <w:rPr>
          <w:rFonts w:ascii="Arial" w:hAnsi="Arial" w:cs="Arial"/>
          <w:b/>
          <w:sz w:val="20"/>
        </w:rPr>
        <w:t>é</w:t>
      </w:r>
      <w:r w:rsidRPr="00D51846">
        <w:rPr>
          <w:rFonts w:ascii="Arial" w:hAnsi="Arial" w:cs="Arial"/>
          <w:b/>
          <w:sz w:val="20"/>
        </w:rPr>
        <w:t xml:space="preserve"> stránk</w:t>
      </w:r>
      <w:r>
        <w:rPr>
          <w:rFonts w:ascii="Arial" w:hAnsi="Arial" w:cs="Arial"/>
          <w:b/>
          <w:sz w:val="20"/>
        </w:rPr>
        <w:t>y</w:t>
      </w:r>
      <w:r w:rsidR="0073035F">
        <w:rPr>
          <w:rFonts w:ascii="Arial" w:hAnsi="Arial" w:cs="Arial"/>
          <w:b/>
          <w:sz w:val="20"/>
        </w:rPr>
        <w:t xml:space="preserve"> v roce</w:t>
      </w:r>
      <w:r>
        <w:rPr>
          <w:rFonts w:ascii="Arial" w:hAnsi="Arial" w:cs="Arial"/>
          <w:b/>
          <w:sz w:val="20"/>
        </w:rPr>
        <w:t xml:space="preserve"> 2015</w:t>
      </w:r>
    </w:p>
    <w:p w:rsidR="001E0F9E" w:rsidRDefault="004C2505" w:rsidP="001E0F9E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0B264F89" wp14:editId="57C5DFB5">
            <wp:extent cx="5972175" cy="2867025"/>
            <wp:effectExtent l="19050" t="0" r="9525" b="0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9E" w:rsidRPr="00087A54" w:rsidRDefault="001E0F9E" w:rsidP="001E0F9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  <w:r w:rsidRPr="00087A54">
        <w:rPr>
          <w:rFonts w:ascii="Arial" w:hAnsi="Arial" w:cs="Arial"/>
          <w:i/>
          <w:sz w:val="16"/>
          <w:szCs w:val="16"/>
        </w:rPr>
        <w:t>*firmy dané země, které v průběhu roku 2015 obdržely alespoň 1 elektronickou objednávku prostřednictvím webových stránek</w:t>
      </w:r>
    </w:p>
    <w:p w:rsidR="001E0F9E" w:rsidRDefault="001E0F9E" w:rsidP="001E0F9E">
      <w:pPr>
        <w:autoSpaceDE w:val="0"/>
        <w:autoSpaceDN w:val="0"/>
        <w:adjustRightInd w:val="0"/>
        <w:spacing w:before="120" w:after="40"/>
        <w:jc w:val="both"/>
        <w:rPr>
          <w:rFonts w:ascii="Arial" w:hAnsi="Arial" w:cs="Arial"/>
          <w:sz w:val="18"/>
          <w:szCs w:val="18"/>
        </w:rPr>
      </w:pPr>
      <w:r w:rsidRPr="00DB697D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>na celkovém</w:t>
      </w:r>
      <w:r w:rsidRPr="00DB697D">
        <w:rPr>
          <w:rFonts w:ascii="Arial" w:hAnsi="Arial" w:cs="Arial"/>
          <w:i/>
          <w:sz w:val="18"/>
          <w:szCs w:val="18"/>
        </w:rPr>
        <w:t xml:space="preserve"> počtu </w:t>
      </w:r>
      <w:r>
        <w:rPr>
          <w:rFonts w:ascii="Arial" w:hAnsi="Arial" w:cs="Arial"/>
          <w:i/>
          <w:sz w:val="18"/>
          <w:szCs w:val="18"/>
        </w:rPr>
        <w:t>firem</w:t>
      </w:r>
      <w:r w:rsidRPr="00DB697D">
        <w:rPr>
          <w:rFonts w:ascii="Arial" w:hAnsi="Arial" w:cs="Arial"/>
          <w:i/>
          <w:sz w:val="18"/>
          <w:szCs w:val="18"/>
        </w:rPr>
        <w:t xml:space="preserve"> s 10 a více zaměstnanci v dané zemi</w:t>
      </w:r>
      <w:r>
        <w:rPr>
          <w:rFonts w:ascii="Arial" w:hAnsi="Arial" w:cs="Arial"/>
          <w:i/>
          <w:sz w:val="18"/>
          <w:szCs w:val="18"/>
        </w:rPr>
        <w:t xml:space="preserve">                       z</w:t>
      </w:r>
      <w:r w:rsidRPr="00DB697D">
        <w:rPr>
          <w:rFonts w:ascii="Arial" w:hAnsi="Arial" w:cs="Arial"/>
          <w:sz w:val="18"/>
          <w:szCs w:val="18"/>
        </w:rPr>
        <w:t>droj</w:t>
      </w:r>
      <w:r>
        <w:rPr>
          <w:rFonts w:ascii="Arial" w:hAnsi="Arial" w:cs="Arial"/>
          <w:sz w:val="18"/>
          <w:szCs w:val="18"/>
        </w:rPr>
        <w:t xml:space="preserve"> dat</w:t>
      </w:r>
      <w:r w:rsidRPr="00DB697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DB697D">
        <w:rPr>
          <w:rFonts w:ascii="Arial" w:hAnsi="Arial" w:cs="Arial"/>
          <w:sz w:val="18"/>
          <w:szCs w:val="18"/>
        </w:rPr>
        <w:t>Eurostat</w:t>
      </w:r>
      <w:proofErr w:type="spellEnd"/>
      <w:r w:rsidRPr="00DB697D">
        <w:rPr>
          <w:rFonts w:ascii="Arial" w:hAnsi="Arial" w:cs="Arial"/>
          <w:sz w:val="18"/>
          <w:szCs w:val="18"/>
        </w:rPr>
        <w:t>, prosinec 2016</w:t>
      </w:r>
    </w:p>
    <w:p w:rsidR="001E0F9E" w:rsidRDefault="001E0F9E" w:rsidP="001E0F9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 w:rsidRPr="00D51846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3</w:t>
      </w:r>
      <w:r w:rsidRPr="00D51846">
        <w:rPr>
          <w:rFonts w:ascii="Arial" w:hAnsi="Arial" w:cs="Arial"/>
          <w:b/>
          <w:sz w:val="20"/>
        </w:rPr>
        <w:t>.</w:t>
      </w:r>
      <w:r w:rsidR="0073035F">
        <w:rPr>
          <w:rFonts w:ascii="Arial" w:hAnsi="Arial" w:cs="Arial"/>
          <w:b/>
          <w:sz w:val="20"/>
        </w:rPr>
        <w:t>5</w:t>
      </w:r>
      <w:r w:rsidRPr="00D51846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Kdo ve firmách v ČR provádí provoz a správu webových stránek podle odvětví</w:t>
      </w:r>
      <w:r w:rsidRPr="00C53740">
        <w:rPr>
          <w:rFonts w:ascii="Arial" w:hAnsi="Arial" w:cs="Arial"/>
          <w:b/>
          <w:sz w:val="20"/>
        </w:rPr>
        <w:t>, leden 201</w:t>
      </w:r>
      <w:r>
        <w:rPr>
          <w:rFonts w:ascii="Arial" w:hAnsi="Arial" w:cs="Arial"/>
          <w:b/>
          <w:sz w:val="20"/>
        </w:rPr>
        <w:t>7</w:t>
      </w:r>
    </w:p>
    <w:p w:rsidR="002B7FC1" w:rsidRDefault="002B7FC1" w:rsidP="002B7FC1">
      <w:pPr>
        <w:autoSpaceDE w:val="0"/>
        <w:autoSpaceDN w:val="0"/>
        <w:adjustRightInd w:val="0"/>
        <w:spacing w:after="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2A3D56">
        <w:rPr>
          <w:noProof/>
          <w:lang w:eastAsia="cs-CZ"/>
        </w:rPr>
        <w:drawing>
          <wp:inline distT="0" distB="0" distL="0" distR="0" wp14:anchorId="5BC2207D" wp14:editId="788BA435">
            <wp:extent cx="5972810" cy="4030345"/>
            <wp:effectExtent l="0" t="0" r="8890" b="825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0F9E" w:rsidRDefault="001E0F9E" w:rsidP="002B7FC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>podíl na celkovém počtu</w:t>
      </w:r>
      <w:r w:rsidR="002B7FC1" w:rsidRPr="0025703C">
        <w:rPr>
          <w:rFonts w:ascii="Arial" w:hAnsi="Arial" w:cs="Arial"/>
          <w:i/>
          <w:sz w:val="20"/>
        </w:rPr>
        <w:t xml:space="preserve"> </w:t>
      </w:r>
      <w:r w:rsidR="002B7FC1" w:rsidRPr="00640061">
        <w:rPr>
          <w:rFonts w:ascii="Arial" w:hAnsi="Arial" w:cs="Arial"/>
          <w:i/>
          <w:sz w:val="20"/>
          <w:u w:val="single"/>
        </w:rPr>
        <w:t>firem s webovými stránkami</w:t>
      </w:r>
      <w:r w:rsidR="00F770F6">
        <w:rPr>
          <w:rFonts w:ascii="Arial" w:hAnsi="Arial" w:cs="Arial"/>
          <w:i/>
          <w:sz w:val="18"/>
          <w:szCs w:val="18"/>
        </w:rPr>
        <w:t xml:space="preserve"> v dané </w:t>
      </w:r>
      <w:r w:rsidRPr="00B411F6">
        <w:rPr>
          <w:rFonts w:ascii="Arial" w:hAnsi="Arial" w:cs="Arial"/>
          <w:i/>
          <w:sz w:val="18"/>
          <w:szCs w:val="18"/>
        </w:rPr>
        <w:t xml:space="preserve">odvětvové skupině </w:t>
      </w:r>
    </w:p>
    <w:p w:rsidR="00655177" w:rsidRDefault="00655177" w:rsidP="00161DA1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b/>
          <w:sz w:val="20"/>
        </w:rPr>
        <w:t xml:space="preserve">Tab. </w:t>
      </w:r>
      <w:r w:rsidR="00262CD7">
        <w:rPr>
          <w:rFonts w:ascii="Arial" w:hAnsi="Arial" w:cs="Arial"/>
          <w:b/>
          <w:sz w:val="20"/>
        </w:rPr>
        <w:t>3</w:t>
      </w:r>
      <w:r w:rsidRPr="00655177">
        <w:rPr>
          <w:rFonts w:ascii="Arial" w:hAnsi="Arial" w:cs="Arial"/>
          <w:b/>
          <w:sz w:val="20"/>
        </w:rPr>
        <w:t xml:space="preserve">.2: </w:t>
      </w:r>
      <w:r w:rsidR="00953E93">
        <w:rPr>
          <w:rFonts w:ascii="Arial" w:hAnsi="Arial" w:cs="Arial"/>
          <w:b/>
          <w:sz w:val="20"/>
        </w:rPr>
        <w:t>Funkcionality</w:t>
      </w:r>
      <w:r w:rsidRPr="00655177">
        <w:rPr>
          <w:rFonts w:ascii="Arial" w:hAnsi="Arial" w:cs="Arial"/>
          <w:b/>
          <w:sz w:val="20"/>
        </w:rPr>
        <w:t xml:space="preserve"> webových stránek firem v ČR, leden 201</w:t>
      </w:r>
      <w:r w:rsidR="00BD4C80">
        <w:rPr>
          <w:rFonts w:ascii="Arial" w:hAnsi="Arial" w:cs="Arial"/>
          <w:b/>
          <w:sz w:val="20"/>
        </w:rPr>
        <w:t>7</w:t>
      </w: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954"/>
        <w:gridCol w:w="1258"/>
        <w:gridCol w:w="994"/>
        <w:gridCol w:w="880"/>
        <w:gridCol w:w="865"/>
        <w:gridCol w:w="1128"/>
      </w:tblGrid>
      <w:tr w:rsidR="00140F26" w:rsidRPr="00140F26" w:rsidTr="0073035F">
        <w:trPr>
          <w:trHeight w:val="965"/>
        </w:trPr>
        <w:tc>
          <w:tcPr>
            <w:tcW w:w="327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zveřejněné katalogy/ ceníky</w:t>
            </w:r>
          </w:p>
        </w:tc>
        <w:tc>
          <w:tcPr>
            <w:tcW w:w="125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přizpůsobení produktu/ služby</w:t>
            </w:r>
          </w:p>
        </w:tc>
        <w:tc>
          <w:tcPr>
            <w:tcW w:w="99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objednávky/ rezervace</w:t>
            </w:r>
          </w:p>
        </w:tc>
        <w:tc>
          <w:tcPr>
            <w:tcW w:w="8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platby</w:t>
            </w:r>
          </w:p>
        </w:tc>
        <w:tc>
          <w:tcPr>
            <w:tcW w:w="865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sledovat stav zakázky</w:t>
            </w:r>
          </w:p>
        </w:tc>
        <w:tc>
          <w:tcPr>
            <w:tcW w:w="1128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personalizace obsahu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65,0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61,5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63,7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77,0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81,7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47,8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91,3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92,6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35,7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82,7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88,0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61,7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53,8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52,6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</w:tr>
      <w:tr w:rsidR="00140F26" w:rsidRPr="00140F26" w:rsidTr="00140F26">
        <w:trPr>
          <w:trHeight w:val="225"/>
        </w:trPr>
        <w:tc>
          <w:tcPr>
            <w:tcW w:w="32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40F26" w:rsidRPr="00140F26" w:rsidRDefault="00140F26" w:rsidP="0014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4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</w:tr>
    </w:tbl>
    <w:p w:rsidR="00655177" w:rsidRDefault="00655177" w:rsidP="0073035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 xml:space="preserve">podíl na celkovém počtu </w:t>
      </w:r>
      <w:r w:rsidRPr="00640061">
        <w:rPr>
          <w:rFonts w:ascii="Arial" w:hAnsi="Arial" w:cs="Arial"/>
          <w:i/>
          <w:sz w:val="20"/>
          <w:u w:val="single"/>
        </w:rPr>
        <w:t xml:space="preserve">firem </w:t>
      </w:r>
      <w:r w:rsidR="00EF3A91" w:rsidRPr="00640061">
        <w:rPr>
          <w:rFonts w:ascii="Arial" w:hAnsi="Arial" w:cs="Arial"/>
          <w:i/>
          <w:sz w:val="20"/>
          <w:u w:val="single"/>
        </w:rPr>
        <w:t>s webovými stránkami</w:t>
      </w:r>
      <w:r w:rsidR="00EF3A91">
        <w:rPr>
          <w:rFonts w:ascii="Arial" w:hAnsi="Arial" w:cs="Arial"/>
          <w:i/>
          <w:sz w:val="20"/>
        </w:rPr>
        <w:t xml:space="preserve"> </w:t>
      </w:r>
      <w:r w:rsidRPr="00655177">
        <w:rPr>
          <w:rFonts w:ascii="Arial" w:hAnsi="Arial" w:cs="Arial"/>
          <w:i/>
          <w:sz w:val="20"/>
        </w:rPr>
        <w:t>v dané velikostní a odvětvové skupině (v %)</w:t>
      </w:r>
    </w:p>
    <w:p w:rsidR="00914466" w:rsidRDefault="00D54933" w:rsidP="0025703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</w:rPr>
      </w:pPr>
      <w:r w:rsidRPr="00D54933">
        <w:rPr>
          <w:rFonts w:ascii="Arial" w:hAnsi="Arial" w:cs="Arial"/>
          <w:sz w:val="20"/>
        </w:rPr>
        <w:t>Zdroj: Český statistický úřad 201</w:t>
      </w:r>
      <w:r w:rsidR="00262CD7">
        <w:rPr>
          <w:rFonts w:ascii="Arial" w:hAnsi="Arial" w:cs="Arial"/>
          <w:sz w:val="20"/>
        </w:rPr>
        <w:t>7</w:t>
      </w:r>
    </w:p>
    <w:sectPr w:rsidR="00914466" w:rsidSect="00161DA1">
      <w:pgSz w:w="11906" w:h="16838" w:code="9"/>
      <w:pgMar w:top="1134" w:right="991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59" w:rsidRDefault="00262559" w:rsidP="00E71A58">
      <w:r>
        <w:separator/>
      </w:r>
    </w:p>
  </w:endnote>
  <w:endnote w:type="continuationSeparator" w:id="0">
    <w:p w:rsidR="00262559" w:rsidRDefault="0026255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59" w:rsidRDefault="00262559" w:rsidP="00E71A58">
      <w:r>
        <w:separator/>
      </w:r>
    </w:p>
  </w:footnote>
  <w:footnote w:type="continuationSeparator" w:id="0">
    <w:p w:rsidR="00262559" w:rsidRDefault="00262559" w:rsidP="00E71A58">
      <w:r>
        <w:continuationSeparator/>
      </w:r>
    </w:p>
  </w:footnote>
  <w:footnote w:id="1">
    <w:p w:rsidR="002C05D3" w:rsidRPr="002C05D3" w:rsidRDefault="002C05D3" w:rsidP="00C25284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2C05D3">
        <w:rPr>
          <w:rStyle w:val="Znakapoznpodarou"/>
          <w:rFonts w:ascii="Arial" w:hAnsi="Arial" w:cs="Arial"/>
          <w:sz w:val="16"/>
          <w:szCs w:val="16"/>
        </w:rPr>
        <w:footnoteRef/>
      </w:r>
      <w:r w:rsidRPr="002C05D3">
        <w:rPr>
          <w:rFonts w:ascii="Arial" w:hAnsi="Arial" w:cs="Arial"/>
          <w:sz w:val="16"/>
          <w:szCs w:val="16"/>
        </w:rPr>
        <w:t xml:space="preserve"> Poslední dostupná data s mezinárodním srovnáním výsledků za členské státy EU28 byla v době zpracování této publikace za leden roku 2016. Jejich zdrojem je databáze Eurostatu: </w:t>
      </w:r>
      <w:hyperlink r:id="rId1" w:history="1">
        <w:r w:rsidRPr="002C05D3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  <w:footnote w:id="2">
    <w:p w:rsidR="002C05D3" w:rsidRPr="002C05D3" w:rsidRDefault="002C05D3" w:rsidP="00C25284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2C05D3">
        <w:rPr>
          <w:rStyle w:val="Znakapoznpodarou"/>
          <w:rFonts w:ascii="Arial" w:hAnsi="Arial" w:cs="Arial"/>
          <w:sz w:val="16"/>
          <w:szCs w:val="16"/>
        </w:rPr>
        <w:footnoteRef/>
      </w:r>
      <w:r w:rsidRPr="002C05D3">
        <w:rPr>
          <w:rFonts w:ascii="Arial" w:hAnsi="Arial" w:cs="Arial"/>
          <w:sz w:val="16"/>
          <w:szCs w:val="16"/>
        </w:rPr>
        <w:t xml:space="preserve"> Poslední dostupná data týkající se elektronického obchodování v mezinárodním srovnání členských států EU28 byla v době zpracování této publikace za rok 2015 (data o elektronickém obchodování se vztahují k roku předcházejícímu tomuto šetření). Jejich zdrojem je databáze Eurostatu: </w:t>
      </w:r>
      <w:hyperlink r:id="rId2" w:history="1">
        <w:r w:rsidRPr="002C05D3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4694F"/>
    <w:rsid w:val="0006111E"/>
    <w:rsid w:val="00062EC5"/>
    <w:rsid w:val="000750E8"/>
    <w:rsid w:val="00087634"/>
    <w:rsid w:val="00087A54"/>
    <w:rsid w:val="000A1183"/>
    <w:rsid w:val="000B21D5"/>
    <w:rsid w:val="000B5152"/>
    <w:rsid w:val="000B5B64"/>
    <w:rsid w:val="000C3408"/>
    <w:rsid w:val="000F4280"/>
    <w:rsid w:val="000F4CA8"/>
    <w:rsid w:val="00104DB3"/>
    <w:rsid w:val="00127898"/>
    <w:rsid w:val="001405FA"/>
    <w:rsid w:val="00140F26"/>
    <w:rsid w:val="001425C3"/>
    <w:rsid w:val="00143453"/>
    <w:rsid w:val="00160923"/>
    <w:rsid w:val="00161DA1"/>
    <w:rsid w:val="00163793"/>
    <w:rsid w:val="0016380A"/>
    <w:rsid w:val="001714F2"/>
    <w:rsid w:val="00185010"/>
    <w:rsid w:val="00194F66"/>
    <w:rsid w:val="001A552F"/>
    <w:rsid w:val="001B3110"/>
    <w:rsid w:val="001E09D8"/>
    <w:rsid w:val="001E0F9E"/>
    <w:rsid w:val="001F3765"/>
    <w:rsid w:val="001F4597"/>
    <w:rsid w:val="0021142B"/>
    <w:rsid w:val="0022139E"/>
    <w:rsid w:val="002252E0"/>
    <w:rsid w:val="002255F6"/>
    <w:rsid w:val="00236443"/>
    <w:rsid w:val="002436BA"/>
    <w:rsid w:val="00244A15"/>
    <w:rsid w:val="002474FB"/>
    <w:rsid w:val="0024799E"/>
    <w:rsid w:val="00254AF6"/>
    <w:rsid w:val="0025703C"/>
    <w:rsid w:val="00262559"/>
    <w:rsid w:val="00262CD7"/>
    <w:rsid w:val="00267D0C"/>
    <w:rsid w:val="0028698F"/>
    <w:rsid w:val="002951F4"/>
    <w:rsid w:val="002A3D56"/>
    <w:rsid w:val="002B4A34"/>
    <w:rsid w:val="002B7FC1"/>
    <w:rsid w:val="002C05D3"/>
    <w:rsid w:val="002C31D3"/>
    <w:rsid w:val="002C43BD"/>
    <w:rsid w:val="002E02A1"/>
    <w:rsid w:val="002F44D7"/>
    <w:rsid w:val="002F6063"/>
    <w:rsid w:val="00302A41"/>
    <w:rsid w:val="00304771"/>
    <w:rsid w:val="00306C5B"/>
    <w:rsid w:val="003209D6"/>
    <w:rsid w:val="003259A3"/>
    <w:rsid w:val="00343E00"/>
    <w:rsid w:val="003645AE"/>
    <w:rsid w:val="003657F3"/>
    <w:rsid w:val="00377AEE"/>
    <w:rsid w:val="00384975"/>
    <w:rsid w:val="00385D98"/>
    <w:rsid w:val="003940A0"/>
    <w:rsid w:val="003A2B4D"/>
    <w:rsid w:val="003A327C"/>
    <w:rsid w:val="003A478C"/>
    <w:rsid w:val="003A5525"/>
    <w:rsid w:val="003A6B38"/>
    <w:rsid w:val="003B5A32"/>
    <w:rsid w:val="003E1594"/>
    <w:rsid w:val="003F313C"/>
    <w:rsid w:val="00413550"/>
    <w:rsid w:val="00414240"/>
    <w:rsid w:val="0043194A"/>
    <w:rsid w:val="004772F5"/>
    <w:rsid w:val="0048139F"/>
    <w:rsid w:val="004A6474"/>
    <w:rsid w:val="004A77DF"/>
    <w:rsid w:val="004B1FF3"/>
    <w:rsid w:val="004B2CB9"/>
    <w:rsid w:val="004B55B7"/>
    <w:rsid w:val="004C2505"/>
    <w:rsid w:val="004C3867"/>
    <w:rsid w:val="004C4CD0"/>
    <w:rsid w:val="004C70DC"/>
    <w:rsid w:val="004D0211"/>
    <w:rsid w:val="004D50D5"/>
    <w:rsid w:val="004F06F5"/>
    <w:rsid w:val="004F0DF9"/>
    <w:rsid w:val="004F33A0"/>
    <w:rsid w:val="004F4666"/>
    <w:rsid w:val="005068F4"/>
    <w:rsid w:val="005108C0"/>
    <w:rsid w:val="00511873"/>
    <w:rsid w:val="00513B7E"/>
    <w:rsid w:val="005175F2"/>
    <w:rsid w:val="00525137"/>
    <w:rsid w:val="005251DD"/>
    <w:rsid w:val="005354C5"/>
    <w:rsid w:val="00553139"/>
    <w:rsid w:val="00576FCA"/>
    <w:rsid w:val="00583FFD"/>
    <w:rsid w:val="00585475"/>
    <w:rsid w:val="0059163A"/>
    <w:rsid w:val="00593152"/>
    <w:rsid w:val="005A21E0"/>
    <w:rsid w:val="005B4204"/>
    <w:rsid w:val="005B4655"/>
    <w:rsid w:val="005D5802"/>
    <w:rsid w:val="005E7B2C"/>
    <w:rsid w:val="005F2537"/>
    <w:rsid w:val="005F419A"/>
    <w:rsid w:val="005F7FA5"/>
    <w:rsid w:val="0060098E"/>
    <w:rsid w:val="00604307"/>
    <w:rsid w:val="0060487F"/>
    <w:rsid w:val="006122D9"/>
    <w:rsid w:val="006123F0"/>
    <w:rsid w:val="00624093"/>
    <w:rsid w:val="00640061"/>
    <w:rsid w:val="0064036A"/>
    <w:rsid w:val="006404A7"/>
    <w:rsid w:val="00643526"/>
    <w:rsid w:val="006451E4"/>
    <w:rsid w:val="00655177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A5103"/>
    <w:rsid w:val="006B78D8"/>
    <w:rsid w:val="006C113F"/>
    <w:rsid w:val="006D0540"/>
    <w:rsid w:val="006D44A5"/>
    <w:rsid w:val="006D61F6"/>
    <w:rsid w:val="006E279A"/>
    <w:rsid w:val="006E313B"/>
    <w:rsid w:val="006E7DE3"/>
    <w:rsid w:val="00713776"/>
    <w:rsid w:val="007211F5"/>
    <w:rsid w:val="0073035F"/>
    <w:rsid w:val="00730AE8"/>
    <w:rsid w:val="0073322F"/>
    <w:rsid w:val="00741493"/>
    <w:rsid w:val="0075144C"/>
    <w:rsid w:val="00752180"/>
    <w:rsid w:val="00755D3A"/>
    <w:rsid w:val="0075639A"/>
    <w:rsid w:val="007609C6"/>
    <w:rsid w:val="00761B3D"/>
    <w:rsid w:val="00776527"/>
    <w:rsid w:val="00785B2D"/>
    <w:rsid w:val="0079553A"/>
    <w:rsid w:val="007A5C36"/>
    <w:rsid w:val="007B39E7"/>
    <w:rsid w:val="007C3F6A"/>
    <w:rsid w:val="007D22B8"/>
    <w:rsid w:val="007D7174"/>
    <w:rsid w:val="007E3D24"/>
    <w:rsid w:val="007E7E61"/>
    <w:rsid w:val="007F0845"/>
    <w:rsid w:val="00817313"/>
    <w:rsid w:val="0082034C"/>
    <w:rsid w:val="00821FF6"/>
    <w:rsid w:val="0083143E"/>
    <w:rsid w:val="00834FAA"/>
    <w:rsid w:val="00836086"/>
    <w:rsid w:val="00862335"/>
    <w:rsid w:val="00876086"/>
    <w:rsid w:val="00880C90"/>
    <w:rsid w:val="00884009"/>
    <w:rsid w:val="00886322"/>
    <w:rsid w:val="008B7C02"/>
    <w:rsid w:val="008C0E88"/>
    <w:rsid w:val="008D2A16"/>
    <w:rsid w:val="008E31FF"/>
    <w:rsid w:val="008F41A9"/>
    <w:rsid w:val="009003A8"/>
    <w:rsid w:val="00902EFF"/>
    <w:rsid w:val="00905613"/>
    <w:rsid w:val="00911872"/>
    <w:rsid w:val="00914466"/>
    <w:rsid w:val="00921F14"/>
    <w:rsid w:val="0093217F"/>
    <w:rsid w:val="009354AF"/>
    <w:rsid w:val="0094427A"/>
    <w:rsid w:val="00953E93"/>
    <w:rsid w:val="00974923"/>
    <w:rsid w:val="0098620F"/>
    <w:rsid w:val="009865D1"/>
    <w:rsid w:val="00987E97"/>
    <w:rsid w:val="00995D9E"/>
    <w:rsid w:val="009A342B"/>
    <w:rsid w:val="009B3CF6"/>
    <w:rsid w:val="009B6FD3"/>
    <w:rsid w:val="009C1BA7"/>
    <w:rsid w:val="009C3EFC"/>
    <w:rsid w:val="009C7745"/>
    <w:rsid w:val="009D3FF2"/>
    <w:rsid w:val="009F4A9E"/>
    <w:rsid w:val="009F4B8A"/>
    <w:rsid w:val="00A042F6"/>
    <w:rsid w:val="00A07F12"/>
    <w:rsid w:val="00A10D66"/>
    <w:rsid w:val="00A23E43"/>
    <w:rsid w:val="00A34E5A"/>
    <w:rsid w:val="00A42547"/>
    <w:rsid w:val="00A46DE0"/>
    <w:rsid w:val="00A62CE1"/>
    <w:rsid w:val="00A63582"/>
    <w:rsid w:val="00A75E40"/>
    <w:rsid w:val="00A857C0"/>
    <w:rsid w:val="00AA559A"/>
    <w:rsid w:val="00AA7371"/>
    <w:rsid w:val="00AB1F86"/>
    <w:rsid w:val="00AB2AF1"/>
    <w:rsid w:val="00AB76F3"/>
    <w:rsid w:val="00AC77ED"/>
    <w:rsid w:val="00AD306C"/>
    <w:rsid w:val="00AD76F0"/>
    <w:rsid w:val="00AF2A1B"/>
    <w:rsid w:val="00B112AC"/>
    <w:rsid w:val="00B11A56"/>
    <w:rsid w:val="00B14740"/>
    <w:rsid w:val="00B17E71"/>
    <w:rsid w:val="00B17FDE"/>
    <w:rsid w:val="00B21D75"/>
    <w:rsid w:val="00B2336B"/>
    <w:rsid w:val="00B32DDB"/>
    <w:rsid w:val="00B6608F"/>
    <w:rsid w:val="00B76D1E"/>
    <w:rsid w:val="00B849FC"/>
    <w:rsid w:val="00B95940"/>
    <w:rsid w:val="00BB02B4"/>
    <w:rsid w:val="00BD258B"/>
    <w:rsid w:val="00BD366B"/>
    <w:rsid w:val="00BD4C80"/>
    <w:rsid w:val="00BD6D50"/>
    <w:rsid w:val="00C0475C"/>
    <w:rsid w:val="00C21F94"/>
    <w:rsid w:val="00C2237E"/>
    <w:rsid w:val="00C25284"/>
    <w:rsid w:val="00C45250"/>
    <w:rsid w:val="00C54084"/>
    <w:rsid w:val="00C847A8"/>
    <w:rsid w:val="00C90CF4"/>
    <w:rsid w:val="00C93389"/>
    <w:rsid w:val="00CA0C7F"/>
    <w:rsid w:val="00CB35AC"/>
    <w:rsid w:val="00CC0868"/>
    <w:rsid w:val="00CC61F7"/>
    <w:rsid w:val="00CD534D"/>
    <w:rsid w:val="00CD57C7"/>
    <w:rsid w:val="00CF51EC"/>
    <w:rsid w:val="00D040DD"/>
    <w:rsid w:val="00D1416F"/>
    <w:rsid w:val="00D54933"/>
    <w:rsid w:val="00D57B0B"/>
    <w:rsid w:val="00D90E42"/>
    <w:rsid w:val="00DB6B38"/>
    <w:rsid w:val="00DC5B3B"/>
    <w:rsid w:val="00DD0B3A"/>
    <w:rsid w:val="00DE2403"/>
    <w:rsid w:val="00DF4018"/>
    <w:rsid w:val="00E01C0E"/>
    <w:rsid w:val="00E04694"/>
    <w:rsid w:val="00E06380"/>
    <w:rsid w:val="00E20E07"/>
    <w:rsid w:val="00E47E88"/>
    <w:rsid w:val="00E66B7A"/>
    <w:rsid w:val="00E71A58"/>
    <w:rsid w:val="00E730CE"/>
    <w:rsid w:val="00E956B1"/>
    <w:rsid w:val="00EA0C68"/>
    <w:rsid w:val="00EC5284"/>
    <w:rsid w:val="00EC7132"/>
    <w:rsid w:val="00ED5BCB"/>
    <w:rsid w:val="00EE01F9"/>
    <w:rsid w:val="00EE3E78"/>
    <w:rsid w:val="00EE5652"/>
    <w:rsid w:val="00EF1F5A"/>
    <w:rsid w:val="00EF3A91"/>
    <w:rsid w:val="00F0027D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5315"/>
    <w:rsid w:val="00F66522"/>
    <w:rsid w:val="00F73A0C"/>
    <w:rsid w:val="00F770F6"/>
    <w:rsid w:val="00FA3FCC"/>
    <w:rsid w:val="00FB5C09"/>
    <w:rsid w:val="00FC0E5F"/>
    <w:rsid w:val="00FC2CAB"/>
    <w:rsid w:val="00FC56DE"/>
    <w:rsid w:val="00FD18A2"/>
    <w:rsid w:val="00FE2F78"/>
    <w:rsid w:val="00FE4465"/>
    <w:rsid w:val="00FE75FB"/>
    <w:rsid w:val="00FF199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4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E5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E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E5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A1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61D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web/digital-economy-and-society/data/comprehensive-database%20%20" TargetMode="External"/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7\pomocny_analyza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761280752055772E-2"/>
          <c:y val="0.15197246807451312"/>
          <c:w val="0.96885976842926924"/>
          <c:h val="0.700555882181579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K3_funkcionality!$L$61</c:f>
              <c:strCache>
                <c:ptCount val="1"/>
                <c:pt idx="0">
                  <c:v> 2000</c:v>
                </c:pt>
              </c:strCache>
            </c:strRef>
          </c:tx>
          <c:spPr>
            <a:solidFill>
              <a:srgbClr val="ABF3FF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 algn="ctr"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K3_funkcionality!$K$62:$K$65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K3_funkcionality!$L$62:$L$65</c:f>
              <c:numCache>
                <c:formatCode>0%</c:formatCode>
                <c:ptCount val="4"/>
                <c:pt idx="0">
                  <c:v>0.4017</c:v>
                </c:pt>
                <c:pt idx="1">
                  <c:v>0.34670000000000001</c:v>
                </c:pt>
                <c:pt idx="2">
                  <c:v>0.49280000000000002</c:v>
                </c:pt>
                <c:pt idx="3">
                  <c:v>0.66039999999999999</c:v>
                </c:pt>
              </c:numCache>
            </c:numRef>
          </c:val>
        </c:ser>
        <c:ser>
          <c:idx val="1"/>
          <c:order val="1"/>
          <c:tx>
            <c:strRef>
              <c:f>K3_funkcionality!$M$61</c:f>
              <c:strCache>
                <c:ptCount val="1"/>
                <c:pt idx="0">
                  <c:v> 2004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K3_funkcionality!$K$62:$K$65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K3_funkcionality!$M$62:$M$65</c:f>
              <c:numCache>
                <c:formatCode>0%</c:formatCode>
                <c:ptCount val="4"/>
                <c:pt idx="0">
                  <c:v>0.67</c:v>
                </c:pt>
                <c:pt idx="1">
                  <c:v>0.627</c:v>
                </c:pt>
                <c:pt idx="2">
                  <c:v>0.80600000000000005</c:v>
                </c:pt>
                <c:pt idx="3">
                  <c:v>0.90900000000000003</c:v>
                </c:pt>
              </c:numCache>
            </c:numRef>
          </c:val>
        </c:ser>
        <c:ser>
          <c:idx val="2"/>
          <c:order val="2"/>
          <c:tx>
            <c:strRef>
              <c:f>K3_funkcionality!$N$61</c:f>
              <c:strCache>
                <c:ptCount val="1"/>
                <c:pt idx="0">
                  <c:v> 2010</c:v>
                </c:pt>
              </c:strCache>
            </c:strRef>
          </c:tx>
          <c:spPr>
            <a:solidFill>
              <a:srgbClr val="00C5E6"/>
            </a:solidFill>
          </c:spPr>
          <c:invertIfNegative val="0"/>
          <c:dLbls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K3_funkcionality!$K$62:$K$65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K3_funkcionality!$N$62:$N$65</c:f>
              <c:numCache>
                <c:formatCode>0%</c:formatCode>
                <c:ptCount val="4"/>
                <c:pt idx="0">
                  <c:v>0.74</c:v>
                </c:pt>
                <c:pt idx="1">
                  <c:v>0.70199999999999996</c:v>
                </c:pt>
                <c:pt idx="2">
                  <c:v>0.88100000000000001</c:v>
                </c:pt>
                <c:pt idx="3">
                  <c:v>0.92200000000000004</c:v>
                </c:pt>
              </c:numCache>
            </c:numRef>
          </c:val>
        </c:ser>
        <c:ser>
          <c:idx val="3"/>
          <c:order val="3"/>
          <c:tx>
            <c:strRef>
              <c:f>K3_funkcionality!$O$61</c:f>
              <c:strCache>
                <c:ptCount val="1"/>
                <c:pt idx="0">
                  <c:v> 2014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K3_funkcionality!$K$62:$K$65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K3_funkcionality!$O$62:$O$65</c:f>
              <c:numCache>
                <c:formatCode>0%</c:formatCode>
                <c:ptCount val="4"/>
                <c:pt idx="0">
                  <c:v>0.82799999999999996</c:v>
                </c:pt>
                <c:pt idx="1">
                  <c:v>0.80500000000000005</c:v>
                </c:pt>
                <c:pt idx="2">
                  <c:v>0.91200000000000003</c:v>
                </c:pt>
                <c:pt idx="3">
                  <c:v>0.93799999999999994</c:v>
                </c:pt>
              </c:numCache>
            </c:numRef>
          </c:val>
        </c:ser>
        <c:ser>
          <c:idx val="4"/>
          <c:order val="4"/>
          <c:tx>
            <c:strRef>
              <c:f>K3_funkcionality!$P$61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31859C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K3_funkcionality!$K$62:$K$65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K3_funkcionality!$P$62:$P$65</c:f>
              <c:numCache>
                <c:formatCode>0%</c:formatCode>
                <c:ptCount val="4"/>
                <c:pt idx="0">
                  <c:v>0.82899999999999996</c:v>
                </c:pt>
                <c:pt idx="1">
                  <c:v>0.80400000000000005</c:v>
                </c:pt>
                <c:pt idx="2">
                  <c:v>0.91800000000000004</c:v>
                </c:pt>
                <c:pt idx="3">
                  <c:v>0.94199999999999995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67280640"/>
        <c:axId val="167282176"/>
      </c:barChart>
      <c:catAx>
        <c:axId val="16728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A6A6A6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728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282176"/>
        <c:scaling>
          <c:orientation val="minMax"/>
          <c:max val="1"/>
          <c:min val="0"/>
        </c:scaling>
        <c:delete val="0"/>
        <c:axPos val="l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crossAx val="167280640"/>
        <c:crosses val="autoZero"/>
        <c:crossBetween val="between"/>
        <c:majorUnit val="0.15000000000000005"/>
        <c:minorUnit val="0.05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916397853936255"/>
          <c:y val="1.6968142373496944E-2"/>
          <c:w val="0.50100107996260146"/>
          <c:h val="0.11957757189368683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3.697826952840421E-2"/>
          <c:w val="0.96516868610601769"/>
          <c:h val="0.663401543833569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</c:dPt>
          <c:dLbls>
            <c:txPr>
              <a:bodyPr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K3_funkcionality!$A$70:$A$98</c:f>
              <c:strCache>
                <c:ptCount val="29"/>
                <c:pt idx="0">
                  <c:v>Finsko</c:v>
                </c:pt>
                <c:pt idx="1">
                  <c:v>Dánsko</c:v>
                </c:pt>
                <c:pt idx="2">
                  <c:v>Švédsko</c:v>
                </c:pt>
                <c:pt idx="3">
                  <c:v>Německo</c:v>
                </c:pt>
                <c:pt idx="4">
                  <c:v>Nizozemsko</c:v>
                </c:pt>
                <c:pt idx="5">
                  <c:v>Rakousko</c:v>
                </c:pt>
                <c:pt idx="6">
                  <c:v>Malta</c:v>
                </c:pt>
                <c:pt idx="7">
                  <c:v>Velká Británie</c:v>
                </c:pt>
                <c:pt idx="8">
                  <c:v>Slovinsko</c:v>
                </c:pt>
                <c:pt idx="9">
                  <c:v>Česko</c:v>
                </c:pt>
                <c:pt idx="10">
                  <c:v>Lucembursko</c:v>
                </c:pt>
                <c:pt idx="11">
                  <c:v>Belgie</c:v>
                </c:pt>
                <c:pt idx="12">
                  <c:v>Slovensko</c:v>
                </c:pt>
                <c:pt idx="13">
                  <c:v>Estonsko</c:v>
                </c:pt>
                <c:pt idx="14">
                  <c:v>Litva</c:v>
                </c:pt>
                <c:pt idx="15">
                  <c:v>EU28</c:v>
                </c:pt>
                <c:pt idx="16">
                  <c:v>Irsko</c:v>
                </c:pt>
                <c:pt idx="17">
                  <c:v>Španělsko</c:v>
                </c:pt>
                <c:pt idx="18">
                  <c:v>Kypr</c:v>
                </c:pt>
                <c:pt idx="19">
                  <c:v>Itálie</c:v>
                </c:pt>
                <c:pt idx="20">
                  <c:v>Chorvatsko</c:v>
                </c:pt>
                <c:pt idx="21">
                  <c:v>Francie</c:v>
                </c:pt>
                <c:pt idx="22">
                  <c:v>Maďarsko</c:v>
                </c:pt>
                <c:pt idx="23">
                  <c:v>Polsko</c:v>
                </c:pt>
                <c:pt idx="24">
                  <c:v>Řecko</c:v>
                </c:pt>
                <c:pt idx="25">
                  <c:v>Portugalsko</c:v>
                </c:pt>
                <c:pt idx="26">
                  <c:v>Lotyšsko</c:v>
                </c:pt>
                <c:pt idx="27">
                  <c:v>Bulharsko</c:v>
                </c:pt>
                <c:pt idx="28">
                  <c:v>Rumunsko</c:v>
                </c:pt>
              </c:strCache>
            </c:strRef>
          </c:cat>
          <c:val>
            <c:numRef>
              <c:f>K3_funkcionality!$B$70:$B$98</c:f>
              <c:numCache>
                <c:formatCode>0%</c:formatCode>
                <c:ptCount val="29"/>
                <c:pt idx="0">
                  <c:v>0.95325599999999999</c:v>
                </c:pt>
                <c:pt idx="1">
                  <c:v>0.933396</c:v>
                </c:pt>
                <c:pt idx="2">
                  <c:v>0.89742299999999997</c:v>
                </c:pt>
                <c:pt idx="3">
                  <c:v>0.889297</c:v>
                </c:pt>
                <c:pt idx="4">
                  <c:v>0.886772</c:v>
                </c:pt>
                <c:pt idx="5">
                  <c:v>0.88109800000000005</c:v>
                </c:pt>
                <c:pt idx="6">
                  <c:v>0.83177800000000002</c:v>
                </c:pt>
                <c:pt idx="7">
                  <c:v>0.82986499999999996</c:v>
                </c:pt>
                <c:pt idx="8">
                  <c:v>0.826017</c:v>
                </c:pt>
                <c:pt idx="9">
                  <c:v>0.82145900000000005</c:v>
                </c:pt>
                <c:pt idx="10">
                  <c:v>0.81326100000000001</c:v>
                </c:pt>
                <c:pt idx="11">
                  <c:v>0.80996199999999996</c:v>
                </c:pt>
                <c:pt idx="12">
                  <c:v>0.78270799999999996</c:v>
                </c:pt>
                <c:pt idx="13">
                  <c:v>0.77930699999999997</c:v>
                </c:pt>
                <c:pt idx="14">
                  <c:v>0.77031799999999995</c:v>
                </c:pt>
                <c:pt idx="15">
                  <c:v>0.770011</c:v>
                </c:pt>
                <c:pt idx="16">
                  <c:v>0.760741</c:v>
                </c:pt>
                <c:pt idx="17">
                  <c:v>0.75011499999999998</c:v>
                </c:pt>
                <c:pt idx="18">
                  <c:v>0.74731300000000001</c:v>
                </c:pt>
                <c:pt idx="19">
                  <c:v>0.71304999999999996</c:v>
                </c:pt>
                <c:pt idx="20">
                  <c:v>0.68787100000000001</c:v>
                </c:pt>
                <c:pt idx="21">
                  <c:v>0.68496400000000002</c:v>
                </c:pt>
                <c:pt idx="22">
                  <c:v>0.67772500000000002</c:v>
                </c:pt>
                <c:pt idx="23">
                  <c:v>0.66962200000000005</c:v>
                </c:pt>
                <c:pt idx="24">
                  <c:v>0.65891100000000002</c:v>
                </c:pt>
                <c:pt idx="25">
                  <c:v>0.64184200000000002</c:v>
                </c:pt>
                <c:pt idx="26">
                  <c:v>0.63486299999999996</c:v>
                </c:pt>
                <c:pt idx="27">
                  <c:v>0.50716600000000001</c:v>
                </c:pt>
                <c:pt idx="28">
                  <c:v>0.42439700000000002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67289216"/>
        <c:axId val="167310848"/>
      </c:barChart>
      <c:catAx>
        <c:axId val="167289216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67310848"/>
        <c:crosses val="autoZero"/>
        <c:auto val="1"/>
        <c:lblAlgn val="ctr"/>
        <c:lblOffset val="100"/>
        <c:tickLblSkip val="1"/>
        <c:noMultiLvlLbl val="0"/>
      </c:catAx>
      <c:valAx>
        <c:axId val="167310848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67289216"/>
        <c:crosses val="autoZero"/>
        <c:crossBetween val="between"/>
        <c:majorUnit val="0.25"/>
        <c:minorUnit val="5.0000000000000024E-2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0190967508371796E-2"/>
          <c:y val="5.1463447579186715E-2"/>
          <c:w val="0.97679424920859914"/>
          <c:h val="0.81894359431486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K3_funkcionality!$B$103</c:f>
              <c:strCache>
                <c:ptCount val="1"/>
                <c:pt idx="0">
                  <c:v> 2008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K3_funkcionality!$A$104:$A$107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K3_funkcionality!$B$104:$B$107</c:f>
              <c:numCache>
                <c:formatCode>0%</c:formatCode>
                <c:ptCount val="4"/>
                <c:pt idx="0">
                  <c:v>0.11</c:v>
                </c:pt>
                <c:pt idx="1">
                  <c:v>9.9000000000000005E-2</c:v>
                </c:pt>
                <c:pt idx="2">
                  <c:v>0.14199999999999999</c:v>
                </c:pt>
                <c:pt idx="3">
                  <c:v>0.18899999999999997</c:v>
                </c:pt>
              </c:numCache>
            </c:numRef>
          </c:val>
        </c:ser>
        <c:ser>
          <c:idx val="1"/>
          <c:order val="1"/>
          <c:tx>
            <c:strRef>
              <c:f>K3_funkcionality!$C$103</c:f>
              <c:strCache>
                <c:ptCount val="1"/>
                <c:pt idx="0">
                  <c:v> 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K3_funkcionality!$A$104:$A$107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K3_funkcionality!$C$104:$C$107</c:f>
              <c:numCache>
                <c:formatCode>0%</c:formatCode>
                <c:ptCount val="4"/>
                <c:pt idx="0">
                  <c:v>0.17100000000000001</c:v>
                </c:pt>
                <c:pt idx="1">
                  <c:v>0.16800000000000001</c:v>
                </c:pt>
                <c:pt idx="2">
                  <c:v>0.18</c:v>
                </c:pt>
                <c:pt idx="3">
                  <c:v>0.192</c:v>
                </c:pt>
              </c:numCache>
            </c:numRef>
          </c:val>
        </c:ser>
        <c:ser>
          <c:idx val="2"/>
          <c:order val="2"/>
          <c:tx>
            <c:strRef>
              <c:f>K3_funkcionality!$D$103</c:f>
              <c:strCache>
                <c:ptCount val="1"/>
                <c:pt idx="0">
                  <c:v> 2012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K3_funkcionality!$A$104:$A$107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K3_funkcionality!$D$104:$D$107</c:f>
              <c:numCache>
                <c:formatCode>0%</c:formatCode>
                <c:ptCount val="4"/>
                <c:pt idx="0">
                  <c:v>0.20399999999999999</c:v>
                </c:pt>
                <c:pt idx="1">
                  <c:v>0.2</c:v>
                </c:pt>
                <c:pt idx="2">
                  <c:v>0.221</c:v>
                </c:pt>
                <c:pt idx="3">
                  <c:v>0.215</c:v>
                </c:pt>
              </c:numCache>
            </c:numRef>
          </c:val>
        </c:ser>
        <c:ser>
          <c:idx val="3"/>
          <c:order val="3"/>
          <c:tx>
            <c:strRef>
              <c:f>K3_funkcionality!$E$103</c:f>
              <c:strCache>
                <c:ptCount val="1"/>
                <c:pt idx="0">
                  <c:v> 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K3_funkcionality!$A$104:$A$107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K3_funkcionality!$E$104:$E$107</c:f>
              <c:numCache>
                <c:formatCode>0%</c:formatCode>
                <c:ptCount val="4"/>
                <c:pt idx="0">
                  <c:v>0.19699999999999998</c:v>
                </c:pt>
                <c:pt idx="1">
                  <c:v>0.19699999999999998</c:v>
                </c:pt>
                <c:pt idx="2">
                  <c:v>0.192</c:v>
                </c:pt>
                <c:pt idx="3">
                  <c:v>0.22800000000000001</c:v>
                </c:pt>
              </c:numCache>
            </c:numRef>
          </c:val>
        </c:ser>
        <c:ser>
          <c:idx val="4"/>
          <c:order val="4"/>
          <c:tx>
            <c:strRef>
              <c:f>K3_funkcionality!$F$103</c:f>
              <c:strCache>
                <c:ptCount val="1"/>
                <c:pt idx="0">
                  <c:v> 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K3_funkcionality!$A$104:$A$107</c:f>
              <c:strCache>
                <c:ptCount val="4"/>
                <c:pt idx="0">
                  <c:v>Firmy celkem (10+)</c:v>
                </c:pt>
                <c:pt idx="1">
                  <c:v>10-49 zaměstnanců</c:v>
                </c:pt>
                <c:pt idx="2">
                  <c:v>50-249 zaměstnanců</c:v>
                </c:pt>
                <c:pt idx="3">
                  <c:v>250 a více zaměstnanců</c:v>
                </c:pt>
              </c:strCache>
            </c:strRef>
          </c:cat>
          <c:val>
            <c:numRef>
              <c:f>K3_funkcionality!$F$104:$F$107</c:f>
              <c:numCache>
                <c:formatCode>0%</c:formatCode>
                <c:ptCount val="4"/>
                <c:pt idx="0">
                  <c:v>0.191</c:v>
                </c:pt>
                <c:pt idx="1">
                  <c:v>0.18</c:v>
                </c:pt>
                <c:pt idx="2">
                  <c:v>0.22399999999999998</c:v>
                </c:pt>
                <c:pt idx="3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76305664"/>
        <c:axId val="176307200"/>
      </c:barChart>
      <c:catAx>
        <c:axId val="17630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307200"/>
        <c:crosses val="autoZero"/>
        <c:auto val="1"/>
        <c:lblAlgn val="ctr"/>
        <c:lblOffset val="100"/>
        <c:noMultiLvlLbl val="0"/>
      </c:catAx>
      <c:valAx>
        <c:axId val="176307200"/>
        <c:scaling>
          <c:orientation val="minMax"/>
          <c:max val="0.45"/>
          <c:min val="0"/>
        </c:scaling>
        <c:delete val="1"/>
        <c:axPos val="l"/>
        <c:numFmt formatCode="0%" sourceLinked="1"/>
        <c:majorTickMark val="out"/>
        <c:minorTickMark val="none"/>
        <c:tickLblPos val="none"/>
        <c:crossAx val="176305664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4.8359888112577479E-2"/>
          <c:y val="5.6160012905712105E-2"/>
          <c:w val="0.92347099703591673"/>
          <c:h val="0.1444193299366991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788732820501178E-2"/>
          <c:y val="6.7693513736113792E-2"/>
          <c:w val="0.74465624832610211"/>
          <c:h val="0.908372058407632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K3_funkcionality!$B$152</c:f>
              <c:strCache>
                <c:ptCount val="1"/>
                <c:pt idx="0">
                  <c:v> převážně vlastní zaměstnanci</c:v>
                </c:pt>
              </c:strCache>
            </c:strRef>
          </c:tx>
          <c:spPr>
            <a:solidFill>
              <a:srgbClr val="007D92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007D92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rgbClr val="007D92"/>
              </a:solidFill>
              <a:ln w="19050">
                <a:noFill/>
              </a:ln>
            </c:spPr>
          </c:dPt>
          <c:dLbls>
            <c:txPr>
              <a:bodyPr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K3_funkcionality!$A$153:$A$169</c:f>
              <c:strCache>
                <c:ptCount val="17"/>
                <c:pt idx="0">
                  <c:v>  Činnosti v oblasti IT</c:v>
                </c:pt>
                <c:pt idx="1">
                  <c:v>  Telekomunikační činnosti</c:v>
                </c:pt>
                <c:pt idx="2">
                  <c:v>  Audiovizuální činnosti; vydavatelství</c:v>
                </c:pt>
                <c:pt idx="3">
                  <c:v>  Profesní, vědecké a technické činnosti</c:v>
                </c:pt>
                <c:pt idx="4">
                  <c:v>  Velkoobchod</c:v>
                </c:pt>
                <c:pt idx="5">
                  <c:v>  Výroba a rozvod energie, plynu, tepla</c:v>
                </c:pt>
                <c:pt idx="6">
                  <c:v>  Ostatní administrativní a podpůrné činnosti</c:v>
                </c:pt>
                <c:pt idx="7">
                  <c:v>CELKEM</c:v>
                </c:pt>
                <c:pt idx="8">
                  <c:v>  Maloobchod</c:v>
                </c:pt>
                <c:pt idx="9">
                  <c:v>  Zpracovatelský průmysl</c:v>
                </c:pt>
                <c:pt idx="10">
                  <c:v>  Doprava a skladování</c:v>
                </c:pt>
                <c:pt idx="11">
                  <c:v>  Stravování a pohostinství</c:v>
                </c:pt>
                <c:pt idx="12">
                  <c:v>  Stavebnictví</c:v>
                </c:pt>
                <c:pt idx="13">
                  <c:v>  Činnosti cestovních agentur a kanceláří</c:v>
                </c:pt>
                <c:pt idx="14">
                  <c:v>  Činnosti v oblasti nemovitostí</c:v>
                </c:pt>
                <c:pt idx="15">
                  <c:v>  Obchod a opravy motorových vozidel</c:v>
                </c:pt>
                <c:pt idx="16">
                  <c:v>  Ubytování</c:v>
                </c:pt>
              </c:strCache>
            </c:strRef>
          </c:cat>
          <c:val>
            <c:numRef>
              <c:f>K3_funkcionality!$B$153:$B$169</c:f>
              <c:numCache>
                <c:formatCode>0%</c:formatCode>
                <c:ptCount val="17"/>
                <c:pt idx="0">
                  <c:v>0.68700000000000006</c:v>
                </c:pt>
                <c:pt idx="1">
                  <c:v>0.55600000000000005</c:v>
                </c:pt>
                <c:pt idx="2">
                  <c:v>0.496</c:v>
                </c:pt>
                <c:pt idx="3">
                  <c:v>0.26</c:v>
                </c:pt>
                <c:pt idx="4">
                  <c:v>0.223</c:v>
                </c:pt>
                <c:pt idx="5">
                  <c:v>0.218</c:v>
                </c:pt>
                <c:pt idx="6">
                  <c:v>0.182</c:v>
                </c:pt>
                <c:pt idx="7">
                  <c:v>0.20499999999999999</c:v>
                </c:pt>
                <c:pt idx="8">
                  <c:v>0.221</c:v>
                </c:pt>
                <c:pt idx="9">
                  <c:v>0.187</c:v>
                </c:pt>
                <c:pt idx="10">
                  <c:v>0.14699999999999999</c:v>
                </c:pt>
                <c:pt idx="11">
                  <c:v>0.12</c:v>
                </c:pt>
                <c:pt idx="12">
                  <c:v>0.14299999999999999</c:v>
                </c:pt>
                <c:pt idx="13">
                  <c:v>0.21199999999999999</c:v>
                </c:pt>
                <c:pt idx="14">
                  <c:v>0.161</c:v>
                </c:pt>
                <c:pt idx="15">
                  <c:v>0.14699999999999999</c:v>
                </c:pt>
                <c:pt idx="16">
                  <c:v>0.10299999999999999</c:v>
                </c:pt>
              </c:numCache>
            </c:numRef>
          </c:val>
        </c:ser>
        <c:ser>
          <c:idx val="1"/>
          <c:order val="1"/>
          <c:tx>
            <c:strRef>
              <c:f>K3_funkcionality!$C$152</c:f>
              <c:strCache>
                <c:ptCount val="1"/>
                <c:pt idx="0">
                  <c:v> převážně externisté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47E5FF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rgbClr val="47E5FF"/>
              </a:solidFill>
              <a:ln w="19050">
                <a:noFill/>
              </a:ln>
            </c:spPr>
          </c:dPt>
          <c:dLbls>
            <c:txPr>
              <a:bodyPr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K3_funkcionality!$A$153:$A$169</c:f>
              <c:strCache>
                <c:ptCount val="17"/>
                <c:pt idx="0">
                  <c:v>  Činnosti v oblasti IT</c:v>
                </c:pt>
                <c:pt idx="1">
                  <c:v>  Telekomunikační činnosti</c:v>
                </c:pt>
                <c:pt idx="2">
                  <c:v>  Audiovizuální činnosti; vydavatelství</c:v>
                </c:pt>
                <c:pt idx="3">
                  <c:v>  Profesní, vědecké a technické činnosti</c:v>
                </c:pt>
                <c:pt idx="4">
                  <c:v>  Velkoobchod</c:v>
                </c:pt>
                <c:pt idx="5">
                  <c:v>  Výroba a rozvod energie, plynu, tepla</c:v>
                </c:pt>
                <c:pt idx="6">
                  <c:v>  Ostatní administrativní a podpůrné činnosti</c:v>
                </c:pt>
                <c:pt idx="7">
                  <c:v>CELKEM</c:v>
                </c:pt>
                <c:pt idx="8">
                  <c:v>  Maloobchod</c:v>
                </c:pt>
                <c:pt idx="9">
                  <c:v>  Zpracovatelský průmysl</c:v>
                </c:pt>
                <c:pt idx="10">
                  <c:v>  Doprava a skladování</c:v>
                </c:pt>
                <c:pt idx="11">
                  <c:v>  Stravování a pohostinství</c:v>
                </c:pt>
                <c:pt idx="12">
                  <c:v>  Stavebnictví</c:v>
                </c:pt>
                <c:pt idx="13">
                  <c:v>  Činnosti cestovních agentur a kanceláří</c:v>
                </c:pt>
                <c:pt idx="14">
                  <c:v>  Činnosti v oblasti nemovitostí</c:v>
                </c:pt>
                <c:pt idx="15">
                  <c:v>  Obchod a opravy motorových vozidel</c:v>
                </c:pt>
                <c:pt idx="16">
                  <c:v>  Ubytování</c:v>
                </c:pt>
              </c:strCache>
            </c:strRef>
          </c:cat>
          <c:val>
            <c:numRef>
              <c:f>K3_funkcionality!$C$153:$C$169</c:f>
              <c:numCache>
                <c:formatCode>0%</c:formatCode>
                <c:ptCount val="17"/>
                <c:pt idx="0">
                  <c:v>0.29099999999999998</c:v>
                </c:pt>
                <c:pt idx="1">
                  <c:v>0.40600000000000003</c:v>
                </c:pt>
                <c:pt idx="2">
                  <c:v>0.48799999999999999</c:v>
                </c:pt>
                <c:pt idx="3">
                  <c:v>0.66200000000000003</c:v>
                </c:pt>
                <c:pt idx="4">
                  <c:v>0.70299999999999996</c:v>
                </c:pt>
                <c:pt idx="5">
                  <c:v>0.70399999999999996</c:v>
                </c:pt>
                <c:pt idx="6">
                  <c:v>0.70799999999999996</c:v>
                </c:pt>
                <c:pt idx="7">
                  <c:v>0.70799999999999996</c:v>
                </c:pt>
                <c:pt idx="8">
                  <c:v>0.71399999999999997</c:v>
                </c:pt>
                <c:pt idx="9">
                  <c:v>0.72099999999999997</c:v>
                </c:pt>
                <c:pt idx="10">
                  <c:v>0.73099999999999998</c:v>
                </c:pt>
                <c:pt idx="11">
                  <c:v>0.74099999999999999</c:v>
                </c:pt>
                <c:pt idx="12">
                  <c:v>0.748</c:v>
                </c:pt>
                <c:pt idx="13">
                  <c:v>0.76300000000000001</c:v>
                </c:pt>
                <c:pt idx="14">
                  <c:v>0.76500000000000001</c:v>
                </c:pt>
                <c:pt idx="15">
                  <c:v>0.81299999999999994</c:v>
                </c:pt>
                <c:pt idx="16">
                  <c:v>0.85599999999999998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axId val="176351104"/>
        <c:axId val="176352640"/>
      </c:barChart>
      <c:catAx>
        <c:axId val="176351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6352640"/>
        <c:crosses val="autoZero"/>
        <c:auto val="1"/>
        <c:lblAlgn val="ctr"/>
        <c:lblOffset val="100"/>
        <c:noMultiLvlLbl val="0"/>
      </c:catAx>
      <c:valAx>
        <c:axId val="176352640"/>
        <c:scaling>
          <c:orientation val="minMax"/>
          <c:max val="1"/>
          <c:min val="0"/>
        </c:scaling>
        <c:delete val="1"/>
        <c:axPos val="b"/>
        <c:numFmt formatCode="0%" sourceLinked="1"/>
        <c:majorTickMark val="out"/>
        <c:minorTickMark val="none"/>
        <c:tickLblPos val="none"/>
        <c:crossAx val="176351104"/>
        <c:crosses val="autoZero"/>
        <c:crossBetween val="between"/>
      </c:valAx>
      <c:spPr>
        <a:ln w="12700">
          <a:noFill/>
        </a:ln>
      </c:spPr>
    </c:plotArea>
    <c:legend>
      <c:legendPos val="r"/>
      <c:layout>
        <c:manualLayout>
          <c:xMode val="edge"/>
          <c:yMode val="edge"/>
          <c:x val="0.28477087685467889"/>
          <c:y val="1.1988542925910195E-2"/>
          <c:w val="0.48243518667309443"/>
          <c:h val="3.954929074319396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BB3B-C153-4817-8183-ED5036B4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67</TotalTime>
  <Pages>4</Pages>
  <Words>1255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8</cp:revision>
  <cp:lastPrinted>2015-11-16T07:25:00Z</cp:lastPrinted>
  <dcterms:created xsi:type="dcterms:W3CDTF">2017-11-13T07:05:00Z</dcterms:created>
  <dcterms:modified xsi:type="dcterms:W3CDTF">2017-11-21T13:54:00Z</dcterms:modified>
</cp:coreProperties>
</file>