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DF55" w14:textId="77777777" w:rsidR="000D7C6F" w:rsidRPr="00134FFF" w:rsidRDefault="000D7C6F" w:rsidP="000D7C6F">
      <w:pPr>
        <w:pStyle w:val="Nadpis11"/>
        <w:rPr>
          <w:sz w:val="2"/>
          <w:szCs w:val="2"/>
        </w:rPr>
      </w:pPr>
      <w:bookmarkStart w:id="0" w:name="_Toc121993822"/>
      <w:bookmarkStart w:id="1" w:name="_Toc145318534"/>
      <w:bookmarkStart w:id="2" w:name="_Toc153531176"/>
      <w:r>
        <w:t>4</w:t>
      </w:r>
      <w:bookmarkStart w:id="3" w:name="_Toc511215218"/>
      <w:bookmarkStart w:id="4" w:name="_Toc19090679"/>
      <w:bookmarkStart w:id="5" w:name="_Toc74643856"/>
      <w:bookmarkStart w:id="6" w:name="_Toc42852411"/>
      <w:bookmarkStart w:id="7" w:name="_Toc74643857"/>
      <w:bookmarkEnd w:id="3"/>
      <w:bookmarkEnd w:id="4"/>
      <w:r w:rsidRPr="009110F7">
        <w:t>.</w:t>
      </w:r>
      <w:r>
        <w:t> </w:t>
      </w:r>
      <w:r w:rsidRPr="009110F7">
        <w:t>Vnější vztahy</w:t>
      </w:r>
      <w:bookmarkEnd w:id="2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21"/>
        <w:gridCol w:w="7670"/>
      </w:tblGrid>
      <w:tr w:rsidR="000D7C6F" w:rsidRPr="009110F7" w14:paraId="15C11AD5" w14:textId="77777777" w:rsidTr="000D7C6F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4DCD69EA" w14:textId="77777777" w:rsidR="000D7C6F" w:rsidRDefault="000D7C6F" w:rsidP="000D7C6F">
            <w:pPr>
              <w:pStyle w:val="Marginlie"/>
            </w:pPr>
            <w:r>
              <w:t xml:space="preserve">Hodnota vývozu zboží se ve 3. čtvrtletí meziročně </w:t>
            </w:r>
            <w:r>
              <w:br/>
              <w:t>i mezičtvrtletně snižovala.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5C650C06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2B8B301A" w14:textId="77777777" w:rsidR="000D7C6F" w:rsidRPr="00AF6F98" w:rsidRDefault="000D7C6F" w:rsidP="000D7C6F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 kumulaci za 1. až 3. čtvrtletí 2023 hodnota vývozu zboží</w:t>
            </w:r>
            <w:r>
              <w:rPr>
                <w:rStyle w:val="Znakapoznpodarou"/>
                <w:spacing w:val="-4"/>
              </w:rPr>
              <w:footnoteReference w:id="1"/>
            </w:r>
            <w:r>
              <w:rPr>
                <w:spacing w:val="-4"/>
              </w:rPr>
              <w:t xml:space="preserve"> dosáhla 3 296,0 mld. korun. To představuje meziroční nárůst o 34,7 mld. korun (1,1 %). Mírný přírůstek za celé období od začátku roku je výsledkem složitějšího vývoje v rámci jednotlivých čtvrtletí. Zatímco v 1. kvartálu vývoz výrazně meziročně narostl, ve 2. čtvrtletí jeho dynamika prudce oslabila. Ve 3. čtvrtletí již hodnota exportu zboží meziročně klesla o 78,3 mld. korun (−7,2 %) na 1 015,2 mld. Významnou roli na meziročním poklesu hodnoty vývozu měl i cenový vývoj, především propad cen minerálních paliv a dalších surovin</w:t>
            </w:r>
            <w:r>
              <w:rPr>
                <w:rStyle w:val="Znakapoznpodarou"/>
                <w:spacing w:val="-4"/>
              </w:rPr>
              <w:footnoteReference w:id="2"/>
            </w:r>
            <w:r>
              <w:rPr>
                <w:spacing w:val="-4"/>
              </w:rPr>
              <w:t xml:space="preserve">. Sezónně očištěné údaje ukazují, že mezičtvrtletně došlo k výraznému poklesu hodnoty exportu zboží o 3,3 %. </w:t>
            </w:r>
          </w:p>
        </w:tc>
      </w:tr>
      <w:tr w:rsidR="000D7C6F" w:rsidRPr="009110F7" w14:paraId="712C9C8F" w14:textId="77777777" w:rsidTr="000D7C6F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2C2F1880" w14:textId="77777777" w:rsidR="000D7C6F" w:rsidRDefault="000D7C6F" w:rsidP="000D7C6F">
            <w:pPr>
              <w:pStyle w:val="Marginlie"/>
            </w:pPr>
            <w:r>
              <w:t xml:space="preserve">Pokles vývozu do zemí EU byl ve 3. čtvrtletí výraznější než v případě mimounijních států. 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25CBA60B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10ADA8AD" w14:textId="77777777" w:rsidR="000D7C6F" w:rsidRPr="00CA4428" w:rsidRDefault="000D7C6F" w:rsidP="000D7C6F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Vývoz zboží do Evropské unie v kumulaci od začátku roku mírně meziročně vzrostl (+20,1 mld. korun, 0,8 %), podobně jako export mimo EU (+14,4 mld., 2,3 %). V samotném 3. čtvrtletí se silně meziročně propadl export do EU (−71,7 mld. korun, −8,2 %), zatímco pokles u mimounijních zemí byl méně výrazný (−6,7 mld., −3,1 %). Ve 3. čtvrtletí se meziročně propadl vývoz do většiny sledovaných zemí, nejvíce do Německa (−29,7 mld. korun, −8,8 %), na Slovensko (−13,2 mld., −12,2 %) a do Rakouska (−10,8 mld., −20,7 %)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 xml:space="preserve">. Výrazně meziročně klesal také export do Francie (−4,3 mld. korun, −8,1 %), do Nizozemska (−3,2 mld., −8,7 %), do Spojených států (−3,2 mld., −10,8 %), do Itálie (−3,0 mld., −6,9 %), do Švédska (−2,4 mld., −14,0 %), do Ruska (−2,3 mld., −41,1 %) nebo do Číny (−2,3 mld., −19,4 %). Výraznější meziroční přírůstky byly ve 3. čtvrtletí zaznamenány jen v případě vývozu na Ukrajinu (+2,7 mld. korun, 41,4 %) a do Turecka (+2,5 mld., 18,0 %). </w:t>
            </w:r>
          </w:p>
        </w:tc>
      </w:tr>
      <w:tr w:rsidR="000D7C6F" w:rsidRPr="009110F7" w14:paraId="5705746B" w14:textId="77777777" w:rsidTr="000D7C6F">
        <w:trPr>
          <w:trHeight w:val="170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577EFE21" w14:textId="77777777" w:rsidR="000D7C6F" w:rsidRDefault="000D7C6F" w:rsidP="000D7C6F">
            <w:pPr>
              <w:pStyle w:val="Marginlie"/>
            </w:pPr>
            <w:r>
              <w:t>Ve 3. čtvrtletí klesal vývoz většiny zboží. Jednou z mála výjimek byl export motorových vozidel.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3DE80C48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0A2C0D43" w14:textId="2DF2E3F4" w:rsidR="000D7C6F" w:rsidRPr="00AF6F98" w:rsidRDefault="000D7C6F" w:rsidP="000D7C6F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Celkově od začátku roku nejvíce rostl vývoz motorových vozidel (+134,3 mld. korun, 17,5 %), elektrických zařízení (+43,8 mld., 14,6 %), strojů a zařízení (+27,2 mld., 7,5 %) a potravinářských výrobků (+14,4 mld., 13,6 %). Naopak propad byl zaznamenán zejména u vývozu elektřiny, plynu, páry a klimatizovaného vzduchu (−52,1 mld. korun, −58,1 %), základních kovů (−29,9 mld., −19,5 %), chemických látek a přípravků (−27,6 mld., </w:t>
            </w:r>
            <w:r>
              <w:rPr>
                <w:spacing w:val="-4"/>
              </w:rPr>
              <w:br/>
              <w:t xml:space="preserve">−15,4 %), počítačů, elektronických a optických přístrojů (−16,7 mld., −5,6 %) a dřeva </w:t>
            </w:r>
            <w:r>
              <w:rPr>
                <w:spacing w:val="-4"/>
              </w:rPr>
              <w:br/>
              <w:t>a výrobků z něj (−13,3 mld., −27,9 %). V samotném 3. čtvrtletí meziročně klesl vývoz většiny produktů. Nejvíce se propadl export elektřiny, plynu, páry a klimatizovaného vzduchu (−31,5 mld. korun, −74,9 %), počítačů, elektronických a optických přístrojů (−15,3 mld., −14,5 %), základních kovů (−9,9 mld., −21,8 %) a chemických látek a přípravků (−10,0 mld., −17,7 %). Klesal také export kovodělných výrobků (−3,8 mld. korun, −5,8 %), dřeva a výrobků z něj (−3,8 mld., −27,6 %), ropy a zemního plynu (−3,6 mld., −98,9 %), koksu a rafinovaných ropných výrobků (−3,0 mld., −18,3 %), pryžových a plastových výrobků (−2,7 mld., −5,2 %), papíru a výrobků z něj (−2,6 mld., −11,8 %), textilií (−2,1 mld., −13,5 %) nebo produktů zemědělství a myslivosti (−2,0 mld., −13,7 %). Nejvíce se meziročně zvýšil vývoz motorových vozidel (+12,4 mld. korun, 4,9 %). Přírůstek ale výrazně oslabil, a to zejména kvůli silné srovnávací základně loňského roku a mírně rostl také vývoz elektrických zařízení (+3,2 mld., 3,1 %) a potravinářských výrobků (+2,4 mld., 6,3 %).</w:t>
            </w:r>
          </w:p>
        </w:tc>
      </w:tr>
      <w:tr w:rsidR="000D7C6F" w:rsidRPr="009110F7" w14:paraId="651D7A84" w14:textId="77777777" w:rsidTr="000D7C6F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075005BD" w14:textId="77777777" w:rsidR="000D7C6F" w:rsidRDefault="000D7C6F" w:rsidP="000D7C6F">
            <w:pPr>
              <w:pStyle w:val="Marginlie"/>
            </w:pPr>
            <w:r>
              <w:t>Dovoz zboží se propadal.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23F8E779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1ED4CF32" w14:textId="77777777" w:rsidR="000D7C6F" w:rsidRDefault="000D7C6F" w:rsidP="000D7C6F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Hodnota dovozu zboží od počátku roku do září dosáhla 3 219,8 mld. korun a meziročně tak klesla o 191,6 mld. (−5,6 %). Také v případě importu se vývoj ve 2. a 3. čtvrtletí výrazně lišil od pozitivnějšího počátku roku. V samotném 3. čtvrtletí hodnota dovozu meziročně klesla </w:t>
            </w:r>
            <w:r>
              <w:rPr>
                <w:spacing w:val="-4"/>
              </w:rPr>
              <w:lastRenderedPageBreak/>
              <w:t>o 142,5 mld. korun (−12,3 %) na 1 015,4 mld. a cenový vývoj hrál výraznou roli</w:t>
            </w:r>
            <w:r>
              <w:rPr>
                <w:rStyle w:val="Znakapoznpodarou"/>
                <w:spacing w:val="-4"/>
              </w:rPr>
              <w:footnoteReference w:id="4"/>
            </w:r>
            <w:r>
              <w:rPr>
                <w:spacing w:val="-4"/>
              </w:rPr>
              <w:t>. Podle sezónně očištěných údajů se dovoz ve 3. kvartálu mezičtvrtletně snížil o 2,5 %. Propad cen surovin byl patrný i na teritoriálním rozkladu vývoje dovozu. V kumulaci od počátku roku se dovoz z EU meziročně snížil o 66,2 mld. korun (−3,2 %), zatímco import ze zemí mimo EU, kde suroviny převažují, klesl o 128,3 mld. (−9,7 %). V samotném 3. čtvrtletí se hodnota dovozu zboží z EU meziročně propadla o 49,4 mld. korun (−7,3 %) a mimo EU o 92,9 mld. (−19,5 %). Nejvíce meziročně klesl dovoz z Ruska (−69,1 mld. korun, −77,0 %) a Číny (−25,4 mld., −16,8 %). U Číny šlo o první pokles importu od 1. čtvrtletí 2020 a nejhlubší zaznamenaný propad v celé časové řadě. Výrazně nižší byl také dovoz z Polska (−15,3 mld. korun, −15,0 %) a  Německa (−14,6 mld., −5,8 %). Meziročně klesla také hodnota dovozu z Rakouska (−4,0 mld. korun, −12,7 %), Francie (−3,8 mld., −10,8 %), Belgie (−3,0 mld., −16,1 %), Nizozemska (−2,5 mld., −9,2 %), Spojených států (−2,5 mld., −7,1 %) nebo ze Slovenska (−2,1 mld., −3,9 %). Podobně jako v předchozích několika čtvrtletích silně rostl dovoz z Norska (+13,1 mld. korun, 397,1 %)</w:t>
            </w:r>
            <w:r w:rsidRPr="00FA2C07">
              <w:rPr>
                <w:rStyle w:val="Znakapoznpodarou"/>
                <w:spacing w:val="-5"/>
              </w:rPr>
              <w:footnoteReference w:id="5"/>
            </w:r>
            <w:r>
              <w:rPr>
                <w:spacing w:val="-4"/>
              </w:rPr>
              <w:t xml:space="preserve"> a vyšší byl také v případě Kazachstánu (+2,5 mld., 274,9 %).</w:t>
            </w:r>
            <w:r w:rsidRPr="00FA2C07">
              <w:rPr>
                <w:spacing w:val="-5"/>
              </w:rPr>
              <w:t xml:space="preserve"> </w:t>
            </w:r>
          </w:p>
        </w:tc>
      </w:tr>
      <w:tr w:rsidR="000D7C6F" w:rsidRPr="009110F7" w14:paraId="56C71C56" w14:textId="77777777" w:rsidTr="000D7C6F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36F2137D" w14:textId="77777777" w:rsidR="000D7C6F" w:rsidRDefault="000D7C6F" w:rsidP="000D7C6F">
            <w:pPr>
              <w:pStyle w:val="Marginlie"/>
            </w:pPr>
            <w:r>
              <w:t>Ve 3. čtvrtletí klesal dovoz většiny druhů zboží.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7FE26DB6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2C97CE03" w14:textId="77777777" w:rsidR="000D7C6F" w:rsidRDefault="000D7C6F" w:rsidP="000D7C6F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 kumulaci od začátku roku se nejvíce propadla hodnota dovozu ropy a zemního plynu (−130,7 mld. korun, −50,1 %), základních kovů (−57,7 mld., −19,4 %) a chemických látek a přípravků (−40,1 mld., −13,4 %), ale import klesl u většiny druhů zboží. Zmíněný propad vyvažovala motorová vozidla (+55,3 mld. korun, 13,0 %), elektrická zařízení (+44,8 mld., 14,8 %) a stroje a zařízení (+11,2 mld., 3,8 %). V samotném 3. čtvrtletí meziročně klesal dovoz téměř všech druhů zboží a výjimečné nárůsty dosahovaly jen řádu stovek milionů korun, jako byl případ motorových vozidel (+1,5 mld. korun, 1,0 %) a ostatních dopravních prostředků a zařízení (+1,1 mld., 9,1 %). Nejvíce se ve 3. čtvrtletí meziročně propadl dovoz ropy a zemního plynu (−59,6 mld. korun, −58,7 %), základních kovů (−19,0 mld., −21,3 %) a chemických látek a přípravků (−16,1 mld., −16,4 %). Významný byl také pokles u počítačů, elektronických a optických přístrojů a zařízení (−8,8 mld. korun, −7,2 %), elektřiny, plynu, páry a klimatizovaného vzduchu (−5,1 mld., −54,4 %), ostatních výrobků zpracovatelského průmyslu (−4,7 mld., −17,7 %), černého a hnědého uhlí a lignitu (−4,3 mld., −49,4 %), papíru a výrobků z něj (−4,2 mld., −22,2 %), elektrických zařízení (−3,8 mld., −3,4 %), pryžových a plastových výrobků (−3,5 mld., −6,9 %) nebo strojů a zařízení (−2,3 mld., −2,4 %).   </w:t>
            </w:r>
          </w:p>
        </w:tc>
      </w:tr>
      <w:tr w:rsidR="000D7C6F" w:rsidRPr="009110F7" w14:paraId="756B8C87" w14:textId="77777777" w:rsidTr="000D7C6F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2F96E184" w14:textId="77777777" w:rsidR="000D7C6F" w:rsidRDefault="000D7C6F" w:rsidP="000D7C6F">
            <w:pPr>
              <w:pStyle w:val="Marginlie"/>
            </w:pPr>
            <w:r>
              <w:t>Bilance obchodu se zbožím se meziročně výrazně zlepšovala.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4A56495D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6B494867" w14:textId="0019080F" w:rsidR="000D7C6F" w:rsidRDefault="000D7C6F" w:rsidP="000D7C6F">
            <w:pPr>
              <w:spacing w:after="180"/>
              <w:rPr>
                <w:spacing w:val="-4"/>
              </w:rPr>
            </w:pPr>
            <w:r>
              <w:t xml:space="preserve">Bilance zahraničního obchodu se zbožím dosáhla v kumulaci od začátku roku </w:t>
            </w:r>
            <w:r>
              <w:br/>
              <w:t>76,2 mld. korun a oproti rekordně hlubokému schodku ze stejného období loňského roku se zlepšila o 226,3 mld. Celkový přebytek je výsledkem zejména prvních dvou čtvrtletí. Ve 3. čtvrtletí byla bilance téměř vyrovnaná, když dosáhla jen drobného deficitu ve výši −0,2 mld. korun. I tak šlo meziročně o 64,1 mld. korun lepší výsledek. Mezičtvrtletně se sezónně očištěná bilance zahraničního obchodu se zbožím zhoršila. V kumulaci od začátku roku se přebytek bilance zahraničního obchodu se zeměmi EU meziročně zlepšil o 86,4 mld. korun a deficit se zeměmi mimo EU se zmírnil o 142,7 mld. V samotném 3. čtvrtletí došlo k meziročnímu zhoršení bilance obchodu s EU o 22,3 mld. korun, ale deficit s mimounijními zeměmi se zmírnil o 86,2 mld. Meziročně se nejvíce zlepšila bilance obchodu s Ruskem (+66,7 mld. korun), Čínou (+23,0 mld.) a s Polskem (+13,7 mld.). Zlepšila se také bilance zahraničního obchodu s Ukrajinou (+3,8 mld. korun), Tureckem (+3,3 mld.), Velkou Británií (+2,3 mld.) nebo Ázerbájdžánem (+2,0 mld.). Výrazné meziroční zhoršení bilance bylo zaznamenáno u obchodu s Německem (−15,0 mld. korun), s Norskem (−14,4 mld.) a se Slovenskem (−11,1 mld.). Horší byl také výsledek v případě Rakouska (−6,8 mld.), Kazachstánu (−3,4 mld.), Švédska (−2,3 mld.) nebo Izraele (−2,1 mld.).</w:t>
            </w:r>
          </w:p>
        </w:tc>
      </w:tr>
      <w:tr w:rsidR="000D7C6F" w:rsidRPr="009110F7" w14:paraId="0F224824" w14:textId="77777777" w:rsidTr="000D7C6F">
        <w:trPr>
          <w:trHeight w:val="150"/>
        </w:trPr>
        <w:tc>
          <w:tcPr>
            <w:tcW w:w="1748" w:type="dxa"/>
            <w:vMerge w:val="restart"/>
            <w:shd w:val="clear" w:color="auto" w:fill="auto"/>
            <w:tcMar>
              <w:left w:w="0" w:type="dxa"/>
            </w:tcMar>
          </w:tcPr>
          <w:p w14:paraId="39FB13A6" w14:textId="77777777" w:rsidR="000D7C6F" w:rsidRDefault="000D7C6F" w:rsidP="000D7C6F">
            <w:pPr>
              <w:pStyle w:val="Marginlie"/>
            </w:pPr>
          </w:p>
        </w:tc>
        <w:tc>
          <w:tcPr>
            <w:tcW w:w="221" w:type="dxa"/>
            <w:vMerge w:val="restart"/>
            <w:shd w:val="clear" w:color="auto" w:fill="auto"/>
            <w:tcMar>
              <w:left w:w="0" w:type="dxa"/>
            </w:tcMar>
          </w:tcPr>
          <w:p w14:paraId="702DA3D7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21F35576" w14:textId="77777777" w:rsidR="000D7C6F" w:rsidRDefault="000D7C6F" w:rsidP="000D7C6F">
            <w:pPr>
              <w:spacing w:after="0"/>
              <w:rPr>
                <w:spacing w:val="-4"/>
              </w:rPr>
            </w:pPr>
            <w:r w:rsidRPr="00D75AC1">
              <w:rPr>
                <w:rFonts w:cs="Arial"/>
                <w:b/>
                <w:bCs/>
                <w:color w:val="000000"/>
                <w:szCs w:val="20"/>
              </w:rPr>
              <w:t>Graf č.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 9 </w:t>
            </w:r>
            <w:r w:rsidRPr="00D75AC1">
              <w:rPr>
                <w:b/>
                <w:spacing w:val="-4"/>
                <w:szCs w:val="20"/>
              </w:rPr>
              <w:t xml:space="preserve">Bilance zahraničního obchodu </w:t>
            </w:r>
            <w:r>
              <w:rPr>
                <w:b/>
                <w:spacing w:val="-4"/>
                <w:szCs w:val="20"/>
              </w:rPr>
              <w:t xml:space="preserve">se zbožím </w:t>
            </w:r>
            <w:r w:rsidRPr="00D75AC1">
              <w:rPr>
                <w:b/>
                <w:spacing w:val="-4"/>
                <w:szCs w:val="20"/>
              </w:rPr>
              <w:t xml:space="preserve">ve statistice zahraničního obchodu </w:t>
            </w:r>
            <w:r w:rsidRPr="00D75AC1">
              <w:rPr>
                <w:spacing w:val="-4"/>
                <w:szCs w:val="20"/>
              </w:rPr>
              <w:t xml:space="preserve">(kumulace </w:t>
            </w:r>
            <w:r>
              <w:rPr>
                <w:spacing w:val="-4"/>
                <w:szCs w:val="20"/>
              </w:rPr>
              <w:t>1. až 3. čtvrtletí</w:t>
            </w:r>
            <w:r w:rsidRPr="00D75AC1">
              <w:rPr>
                <w:spacing w:val="-4"/>
                <w:szCs w:val="20"/>
              </w:rPr>
              <w:t>, v mld.</w:t>
            </w:r>
            <w:r>
              <w:rPr>
                <w:spacing w:val="-4"/>
                <w:szCs w:val="20"/>
              </w:rPr>
              <w:t xml:space="preserve"> </w:t>
            </w:r>
            <w:r w:rsidRPr="00D75AC1">
              <w:rPr>
                <w:spacing w:val="-4"/>
                <w:szCs w:val="20"/>
              </w:rPr>
              <w:t>korun, vybrané oddíly klasifikace CPA)</w:t>
            </w:r>
          </w:p>
        </w:tc>
      </w:tr>
      <w:tr w:rsidR="000D7C6F" w:rsidRPr="009110F7" w14:paraId="439B8928" w14:textId="77777777" w:rsidTr="000D7C6F">
        <w:tblPrEx>
          <w:tblCellMar>
            <w:left w:w="70" w:type="dxa"/>
            <w:right w:w="70" w:type="dxa"/>
          </w:tblCellMar>
        </w:tblPrEx>
        <w:trPr>
          <w:trHeight w:val="150"/>
        </w:trPr>
        <w:tc>
          <w:tcPr>
            <w:tcW w:w="1748" w:type="dxa"/>
            <w:vMerge/>
          </w:tcPr>
          <w:p w14:paraId="3136505D" w14:textId="77777777" w:rsidR="000D7C6F" w:rsidRDefault="000D7C6F" w:rsidP="000D7C6F">
            <w:pPr>
              <w:pStyle w:val="Marginlie"/>
            </w:pPr>
          </w:p>
        </w:tc>
        <w:tc>
          <w:tcPr>
            <w:tcW w:w="221" w:type="dxa"/>
            <w:vMerge/>
          </w:tcPr>
          <w:p w14:paraId="0BB5DDF9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</w:tcPr>
          <w:p w14:paraId="5B11594B" w14:textId="77777777" w:rsidR="000D7C6F" w:rsidRDefault="000D7C6F" w:rsidP="000D7C6F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502340D" wp14:editId="00939F2F">
                  <wp:extent cx="4771467" cy="3492000"/>
                  <wp:effectExtent l="0" t="0" r="0" b="0"/>
                  <wp:docPr id="16" name="Graf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D7C6F" w:rsidRPr="009110F7" w14:paraId="043AD1D5" w14:textId="77777777" w:rsidTr="000D7C6F">
        <w:trPr>
          <w:trHeight w:val="150"/>
        </w:trPr>
        <w:tc>
          <w:tcPr>
            <w:tcW w:w="1748" w:type="dxa"/>
            <w:vMerge/>
            <w:tcMar>
              <w:left w:w="0" w:type="dxa"/>
            </w:tcMar>
          </w:tcPr>
          <w:p w14:paraId="40E9A77C" w14:textId="77777777" w:rsidR="000D7C6F" w:rsidRDefault="000D7C6F" w:rsidP="000D7C6F">
            <w:pPr>
              <w:pStyle w:val="Marginlie"/>
            </w:pPr>
          </w:p>
        </w:tc>
        <w:tc>
          <w:tcPr>
            <w:tcW w:w="221" w:type="dxa"/>
            <w:vMerge/>
            <w:tcMar>
              <w:left w:w="0" w:type="dxa"/>
            </w:tcMar>
          </w:tcPr>
          <w:p w14:paraId="5ECB25B9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327316B4" w14:textId="77777777" w:rsidR="000D7C6F" w:rsidRDefault="000D7C6F" w:rsidP="000D7C6F">
            <w:pPr>
              <w:rPr>
                <w:spacing w:val="-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tr w:rsidR="000D7C6F" w:rsidRPr="009110F7" w14:paraId="406E97D1" w14:textId="77777777" w:rsidTr="000D7C6F">
        <w:trPr>
          <w:trHeight w:val="477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5F909512" w14:textId="77777777" w:rsidR="000D7C6F" w:rsidRDefault="000D7C6F" w:rsidP="000D7C6F">
            <w:pPr>
              <w:pStyle w:val="Marginlie"/>
            </w:pPr>
            <w:r>
              <w:t xml:space="preserve">Za zlepšením salda </w:t>
            </w:r>
            <w:r>
              <w:br/>
              <w:t xml:space="preserve">stál většinou </w:t>
            </w:r>
            <w:r>
              <w:br/>
              <w:t xml:space="preserve">obchod s ropou </w:t>
            </w:r>
            <w:r>
              <w:br/>
              <w:t>a zemním plynem.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48B3B253" w14:textId="77777777" w:rsidR="000D7C6F" w:rsidRDefault="000D7C6F" w:rsidP="000D7C6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30CCEB60" w14:textId="77777777" w:rsidR="000D7C6F" w:rsidRDefault="000D7C6F" w:rsidP="000D7C6F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Na meziročním zlepšení bilance zahraničního obchodu se zbožím v kumulaci za 1. až 3. čtvrtletí se nejvíce podílel obchod s ropou a zemním plynem (+121,7 mld. korun), motorovými vozidly (+79,1 mld.) a základními kovy (+27,8 mld.). V kumulaci od začátku roku se výrazně zhoršila zejména bilance obchodu s elektřinou, plynem, párou a klimatizovaným vzduchem (−39,7 mld. korun). V samotném 3. čtvrtletí ve směru zlepšení bilance působil zejména obchod s ropou a zemním plynem (+56,0 mld. korun). Zlepšení salda u ostatních druhů zboží bylo méně výrazné. Bilance obchodu s motorovými vozidly se zlepšila o 11,0 mld. korun, se základními kovy o 9,1 mld., s elektrickými zařízeními o 7,0 mld., s chemickými látkami a přípravky o 6,1 mld., s černým uhlím a lignitem o 3,9 mld., s ostatními výrobky zpracovatelského průmyslu o 3,9 mld., se stroji a zařízeními o 2,4 mld. a s oděvy o 2,3 mld. Na druhé straně největší meziroční zhoršení bilance měl ve 3. kvartálu obchod s elektřinou, plynem, párou a klimatizovaným vzduchem (−26,4 mld. korun). S odstupem následovaly počítače, elektronické a optické přístroje (−6,5 mld. korun), produkty lesnictví a těžby dřeva (−3,1 mld.), produkty zemědělství a myslivosti (−2,9 mld.), dřevo a dřevěné výrobky (−2,2 mld.) nebo kovodělné výrobky (−2,1 mld.).</w:t>
            </w:r>
          </w:p>
        </w:tc>
      </w:tr>
      <w:bookmarkEnd w:id="5"/>
      <w:bookmarkEnd w:id="6"/>
      <w:bookmarkEnd w:id="7"/>
    </w:tbl>
    <w:p w14:paraId="4443EB77" w14:textId="77777777" w:rsidR="008B02E7" w:rsidRDefault="008B02E7" w:rsidP="001E1AF1">
      <w:pPr>
        <w:pStyle w:val="Nadpis11"/>
        <w:rPr>
          <w:b w:val="0"/>
          <w:sz w:val="2"/>
          <w:szCs w:val="2"/>
        </w:rPr>
      </w:pPr>
    </w:p>
    <w:p w14:paraId="15973F00" w14:textId="49ECABD4" w:rsidR="008B02E7" w:rsidRDefault="008B02E7">
      <w:pPr>
        <w:spacing w:after="0" w:line="240" w:lineRule="auto"/>
        <w:jc w:val="left"/>
        <w:rPr>
          <w:rFonts w:eastAsia="MS Gothic"/>
          <w:bCs/>
          <w:color w:val="71818C"/>
          <w:sz w:val="2"/>
          <w:szCs w:val="2"/>
        </w:rPr>
      </w:pPr>
      <w:bookmarkStart w:id="8" w:name="_GoBack"/>
      <w:bookmarkEnd w:id="0"/>
      <w:bookmarkEnd w:id="1"/>
      <w:bookmarkEnd w:id="8"/>
    </w:p>
    <w:sectPr w:rsidR="008B02E7" w:rsidSect="00437BF4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5884" w14:textId="77777777" w:rsidR="007E7E2D" w:rsidRDefault="007E7E2D" w:rsidP="00E71A58">
      <w:r>
        <w:separator/>
      </w:r>
    </w:p>
  </w:endnote>
  <w:endnote w:type="continuationSeparator" w:id="0">
    <w:p w14:paraId="6B209754" w14:textId="77777777" w:rsidR="007E7E2D" w:rsidRDefault="007E7E2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18DA39C5" w:rsidR="000D7C6F" w:rsidRPr="00932443" w:rsidRDefault="000D7C6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437BF4"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0FEDB5E4" w:rsidR="000D7C6F" w:rsidRPr="00932443" w:rsidRDefault="000D7C6F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437BF4"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C5AE3" w14:textId="77777777" w:rsidR="007E7E2D" w:rsidRDefault="007E7E2D" w:rsidP="00A21B4D">
      <w:pPr>
        <w:spacing w:after="0"/>
      </w:pPr>
      <w:r>
        <w:separator/>
      </w:r>
    </w:p>
  </w:footnote>
  <w:footnote w:type="continuationSeparator" w:id="0">
    <w:p w14:paraId="1AEB178E" w14:textId="77777777" w:rsidR="007E7E2D" w:rsidRDefault="007E7E2D" w:rsidP="00E71A58">
      <w:r>
        <w:continuationSeparator/>
      </w:r>
    </w:p>
  </w:footnote>
  <w:footnote w:id="1">
    <w:p w14:paraId="3A4E73FD" w14:textId="77777777" w:rsidR="000D7C6F" w:rsidRPr="00441515" w:rsidRDefault="000D7C6F" w:rsidP="000D7C6F">
      <w:pPr>
        <w:pStyle w:val="Textpoznpodarou"/>
        <w:rPr>
          <w:rFonts w:cs="Arial"/>
          <w:i/>
          <w:iCs/>
          <w:sz w:val="16"/>
          <w:szCs w:val="16"/>
        </w:rPr>
      </w:pPr>
      <w:r w:rsidRPr="00441515">
        <w:rPr>
          <w:rStyle w:val="Znakapoznpodarou"/>
          <w:rFonts w:cs="Arial"/>
          <w:sz w:val="16"/>
          <w:szCs w:val="16"/>
        </w:rPr>
        <w:footnoteRef/>
      </w:r>
      <w:r w:rsidRPr="00441515">
        <w:rPr>
          <w:rFonts w:cs="Arial"/>
          <w:i/>
          <w:iCs/>
          <w:sz w:val="16"/>
          <w:szCs w:val="16"/>
        </w:rPr>
        <w:t xml:space="preserve"> </w:t>
      </w:r>
      <w:r w:rsidRPr="00441515">
        <w:rPr>
          <w:rStyle w:val="Zdraznn"/>
          <w:rFonts w:cs="Arial"/>
          <w:i w:val="0"/>
          <w:iCs w:val="0"/>
          <w:color w:val="333333"/>
          <w:sz w:val="16"/>
          <w:szCs w:val="16"/>
          <w:bdr w:val="none" w:sz="0" w:space="0" w:color="auto" w:frame="1"/>
          <w:shd w:val="clear" w:color="auto" w:fill="FFFFFF"/>
        </w:rPr>
        <w:t>Údaje za zahraniční obchod se zbožím od roku 2020 jsou přepočítávány aktualizovanou metodou založenou na vyšší míře detailu, viz </w:t>
      </w:r>
      <w:hyperlink r:id="rId1" w:history="1">
        <w:r w:rsidRPr="00C80FF3">
          <w:rPr>
            <w:rStyle w:val="Hypertextovodkaz"/>
            <w:rFonts w:cs="Arial"/>
            <w:sz w:val="16"/>
            <w:szCs w:val="16"/>
            <w:bdr w:val="none" w:sz="0" w:space="0" w:color="auto" w:frame="1"/>
            <w:shd w:val="clear" w:color="auto" w:fill="FFFFFF"/>
          </w:rPr>
          <w:t>https://www.czso.cz/csu/czso/aktualizace-metody-propoctu-zahranicni-obchod-se-zbozim</w:t>
        </w:r>
      </w:hyperlink>
      <w:r>
        <w:rPr>
          <w:rStyle w:val="Hypertextovodkaz"/>
          <w:rFonts w:cs="Arial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 w:rsidRPr="004E0CF8">
        <w:rPr>
          <w:sz w:val="16"/>
          <w:szCs w:val="16"/>
        </w:rPr>
        <w:t>Není-li uvedeno jinak, jsou všechny údaje sezónně neočištěné a v běžných cenách.</w:t>
      </w:r>
    </w:p>
  </w:footnote>
  <w:footnote w:id="2">
    <w:p w14:paraId="6EC4874D" w14:textId="77777777" w:rsidR="000D7C6F" w:rsidRPr="00FC5C85" w:rsidRDefault="000D7C6F" w:rsidP="000D7C6F">
      <w:pPr>
        <w:pStyle w:val="Textpoznpodarou"/>
        <w:rPr>
          <w:sz w:val="16"/>
          <w:szCs w:val="16"/>
        </w:rPr>
      </w:pPr>
      <w:r w:rsidRPr="00FC5C85">
        <w:rPr>
          <w:rStyle w:val="Znakapoznpodarou"/>
          <w:sz w:val="16"/>
          <w:szCs w:val="16"/>
        </w:rPr>
        <w:footnoteRef/>
      </w:r>
      <w:r w:rsidRPr="00FC5C85">
        <w:rPr>
          <w:sz w:val="16"/>
          <w:szCs w:val="16"/>
        </w:rPr>
        <w:t xml:space="preserve"> </w:t>
      </w:r>
      <w:r w:rsidRPr="002F0E99">
        <w:rPr>
          <w:sz w:val="16"/>
          <w:szCs w:val="16"/>
        </w:rPr>
        <w:t>Ceny vývozu zboží se ve </w:t>
      </w:r>
      <w:r>
        <w:rPr>
          <w:sz w:val="16"/>
          <w:szCs w:val="16"/>
        </w:rPr>
        <w:t>3</w:t>
      </w:r>
      <w:r w:rsidRPr="002F0E99">
        <w:rPr>
          <w:sz w:val="16"/>
          <w:szCs w:val="16"/>
        </w:rPr>
        <w:t xml:space="preserve">. čtvrtletí 2023 meziročně </w:t>
      </w:r>
      <w:r>
        <w:rPr>
          <w:sz w:val="16"/>
          <w:szCs w:val="16"/>
        </w:rPr>
        <w:t>snížily</w:t>
      </w:r>
      <w:r w:rsidRPr="002F0E99">
        <w:rPr>
          <w:sz w:val="16"/>
          <w:szCs w:val="16"/>
        </w:rPr>
        <w:t xml:space="preserve"> o </w:t>
      </w:r>
      <w:r>
        <w:rPr>
          <w:sz w:val="16"/>
          <w:szCs w:val="16"/>
        </w:rPr>
        <w:t>4,4</w:t>
      </w:r>
      <w:r w:rsidRPr="002F0E99">
        <w:rPr>
          <w:sz w:val="16"/>
          <w:szCs w:val="16"/>
        </w:rPr>
        <w:t xml:space="preserve"> % a mezičtvrtletně </w:t>
      </w:r>
      <w:r>
        <w:rPr>
          <w:sz w:val="16"/>
          <w:szCs w:val="16"/>
        </w:rPr>
        <w:t>vzrostly o 0,7</w:t>
      </w:r>
      <w:r w:rsidRPr="002F0E99">
        <w:rPr>
          <w:sz w:val="16"/>
          <w:szCs w:val="16"/>
        </w:rPr>
        <w:t xml:space="preserve"> %.</w:t>
      </w:r>
      <w:r w:rsidRPr="00FC5C85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2F40C5">
        <w:rPr>
          <w:sz w:val="16"/>
          <w:szCs w:val="16"/>
        </w:rPr>
        <w:t>eny ostatních surovin</w:t>
      </w:r>
      <w:r>
        <w:rPr>
          <w:sz w:val="16"/>
          <w:szCs w:val="16"/>
        </w:rPr>
        <w:t xml:space="preserve"> meziročně klesly</w:t>
      </w:r>
      <w:r w:rsidRPr="002F40C5">
        <w:rPr>
          <w:sz w:val="16"/>
          <w:szCs w:val="16"/>
        </w:rPr>
        <w:t xml:space="preserve"> o 23,0 % (především korku a dřeva), minerálních paliv o 18,8 % (elektřiny, ropných výrobků a uhlí) a chemikálií o</w:t>
      </w:r>
      <w:r>
        <w:rPr>
          <w:sz w:val="16"/>
          <w:szCs w:val="16"/>
        </w:rPr>
        <w:t> </w:t>
      </w:r>
      <w:r w:rsidRPr="002F40C5">
        <w:rPr>
          <w:sz w:val="16"/>
          <w:szCs w:val="16"/>
        </w:rPr>
        <w:t>13,4</w:t>
      </w:r>
      <w:r>
        <w:rPr>
          <w:sz w:val="16"/>
          <w:szCs w:val="16"/>
        </w:rPr>
        <w:t> </w:t>
      </w:r>
      <w:r w:rsidRPr="002F40C5">
        <w:rPr>
          <w:sz w:val="16"/>
          <w:szCs w:val="16"/>
        </w:rPr>
        <w:t>% (zvláště organických chemikálií a plastů).</w:t>
      </w:r>
    </w:p>
  </w:footnote>
  <w:footnote w:id="3">
    <w:p w14:paraId="04878AD7" w14:textId="77777777" w:rsidR="000D7C6F" w:rsidRPr="00DE472F" w:rsidRDefault="000D7C6F" w:rsidP="000D7C6F">
      <w:pPr>
        <w:pStyle w:val="Textpoznpodarou"/>
        <w:rPr>
          <w:sz w:val="16"/>
          <w:szCs w:val="16"/>
        </w:rPr>
      </w:pPr>
      <w:r w:rsidRPr="00DE472F">
        <w:rPr>
          <w:rStyle w:val="Znakapoznpodarou"/>
          <w:sz w:val="16"/>
          <w:szCs w:val="16"/>
        </w:rPr>
        <w:footnoteRef/>
      </w:r>
      <w:r w:rsidRPr="00DE472F">
        <w:rPr>
          <w:sz w:val="16"/>
          <w:szCs w:val="16"/>
        </w:rPr>
        <w:t xml:space="preserve"> </w:t>
      </w:r>
      <w:r>
        <w:rPr>
          <w:sz w:val="16"/>
          <w:szCs w:val="16"/>
        </w:rPr>
        <w:t>U všech tří zemí byl vývoz ovlivněn propadem cen elektřiny. V případě Německa se ve 3. čtvrtletí meziročně snížila hodnota vývozu elektřiny, plynu, páry a klimatizovaného vzduchu o 16,4 mld. korun, export elektřiny na Slovensko se propadl o 9,0 mld. korun a do Rakouska o 5,4 mld.</w:t>
      </w:r>
    </w:p>
  </w:footnote>
  <w:footnote w:id="4">
    <w:p w14:paraId="5EE602F1" w14:textId="77777777" w:rsidR="000D7C6F" w:rsidRPr="00063A81" w:rsidRDefault="000D7C6F" w:rsidP="000D7C6F">
      <w:pPr>
        <w:pStyle w:val="Textpoznpodarou"/>
        <w:rPr>
          <w:sz w:val="16"/>
          <w:szCs w:val="16"/>
        </w:rPr>
      </w:pPr>
      <w:r w:rsidRPr="00063A81">
        <w:rPr>
          <w:rStyle w:val="Znakapoznpodarou"/>
          <w:sz w:val="16"/>
          <w:szCs w:val="16"/>
        </w:rPr>
        <w:footnoteRef/>
      </w:r>
      <w:r w:rsidRPr="00063A81">
        <w:rPr>
          <w:sz w:val="16"/>
          <w:szCs w:val="16"/>
        </w:rPr>
        <w:t xml:space="preserve"> </w:t>
      </w:r>
      <w:r w:rsidRPr="002F0E99">
        <w:rPr>
          <w:sz w:val="16"/>
          <w:szCs w:val="16"/>
        </w:rPr>
        <w:t>Ceny dovozu zboží ve </w:t>
      </w:r>
      <w:r>
        <w:rPr>
          <w:sz w:val="16"/>
          <w:szCs w:val="16"/>
        </w:rPr>
        <w:t>3</w:t>
      </w:r>
      <w:r w:rsidRPr="002F0E99">
        <w:rPr>
          <w:sz w:val="16"/>
          <w:szCs w:val="16"/>
        </w:rPr>
        <w:t xml:space="preserve">. čtvrtletí meziročně klesly o </w:t>
      </w:r>
      <w:r>
        <w:rPr>
          <w:sz w:val="16"/>
          <w:szCs w:val="16"/>
        </w:rPr>
        <w:t>11,2</w:t>
      </w:r>
      <w:r w:rsidRPr="002F0E99">
        <w:rPr>
          <w:sz w:val="16"/>
          <w:szCs w:val="16"/>
        </w:rPr>
        <w:t xml:space="preserve"> % a mezičtvrtletně </w:t>
      </w:r>
      <w:r>
        <w:rPr>
          <w:sz w:val="16"/>
          <w:szCs w:val="16"/>
        </w:rPr>
        <w:t>vzrostly</w:t>
      </w:r>
      <w:r w:rsidRPr="002F0E99">
        <w:rPr>
          <w:sz w:val="16"/>
          <w:szCs w:val="16"/>
        </w:rPr>
        <w:t xml:space="preserve"> o </w:t>
      </w:r>
      <w:r>
        <w:rPr>
          <w:sz w:val="16"/>
          <w:szCs w:val="16"/>
        </w:rPr>
        <w:t>1,3</w:t>
      </w:r>
      <w:r w:rsidRPr="002F0E99">
        <w:rPr>
          <w:sz w:val="16"/>
          <w:szCs w:val="16"/>
        </w:rPr>
        <w:t xml:space="preserve"> %. Ceny minerálních paliv byly </w:t>
      </w:r>
      <w:r>
        <w:rPr>
          <w:sz w:val="16"/>
          <w:szCs w:val="16"/>
        </w:rPr>
        <w:t xml:space="preserve">meziročně </w:t>
      </w:r>
      <w:r w:rsidRPr="002F0E99">
        <w:rPr>
          <w:sz w:val="16"/>
          <w:szCs w:val="16"/>
        </w:rPr>
        <w:t>nižší o </w:t>
      </w:r>
      <w:r>
        <w:rPr>
          <w:sz w:val="16"/>
          <w:szCs w:val="16"/>
        </w:rPr>
        <w:t>44,7</w:t>
      </w:r>
      <w:r w:rsidRPr="002F0E99">
        <w:rPr>
          <w:sz w:val="16"/>
          <w:szCs w:val="16"/>
        </w:rPr>
        <w:t xml:space="preserve"> % (hlavně </w:t>
      </w:r>
      <w:r>
        <w:rPr>
          <w:sz w:val="16"/>
          <w:szCs w:val="16"/>
        </w:rPr>
        <w:t>p</w:t>
      </w:r>
      <w:r w:rsidRPr="002F0E99">
        <w:rPr>
          <w:sz w:val="16"/>
          <w:szCs w:val="16"/>
        </w:rPr>
        <w:t>lynu a elektřiny), ostatních surovin o 1</w:t>
      </w:r>
      <w:r>
        <w:rPr>
          <w:sz w:val="16"/>
          <w:szCs w:val="16"/>
        </w:rPr>
        <w:t>7</w:t>
      </w:r>
      <w:r w:rsidRPr="002F0E99">
        <w:rPr>
          <w:sz w:val="16"/>
          <w:szCs w:val="16"/>
        </w:rPr>
        <w:t>,</w:t>
      </w:r>
      <w:r>
        <w:rPr>
          <w:sz w:val="16"/>
          <w:szCs w:val="16"/>
        </w:rPr>
        <w:t>2</w:t>
      </w:r>
      <w:r w:rsidRPr="002F0E99">
        <w:rPr>
          <w:sz w:val="16"/>
          <w:szCs w:val="16"/>
        </w:rPr>
        <w:t> % (především rud kovů a kovového odpadu)</w:t>
      </w:r>
      <w:r>
        <w:rPr>
          <w:sz w:val="16"/>
          <w:szCs w:val="16"/>
        </w:rPr>
        <w:t xml:space="preserve"> </w:t>
      </w:r>
      <w:r w:rsidRPr="002F0E99">
        <w:rPr>
          <w:sz w:val="16"/>
          <w:szCs w:val="16"/>
        </w:rPr>
        <w:t>a chemikálií o 1</w:t>
      </w:r>
      <w:r>
        <w:rPr>
          <w:sz w:val="16"/>
          <w:szCs w:val="16"/>
        </w:rPr>
        <w:t>2,0</w:t>
      </w:r>
      <w:r w:rsidRPr="002F0E99">
        <w:rPr>
          <w:sz w:val="16"/>
          <w:szCs w:val="16"/>
        </w:rPr>
        <w:t> % (zvláště plastů).</w:t>
      </w:r>
    </w:p>
  </w:footnote>
  <w:footnote w:id="5">
    <w:p w14:paraId="390BB12A" w14:textId="77777777" w:rsidR="000D7C6F" w:rsidRPr="009424B8" w:rsidRDefault="000D7C6F" w:rsidP="000D7C6F">
      <w:pPr>
        <w:pStyle w:val="Textpoznpodarou"/>
        <w:rPr>
          <w:sz w:val="16"/>
          <w:szCs w:val="16"/>
        </w:rPr>
      </w:pPr>
      <w:r w:rsidRPr="009424B8">
        <w:rPr>
          <w:rStyle w:val="Znakapoznpodarou"/>
          <w:sz w:val="16"/>
          <w:szCs w:val="16"/>
        </w:rPr>
        <w:footnoteRef/>
      </w:r>
      <w:r w:rsidRPr="009424B8">
        <w:rPr>
          <w:sz w:val="16"/>
          <w:szCs w:val="16"/>
        </w:rPr>
        <w:t xml:space="preserve"> Norsko představuje „nový“ zdroj zemního plynu a náhradu za výpadek u dovozu</w:t>
      </w:r>
      <w:r>
        <w:rPr>
          <w:sz w:val="16"/>
          <w:szCs w:val="16"/>
        </w:rPr>
        <w:t xml:space="preserve"> této komodity</w:t>
      </w:r>
      <w:r w:rsidRPr="009424B8">
        <w:rPr>
          <w:sz w:val="16"/>
          <w:szCs w:val="16"/>
        </w:rPr>
        <w:t xml:space="preserve"> z Ruska.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0D7C6F" w:rsidRDefault="000D7C6F" w:rsidP="00937AE2">
    <w:pPr>
      <w:pStyle w:val="Zhlav"/>
    </w:pPr>
    <w:r>
      <w:t>Vývoj ekonomiky České republiky</w:t>
    </w:r>
  </w:p>
  <w:p w14:paraId="3E881AB3" w14:textId="77777777" w:rsidR="000D7C6F" w:rsidRPr="006F5416" w:rsidRDefault="000D7C6F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0D7C6F" w:rsidRDefault="000D7C6F" w:rsidP="00937AE2">
    <w:pPr>
      <w:pStyle w:val="Zhlav"/>
    </w:pPr>
    <w:r>
      <w:t>Vývoj ekonomiky České republiky</w:t>
    </w:r>
  </w:p>
  <w:p w14:paraId="57266714" w14:textId="77777777" w:rsidR="000D7C6F" w:rsidRPr="006F5416" w:rsidRDefault="000D7C6F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B2A5724"/>
    <w:multiLevelType w:val="hybridMultilevel"/>
    <w:tmpl w:val="0EA8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5280B15"/>
    <w:multiLevelType w:val="hybridMultilevel"/>
    <w:tmpl w:val="5156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503"/>
    <w:multiLevelType w:val="hybridMultilevel"/>
    <w:tmpl w:val="322E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23EC3"/>
    <w:multiLevelType w:val="hybridMultilevel"/>
    <w:tmpl w:val="B65A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236EE"/>
    <w:multiLevelType w:val="hybridMultilevel"/>
    <w:tmpl w:val="CC2A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8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33"/>
  </w:num>
  <w:num w:numId="14">
    <w:abstractNumId w:val="14"/>
  </w:num>
  <w:num w:numId="15">
    <w:abstractNumId w:val="21"/>
  </w:num>
  <w:num w:numId="16">
    <w:abstractNumId w:val="17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32"/>
  </w:num>
  <w:num w:numId="22">
    <w:abstractNumId w:val="20"/>
  </w:num>
  <w:num w:numId="23">
    <w:abstractNumId w:val="18"/>
  </w:num>
  <w:num w:numId="24">
    <w:abstractNumId w:val="19"/>
  </w:num>
  <w:num w:numId="25">
    <w:abstractNumId w:val="13"/>
  </w:num>
  <w:num w:numId="26">
    <w:abstractNumId w:val="28"/>
  </w:num>
  <w:num w:numId="27">
    <w:abstractNumId w:val="27"/>
  </w:num>
  <w:num w:numId="28">
    <w:abstractNumId w:val="10"/>
  </w:num>
  <w:num w:numId="29">
    <w:abstractNumId w:val="37"/>
  </w:num>
  <w:num w:numId="30">
    <w:abstractNumId w:val="29"/>
  </w:num>
  <w:num w:numId="31">
    <w:abstractNumId w:val="12"/>
  </w:num>
  <w:num w:numId="32">
    <w:abstractNumId w:val="38"/>
  </w:num>
  <w:num w:numId="33">
    <w:abstractNumId w:val="37"/>
  </w:num>
  <w:num w:numId="34">
    <w:abstractNumId w:val="11"/>
  </w:num>
  <w:num w:numId="35">
    <w:abstractNumId w:val="35"/>
  </w:num>
  <w:num w:numId="36">
    <w:abstractNumId w:val="30"/>
  </w:num>
  <w:num w:numId="37">
    <w:abstractNumId w:val="22"/>
  </w:num>
  <w:num w:numId="38">
    <w:abstractNumId w:val="25"/>
  </w:num>
  <w:num w:numId="39">
    <w:abstractNumId w:val="15"/>
  </w:num>
  <w:num w:numId="40">
    <w:abstractNumId w:val="2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6BCC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BF4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2D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BEE"/>
    <w:rsid w:val="00CB2351"/>
    <w:rsid w:val="00CB3605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aktualizace-metody-propoctu-zahranicni-obchod-se-zbozi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bojnikova31519.CZSO\Documents\Anal&#253;za\Q\2023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11717884667392E-2"/>
          <c:y val="2.3304908251716782E-2"/>
          <c:w val="0.92378402700888496"/>
          <c:h val="0.6950853379152350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'Vnější vztahy 2'!$A$7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'Vnější vztahy 2'!$B$5:$O$5</c:f>
              <c:strCache>
                <c:ptCount val="14"/>
                <c:pt idx="0">
                  <c:v>Ropa a zemní plyn</c:v>
                </c:pt>
                <c:pt idx="1">
                  <c:v>Potravinářské výrobky</c:v>
                </c:pt>
                <c:pt idx="2">
                  <c:v>Oděvy</c:v>
                </c:pt>
                <c:pt idx="3">
                  <c:v>Koks a rafinované                                                                                  ropné produkty</c:v>
                </c:pt>
                <c:pt idx="4">
                  <c:v>Chemické látky                                                                       a přípravky</c:v>
                </c:pt>
                <c:pt idx="5">
                  <c:v>Základní farmaceutické                                                                                            výrobky a přípravky</c:v>
                </c:pt>
                <c:pt idx="6">
                  <c:v>Ostatní nekovové                                                                                   minerální výrobky</c:v>
                </c:pt>
                <c:pt idx="7">
                  <c:v>Základní kovy</c:v>
                </c:pt>
                <c:pt idx="8">
                  <c:v>Kovodělné výrobky</c:v>
                </c:pt>
                <c:pt idx="9">
                  <c:v>Počítače, elektron.                                                                                   a opt. přístroje a zařízení</c:v>
                </c:pt>
                <c:pt idx="10">
                  <c:v>Stroje a zařízení j. n.</c:v>
                </c:pt>
                <c:pt idx="11">
                  <c:v>Motorová vozidla</c:v>
                </c:pt>
                <c:pt idx="12">
                  <c:v>Elektřina, plyn,                                                                                                  pára a klim. vzduch</c:v>
                </c:pt>
                <c:pt idx="13">
                  <c:v>Služby související                                                                                    s odpady (CPA 38)</c:v>
                </c:pt>
              </c:strCache>
            </c:strRef>
          </c:cat>
          <c:val>
            <c:numRef>
              <c:f>'Vnější vztahy 2'!$B$7:$O$7</c:f>
              <c:numCache>
                <c:formatCode>General</c:formatCode>
                <c:ptCount val="14"/>
                <c:pt idx="0">
                  <c:v>-251.68538707700012</c:v>
                </c:pt>
                <c:pt idx="1">
                  <c:v>-44.629506995000028</c:v>
                </c:pt>
                <c:pt idx="2">
                  <c:v>-32.073255110000012</c:v>
                </c:pt>
                <c:pt idx="3">
                  <c:v>-37.432356117000012</c:v>
                </c:pt>
                <c:pt idx="4">
                  <c:v>-119.837534198</c:v>
                </c:pt>
                <c:pt idx="5">
                  <c:v>-52.516837150999997</c:v>
                </c:pt>
                <c:pt idx="6">
                  <c:v>22.454945151000015</c:v>
                </c:pt>
                <c:pt idx="7">
                  <c:v>-144.18972572999988</c:v>
                </c:pt>
                <c:pt idx="8">
                  <c:v>59.572274304000011</c:v>
                </c:pt>
                <c:pt idx="9">
                  <c:v>-57.553488521999995</c:v>
                </c:pt>
                <c:pt idx="10">
                  <c:v>69.787420724000057</c:v>
                </c:pt>
                <c:pt idx="11">
                  <c:v>340.74929593200005</c:v>
                </c:pt>
                <c:pt idx="12">
                  <c:v>61.389279852999998</c:v>
                </c:pt>
                <c:pt idx="13">
                  <c:v>23.756856279000001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52-424C-AAF7-A4CA33CB1B5D}"/>
            </c:ext>
          </c:extLst>
        </c:ser>
        <c:ser>
          <c:idx val="2"/>
          <c:order val="2"/>
          <c:tx>
            <c:strRef>
              <c:f>'Vnější vztahy 2'!$A$8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'Vnější vztahy 2'!$B$5:$O$5</c:f>
              <c:strCache>
                <c:ptCount val="14"/>
                <c:pt idx="0">
                  <c:v>Ropa a zemní plyn</c:v>
                </c:pt>
                <c:pt idx="1">
                  <c:v>Potravinářské výrobky</c:v>
                </c:pt>
                <c:pt idx="2">
                  <c:v>Oděvy</c:v>
                </c:pt>
                <c:pt idx="3">
                  <c:v>Koks a rafinované                                                                                  ropné produkty</c:v>
                </c:pt>
                <c:pt idx="4">
                  <c:v>Chemické látky                                                                       a přípravky</c:v>
                </c:pt>
                <c:pt idx="5">
                  <c:v>Základní farmaceutické                                                                                            výrobky a přípravky</c:v>
                </c:pt>
                <c:pt idx="6">
                  <c:v>Ostatní nekovové                                                                                   minerální výrobky</c:v>
                </c:pt>
                <c:pt idx="7">
                  <c:v>Základní kovy</c:v>
                </c:pt>
                <c:pt idx="8">
                  <c:v>Kovodělné výrobky</c:v>
                </c:pt>
                <c:pt idx="9">
                  <c:v>Počítače, elektron.                                                                                   a opt. přístroje a zařízení</c:v>
                </c:pt>
                <c:pt idx="10">
                  <c:v>Stroje a zařízení j. n.</c:v>
                </c:pt>
                <c:pt idx="11">
                  <c:v>Motorová vozidla</c:v>
                </c:pt>
                <c:pt idx="12">
                  <c:v>Elektřina, plyn,                                                                                                  pára a klim. vzduch</c:v>
                </c:pt>
                <c:pt idx="13">
                  <c:v>Služby související                                                                                    s odpady (CPA 38)</c:v>
                </c:pt>
              </c:strCache>
            </c:strRef>
          </c:cat>
          <c:val>
            <c:numRef>
              <c:f>'Vnější vztahy 2'!$B$8:$O$8</c:f>
              <c:numCache>
                <c:formatCode>General</c:formatCode>
                <c:ptCount val="14"/>
                <c:pt idx="0">
                  <c:v>-129.93843548200022</c:v>
                </c:pt>
                <c:pt idx="1">
                  <c:v>-39.586523468999999</c:v>
                </c:pt>
                <c:pt idx="2">
                  <c:v>-29.070311498000017</c:v>
                </c:pt>
                <c:pt idx="3">
                  <c:v>-29.444593404999985</c:v>
                </c:pt>
                <c:pt idx="4">
                  <c:v>-107.36596441100002</c:v>
                </c:pt>
                <c:pt idx="5">
                  <c:v>-48.695487485000001</c:v>
                </c:pt>
                <c:pt idx="6">
                  <c:v>23.069668609000001</c:v>
                </c:pt>
                <c:pt idx="7">
                  <c:v>-116.36623394500008</c:v>
                </c:pt>
                <c:pt idx="8">
                  <c:v>52.750454689999998</c:v>
                </c:pt>
                <c:pt idx="9">
                  <c:v>-60.772454057000004</c:v>
                </c:pt>
                <c:pt idx="10">
                  <c:v>85.776093686999999</c:v>
                </c:pt>
                <c:pt idx="11">
                  <c:v>419.83168776599979</c:v>
                </c:pt>
                <c:pt idx="12">
                  <c:v>21.709649802999969</c:v>
                </c:pt>
                <c:pt idx="13">
                  <c:v>19.0524284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52-424C-AAF7-A4CA33CB1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113699840"/>
        <c:axId val="1137195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'Vnější vztahy 2'!$A$6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tx1">
                      <a:lumMod val="50000"/>
                      <a:lumOff val="50000"/>
                    </a:schemeClr>
                  </a:solidFill>
                  <a:ln>
                    <a:noFill/>
                  </a:ln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'Vnější vztahy 2'!$B$5:$O$5</c15:sqref>
                        </c15:formulaRef>
                      </c:ext>
                    </c:extLst>
                    <c:strCache>
                      <c:ptCount val="14"/>
                      <c:pt idx="0">
                        <c:v>Ropa a zemní plyn</c:v>
                      </c:pt>
                      <c:pt idx="1">
                        <c:v>Potravinářské výrobky</c:v>
                      </c:pt>
                      <c:pt idx="2">
                        <c:v>Oděvy</c:v>
                      </c:pt>
                      <c:pt idx="3">
                        <c:v>Koks a rafinované                                                                                  ropné produkty</c:v>
                      </c:pt>
                      <c:pt idx="4">
                        <c:v>Chemické látky                                                                       a přípravky</c:v>
                      </c:pt>
                      <c:pt idx="5">
                        <c:v>Základní farmaceutické                                                                                            výrobky a přípravky</c:v>
                      </c:pt>
                      <c:pt idx="6">
                        <c:v>Ostatní nekovové                                                                                   minerální výrobky</c:v>
                      </c:pt>
                      <c:pt idx="7">
                        <c:v>Základní kovy</c:v>
                      </c:pt>
                      <c:pt idx="8">
                        <c:v>Kovodělné výrobky</c:v>
                      </c:pt>
                      <c:pt idx="9">
                        <c:v>Počítače, elektron.                                                                                   a opt. přístroje a zařízení</c:v>
                      </c:pt>
                      <c:pt idx="10">
                        <c:v>Stroje a zařízení j. n.</c:v>
                      </c:pt>
                      <c:pt idx="11">
                        <c:v>Motorová vozidla</c:v>
                      </c:pt>
                      <c:pt idx="12">
                        <c:v>Elektřina, plyn,                                                                                                  pára a klim. vzduch</c:v>
                      </c:pt>
                      <c:pt idx="13">
                        <c:v>Služby související                                                                                    s odpady (CPA 38)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'Vnější vztahy 2'!$B$6:$O$6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-99.297163006999995</c:v>
                      </c:pt>
                      <c:pt idx="1">
                        <c:v>-38.366158949999999</c:v>
                      </c:pt>
                      <c:pt idx="2">
                        <c:v>-24.487024361</c:v>
                      </c:pt>
                      <c:pt idx="3">
                        <c:v>-18.527939442000001</c:v>
                      </c:pt>
                      <c:pt idx="4">
                        <c:v>-105.82094543199999</c:v>
                      </c:pt>
                      <c:pt idx="5">
                        <c:v>-55.976044516000002</c:v>
                      </c:pt>
                      <c:pt idx="6">
                        <c:v>19.749765879999998</c:v>
                      </c:pt>
                      <c:pt idx="7">
                        <c:v>-112.17262740300001</c:v>
                      </c:pt>
                      <c:pt idx="8">
                        <c:v>48.831151310999992</c:v>
                      </c:pt>
                      <c:pt idx="9">
                        <c:v>-38.894889063000001</c:v>
                      </c:pt>
                      <c:pt idx="10">
                        <c:v>73.073658284000004</c:v>
                      </c:pt>
                      <c:pt idx="11">
                        <c:v>317.68322245799999</c:v>
                      </c:pt>
                      <c:pt idx="12">
                        <c:v>12.225155367999999</c:v>
                      </c:pt>
                      <c:pt idx="13">
                        <c:v>23.450014836999998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2752-424C-AAF7-A4CA33CB1B5D}"/>
                  </c:ext>
                </c:extLst>
              </c15:ser>
            </c15:filteredBarSeries>
          </c:ext>
        </c:extLst>
      </c:barChart>
      <c:catAx>
        <c:axId val="11369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13719552"/>
        <c:crosses val="autoZero"/>
        <c:auto val="1"/>
        <c:lblAlgn val="ctr"/>
        <c:lblOffset val="100"/>
        <c:noMultiLvlLbl val="0"/>
      </c:catAx>
      <c:valAx>
        <c:axId val="113719552"/>
        <c:scaling>
          <c:orientation val="minMax"/>
          <c:max val="450"/>
          <c:min val="-27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3699840"/>
        <c:crosses val="autoZero"/>
        <c:crossBetween val="between"/>
        <c:majorUnit val="90"/>
      </c:valAx>
      <c:spPr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0.13000383320266073"/>
          <c:y val="3.6368843069874028E-2"/>
          <c:w val="0.26887915184156158"/>
          <c:h val="5.3991695303550982E-2"/>
        </c:manualLayout>
      </c:layout>
      <c:overlay val="0"/>
      <c:spPr>
        <a:ln w="6350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5" ma:contentTypeDescription="Vytvoří nový dokument" ma:contentTypeScope="" ma:versionID="ba9ac22ffeb23664e7e881489bfb3a01">
  <xsd:schema xmlns:xsd="http://www.w3.org/2001/XMLSchema" xmlns:xs="http://www.w3.org/2001/XMLSchema" xmlns:p="http://schemas.microsoft.com/office/2006/metadata/properties" xmlns:ns2="eabc42bd-08fe-4a27-9645-04f6ad96d74a" xmlns:ns3="ea86e659-3cf4-4ff9-8d76-72c2490bfb13" targetNamespace="http://schemas.microsoft.com/office/2006/metadata/properties" ma:root="true" ma:fieldsID="452515690196c05a9ccc85c20d106231" ns2:_="" ns3:_="">
    <xsd:import namespace="eabc42bd-08fe-4a27-9645-04f6ad96d74a"/>
    <xsd:import namespace="ea86e659-3cf4-4ff9-8d76-72c2490bf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e659-3cf4-4ff9-8d76-72c2490b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7845-9EC0-4146-9549-15917829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ea86e659-3cf4-4ff9-8d76-72c2490bf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71A0CD-7591-40BD-ACF7-DFD885AB28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063C84-DDAA-4DEE-86A6-741A48CF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1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6</cp:revision>
  <cp:lastPrinted>2023-06-09T17:23:00Z</cp:lastPrinted>
  <dcterms:created xsi:type="dcterms:W3CDTF">2023-12-15T10:09:00Z</dcterms:created>
  <dcterms:modified xsi:type="dcterms:W3CDTF">2023-12-15T10:25:00Z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