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A3E" w:rsidRPr="00F4591F" w:rsidRDefault="00576A3E" w:rsidP="00857CB0">
      <w:pPr>
        <w:pStyle w:val="Nadpis1"/>
        <w:numPr>
          <w:ilvl w:val="0"/>
          <w:numId w:val="6"/>
        </w:numPr>
        <w:jc w:val="both"/>
      </w:pPr>
      <w:bookmarkStart w:id="0" w:name="_Toc430335384"/>
      <w:r>
        <w:t>Výkonnost odvětví</w:t>
      </w:r>
      <w:bookmarkEnd w:id="0"/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2115"/>
        <w:gridCol w:w="283"/>
        <w:gridCol w:w="7296"/>
      </w:tblGrid>
      <w:tr w:rsidR="00DC3790" w:rsidTr="00DC3790">
        <w:tc>
          <w:tcPr>
            <w:tcW w:w="1091" w:type="pct"/>
          </w:tcPr>
          <w:p w:rsidR="00DC3790" w:rsidRDefault="00DC3790" w:rsidP="00DC3790">
            <w:pPr>
              <w:spacing w:line="240" w:lineRule="auto"/>
              <w:rPr>
                <w:color w:val="0D0D0D" w:themeColor="text1" w:themeTint="F2"/>
                <w:sz w:val="16"/>
                <w:szCs w:val="16"/>
              </w:rPr>
            </w:pPr>
            <w:r w:rsidRPr="00D340F6">
              <w:rPr>
                <w:color w:val="0D0D0D" w:themeColor="text1" w:themeTint="F2"/>
                <w:sz w:val="16"/>
                <w:szCs w:val="16"/>
              </w:rPr>
              <w:t>Dynamika HPH zrychlila meziročně na nejvyšší úroveň od vrcholu konjunktury</w:t>
            </w:r>
          </w:p>
          <w:p w:rsidR="00DC3790" w:rsidRDefault="00DC3790" w:rsidP="00DC3790">
            <w:pPr>
              <w:spacing w:line="240" w:lineRule="auto"/>
              <w:rPr>
                <w:color w:val="0D0D0D" w:themeColor="text1" w:themeTint="F2"/>
                <w:sz w:val="16"/>
                <w:szCs w:val="16"/>
              </w:rPr>
            </w:pPr>
          </w:p>
          <w:p w:rsidR="00DC3790" w:rsidRDefault="00DC3790" w:rsidP="00DC3790">
            <w:pPr>
              <w:spacing w:line="240" w:lineRule="auto"/>
              <w:rPr>
                <w:color w:val="0D0D0D" w:themeColor="text1" w:themeTint="F2"/>
                <w:sz w:val="16"/>
                <w:szCs w:val="16"/>
              </w:rPr>
            </w:pPr>
          </w:p>
          <w:p w:rsidR="00DC3790" w:rsidRPr="00D340F6" w:rsidRDefault="00DC3790" w:rsidP="00DC3790">
            <w:pPr>
              <w:spacing w:line="240" w:lineRule="auto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Růst přidané hodnoty v ČR nadále táhne zejména zpracovatelský průmysl, v celé EU seskupení odvětví o</w:t>
            </w:r>
            <w:r w:rsidRPr="00F5731D">
              <w:rPr>
                <w:color w:val="0D0D0D" w:themeColor="text1" w:themeTint="F2"/>
                <w:sz w:val="16"/>
                <w:szCs w:val="16"/>
              </w:rPr>
              <w:t>bchod, doprava, ubytování a pohostinství</w:t>
            </w:r>
          </w:p>
        </w:tc>
        <w:tc>
          <w:tcPr>
            <w:tcW w:w="146" w:type="pct"/>
          </w:tcPr>
          <w:p w:rsidR="00DC3790" w:rsidRDefault="00DC3790" w:rsidP="00DC3790">
            <w:pPr>
              <w:pStyle w:val="Textpoznpodarou"/>
              <w:jc w:val="both"/>
            </w:pPr>
          </w:p>
        </w:tc>
        <w:tc>
          <w:tcPr>
            <w:tcW w:w="3763" w:type="pct"/>
          </w:tcPr>
          <w:p w:rsidR="00DC3790" w:rsidRPr="00AC6CFE" w:rsidRDefault="00DC3790" w:rsidP="00DC3790">
            <w:pPr>
              <w:pStyle w:val="Textpoznpodarou"/>
              <w:jc w:val="both"/>
              <w:rPr>
                <w:spacing w:val="-4"/>
              </w:rPr>
            </w:pPr>
            <w:r w:rsidRPr="00F55605">
              <w:rPr>
                <w:color w:val="0D0D0D" w:themeColor="text1" w:themeTint="F2"/>
                <w:spacing w:val="-4"/>
              </w:rPr>
              <w:t>B</w:t>
            </w:r>
            <w:r w:rsidRPr="00C44C26">
              <w:rPr>
                <w:color w:val="0D0D0D" w:themeColor="text1" w:themeTint="F2"/>
                <w:spacing w:val="-4"/>
              </w:rPr>
              <w:t>ěhem 1. pololetí 2015</w:t>
            </w:r>
            <w:r>
              <w:rPr>
                <w:color w:val="0D0D0D" w:themeColor="text1" w:themeTint="F2"/>
                <w:spacing w:val="-4"/>
              </w:rPr>
              <w:t xml:space="preserve"> se potvrdilo, že oživování tuzemské ekonomiky má stále pevnější základy. Sezónně očištěná hrubá přidaná hodnota (HPH) pokračovala v </w:t>
            </w:r>
            <w:proofErr w:type="spellStart"/>
            <w:r>
              <w:rPr>
                <w:color w:val="0D0D0D" w:themeColor="text1" w:themeTint="F2"/>
                <w:spacing w:val="-4"/>
              </w:rPr>
              <w:t>mezikvartálním</w:t>
            </w:r>
            <w:proofErr w:type="spellEnd"/>
            <w:r>
              <w:rPr>
                <w:color w:val="0D0D0D" w:themeColor="text1" w:themeTint="F2"/>
                <w:spacing w:val="-4"/>
              </w:rPr>
              <w:t xml:space="preserve"> růstu již podeváté v řadě. Meziroční dynamika HPH zrychlovala nepřetržitě od poloviny roku 2013. Zatímco na sklonku loňského roku a v 1. letošním čtvrtletí se HPH shodně zvyšovala o 3,4 %, ve 2. čtvrtletí 2015 již o 3,8 % (nejrychlejší tempo od první poloviny roku 2008).</w:t>
            </w:r>
            <w:r>
              <w:rPr>
                <w:spacing w:val="-4"/>
              </w:rPr>
              <w:t xml:space="preserve"> Za zrychlováním dynamiky HPH stál jak stále sílící zpracovatelský průmysl (v obou letošních čtvrtletích přispěl k přidané hodnotě v celé ekonomice podobným dílem – bezmála polovinou), tak i rovnoměrné rozložení meziročního růstu HPH do ostatních odvětví (v obou letošních čtvrtletích zaznamenalo příznivý vývoj všech deset hlavních odvětvových uskupení, což neplatilo ani v době vrcholící konjunktury). </w:t>
            </w:r>
          </w:p>
          <w:p w:rsidR="00DC3790" w:rsidRPr="006D142E" w:rsidRDefault="00DC3790" w:rsidP="00DC3790">
            <w:pPr>
              <w:pStyle w:val="Textpoznpodarou"/>
              <w:jc w:val="both"/>
              <w:rPr>
                <w:spacing w:val="-4"/>
                <w:sz w:val="16"/>
                <w:szCs w:val="16"/>
              </w:rPr>
            </w:pPr>
          </w:p>
        </w:tc>
      </w:tr>
      <w:tr w:rsidR="00DC3790" w:rsidTr="00DC3790">
        <w:tc>
          <w:tcPr>
            <w:tcW w:w="1091" w:type="pct"/>
          </w:tcPr>
          <w:p w:rsidR="00DC3790" w:rsidRPr="000A4ACC" w:rsidRDefault="00DC3790" w:rsidP="00DC3790">
            <w:pPr>
              <w:spacing w:line="240" w:lineRule="auto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Obnovení důvěry v ekonomiku i nepolevující příliv zakázek v klíčových odvětvích vedly v 1. polovině roku k nejrychlejšímu meziročnímu růstu počtu pracovníků v celé ekonomice po roce 2008 </w:t>
            </w:r>
          </w:p>
        </w:tc>
        <w:tc>
          <w:tcPr>
            <w:tcW w:w="146" w:type="pct"/>
          </w:tcPr>
          <w:p w:rsidR="00DC3790" w:rsidRDefault="00DC3790" w:rsidP="00DC3790">
            <w:pPr>
              <w:pStyle w:val="Textpoznpodarou"/>
              <w:jc w:val="both"/>
            </w:pPr>
          </w:p>
        </w:tc>
        <w:tc>
          <w:tcPr>
            <w:tcW w:w="3763" w:type="pct"/>
          </w:tcPr>
          <w:p w:rsidR="00DC3790" w:rsidRDefault="00DC3790" w:rsidP="00DC3790">
            <w:pPr>
              <w:pStyle w:val="Textpoznpodarou"/>
              <w:jc w:val="both"/>
              <w:rPr>
                <w:spacing w:val="-4"/>
              </w:rPr>
            </w:pPr>
            <w:r>
              <w:rPr>
                <w:spacing w:val="-4"/>
              </w:rPr>
              <w:t>Přidaná hodnota v převážně exportně orientovaném zpracovatelském průmyslu za celé 1. pololetí meziročně sílila o 6,4 % (v 2. čtvrtletí dokonce o 7 %)</w:t>
            </w:r>
            <w:r w:rsidR="00F55605">
              <w:rPr>
                <w:spacing w:val="-4"/>
              </w:rPr>
              <w:t>,</w:t>
            </w:r>
            <w:r>
              <w:rPr>
                <w:spacing w:val="-4"/>
              </w:rPr>
              <w:t xml:space="preserve"> a tedy rostla (podobně jako v předchozím roce) téměř dvojnásobným tempem jako v celé ekonomice. Přetrvávající vysoká poptávka v zahraničí i tuzemsku se v průmyslu postupně promítá i do počtu zaměstnanců (v 1.</w:t>
            </w:r>
            <w:r w:rsidR="00F55605">
              <w:rPr>
                <w:spacing w:val="-4"/>
              </w:rPr>
              <w:t xml:space="preserve"> </w:t>
            </w:r>
            <w:r>
              <w:rPr>
                <w:spacing w:val="-4"/>
              </w:rPr>
              <w:t>i 2.</w:t>
            </w:r>
            <w:r w:rsidR="00F55605">
              <w:rPr>
                <w:spacing w:val="-4"/>
              </w:rPr>
              <w:t xml:space="preserve"> </w:t>
            </w:r>
            <w:r>
              <w:rPr>
                <w:spacing w:val="-4"/>
              </w:rPr>
              <w:t>čtvrtletí meziročn</w:t>
            </w:r>
            <w:r w:rsidR="00F55605">
              <w:rPr>
                <w:spacing w:val="-4"/>
              </w:rPr>
              <w:t xml:space="preserve">ě +2,7 %), když podniky patrně </w:t>
            </w:r>
            <w:r>
              <w:rPr>
                <w:spacing w:val="-4"/>
              </w:rPr>
              <w:t>začaly ve větší m</w:t>
            </w:r>
            <w:r w:rsidR="003736B5">
              <w:rPr>
                <w:spacing w:val="-4"/>
              </w:rPr>
              <w:t>í</w:t>
            </w:r>
            <w:r>
              <w:rPr>
                <w:spacing w:val="-4"/>
              </w:rPr>
              <w:t xml:space="preserve">ře převádět agenturní pracovníky (kteří jim vykrývali výkyvy v poptávce v „nejistých časech“) mezi své kmenové zaměstnance. </w:t>
            </w:r>
          </w:p>
          <w:p w:rsidR="00DC3790" w:rsidRPr="006D142E" w:rsidRDefault="00DC3790" w:rsidP="00DC3790">
            <w:pPr>
              <w:pStyle w:val="Textpoznpodarou"/>
              <w:jc w:val="both"/>
              <w:rPr>
                <w:spacing w:val="-4"/>
                <w:sz w:val="16"/>
                <w:szCs w:val="16"/>
              </w:rPr>
            </w:pPr>
          </w:p>
        </w:tc>
      </w:tr>
      <w:tr w:rsidR="00DC3790" w:rsidTr="00DC3790">
        <w:tc>
          <w:tcPr>
            <w:tcW w:w="1091" w:type="pct"/>
          </w:tcPr>
          <w:p w:rsidR="00DC3790" w:rsidRPr="00DA1318" w:rsidRDefault="00DC3790" w:rsidP="00DC3790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Vleklý pokles zaměstnanců ve stavebnictví se dle pojetí národních účtů ve 2. čtvrtletí zastavil, úbytek </w:t>
            </w:r>
            <w:proofErr w:type="spellStart"/>
            <w:r>
              <w:rPr>
                <w:sz w:val="16"/>
                <w:szCs w:val="16"/>
              </w:rPr>
              <w:t>sebezaměst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spellStart"/>
            <w:r>
              <w:rPr>
                <w:sz w:val="16"/>
                <w:szCs w:val="16"/>
              </w:rPr>
              <w:t>naných</w:t>
            </w:r>
            <w:proofErr w:type="spellEnd"/>
            <w:r>
              <w:rPr>
                <w:sz w:val="16"/>
                <w:szCs w:val="16"/>
              </w:rPr>
              <w:t xml:space="preserve"> se naopak prohloubil</w:t>
            </w:r>
          </w:p>
        </w:tc>
        <w:tc>
          <w:tcPr>
            <w:tcW w:w="146" w:type="pct"/>
          </w:tcPr>
          <w:p w:rsidR="00DC3790" w:rsidRDefault="00DC3790" w:rsidP="00DC3790">
            <w:pPr>
              <w:pStyle w:val="Textpoznpodarou"/>
              <w:jc w:val="both"/>
              <w:rPr>
                <w:spacing w:val="-2"/>
              </w:rPr>
            </w:pPr>
          </w:p>
        </w:tc>
        <w:tc>
          <w:tcPr>
            <w:tcW w:w="3763" w:type="pct"/>
          </w:tcPr>
          <w:p w:rsidR="00DC3790" w:rsidRPr="00AC6CFE" w:rsidRDefault="00DC3790" w:rsidP="00DC3790">
            <w:pPr>
              <w:pStyle w:val="Textpoznpodarou"/>
              <w:jc w:val="both"/>
              <w:rPr>
                <w:spacing w:val="-4"/>
              </w:rPr>
            </w:pPr>
            <w:r>
              <w:rPr>
                <w:spacing w:val="-4"/>
              </w:rPr>
              <w:t>Dařilo se i stavebnictví, byť dynamika jeho HPH byla v</w:t>
            </w:r>
            <w:r w:rsidR="00F55605">
              <w:rPr>
                <w:spacing w:val="-4"/>
              </w:rPr>
              <w:t> </w:t>
            </w:r>
            <w:r>
              <w:rPr>
                <w:spacing w:val="-4"/>
              </w:rPr>
              <w:t>1</w:t>
            </w:r>
            <w:r w:rsidR="00F55605">
              <w:rPr>
                <w:spacing w:val="-4"/>
              </w:rPr>
              <w:t xml:space="preserve">. </w:t>
            </w:r>
            <w:r>
              <w:rPr>
                <w:spacing w:val="-4"/>
              </w:rPr>
              <w:t xml:space="preserve">pololetí 2015 (+1,8 %) oproti prudkému loňskému oživení poloviční. Poprvé od konce roku 2009 se zastavil meziroční pokles stavu zaměstnanců (v pojetí národních účtů), počet jimi odpracovaných hodin (2,5 %) rostl ve 2. čtvrtletí nejvíce za posledních pět let. </w:t>
            </w:r>
          </w:p>
          <w:p w:rsidR="00DC3790" w:rsidRPr="006D142E" w:rsidRDefault="00DC3790" w:rsidP="00DC3790">
            <w:pPr>
              <w:pStyle w:val="Textpoznpodarou"/>
              <w:jc w:val="both"/>
              <w:rPr>
                <w:spacing w:val="-4"/>
                <w:sz w:val="16"/>
                <w:szCs w:val="16"/>
              </w:rPr>
            </w:pPr>
          </w:p>
        </w:tc>
      </w:tr>
      <w:tr w:rsidR="00DC3790" w:rsidTr="00DC3790">
        <w:tc>
          <w:tcPr>
            <w:tcW w:w="1091" w:type="pct"/>
          </w:tcPr>
          <w:p w:rsidR="00DC3790" w:rsidRPr="00903634" w:rsidRDefault="00DC3790" w:rsidP="00DC3790">
            <w:pPr>
              <w:spacing w:line="240" w:lineRule="auto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V seskupení </w:t>
            </w:r>
            <w:r w:rsidRPr="00903634">
              <w:rPr>
                <w:spacing w:val="-2"/>
                <w:sz w:val="16"/>
                <w:szCs w:val="16"/>
              </w:rPr>
              <w:t>odvětví obchod, doprava, ubytov</w:t>
            </w:r>
            <w:r>
              <w:rPr>
                <w:spacing w:val="-2"/>
                <w:sz w:val="16"/>
                <w:szCs w:val="16"/>
              </w:rPr>
              <w:t xml:space="preserve">ání </w:t>
            </w:r>
            <w:r w:rsidRPr="00903634">
              <w:rPr>
                <w:spacing w:val="-2"/>
                <w:sz w:val="16"/>
                <w:szCs w:val="16"/>
              </w:rPr>
              <w:t>a pohostinství</w:t>
            </w:r>
            <w:r>
              <w:rPr>
                <w:spacing w:val="-2"/>
                <w:sz w:val="16"/>
                <w:szCs w:val="16"/>
              </w:rPr>
              <w:t xml:space="preserve"> – nejvyšší růst HPH i zaměstnanosti za posledních pět, resp. šest let</w:t>
            </w:r>
          </w:p>
          <w:p w:rsidR="00DC3790" w:rsidRDefault="00DC3790" w:rsidP="00DC3790">
            <w:pPr>
              <w:spacing w:line="240" w:lineRule="auto"/>
              <w:rPr>
                <w:sz w:val="16"/>
                <w:szCs w:val="16"/>
              </w:rPr>
            </w:pPr>
          </w:p>
          <w:p w:rsidR="00DC3790" w:rsidRDefault="00DC3790" w:rsidP="00DC3790">
            <w:pPr>
              <w:spacing w:line="240" w:lineRule="auto"/>
              <w:rPr>
                <w:sz w:val="16"/>
                <w:szCs w:val="16"/>
              </w:rPr>
            </w:pPr>
          </w:p>
          <w:p w:rsidR="00DC3790" w:rsidRDefault="00DC3790" w:rsidP="00DC3790">
            <w:pPr>
              <w:spacing w:line="240" w:lineRule="auto"/>
              <w:rPr>
                <w:sz w:val="16"/>
                <w:szCs w:val="16"/>
              </w:rPr>
            </w:pPr>
          </w:p>
          <w:p w:rsidR="00DC3790" w:rsidRDefault="00DC3790" w:rsidP="00DC3790">
            <w:pPr>
              <w:spacing w:line="240" w:lineRule="auto"/>
              <w:rPr>
                <w:sz w:val="16"/>
                <w:szCs w:val="16"/>
              </w:rPr>
            </w:pPr>
          </w:p>
          <w:p w:rsidR="00DC3790" w:rsidRDefault="00DC3790" w:rsidP="00DC3790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Přetrvává vysoká poptávka po informačních a komunikačních činnostech a také </w:t>
            </w:r>
            <w:r w:rsidRPr="00034E4E">
              <w:rPr>
                <w:sz w:val="16"/>
                <w:szCs w:val="16"/>
              </w:rPr>
              <w:t>profesních, vědeckých, technických a administrativních činnoste</w:t>
            </w:r>
            <w:r>
              <w:rPr>
                <w:sz w:val="16"/>
                <w:szCs w:val="16"/>
              </w:rPr>
              <w:t>ch</w:t>
            </w:r>
          </w:p>
          <w:p w:rsidR="00DC3790" w:rsidRPr="000F401E" w:rsidRDefault="00DC3790" w:rsidP="00DC379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6" w:type="pct"/>
          </w:tcPr>
          <w:p w:rsidR="00DC3790" w:rsidRDefault="00DC3790" w:rsidP="00DC3790">
            <w:pPr>
              <w:pStyle w:val="Textpoznpodarou"/>
              <w:jc w:val="both"/>
              <w:rPr>
                <w:spacing w:val="-2"/>
              </w:rPr>
            </w:pPr>
          </w:p>
        </w:tc>
        <w:tc>
          <w:tcPr>
            <w:tcW w:w="3763" w:type="pct"/>
          </w:tcPr>
          <w:p w:rsidR="00DC3790" w:rsidRDefault="00DC3790" w:rsidP="00DC3790">
            <w:pPr>
              <w:pStyle w:val="Textpoznpodarou"/>
              <w:jc w:val="both"/>
              <w:rPr>
                <w:color w:val="0D0D0D" w:themeColor="text1" w:themeTint="F2"/>
                <w:spacing w:val="-4"/>
              </w:rPr>
            </w:pPr>
            <w:r w:rsidRPr="00733FE6">
              <w:rPr>
                <w:color w:val="0D0D0D" w:themeColor="text1" w:themeTint="F2"/>
                <w:spacing w:val="-4"/>
              </w:rPr>
              <w:t>Na úspěšný loňský rok navázalo i odvětví zemědělství, lesnictví a rybářství, což se odrazilo i</w:t>
            </w:r>
            <w:r>
              <w:rPr>
                <w:color w:val="0D0D0D" w:themeColor="text1" w:themeTint="F2"/>
                <w:spacing w:val="-4"/>
              </w:rPr>
              <w:t xml:space="preserve"> v mírném růstu zaměstnanosti</w:t>
            </w:r>
            <w:r w:rsidRPr="00733FE6">
              <w:rPr>
                <w:color w:val="0D0D0D" w:themeColor="text1" w:themeTint="F2"/>
                <w:spacing w:val="-4"/>
              </w:rPr>
              <w:t xml:space="preserve"> (</w:t>
            </w:r>
            <w:r>
              <w:rPr>
                <w:color w:val="0D0D0D" w:themeColor="text1" w:themeTint="F2"/>
                <w:spacing w:val="-4"/>
              </w:rPr>
              <w:t>na rozdíl od většiny ostatních odvětví šlo o pracovníky</w:t>
            </w:r>
            <w:r w:rsidRPr="00733FE6">
              <w:rPr>
                <w:color w:val="0D0D0D" w:themeColor="text1" w:themeTint="F2"/>
                <w:spacing w:val="-4"/>
              </w:rPr>
              <w:t xml:space="preserve"> mimo zaměstnanecký segment</w:t>
            </w:r>
            <w:r w:rsidRPr="00903634">
              <w:rPr>
                <w:color w:val="0D0D0D" w:themeColor="text1" w:themeTint="F2"/>
                <w:spacing w:val="-4"/>
              </w:rPr>
              <w:t>). Díky</w:t>
            </w:r>
            <w:r w:rsidRPr="0061469D">
              <w:rPr>
                <w:color w:val="0D0D0D" w:themeColor="text1" w:themeTint="F2"/>
                <w:spacing w:val="-4"/>
              </w:rPr>
              <w:t xml:space="preserve"> své váze i postupně sílící dynamice (1. pololetí +2,8 %) přispěly k růstu </w:t>
            </w:r>
            <w:r>
              <w:rPr>
                <w:color w:val="0D0D0D" w:themeColor="text1" w:themeTint="F2"/>
                <w:spacing w:val="-4"/>
              </w:rPr>
              <w:t>celkové HPH</w:t>
            </w:r>
            <w:r w:rsidRPr="0061469D">
              <w:rPr>
                <w:color w:val="0D0D0D" w:themeColor="text1" w:themeTint="F2"/>
                <w:spacing w:val="-4"/>
              </w:rPr>
              <w:t xml:space="preserve"> z terciární sféry v úhrnu nejvíce odvětví obchod, doprava, ubytování a pohostinství, které těžily z pozitivních nálad spotřebitelů i růstu příjezdů domácích i zahraničních hostů.</w:t>
            </w:r>
            <w:r>
              <w:rPr>
                <w:color w:val="0D0D0D" w:themeColor="text1" w:themeTint="F2"/>
                <w:spacing w:val="-4"/>
              </w:rPr>
              <w:t xml:space="preserve"> Ze služeb se však vedle informačních a komunikačních činností nejvíce dařilo dlouhodobě rostoucím </w:t>
            </w:r>
            <w:r w:rsidRPr="007E6983">
              <w:rPr>
                <w:color w:val="0D0D0D" w:themeColor="text1" w:themeTint="F2"/>
                <w:spacing w:val="-4"/>
              </w:rPr>
              <w:t xml:space="preserve">profesním, vědeckým, technickým a administrativním činnostem, </w:t>
            </w:r>
            <w:r>
              <w:rPr>
                <w:color w:val="0D0D0D" w:themeColor="text1" w:themeTint="F2"/>
                <w:spacing w:val="-4"/>
              </w:rPr>
              <w:t xml:space="preserve">a to </w:t>
            </w:r>
            <w:r w:rsidRPr="007E6983">
              <w:rPr>
                <w:color w:val="0D0D0D" w:themeColor="text1" w:themeTint="F2"/>
                <w:spacing w:val="-4"/>
              </w:rPr>
              <w:t xml:space="preserve">vlivem neustávající poptávky po agenturních pracovnících, ale i </w:t>
            </w:r>
            <w:r>
              <w:rPr>
                <w:color w:val="0D0D0D" w:themeColor="text1" w:themeTint="F2"/>
                <w:spacing w:val="-4"/>
              </w:rPr>
              <w:t xml:space="preserve">nedávném </w:t>
            </w:r>
            <w:r w:rsidR="00F55605">
              <w:rPr>
                <w:color w:val="0D0D0D" w:themeColor="text1" w:themeTint="F2"/>
                <w:spacing w:val="-4"/>
              </w:rPr>
              <w:t>oživení</w:t>
            </w:r>
            <w:r w:rsidRPr="007E6983">
              <w:rPr>
                <w:color w:val="0D0D0D" w:themeColor="text1" w:themeTint="F2"/>
                <w:spacing w:val="-4"/>
              </w:rPr>
              <w:t xml:space="preserve"> něk</w:t>
            </w:r>
            <w:r>
              <w:rPr>
                <w:color w:val="0D0D0D" w:themeColor="text1" w:themeTint="F2"/>
                <w:spacing w:val="-4"/>
              </w:rPr>
              <w:t>terých specializovaných oborů</w:t>
            </w:r>
            <w:r w:rsidRPr="007E6983">
              <w:rPr>
                <w:color w:val="0D0D0D" w:themeColor="text1" w:themeTint="F2"/>
                <w:spacing w:val="-4"/>
              </w:rPr>
              <w:t xml:space="preserve"> (architektonické a inženýrské činnosti).</w:t>
            </w:r>
            <w:r>
              <w:rPr>
                <w:color w:val="0D0D0D" w:themeColor="text1" w:themeTint="F2"/>
                <w:spacing w:val="-4"/>
              </w:rPr>
              <w:t xml:space="preserve"> Více než 5% růst HPH si v 1.</w:t>
            </w:r>
            <w:r w:rsidR="00F55605">
              <w:rPr>
                <w:color w:val="0D0D0D" w:themeColor="text1" w:themeTint="F2"/>
                <w:spacing w:val="-4"/>
              </w:rPr>
              <w:t xml:space="preserve"> pololetí připsal také finanční</w:t>
            </w:r>
            <w:r>
              <w:rPr>
                <w:color w:val="0D0D0D" w:themeColor="text1" w:themeTint="F2"/>
                <w:spacing w:val="-4"/>
              </w:rPr>
              <w:t xml:space="preserve"> sektor, s</w:t>
            </w:r>
            <w:r w:rsidRPr="00AA06F7">
              <w:rPr>
                <w:color w:val="0D0D0D" w:themeColor="text1" w:themeTint="F2"/>
                <w:spacing w:val="-4"/>
              </w:rPr>
              <w:t xml:space="preserve">ílící nákladové tlaky si zde však </w:t>
            </w:r>
            <w:r>
              <w:rPr>
                <w:color w:val="0D0D0D" w:themeColor="text1" w:themeTint="F2"/>
                <w:spacing w:val="-4"/>
              </w:rPr>
              <w:t xml:space="preserve">v posledních dvou letech </w:t>
            </w:r>
            <w:r w:rsidRPr="00AA06F7">
              <w:rPr>
                <w:color w:val="0D0D0D" w:themeColor="text1" w:themeTint="F2"/>
                <w:spacing w:val="-4"/>
              </w:rPr>
              <w:t>vybraly s</w:t>
            </w:r>
            <w:r>
              <w:rPr>
                <w:color w:val="0D0D0D" w:themeColor="text1" w:themeTint="F2"/>
                <w:spacing w:val="-4"/>
              </w:rPr>
              <w:t xml:space="preserve">vou daň v podobě nižšího počtu pracovníků. Podstatně skromněji vzrostla přidaná hodnota ve veřejných službách (2 %), přesto šlo o nejvyšší tempo po roce 2008. Přispěly k tomu pozvolna rostoucí zaměstnanost i plošné navýšení platových tarifů na konci </w:t>
            </w:r>
            <w:r w:rsidRPr="00903634">
              <w:rPr>
                <w:color w:val="0D0D0D" w:themeColor="text1" w:themeTint="F2"/>
                <w:spacing w:val="-4"/>
              </w:rPr>
              <w:t>roku</w:t>
            </w:r>
            <w:r>
              <w:rPr>
                <w:color w:val="0D0D0D" w:themeColor="text1" w:themeTint="F2"/>
                <w:spacing w:val="-4"/>
              </w:rPr>
              <w:t xml:space="preserve"> 2014.</w:t>
            </w:r>
          </w:p>
          <w:p w:rsidR="00DC3790" w:rsidRPr="00733FE6" w:rsidRDefault="00DC3790" w:rsidP="00DC3790">
            <w:pPr>
              <w:pStyle w:val="Textpoznpodarou"/>
              <w:jc w:val="both"/>
              <w:rPr>
                <w:color w:val="0D0D0D" w:themeColor="text1" w:themeTint="F2"/>
                <w:spacing w:val="-4"/>
                <w:sz w:val="16"/>
                <w:szCs w:val="16"/>
              </w:rPr>
            </w:pPr>
          </w:p>
        </w:tc>
      </w:tr>
      <w:tr w:rsidR="00DC3790" w:rsidTr="00DC3790">
        <w:trPr>
          <w:cantSplit/>
          <w:trHeight w:val="203"/>
        </w:trPr>
        <w:tc>
          <w:tcPr>
            <w:tcW w:w="1091" w:type="pct"/>
          </w:tcPr>
          <w:p w:rsidR="00DC3790" w:rsidRPr="00F3262E" w:rsidRDefault="00DC3790" w:rsidP="00DC3790">
            <w:pPr>
              <w:spacing w:line="240" w:lineRule="auto"/>
              <w:rPr>
                <w:color w:val="000000" w:themeColor="text1"/>
                <w:spacing w:val="-2"/>
                <w:sz w:val="16"/>
                <w:szCs w:val="16"/>
              </w:rPr>
            </w:pPr>
            <w:r w:rsidRPr="00F3262E">
              <w:rPr>
                <w:color w:val="000000" w:themeColor="text1"/>
                <w:spacing w:val="-2"/>
                <w:sz w:val="16"/>
                <w:szCs w:val="16"/>
              </w:rPr>
              <w:t>Průmysl, jehož produkce již na sklonku loňského roku překonala předkrizovou úroveň, si i během roku 2015 dosud udržuje vysoká loňská</w:t>
            </w:r>
          </w:p>
          <w:p w:rsidR="00DC3790" w:rsidRPr="00F3262E" w:rsidRDefault="00DC3790" w:rsidP="00DC3790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F3262E">
              <w:rPr>
                <w:color w:val="000000" w:themeColor="text1"/>
                <w:spacing w:val="-2"/>
                <w:sz w:val="16"/>
                <w:szCs w:val="16"/>
              </w:rPr>
              <w:t>růstová tempa</w:t>
            </w:r>
          </w:p>
        </w:tc>
        <w:tc>
          <w:tcPr>
            <w:tcW w:w="146" w:type="pct"/>
          </w:tcPr>
          <w:p w:rsidR="00DC3790" w:rsidRPr="00F3262E" w:rsidRDefault="00DC3790" w:rsidP="00DC3790">
            <w:pPr>
              <w:pStyle w:val="Textpoznpodarou"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3763" w:type="pct"/>
          </w:tcPr>
          <w:p w:rsidR="00DC3790" w:rsidRPr="00EC76CC" w:rsidRDefault="00DC3790" w:rsidP="00DC3790">
            <w:pPr>
              <w:pStyle w:val="Textpoznpodarou"/>
              <w:jc w:val="both"/>
              <w:rPr>
                <w:color w:val="000000" w:themeColor="text1"/>
                <w:spacing w:val="-4"/>
              </w:rPr>
            </w:pPr>
            <w:r w:rsidRPr="00EC76CC">
              <w:rPr>
                <w:color w:val="000000" w:themeColor="text1"/>
                <w:spacing w:val="-4"/>
              </w:rPr>
              <w:t>Výkon průmyslu</w:t>
            </w:r>
            <w:r w:rsidRPr="00EC76CC">
              <w:rPr>
                <w:color w:val="000000" w:themeColor="text1"/>
                <w:vertAlign w:val="superscript"/>
              </w:rPr>
              <w:footnoteReference w:id="1"/>
            </w:r>
            <w:r w:rsidRPr="00EC76CC">
              <w:rPr>
                <w:color w:val="000000" w:themeColor="text1"/>
                <w:spacing w:val="-4"/>
              </w:rPr>
              <w:t xml:space="preserve"> (dle indexu průmyslové produkce v reálném vyjádření) plně navázal na úspěšný předchozí rok, v 1. pololetí meziročně posílil </w:t>
            </w:r>
            <w:r w:rsidR="003736B5">
              <w:rPr>
                <w:color w:val="000000" w:themeColor="text1"/>
                <w:spacing w:val="-4"/>
              </w:rPr>
              <w:t>o 5</w:t>
            </w:r>
            <w:r w:rsidRPr="00EC76CC">
              <w:rPr>
                <w:color w:val="000000" w:themeColor="text1"/>
                <w:spacing w:val="-4"/>
              </w:rPr>
              <w:t xml:space="preserve"> %. Stabilní vysoká růstová tempa si udržuje zásluhou dominantního zpracovatelského průmyslu profitujícího především z dosud silné domácí i zahraniční poptávky po dopravních prostředcích a jejich komponent</w:t>
            </w:r>
            <w:r w:rsidR="00F55605">
              <w:rPr>
                <w:color w:val="000000" w:themeColor="text1"/>
                <w:spacing w:val="-4"/>
              </w:rPr>
              <w:t>ech</w:t>
            </w:r>
            <w:r w:rsidRPr="00EC76CC">
              <w:rPr>
                <w:color w:val="000000" w:themeColor="text1"/>
                <w:spacing w:val="-4"/>
              </w:rPr>
              <w:t xml:space="preserve">. </w:t>
            </w:r>
          </w:p>
          <w:p w:rsidR="00DC3790" w:rsidRPr="00EC76CC" w:rsidRDefault="00DC3790" w:rsidP="00DC3790">
            <w:pPr>
              <w:pStyle w:val="Textpoznpodarou"/>
              <w:jc w:val="both"/>
              <w:rPr>
                <w:color w:val="000000" w:themeColor="text1"/>
                <w:spacing w:val="-4"/>
                <w:sz w:val="16"/>
                <w:szCs w:val="16"/>
              </w:rPr>
            </w:pPr>
          </w:p>
        </w:tc>
      </w:tr>
      <w:tr w:rsidR="00DC3790" w:rsidTr="00DC3790">
        <w:trPr>
          <w:cantSplit/>
          <w:trHeight w:val="250"/>
        </w:trPr>
        <w:tc>
          <w:tcPr>
            <w:tcW w:w="1091" w:type="pct"/>
          </w:tcPr>
          <w:p w:rsidR="00707D43" w:rsidRDefault="00DC3790" w:rsidP="00DC3790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C548DF">
              <w:rPr>
                <w:color w:val="000000" w:themeColor="text1"/>
                <w:sz w:val="16"/>
                <w:szCs w:val="16"/>
              </w:rPr>
              <w:t xml:space="preserve">Po několika letech oživení </w:t>
            </w:r>
          </w:p>
          <w:p w:rsidR="00DC3790" w:rsidRPr="00C548DF" w:rsidRDefault="00DC3790" w:rsidP="00DC3790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C548DF">
              <w:rPr>
                <w:color w:val="000000" w:themeColor="text1"/>
                <w:sz w:val="16"/>
                <w:szCs w:val="16"/>
              </w:rPr>
              <w:t>i v drtivé větš</w:t>
            </w:r>
            <w:r w:rsidR="00707D43">
              <w:rPr>
                <w:color w:val="000000" w:themeColor="text1"/>
                <w:sz w:val="16"/>
                <w:szCs w:val="16"/>
              </w:rPr>
              <w:t>ině menších průmyslových oborů</w:t>
            </w:r>
            <w:r w:rsidRPr="00C548DF">
              <w:rPr>
                <w:color w:val="000000" w:themeColor="text1"/>
                <w:sz w:val="16"/>
                <w:szCs w:val="16"/>
              </w:rPr>
              <w:t xml:space="preserve">, naopak pokračující dlouhodobý útlum </w:t>
            </w:r>
          </w:p>
          <w:p w:rsidR="00DC3790" w:rsidRPr="000F401E" w:rsidRDefault="00DC3790" w:rsidP="00DC3790">
            <w:pPr>
              <w:spacing w:line="240" w:lineRule="auto"/>
              <w:rPr>
                <w:sz w:val="16"/>
                <w:szCs w:val="16"/>
              </w:rPr>
            </w:pPr>
            <w:r w:rsidRPr="00C548DF">
              <w:rPr>
                <w:color w:val="000000" w:themeColor="text1"/>
                <w:sz w:val="16"/>
                <w:szCs w:val="16"/>
              </w:rPr>
              <w:t>těžebních aktivit</w:t>
            </w:r>
          </w:p>
        </w:tc>
        <w:tc>
          <w:tcPr>
            <w:tcW w:w="146" w:type="pct"/>
          </w:tcPr>
          <w:p w:rsidR="00DC3790" w:rsidRPr="005A16AE" w:rsidRDefault="00DC3790" w:rsidP="00DC3790">
            <w:pPr>
              <w:rPr>
                <w:color w:val="000000" w:themeColor="text1"/>
                <w:szCs w:val="16"/>
              </w:rPr>
            </w:pPr>
          </w:p>
        </w:tc>
        <w:tc>
          <w:tcPr>
            <w:tcW w:w="3763" w:type="pct"/>
          </w:tcPr>
          <w:p w:rsidR="00DC3790" w:rsidRPr="005A16AE" w:rsidRDefault="00DC3790" w:rsidP="00F55605">
            <w:pPr>
              <w:pStyle w:val="Textpoznpodarou"/>
              <w:jc w:val="both"/>
              <w:rPr>
                <w:color w:val="000000" w:themeColor="text1"/>
                <w:spacing w:val="-4"/>
                <w:sz w:val="16"/>
                <w:szCs w:val="16"/>
              </w:rPr>
            </w:pPr>
            <w:r w:rsidRPr="005A16AE">
              <w:rPr>
                <w:color w:val="000000" w:themeColor="text1"/>
                <w:spacing w:val="-4"/>
              </w:rPr>
              <w:t xml:space="preserve">Meziročně vyšší produkce </w:t>
            </w:r>
            <w:r>
              <w:rPr>
                <w:color w:val="000000" w:themeColor="text1"/>
                <w:spacing w:val="-4"/>
              </w:rPr>
              <w:t>letos</w:t>
            </w:r>
            <w:r w:rsidRPr="005A16AE">
              <w:rPr>
                <w:color w:val="000000" w:themeColor="text1"/>
                <w:spacing w:val="-4"/>
              </w:rPr>
              <w:t xml:space="preserve"> dosáhly </w:t>
            </w:r>
            <w:r>
              <w:rPr>
                <w:color w:val="000000" w:themeColor="text1"/>
                <w:spacing w:val="-4"/>
              </w:rPr>
              <w:t>prakticky všechny dílčí průmyslové obory. Platilo to i o některých menších</w:t>
            </w:r>
            <w:r w:rsidR="00F55605">
              <w:rPr>
                <w:color w:val="000000" w:themeColor="text1"/>
                <w:spacing w:val="-4"/>
              </w:rPr>
              <w:t>,</w:t>
            </w:r>
            <w:r>
              <w:rPr>
                <w:color w:val="000000" w:themeColor="text1"/>
                <w:spacing w:val="-4"/>
              </w:rPr>
              <w:t xml:space="preserve"> dlouhodobě spíše útlumových odvětvích. Šlo především o oděvnictví, jehož téměř 9% růst v 1. pololetí byl nejvyšší za posledních deset let, a také </w:t>
            </w:r>
            <w:r w:rsidRPr="003339D5">
              <w:rPr>
                <w:color w:val="000000" w:themeColor="text1"/>
                <w:spacing w:val="-4"/>
              </w:rPr>
              <w:t>k</w:t>
            </w:r>
            <w:r>
              <w:rPr>
                <w:color w:val="000000" w:themeColor="text1"/>
                <w:spacing w:val="-4"/>
              </w:rPr>
              <w:t xml:space="preserve">ožedělný průmysl, </w:t>
            </w:r>
            <w:r w:rsidRPr="003339D5">
              <w:rPr>
                <w:color w:val="000000" w:themeColor="text1"/>
                <w:spacing w:val="-4"/>
              </w:rPr>
              <w:t>jenž dlouhodobého růstového rekordu dosáhl již v pos</w:t>
            </w:r>
            <w:r>
              <w:rPr>
                <w:color w:val="000000" w:themeColor="text1"/>
                <w:spacing w:val="-4"/>
              </w:rPr>
              <w:t xml:space="preserve">ledním čtvrtletí 2014. Oživení v textilním průmyslu či výrobě nábytku trvá již bezmála dva roky. Produkce </w:t>
            </w:r>
            <w:r w:rsidRPr="00FF0B9C">
              <w:rPr>
                <w:color w:val="000000" w:themeColor="text1"/>
                <w:spacing w:val="-4"/>
              </w:rPr>
              <w:t xml:space="preserve">v 1. pololetí akcelerovala v papírenském průmyslu (+9 %), jenž při dvouciferném růstu zahraničních zakázek docílil nejvyšší dynamiky produkce v nepřerušené desetileté řadě. </w:t>
            </w:r>
            <w:r>
              <w:rPr>
                <w:color w:val="000000" w:themeColor="text1"/>
                <w:spacing w:val="-4"/>
              </w:rPr>
              <w:t>Produkce letos klesala jen</w:t>
            </w:r>
            <w:r w:rsidR="00F55605">
              <w:rPr>
                <w:color w:val="000000" w:themeColor="text1"/>
                <w:spacing w:val="-4"/>
              </w:rPr>
              <w:t xml:space="preserve"> v</w:t>
            </w:r>
            <w:r>
              <w:rPr>
                <w:color w:val="000000" w:themeColor="text1"/>
                <w:spacing w:val="-4"/>
              </w:rPr>
              <w:t xml:space="preserve"> tiskárenství či </w:t>
            </w:r>
            <w:r w:rsidRPr="009921B9">
              <w:rPr>
                <w:color w:val="000000" w:themeColor="text1"/>
                <w:spacing w:val="-4"/>
              </w:rPr>
              <w:t xml:space="preserve">dřevozpracujícím průmyslu a zejména </w:t>
            </w:r>
            <w:r w:rsidR="00707D43">
              <w:rPr>
                <w:color w:val="000000" w:themeColor="text1"/>
                <w:spacing w:val="-4"/>
              </w:rPr>
              <w:t>v těžbě a dobývání (meziročně -7</w:t>
            </w:r>
            <w:r w:rsidRPr="009921B9">
              <w:rPr>
                <w:color w:val="000000" w:themeColor="text1"/>
                <w:spacing w:val="-4"/>
              </w:rPr>
              <w:t xml:space="preserve"> %, </w:t>
            </w:r>
            <w:r>
              <w:rPr>
                <w:color w:val="000000" w:themeColor="text1"/>
                <w:spacing w:val="-4"/>
              </w:rPr>
              <w:t xml:space="preserve">za sedm let </w:t>
            </w:r>
            <w:r w:rsidRPr="009921B9">
              <w:rPr>
                <w:color w:val="000000" w:themeColor="text1"/>
                <w:spacing w:val="-4"/>
              </w:rPr>
              <w:t>o </w:t>
            </w:r>
            <w:r>
              <w:rPr>
                <w:color w:val="000000" w:themeColor="text1"/>
                <w:spacing w:val="-4"/>
              </w:rPr>
              <w:t>téměř</w:t>
            </w:r>
            <w:r w:rsidRPr="009921B9">
              <w:rPr>
                <w:color w:val="000000" w:themeColor="text1"/>
                <w:spacing w:val="-4"/>
              </w:rPr>
              <w:t xml:space="preserve"> čt</w:t>
            </w:r>
            <w:r>
              <w:rPr>
                <w:color w:val="000000" w:themeColor="text1"/>
                <w:spacing w:val="-4"/>
              </w:rPr>
              <w:t>vrtinu), především vlivem dlouhodobé</w:t>
            </w:r>
            <w:r w:rsidRPr="009921B9">
              <w:rPr>
                <w:color w:val="000000" w:themeColor="text1"/>
                <w:spacing w:val="-4"/>
              </w:rPr>
              <w:t xml:space="preserve"> redukce těžby černého uhlí.</w:t>
            </w:r>
          </w:p>
        </w:tc>
      </w:tr>
      <w:tr w:rsidR="00DC3790" w:rsidTr="00DC3790">
        <w:trPr>
          <w:cantSplit/>
          <w:trHeight w:val="295"/>
        </w:trPr>
        <w:tc>
          <w:tcPr>
            <w:tcW w:w="1091" w:type="pct"/>
          </w:tcPr>
          <w:p w:rsidR="00DC3790" w:rsidRPr="000521BB" w:rsidRDefault="00DC3790" w:rsidP="00DC3790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521BB">
              <w:rPr>
                <w:color w:val="000000" w:themeColor="text1"/>
                <w:sz w:val="16"/>
                <w:szCs w:val="16"/>
              </w:rPr>
              <w:lastRenderedPageBreak/>
              <w:t xml:space="preserve">Výroba dopravních prostředků přispěla k meziročnímu růstu celého průmyslu téměř třetinou, společně s nejbližšími návaznými obory </w:t>
            </w:r>
          </w:p>
          <w:p w:rsidR="00DC3790" w:rsidRPr="000521BB" w:rsidRDefault="00DC3790" w:rsidP="00DC3790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521BB">
              <w:rPr>
                <w:color w:val="000000" w:themeColor="text1"/>
                <w:sz w:val="16"/>
                <w:szCs w:val="16"/>
              </w:rPr>
              <w:t>více než polovinou</w:t>
            </w:r>
          </w:p>
          <w:p w:rsidR="00DC3790" w:rsidRPr="000521BB" w:rsidRDefault="00DC3790" w:rsidP="00DC3790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:rsidR="00DC3790" w:rsidRPr="000521BB" w:rsidRDefault="00DC3790" w:rsidP="00DC3790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:rsidR="00DC3790" w:rsidRPr="000F401E" w:rsidRDefault="00DC3790" w:rsidP="00DC379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6" w:type="pct"/>
          </w:tcPr>
          <w:p w:rsidR="00DC3790" w:rsidRPr="005A16AE" w:rsidRDefault="00DC3790" w:rsidP="00DC3790">
            <w:pPr>
              <w:rPr>
                <w:color w:val="000000" w:themeColor="text1"/>
                <w:szCs w:val="16"/>
              </w:rPr>
            </w:pPr>
          </w:p>
        </w:tc>
        <w:tc>
          <w:tcPr>
            <w:tcW w:w="3763" w:type="pct"/>
          </w:tcPr>
          <w:p w:rsidR="00DC3790" w:rsidRPr="00AE56D0" w:rsidRDefault="00DC3790" w:rsidP="00DC3790">
            <w:pPr>
              <w:pStyle w:val="Textpoznpodarou"/>
              <w:jc w:val="both"/>
              <w:rPr>
                <w:color w:val="000000" w:themeColor="text1"/>
                <w:spacing w:val="-4"/>
              </w:rPr>
            </w:pPr>
            <w:r w:rsidRPr="00AE56D0">
              <w:rPr>
                <w:color w:val="000000" w:themeColor="text1"/>
                <w:spacing w:val="-4"/>
              </w:rPr>
              <w:t>Nejvýznamnějším přispěvatelem k meziročnímu růstu v celém průmyslu</w:t>
            </w:r>
            <w:r>
              <w:rPr>
                <w:color w:val="000000" w:themeColor="text1"/>
                <w:spacing w:val="-4"/>
              </w:rPr>
              <w:t xml:space="preserve"> stále zůstává výroba motorových vozidel, byť její dominantní role v porovnání s loňským rokem mírně oslabila (v 1. pololetí 2015 se zasloužila o růst produkce zhruba z třetiny). Osmin</w:t>
            </w:r>
            <w:r w:rsidRPr="00912CD7">
              <w:rPr>
                <w:color w:val="000000" w:themeColor="text1"/>
                <w:spacing w:val="-4"/>
              </w:rPr>
              <w:t xml:space="preserve">u shodně přidaly i jednotlivé hlavní subdodavatelské obory – gumárenství a </w:t>
            </w:r>
            <w:proofErr w:type="spellStart"/>
            <w:r w:rsidRPr="00912CD7">
              <w:rPr>
                <w:color w:val="000000" w:themeColor="text1"/>
                <w:spacing w:val="-4"/>
              </w:rPr>
              <w:t>plastikářství</w:t>
            </w:r>
            <w:proofErr w:type="spellEnd"/>
            <w:r>
              <w:rPr>
                <w:color w:val="000000" w:themeColor="text1"/>
                <w:spacing w:val="-4"/>
              </w:rPr>
              <w:t xml:space="preserve"> a též </w:t>
            </w:r>
            <w:r w:rsidRPr="00912CD7">
              <w:rPr>
                <w:color w:val="000000" w:themeColor="text1"/>
                <w:spacing w:val="-4"/>
              </w:rPr>
              <w:t xml:space="preserve">výroba elektrických zařízení. </w:t>
            </w:r>
            <w:r>
              <w:rPr>
                <w:color w:val="000000" w:themeColor="text1"/>
                <w:spacing w:val="-4"/>
              </w:rPr>
              <w:t>Důležitý</w:t>
            </w:r>
            <w:r w:rsidRPr="00912CD7">
              <w:rPr>
                <w:color w:val="000000" w:themeColor="text1"/>
                <w:spacing w:val="-4"/>
              </w:rPr>
              <w:t xml:space="preserve"> byl </w:t>
            </w:r>
            <w:r>
              <w:rPr>
                <w:color w:val="000000" w:themeColor="text1"/>
                <w:spacing w:val="-4"/>
              </w:rPr>
              <w:t>navzdory relativně mírn</w:t>
            </w:r>
            <w:r w:rsidR="00707D43">
              <w:rPr>
                <w:color w:val="000000" w:themeColor="text1"/>
                <w:spacing w:val="-4"/>
              </w:rPr>
              <w:t>ému růstu (3,9 %) také příspěvek váho</w:t>
            </w:r>
            <w:r w:rsidRPr="00912CD7">
              <w:rPr>
                <w:color w:val="000000" w:themeColor="text1"/>
                <w:spacing w:val="-4"/>
              </w:rPr>
              <w:t>vě významného strojírenství</w:t>
            </w:r>
            <w:r>
              <w:rPr>
                <w:color w:val="000000" w:themeColor="text1"/>
                <w:spacing w:val="-4"/>
              </w:rPr>
              <w:t xml:space="preserve">. Ještě skromnější dynamiku produkce zaznamenaly hutnictví a slévárenství a také chemický průmysl, které </w:t>
            </w:r>
            <w:r w:rsidR="00F55605">
              <w:rPr>
                <w:color w:val="000000" w:themeColor="text1"/>
                <w:spacing w:val="-4"/>
              </w:rPr>
              <w:t>„</w:t>
            </w:r>
            <w:r>
              <w:rPr>
                <w:color w:val="000000" w:themeColor="text1"/>
                <w:spacing w:val="-4"/>
              </w:rPr>
              <w:t>držel na uzdě</w:t>
            </w:r>
            <w:r w:rsidR="00F55605">
              <w:rPr>
                <w:color w:val="000000" w:themeColor="text1"/>
                <w:spacing w:val="-4"/>
              </w:rPr>
              <w:t>“</w:t>
            </w:r>
            <w:r>
              <w:rPr>
                <w:color w:val="000000" w:themeColor="text1"/>
                <w:spacing w:val="-4"/>
              </w:rPr>
              <w:t xml:space="preserve"> nedostatek zakázek, zejména z tuzemska. Rychleji než většina zpracovatelských oborů nadále roste výrazně </w:t>
            </w:r>
            <w:proofErr w:type="spellStart"/>
            <w:r>
              <w:rPr>
                <w:color w:val="000000" w:themeColor="text1"/>
                <w:spacing w:val="-4"/>
              </w:rPr>
              <w:t>procyklicky</w:t>
            </w:r>
            <w:proofErr w:type="spellEnd"/>
            <w:r>
              <w:rPr>
                <w:color w:val="000000" w:themeColor="text1"/>
                <w:spacing w:val="-4"/>
              </w:rPr>
              <w:t xml:space="preserve"> orientované odvětví výroby</w:t>
            </w:r>
            <w:r w:rsidRPr="00161533">
              <w:rPr>
                <w:color w:val="000000" w:themeColor="text1"/>
                <w:spacing w:val="-4"/>
              </w:rPr>
              <w:t xml:space="preserve"> počíta</w:t>
            </w:r>
            <w:r>
              <w:rPr>
                <w:color w:val="000000" w:themeColor="text1"/>
                <w:spacing w:val="-4"/>
              </w:rPr>
              <w:t xml:space="preserve">čů, elektronických a optických </w:t>
            </w:r>
            <w:r w:rsidRPr="00161533">
              <w:rPr>
                <w:color w:val="000000" w:themeColor="text1"/>
                <w:spacing w:val="-4"/>
              </w:rPr>
              <w:t>přístrojů</w:t>
            </w:r>
            <w:r>
              <w:rPr>
                <w:color w:val="000000" w:themeColor="text1"/>
                <w:spacing w:val="-4"/>
              </w:rPr>
              <w:t>, které dosud těží ze silné zásoby zakázek z loňského roku.</w:t>
            </w:r>
          </w:p>
          <w:p w:rsidR="00DC3790" w:rsidRPr="00BB1CFD" w:rsidRDefault="00DC3790" w:rsidP="00DC3790">
            <w:pPr>
              <w:pStyle w:val="Textpoznpodarou"/>
              <w:jc w:val="both"/>
              <w:rPr>
                <w:color w:val="000000" w:themeColor="text1"/>
                <w:spacing w:val="-4"/>
                <w:sz w:val="14"/>
                <w:szCs w:val="14"/>
              </w:rPr>
            </w:pPr>
          </w:p>
        </w:tc>
      </w:tr>
      <w:tr w:rsidR="00DC3790" w:rsidTr="00DC3790">
        <w:tc>
          <w:tcPr>
            <w:tcW w:w="1091" w:type="pct"/>
          </w:tcPr>
          <w:p w:rsidR="00DC3790" w:rsidRPr="00B0586F" w:rsidRDefault="00DC3790" w:rsidP="00DC3790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B0586F">
              <w:rPr>
                <w:color w:val="000000" w:themeColor="text1"/>
                <w:sz w:val="16"/>
                <w:szCs w:val="16"/>
              </w:rPr>
              <w:t>Hodnota nových zakázek byla i přes silnější loňskou základnu stále znatelně meziročně vyšší</w:t>
            </w:r>
            <w:r>
              <w:rPr>
                <w:color w:val="000000" w:themeColor="text1"/>
                <w:sz w:val="16"/>
                <w:szCs w:val="16"/>
              </w:rPr>
              <w:t xml:space="preserve">, nejvíce </w:t>
            </w:r>
            <w:r w:rsidRPr="00B0586F">
              <w:rPr>
                <w:color w:val="000000" w:themeColor="text1"/>
                <w:sz w:val="16"/>
                <w:szCs w:val="16"/>
              </w:rPr>
              <w:t xml:space="preserve">nových zakázek </w:t>
            </w:r>
            <w:r>
              <w:rPr>
                <w:color w:val="000000" w:themeColor="text1"/>
                <w:sz w:val="16"/>
                <w:szCs w:val="16"/>
              </w:rPr>
              <w:t>měli v 1.</w:t>
            </w:r>
            <w:r w:rsidR="00F55605">
              <w:rPr>
                <w:color w:val="000000" w:themeColor="text1"/>
                <w:sz w:val="16"/>
                <w:szCs w:val="16"/>
              </w:rPr>
              <w:t> p</w:t>
            </w:r>
            <w:r>
              <w:rPr>
                <w:color w:val="000000" w:themeColor="text1"/>
                <w:sz w:val="16"/>
                <w:szCs w:val="16"/>
              </w:rPr>
              <w:t>ololetí výrobci kolejových vozidel, zejména díky objednávkám z</w:t>
            </w:r>
            <w:r w:rsidR="00F55605">
              <w:rPr>
                <w:color w:val="000000" w:themeColor="text1"/>
                <w:sz w:val="16"/>
                <w:szCs w:val="16"/>
              </w:rPr>
              <w:t> </w:t>
            </w:r>
            <w:r>
              <w:rPr>
                <w:color w:val="000000" w:themeColor="text1"/>
                <w:sz w:val="16"/>
                <w:szCs w:val="16"/>
              </w:rPr>
              <w:t>tuzemska</w:t>
            </w:r>
          </w:p>
          <w:p w:rsidR="00DC3790" w:rsidRDefault="00DC3790" w:rsidP="00DC379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6" w:type="pct"/>
          </w:tcPr>
          <w:p w:rsidR="00DC3790" w:rsidRPr="005A16AE" w:rsidRDefault="00DC3790" w:rsidP="00DC379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63" w:type="pct"/>
          </w:tcPr>
          <w:p w:rsidR="00DC3790" w:rsidRPr="00D13397" w:rsidRDefault="00DC3790" w:rsidP="00DC3790">
            <w:pPr>
              <w:pStyle w:val="Textpoznpodarou"/>
              <w:jc w:val="both"/>
              <w:rPr>
                <w:color w:val="000000" w:themeColor="text1"/>
                <w:spacing w:val="-4"/>
              </w:rPr>
            </w:pPr>
            <w:r w:rsidRPr="00D13397">
              <w:rPr>
                <w:color w:val="000000" w:themeColor="text1"/>
                <w:spacing w:val="-4"/>
              </w:rPr>
              <w:t xml:space="preserve">Příznivé krátkodobé vyhlídky průmyslu dokládá </w:t>
            </w:r>
            <w:r>
              <w:rPr>
                <w:color w:val="000000" w:themeColor="text1"/>
                <w:spacing w:val="-4"/>
              </w:rPr>
              <w:t>přetrvávající meziroční růst</w:t>
            </w:r>
            <w:r w:rsidRPr="00D13397">
              <w:rPr>
                <w:color w:val="000000" w:themeColor="text1"/>
                <w:spacing w:val="-4"/>
              </w:rPr>
              <w:t xml:space="preserve"> zahraničních zakázek </w:t>
            </w:r>
            <w:r>
              <w:rPr>
                <w:color w:val="000000" w:themeColor="text1"/>
                <w:spacing w:val="-4"/>
              </w:rPr>
              <w:t>(9,8 % a 4,8 % v 1.</w:t>
            </w:r>
            <w:r w:rsidR="00F55605">
              <w:rPr>
                <w:color w:val="000000" w:themeColor="text1"/>
                <w:spacing w:val="-4"/>
              </w:rPr>
              <w:t>,</w:t>
            </w:r>
            <w:r>
              <w:rPr>
                <w:color w:val="000000" w:themeColor="text1"/>
                <w:spacing w:val="-4"/>
              </w:rPr>
              <w:t xml:space="preserve"> resp. 2. čtvrtletí), z</w:t>
            </w:r>
            <w:r w:rsidRPr="005761F2">
              <w:rPr>
                <w:color w:val="000000" w:themeColor="text1"/>
                <w:spacing w:val="-4"/>
              </w:rPr>
              <w:t xml:space="preserve"> významnějších odvětví klesla poptávka jen v hutnictví </w:t>
            </w:r>
            <w:r>
              <w:rPr>
                <w:color w:val="000000" w:themeColor="text1"/>
                <w:spacing w:val="-4"/>
              </w:rPr>
              <w:t>a</w:t>
            </w:r>
            <w:r w:rsidRPr="005761F2">
              <w:rPr>
                <w:color w:val="000000" w:themeColor="text1"/>
                <w:spacing w:val="-4"/>
              </w:rPr>
              <w:t xml:space="preserve"> slévárenství a také v chemickém průmyslu.</w:t>
            </w:r>
            <w:r>
              <w:rPr>
                <w:color w:val="000000" w:themeColor="text1"/>
                <w:spacing w:val="-4"/>
              </w:rPr>
              <w:t xml:space="preserve"> Přetrvává</w:t>
            </w:r>
            <w:r w:rsidRPr="00D13397">
              <w:rPr>
                <w:color w:val="000000" w:themeColor="text1"/>
                <w:spacing w:val="-4"/>
              </w:rPr>
              <w:t xml:space="preserve"> mírně pozitivní důvěra podnikatelů v odvětví</w:t>
            </w:r>
            <w:r>
              <w:rPr>
                <w:color w:val="000000" w:themeColor="text1"/>
                <w:spacing w:val="-4"/>
              </w:rPr>
              <w:t xml:space="preserve"> (salda indikátorů důvěry v srpnu</w:t>
            </w:r>
            <w:r w:rsidRPr="00D13397">
              <w:rPr>
                <w:color w:val="000000" w:themeColor="text1"/>
                <w:spacing w:val="-4"/>
              </w:rPr>
              <w:t xml:space="preserve"> 2015 se sice nacházela pod úrovní přelomu let 2010 a 2011,</w:t>
            </w:r>
            <w:r>
              <w:rPr>
                <w:color w:val="000000" w:themeColor="text1"/>
                <w:spacing w:val="-4"/>
              </w:rPr>
              <w:t xml:space="preserve"> byla však stabilní</w:t>
            </w:r>
            <w:r w:rsidRPr="00D13397">
              <w:rPr>
                <w:color w:val="000000" w:themeColor="text1"/>
                <w:spacing w:val="-4"/>
              </w:rPr>
              <w:t xml:space="preserve"> více než dvacet měsíců v řadě).</w:t>
            </w:r>
            <w:r>
              <w:rPr>
                <w:color w:val="000000" w:themeColor="text1"/>
                <w:spacing w:val="-4"/>
              </w:rPr>
              <w:t xml:space="preserve"> Jako bariéru růstu uvádělo dle sezónně očištěných údajů na počátku roku 2014 téměř 58 % průmyslových podniků, o rok a půl později již méně než polovina z nich. Zároveň mírně roste i podíl podniků, který</w:t>
            </w:r>
            <w:r w:rsidR="00F55605">
              <w:rPr>
                <w:color w:val="000000" w:themeColor="text1"/>
                <w:spacing w:val="-4"/>
              </w:rPr>
              <w:t>m</w:t>
            </w:r>
            <w:r>
              <w:rPr>
                <w:color w:val="000000" w:themeColor="text1"/>
                <w:spacing w:val="-4"/>
              </w:rPr>
              <w:t xml:space="preserve"> brání v růstu nedostatek pracovní síly. Otázky nad udržitelností vysokých temp průmyslové produkce by mohl vzbuzovat pokles nových zahraničních zakázek u výrobců motorových vozidel (-0,3 % v 2. čtvrtletí, po </w:t>
            </w:r>
            <w:proofErr w:type="gramStart"/>
            <w:r>
              <w:rPr>
                <w:color w:val="000000" w:themeColor="text1"/>
                <w:spacing w:val="-4"/>
              </w:rPr>
              <w:t>15%</w:t>
            </w:r>
            <w:proofErr w:type="gramEnd"/>
            <w:r>
              <w:rPr>
                <w:color w:val="000000" w:themeColor="text1"/>
                <w:spacing w:val="-4"/>
              </w:rPr>
              <w:t xml:space="preserve"> růstu v 1. čtvrtletí). Dosud nejaktuálnější červencové údaje (+11 %, proti silné loňské základně) však tuto hypotézu nepotvrzují. P</w:t>
            </w:r>
            <w:r w:rsidRPr="00D46F47">
              <w:rPr>
                <w:color w:val="000000" w:themeColor="text1"/>
                <w:spacing w:val="-4"/>
              </w:rPr>
              <w:t>řízn</w:t>
            </w:r>
            <w:r>
              <w:rPr>
                <w:color w:val="000000" w:themeColor="text1"/>
                <w:spacing w:val="-4"/>
              </w:rPr>
              <w:t>ivý vývoj zahraniční i domácí poptávky</w:t>
            </w:r>
            <w:r w:rsidRPr="00D46F47">
              <w:rPr>
                <w:color w:val="000000" w:themeColor="text1"/>
                <w:spacing w:val="-4"/>
              </w:rPr>
              <w:t xml:space="preserve"> se </w:t>
            </w:r>
            <w:r>
              <w:rPr>
                <w:color w:val="000000" w:themeColor="text1"/>
                <w:spacing w:val="-4"/>
              </w:rPr>
              <w:t>v celém průmyslu promítá</w:t>
            </w:r>
            <w:r w:rsidRPr="00D46F47">
              <w:rPr>
                <w:color w:val="000000" w:themeColor="text1"/>
                <w:spacing w:val="-4"/>
              </w:rPr>
              <w:t xml:space="preserve"> do sílících růstových temp zaměstnanosti i mezd</w:t>
            </w:r>
            <w:r w:rsidR="00F55605">
              <w:rPr>
                <w:color w:val="000000" w:themeColor="text1"/>
                <w:spacing w:val="-4"/>
              </w:rPr>
              <w:t xml:space="preserve"> (ve 2. čtvrtletí </w:t>
            </w:r>
            <w:r>
              <w:rPr>
                <w:color w:val="000000" w:themeColor="text1"/>
                <w:spacing w:val="-4"/>
              </w:rPr>
              <w:t>ubylo meziročně pracovníků jen v energetice, těžebním i dřevozpracujícím průmyslu).</w:t>
            </w:r>
          </w:p>
          <w:p w:rsidR="00DC3790" w:rsidRPr="00BB1CFD" w:rsidRDefault="00DC3790" w:rsidP="00DC3790">
            <w:pPr>
              <w:pStyle w:val="Textpoznpodarou"/>
              <w:jc w:val="both"/>
              <w:rPr>
                <w:color w:val="000000" w:themeColor="text1"/>
                <w:spacing w:val="-4"/>
                <w:sz w:val="14"/>
                <w:szCs w:val="14"/>
              </w:rPr>
            </w:pPr>
          </w:p>
        </w:tc>
      </w:tr>
      <w:tr w:rsidR="00DC3790" w:rsidTr="00DC3790">
        <w:tc>
          <w:tcPr>
            <w:tcW w:w="1091" w:type="pct"/>
          </w:tcPr>
          <w:p w:rsidR="00DC3790" w:rsidRPr="000630F6" w:rsidRDefault="00DC3790" w:rsidP="00DC3790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630F6">
              <w:rPr>
                <w:color w:val="000000" w:themeColor="text1"/>
                <w:sz w:val="16"/>
                <w:szCs w:val="16"/>
              </w:rPr>
              <w:t>ČR patří dlouhodobě k zemím s nejvyšší dynamikou růstu průmyslové produkce v EU, především zásluhou odvětví vyrábějících investiční produkty</w:t>
            </w:r>
          </w:p>
        </w:tc>
        <w:tc>
          <w:tcPr>
            <w:tcW w:w="146" w:type="pct"/>
          </w:tcPr>
          <w:p w:rsidR="00DC3790" w:rsidRPr="005A16AE" w:rsidRDefault="00DC3790" w:rsidP="00DC379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63" w:type="pct"/>
          </w:tcPr>
          <w:p w:rsidR="00DC3790" w:rsidRDefault="00DC3790" w:rsidP="00DC3790">
            <w:pPr>
              <w:pStyle w:val="Textpoznpodarou"/>
              <w:jc w:val="both"/>
              <w:rPr>
                <w:color w:val="000000" w:themeColor="text1"/>
                <w:spacing w:val="-4"/>
              </w:rPr>
            </w:pPr>
            <w:r w:rsidRPr="00EB1821">
              <w:rPr>
                <w:color w:val="000000" w:themeColor="text1"/>
                <w:spacing w:val="-4"/>
              </w:rPr>
              <w:t>Průmysl v</w:t>
            </w:r>
            <w:r>
              <w:rPr>
                <w:color w:val="000000" w:themeColor="text1"/>
                <w:spacing w:val="-4"/>
              </w:rPr>
              <w:t> </w:t>
            </w:r>
            <w:r w:rsidRPr="00EB1821">
              <w:rPr>
                <w:color w:val="000000" w:themeColor="text1"/>
                <w:spacing w:val="-4"/>
              </w:rPr>
              <w:t>ČR</w:t>
            </w:r>
            <w:r>
              <w:rPr>
                <w:color w:val="000000" w:themeColor="text1"/>
                <w:spacing w:val="-4"/>
              </w:rPr>
              <w:t>, podobně jako ve většině středoevropských zemí,</w:t>
            </w:r>
            <w:r w:rsidRPr="00EB1821">
              <w:rPr>
                <w:color w:val="000000" w:themeColor="text1"/>
                <w:spacing w:val="-4"/>
              </w:rPr>
              <w:t xml:space="preserve"> svými růstovými</w:t>
            </w:r>
            <w:r>
              <w:rPr>
                <w:color w:val="000000" w:themeColor="text1"/>
                <w:spacing w:val="-4"/>
              </w:rPr>
              <w:t xml:space="preserve"> tempy dlouhodobě převyšuje</w:t>
            </w:r>
            <w:r w:rsidRPr="00EB1821">
              <w:rPr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color w:val="000000" w:themeColor="text1"/>
                <w:spacing w:val="-4"/>
              </w:rPr>
              <w:t>eurozónu</w:t>
            </w:r>
            <w:proofErr w:type="spellEnd"/>
            <w:r w:rsidRPr="00EB1821">
              <w:rPr>
                <w:color w:val="000000" w:themeColor="text1"/>
                <w:spacing w:val="-4"/>
              </w:rPr>
              <w:t xml:space="preserve"> i celou EU.</w:t>
            </w:r>
            <w:r>
              <w:rPr>
                <w:color w:val="000000" w:themeColor="text1"/>
                <w:spacing w:val="-4"/>
              </w:rPr>
              <w:t xml:space="preserve"> V 1. pololetí 2015 rostl meziročně nejvíce v Irsku (+17 %), dynamiku v ČR mírně předčily již jen Maďarsko, Slovinsko a Malta (5 až 7 %). V</w:t>
            </w:r>
            <w:r w:rsidR="00707D43">
              <w:rPr>
                <w:color w:val="000000" w:themeColor="text1"/>
                <w:spacing w:val="-4"/>
              </w:rPr>
              <w:t> EU (2,4 %) podobně jako v ČR (7,5</w:t>
            </w:r>
            <w:r>
              <w:rPr>
                <w:color w:val="000000" w:themeColor="text1"/>
                <w:spacing w:val="-4"/>
              </w:rPr>
              <w:t xml:space="preserve"> %) nejvíce posílil</w:t>
            </w:r>
            <w:r w:rsidR="00F55605">
              <w:rPr>
                <w:color w:val="000000" w:themeColor="text1"/>
                <w:spacing w:val="-4"/>
              </w:rPr>
              <w:t>a</w:t>
            </w:r>
            <w:r>
              <w:rPr>
                <w:color w:val="000000" w:themeColor="text1"/>
                <w:spacing w:val="-4"/>
              </w:rPr>
              <w:t xml:space="preserve"> odvětví zaměřená</w:t>
            </w:r>
            <w:r w:rsidR="00F55605">
              <w:rPr>
                <w:color w:val="000000" w:themeColor="text1"/>
                <w:spacing w:val="-4"/>
              </w:rPr>
              <w:t xml:space="preserve"> na</w:t>
            </w:r>
            <w:r>
              <w:rPr>
                <w:color w:val="000000" w:themeColor="text1"/>
                <w:spacing w:val="-4"/>
              </w:rPr>
              <w:t xml:space="preserve"> produkci výrobků investiční povahy. Úroveň průmyslové</w:t>
            </w:r>
            <w:r w:rsidRPr="00A253FB">
              <w:rPr>
                <w:color w:val="000000" w:themeColor="text1"/>
                <w:spacing w:val="-4"/>
              </w:rPr>
              <w:t xml:space="preserve"> produkce z 1.</w:t>
            </w:r>
            <w:r w:rsidR="00F55605">
              <w:rPr>
                <w:color w:val="000000" w:themeColor="text1"/>
                <w:spacing w:val="-4"/>
              </w:rPr>
              <w:t> </w:t>
            </w:r>
            <w:r w:rsidRPr="00A253FB">
              <w:rPr>
                <w:color w:val="000000" w:themeColor="text1"/>
                <w:spacing w:val="-4"/>
              </w:rPr>
              <w:t>pololetí</w:t>
            </w:r>
            <w:r>
              <w:rPr>
                <w:color w:val="000000" w:themeColor="text1"/>
                <w:spacing w:val="-4"/>
              </w:rPr>
              <w:t xml:space="preserve"> roku 2008</w:t>
            </w:r>
            <w:r w:rsidRPr="00A253FB">
              <w:rPr>
                <w:color w:val="000000" w:themeColor="text1"/>
                <w:spacing w:val="-4"/>
              </w:rPr>
              <w:t xml:space="preserve"> dosud překonal</w:t>
            </w:r>
            <w:r>
              <w:rPr>
                <w:color w:val="000000" w:themeColor="text1"/>
                <w:spacing w:val="-4"/>
              </w:rPr>
              <w:t>o jedenáct</w:t>
            </w:r>
            <w:r w:rsidRPr="00A253FB">
              <w:rPr>
                <w:color w:val="000000" w:themeColor="text1"/>
                <w:spacing w:val="-4"/>
              </w:rPr>
              <w:t xml:space="preserve"> zemí EU</w:t>
            </w:r>
            <w:r>
              <w:rPr>
                <w:color w:val="000000" w:themeColor="text1"/>
                <w:spacing w:val="-4"/>
              </w:rPr>
              <w:t xml:space="preserve"> – vedle většiny konvergujících ekonomik (vč. ČR) také Irsko (o třetinu) a těšně též Rakousko a Belgie. Zatímco v Německu produkce stagnovala, Itálie, Španělsko, Řecko, ale také Finsko letos dosahovaly reálně pouze tří čtvrtin úrovně z vrcholu konjunktury.</w:t>
            </w:r>
          </w:p>
          <w:p w:rsidR="00DC3790" w:rsidRPr="00BB1CFD" w:rsidRDefault="00DC3790" w:rsidP="00DC3790">
            <w:pPr>
              <w:pStyle w:val="Textpoznpodarou"/>
              <w:jc w:val="both"/>
              <w:rPr>
                <w:color w:val="000000" w:themeColor="text1"/>
                <w:spacing w:val="-4"/>
                <w:sz w:val="14"/>
                <w:szCs w:val="14"/>
              </w:rPr>
            </w:pPr>
          </w:p>
        </w:tc>
      </w:tr>
      <w:tr w:rsidR="00DC3790" w:rsidTr="00DC3790">
        <w:trPr>
          <w:trHeight w:val="269"/>
        </w:trPr>
        <w:tc>
          <w:tcPr>
            <w:tcW w:w="1091" w:type="pct"/>
          </w:tcPr>
          <w:p w:rsidR="00DC3790" w:rsidRDefault="00DC3790" w:rsidP="00DC3790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Vysok</w:t>
            </w:r>
            <w:r w:rsidR="00F55605">
              <w:rPr>
                <w:sz w:val="16"/>
                <w:szCs w:val="16"/>
              </w:rPr>
              <w:t>á</w:t>
            </w:r>
            <w:r>
              <w:rPr>
                <w:sz w:val="16"/>
                <w:szCs w:val="16"/>
              </w:rPr>
              <w:t xml:space="preserve"> stavební produkce navzdory velmi vysoké loňské základně</w:t>
            </w:r>
          </w:p>
          <w:p w:rsidR="00DC3790" w:rsidRDefault="00DC3790" w:rsidP="00DC3790">
            <w:pPr>
              <w:spacing w:line="240" w:lineRule="auto"/>
              <w:rPr>
                <w:sz w:val="16"/>
                <w:szCs w:val="16"/>
              </w:rPr>
            </w:pPr>
          </w:p>
          <w:p w:rsidR="00DC3790" w:rsidRDefault="00DC3790" w:rsidP="00DC3790">
            <w:pPr>
              <w:spacing w:line="240" w:lineRule="auto"/>
              <w:rPr>
                <w:sz w:val="16"/>
                <w:szCs w:val="16"/>
              </w:rPr>
            </w:pPr>
          </w:p>
          <w:p w:rsidR="00DC3790" w:rsidRDefault="00DC3790" w:rsidP="00DC3790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Produkce inženýrského stavitelství, sycená tlakem na rychlou realizaci staveb v souvislosti s končícím programovacím období</w:t>
            </w:r>
            <w:r w:rsidR="00507040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 xml:space="preserve"> EU, ve 2. čtvrtletí meziročně přidala téměř 24 % </w:t>
            </w:r>
          </w:p>
        </w:tc>
        <w:tc>
          <w:tcPr>
            <w:tcW w:w="146" w:type="pct"/>
          </w:tcPr>
          <w:p w:rsidR="00DC3790" w:rsidRPr="00636F97" w:rsidRDefault="00DC3790" w:rsidP="00DC3790">
            <w:pPr>
              <w:rPr>
                <w:spacing w:val="-4"/>
                <w:szCs w:val="20"/>
              </w:rPr>
            </w:pPr>
          </w:p>
        </w:tc>
        <w:tc>
          <w:tcPr>
            <w:tcW w:w="3763" w:type="pct"/>
          </w:tcPr>
          <w:p w:rsidR="00DC3790" w:rsidRPr="00C548DF" w:rsidRDefault="00DC3790" w:rsidP="00DC3790">
            <w:pPr>
              <w:pStyle w:val="Textpoznpodarou"/>
              <w:jc w:val="both"/>
              <w:rPr>
                <w:color w:val="000000" w:themeColor="text1"/>
                <w:spacing w:val="-4"/>
              </w:rPr>
            </w:pPr>
            <w:r>
              <w:rPr>
                <w:spacing w:val="-4"/>
              </w:rPr>
              <w:t xml:space="preserve">Stavebnictví v posledních dvou letech těží nejen z celkového oživení ekonomiky a teplotně nadprůměrných zimních období, ale především z akcelerace veřejných investic do dopravních staveb. </w:t>
            </w:r>
            <w:r w:rsidRPr="001952FA">
              <w:rPr>
                <w:spacing w:val="-4"/>
              </w:rPr>
              <w:t xml:space="preserve">Stavební produkce </w:t>
            </w:r>
            <w:r>
              <w:rPr>
                <w:spacing w:val="-4"/>
              </w:rPr>
              <w:t xml:space="preserve">letos </w:t>
            </w:r>
            <w:r w:rsidRPr="001952FA">
              <w:rPr>
                <w:spacing w:val="-4"/>
              </w:rPr>
              <w:t xml:space="preserve">meziročně </w:t>
            </w:r>
            <w:r>
              <w:rPr>
                <w:spacing w:val="-4"/>
              </w:rPr>
              <w:t>zrychlovala (ze 7,7 % v 1. čtvrtletí na rovných 10 % ve 2. čtvrtletí). V úhrnu za celé pololetí dosáhlo stavebnictví druhého nejlepšího výsledku od počátku roku 2007. Podílelo se na tom především inženýrské stavitelství, které v 1. a následně i 2. čtvrtletí docílilo nejlepšího výsledku od poloviny roku 2009. Ve stínu tak zůstalo váhově dominantní pozemní stavitelství (v 1. pololetí posílilo o necelých 5 %), je</w:t>
            </w:r>
            <w:r w:rsidR="00F55605">
              <w:rPr>
                <w:spacing w:val="-4"/>
              </w:rPr>
              <w:t>muž ve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4"/>
              </w:rPr>
              <w:t>většímu</w:t>
            </w:r>
            <w:proofErr w:type="gramEnd"/>
            <w:r>
              <w:rPr>
                <w:spacing w:val="-4"/>
              </w:rPr>
              <w:t xml:space="preserve"> rozletu bránil také dosud „vlažný rozjezd“ bytové výstavby</w:t>
            </w:r>
            <w:r w:rsidRPr="00C548DF">
              <w:rPr>
                <w:color w:val="000000" w:themeColor="text1"/>
                <w:spacing w:val="-4"/>
              </w:rPr>
              <w:t>. Navzdory nedávnému oživení však zůstává produkce stavebnictví i ve 2. čtvrtletí o osminu pod úrovní stejného období roku 2008.</w:t>
            </w:r>
          </w:p>
          <w:p w:rsidR="00DC3790" w:rsidRPr="00BB1CFD" w:rsidRDefault="00DC3790" w:rsidP="00DC3790">
            <w:pPr>
              <w:pStyle w:val="Textpoznpodarou"/>
              <w:jc w:val="both"/>
              <w:rPr>
                <w:spacing w:val="-4"/>
                <w:sz w:val="14"/>
                <w:szCs w:val="14"/>
              </w:rPr>
            </w:pPr>
          </w:p>
        </w:tc>
      </w:tr>
      <w:tr w:rsidR="00DC3790" w:rsidTr="00DC3790">
        <w:tc>
          <w:tcPr>
            <w:tcW w:w="1091" w:type="pct"/>
          </w:tcPr>
          <w:p w:rsidR="00DC3790" w:rsidRPr="000F401E" w:rsidRDefault="00DC3790" w:rsidP="00DC3790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Celková zásoba dosud nerealizovaných zakázek (po šesti čtvrtletích růstu) meziročně ve 2. čtvrtletí 2015 opět nižší</w:t>
            </w:r>
          </w:p>
        </w:tc>
        <w:tc>
          <w:tcPr>
            <w:tcW w:w="146" w:type="pct"/>
          </w:tcPr>
          <w:p w:rsidR="00DC3790" w:rsidRDefault="00DC3790" w:rsidP="00DC3790">
            <w:pPr>
              <w:rPr>
                <w:szCs w:val="16"/>
              </w:rPr>
            </w:pPr>
          </w:p>
        </w:tc>
        <w:tc>
          <w:tcPr>
            <w:tcW w:w="3763" w:type="pct"/>
          </w:tcPr>
          <w:p w:rsidR="00DC3790" w:rsidRPr="004D4929" w:rsidRDefault="00DC3790" w:rsidP="00BB1CFD">
            <w:pPr>
              <w:pStyle w:val="Textpoznpodarou"/>
              <w:jc w:val="both"/>
              <w:rPr>
                <w:spacing w:val="-4"/>
                <w:sz w:val="16"/>
                <w:szCs w:val="16"/>
              </w:rPr>
            </w:pPr>
            <w:r w:rsidRPr="00BB1CFD">
              <w:rPr>
                <w:spacing w:val="-6"/>
              </w:rPr>
              <w:t xml:space="preserve">Stavebnictví těžilo v 1. pololetí především z vysoké zásoby loňských nových zakázek na inženýrské stavby (v hodnotě 117 mld. korun, nejvyšší po roce 2008). Nové zakázky stavebních podniků (s 50 a více zaměstnanci) byly letos meziročně vyšší jen o 2,8 %, a to pouze zásluhou pozemního stavitelství (+11 %), u inženýrských staveb se již mírně snížily. To v kombinaci s vlivem intenzivní realizace vysokého objemu loňských objednávek vedlo již na konci 2. čtvrtletí 2015 k poklesu hodnoty všech dosud </w:t>
            </w:r>
            <w:r w:rsidRPr="00BB1CFD">
              <w:rPr>
                <w:color w:val="000000" w:themeColor="text1"/>
                <w:spacing w:val="-6"/>
              </w:rPr>
              <w:t xml:space="preserve">nerealizovaných zakázek (meziročně o 7,7 %). Po pěti čtvrtletích se snížila i celková zásoba objednávek od veřejného sektoru (-1,4 %), hlubší redukce nastala u soukromé tuzemské poptávky (-5,3 %), jakož i zásoby práce ze zahraničí (která na přelomu let 2012 a 2013 dokázala částečně kompenzovat propad tuzemských zakázek). Průměrná hodnota jedné nově uzavřené zakázky meziročně stagnovala (v 1. pololetí 2015 činila </w:t>
            </w:r>
            <w:r w:rsidR="00BB1CFD" w:rsidRPr="00BB1CFD">
              <w:rPr>
                <w:color w:val="000000" w:themeColor="text1"/>
                <w:spacing w:val="-6"/>
              </w:rPr>
              <w:t>4</w:t>
            </w:r>
            <w:r w:rsidR="00BB1CFD">
              <w:rPr>
                <w:color w:val="000000" w:themeColor="text1"/>
                <w:spacing w:val="-6"/>
              </w:rPr>
              <w:t> </w:t>
            </w:r>
            <w:r w:rsidR="00BB1CFD" w:rsidRPr="00BB1CFD">
              <w:rPr>
                <w:color w:val="000000" w:themeColor="text1"/>
                <w:spacing w:val="-6"/>
              </w:rPr>
              <w:t>mil. korun).</w:t>
            </w:r>
            <w:r w:rsidRPr="00BB1CFD">
              <w:rPr>
                <w:color w:val="000000" w:themeColor="text1"/>
                <w:spacing w:val="-6"/>
              </w:rPr>
              <w:t xml:space="preserve"> Orientační hodnota na jedno vydané stavební povolení mírně klesla, vyšší</w:t>
            </w:r>
            <w:r w:rsidR="00BB1CFD">
              <w:rPr>
                <w:color w:val="000000" w:themeColor="text1"/>
                <w:spacing w:val="-6"/>
              </w:rPr>
              <w:t> </w:t>
            </w:r>
            <w:r w:rsidRPr="00BB1CFD">
              <w:rPr>
                <w:color w:val="000000" w:themeColor="text1"/>
                <w:spacing w:val="-6"/>
              </w:rPr>
              <w:t xml:space="preserve">však byla u změn dokončených staveb (3,2 mil. korun, před dvěma lety 2,4 mil. korun), u kterých se projevoval vliv větších projektů </w:t>
            </w:r>
            <w:r w:rsidR="00BB1CFD" w:rsidRPr="00BB1CFD">
              <w:rPr>
                <w:color w:val="000000" w:themeColor="text1"/>
                <w:spacing w:val="-6"/>
              </w:rPr>
              <w:t>financovaných z EU</w:t>
            </w:r>
            <w:r w:rsidRPr="00BB1CFD">
              <w:rPr>
                <w:color w:val="000000" w:themeColor="text1"/>
                <w:spacing w:val="-6"/>
              </w:rPr>
              <w:t xml:space="preserve">. </w:t>
            </w:r>
          </w:p>
        </w:tc>
      </w:tr>
      <w:tr w:rsidR="00DC3790" w:rsidTr="00DC3790">
        <w:tc>
          <w:tcPr>
            <w:tcW w:w="1091" w:type="pct"/>
          </w:tcPr>
          <w:p w:rsidR="00DC3790" w:rsidRPr="000F401E" w:rsidRDefault="00DC3790" w:rsidP="00DC3790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Zlepšení konjunkturálních ukazatelů ve stavebnictví, stabilizace zaměstnanosti</w:t>
            </w:r>
          </w:p>
        </w:tc>
        <w:tc>
          <w:tcPr>
            <w:tcW w:w="146" w:type="pct"/>
          </w:tcPr>
          <w:p w:rsidR="00DC3790" w:rsidRDefault="00DC3790" w:rsidP="00DC3790">
            <w:pPr>
              <w:pStyle w:val="Textpoznpodarou"/>
              <w:jc w:val="both"/>
            </w:pPr>
          </w:p>
        </w:tc>
        <w:tc>
          <w:tcPr>
            <w:tcW w:w="3763" w:type="pct"/>
          </w:tcPr>
          <w:p w:rsidR="00DC3790" w:rsidRDefault="00DC3790" w:rsidP="00DC3790">
            <w:pPr>
              <w:pStyle w:val="Textpoznpodarou"/>
              <w:jc w:val="both"/>
              <w:rPr>
                <w:color w:val="000000" w:themeColor="text1"/>
                <w:spacing w:val="-4"/>
              </w:rPr>
            </w:pPr>
            <w:r w:rsidRPr="00123FDC">
              <w:rPr>
                <w:color w:val="000000" w:themeColor="text1"/>
                <w:spacing w:val="-4"/>
              </w:rPr>
              <w:t>Souhrnné saldo důvěry podnikatelů ve stavebnictví se v trendu z</w:t>
            </w:r>
            <w:r>
              <w:rPr>
                <w:color w:val="000000" w:themeColor="text1"/>
                <w:spacing w:val="-4"/>
              </w:rPr>
              <w:t>lepšuje již od konce roku 2013 a v </w:t>
            </w:r>
            <w:r w:rsidRPr="00123FDC">
              <w:rPr>
                <w:color w:val="000000" w:themeColor="text1"/>
                <w:spacing w:val="-4"/>
              </w:rPr>
              <w:t>2. čtvrtletí 2015 nejvýše od počátku roku 2009</w:t>
            </w:r>
            <w:r>
              <w:rPr>
                <w:color w:val="000000" w:themeColor="text1"/>
                <w:spacing w:val="-4"/>
              </w:rPr>
              <w:t xml:space="preserve">. </w:t>
            </w:r>
            <w:r w:rsidRPr="005B4111">
              <w:rPr>
                <w:color w:val="000000" w:themeColor="text1"/>
                <w:spacing w:val="-4"/>
              </w:rPr>
              <w:t>Oproti srpnu 2014 se snížila negativní krátkodobá očekávání u poptávky i stavební činnosti, zároveň se zlepšily pozitivní výhledy</w:t>
            </w:r>
            <w:r>
              <w:rPr>
                <w:color w:val="000000" w:themeColor="text1"/>
                <w:spacing w:val="-4"/>
              </w:rPr>
              <w:t xml:space="preserve"> u zaměstnanosti, a to zejména u velkých podniků (v příštích třech měsících očekává růst počtu zaměstnanců čtvrtina podniků s více </w:t>
            </w:r>
            <w:r w:rsidR="00F55605">
              <w:rPr>
                <w:color w:val="000000" w:themeColor="text1"/>
                <w:spacing w:val="-4"/>
              </w:rPr>
              <w:t>než</w:t>
            </w:r>
            <w:r>
              <w:rPr>
                <w:color w:val="000000" w:themeColor="text1"/>
                <w:spacing w:val="-4"/>
              </w:rPr>
              <w:t xml:space="preserve"> 1 tis. zaměstnanců, v srpnu 2014 ale žádný z těchto podniků). Po šesti nepříznivých letech tak došlo letos ve stavebnictví ke stabilizaci zaměstnanosti, když p</w:t>
            </w:r>
            <w:r w:rsidRPr="00480D82">
              <w:rPr>
                <w:color w:val="000000" w:themeColor="text1"/>
                <w:spacing w:val="-4"/>
              </w:rPr>
              <w:t>růměrný evidenční počet zaměstnanců</w:t>
            </w:r>
            <w:r>
              <w:rPr>
                <w:color w:val="000000" w:themeColor="text1"/>
                <w:spacing w:val="-4"/>
              </w:rPr>
              <w:t xml:space="preserve"> se meziročně snížil jen v řádu promile. V úhrnu za posledních sedm let ubylo v evidenčním počtu 60 tis. zaměstnanců. </w:t>
            </w:r>
            <w:r w:rsidRPr="00C01BF8">
              <w:rPr>
                <w:color w:val="000000" w:themeColor="text1"/>
                <w:spacing w:val="-4"/>
              </w:rPr>
              <w:t>Nedostatečnou poptávku přesto považovalo v</w:t>
            </w:r>
            <w:r>
              <w:rPr>
                <w:color w:val="000000" w:themeColor="text1"/>
                <w:spacing w:val="-4"/>
              </w:rPr>
              <w:t xml:space="preserve"> srpnu</w:t>
            </w:r>
            <w:r w:rsidRPr="00C01BF8">
              <w:rPr>
                <w:color w:val="000000" w:themeColor="text1"/>
                <w:spacing w:val="-4"/>
              </w:rPr>
              <w:t xml:space="preserve"> 2015 za bariéru vyšší produkce 59</w:t>
            </w:r>
            <w:r>
              <w:rPr>
                <w:color w:val="000000" w:themeColor="text1"/>
                <w:spacing w:val="-4"/>
              </w:rPr>
              <w:t xml:space="preserve"> % podniků (v celé EU 41</w:t>
            </w:r>
            <w:r w:rsidRPr="00C01BF8">
              <w:rPr>
                <w:color w:val="000000" w:themeColor="text1"/>
                <w:spacing w:val="-4"/>
              </w:rPr>
              <w:t xml:space="preserve"> %), před rokem </w:t>
            </w:r>
            <w:r>
              <w:rPr>
                <w:color w:val="000000" w:themeColor="text1"/>
                <w:spacing w:val="-4"/>
              </w:rPr>
              <w:t>více než tři čtvrtiny</w:t>
            </w:r>
            <w:r w:rsidRPr="00C01BF8">
              <w:rPr>
                <w:color w:val="000000" w:themeColor="text1"/>
                <w:spacing w:val="-4"/>
              </w:rPr>
              <w:t xml:space="preserve"> %.</w:t>
            </w:r>
            <w:r>
              <w:rPr>
                <w:color w:val="000000" w:themeColor="text1"/>
                <w:spacing w:val="-4"/>
              </w:rPr>
              <w:t xml:space="preserve"> Podíl podniků, jimž v růstu brání nedostatek pracovní síly, se během června 2015 zvýšil na 8,5 %, což bylo nejvíce od roku 2008.</w:t>
            </w:r>
          </w:p>
          <w:p w:rsidR="00DC3790" w:rsidRPr="00CB7710" w:rsidRDefault="00DC3790" w:rsidP="00DC3790">
            <w:pPr>
              <w:pStyle w:val="Textpoznpodarou"/>
              <w:jc w:val="both"/>
              <w:rPr>
                <w:color w:val="000000" w:themeColor="text1"/>
                <w:spacing w:val="-4"/>
                <w:sz w:val="16"/>
                <w:szCs w:val="16"/>
              </w:rPr>
            </w:pPr>
          </w:p>
        </w:tc>
      </w:tr>
      <w:tr w:rsidR="00DC3790" w:rsidTr="00BB1CFD">
        <w:tc>
          <w:tcPr>
            <w:tcW w:w="1091" w:type="pct"/>
          </w:tcPr>
          <w:p w:rsidR="00DC3790" w:rsidRDefault="00DC3790" w:rsidP="00DC3790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Mírné oživení zahajované i dokončované bytové výstavby</w:t>
            </w:r>
          </w:p>
          <w:p w:rsidR="00DC3790" w:rsidRDefault="00DC3790" w:rsidP="00DC3790">
            <w:pPr>
              <w:spacing w:line="240" w:lineRule="auto"/>
              <w:rPr>
                <w:sz w:val="16"/>
                <w:szCs w:val="16"/>
              </w:rPr>
            </w:pPr>
          </w:p>
          <w:p w:rsidR="00DC3790" w:rsidRDefault="00DC3790" w:rsidP="00DC3790">
            <w:pPr>
              <w:spacing w:line="240" w:lineRule="auto"/>
              <w:rPr>
                <w:sz w:val="16"/>
                <w:szCs w:val="16"/>
              </w:rPr>
            </w:pPr>
          </w:p>
          <w:p w:rsidR="00DC3790" w:rsidRDefault="00DC3790" w:rsidP="00DC3790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Proti 1. pololetí 2008 bylo letos dokončených bytů téměř o 30 % méně, zahájených pak o 40 % méně (u bytových domů dokonce o více než polovinu)</w:t>
            </w:r>
          </w:p>
        </w:tc>
        <w:tc>
          <w:tcPr>
            <w:tcW w:w="146" w:type="pct"/>
          </w:tcPr>
          <w:p w:rsidR="00DC3790" w:rsidRDefault="00DC3790" w:rsidP="00DC3790">
            <w:pPr>
              <w:pStyle w:val="Textpoznpodarou"/>
              <w:jc w:val="both"/>
              <w:rPr>
                <w:spacing w:val="-2"/>
              </w:rPr>
            </w:pPr>
          </w:p>
        </w:tc>
        <w:tc>
          <w:tcPr>
            <w:tcW w:w="3763" w:type="pct"/>
          </w:tcPr>
          <w:p w:rsidR="00DC3790" w:rsidRPr="00AA2C15" w:rsidRDefault="00DC3790" w:rsidP="00DC3790">
            <w:pPr>
              <w:pStyle w:val="Textpoznpodarou"/>
              <w:jc w:val="both"/>
              <w:rPr>
                <w:color w:val="000000" w:themeColor="text1"/>
                <w:spacing w:val="-4"/>
              </w:rPr>
            </w:pPr>
            <w:r>
              <w:rPr>
                <w:color w:val="000000" w:themeColor="text1"/>
                <w:spacing w:val="-4"/>
              </w:rPr>
              <w:t>Současné trendy na t</w:t>
            </w:r>
            <w:r w:rsidRPr="00AA2C15">
              <w:rPr>
                <w:color w:val="000000" w:themeColor="text1"/>
                <w:spacing w:val="-4"/>
              </w:rPr>
              <w:t>rh</w:t>
            </w:r>
            <w:r>
              <w:rPr>
                <w:color w:val="000000" w:themeColor="text1"/>
                <w:spacing w:val="-4"/>
              </w:rPr>
              <w:t>u</w:t>
            </w:r>
            <w:r w:rsidRPr="00AA2C15">
              <w:rPr>
                <w:color w:val="000000" w:themeColor="text1"/>
                <w:spacing w:val="-4"/>
              </w:rPr>
              <w:t xml:space="preserve"> s byty </w:t>
            </w:r>
            <w:r>
              <w:rPr>
                <w:color w:val="000000" w:themeColor="text1"/>
                <w:spacing w:val="-4"/>
              </w:rPr>
              <w:t>probíhají v kontextu rostoucí kupní síly i převažujícího pozitivního naladění domácností, zlepšujícího se trhu</w:t>
            </w:r>
            <w:r w:rsidRPr="00AA2C15">
              <w:rPr>
                <w:color w:val="000000" w:themeColor="text1"/>
                <w:spacing w:val="-4"/>
              </w:rPr>
              <w:t xml:space="preserve"> práce, </w:t>
            </w:r>
            <w:r>
              <w:rPr>
                <w:color w:val="000000" w:themeColor="text1"/>
                <w:spacing w:val="-4"/>
              </w:rPr>
              <w:t xml:space="preserve">obratu v </w:t>
            </w:r>
            <w:r w:rsidR="00F55605">
              <w:rPr>
                <w:color w:val="000000" w:themeColor="text1"/>
                <w:spacing w:val="-4"/>
              </w:rPr>
              <w:t>historicky nízkých úrokových sazbách</w:t>
            </w:r>
            <w:r w:rsidRPr="00AA2C15">
              <w:rPr>
                <w:color w:val="000000" w:themeColor="text1"/>
                <w:spacing w:val="-4"/>
              </w:rPr>
              <w:t xml:space="preserve"> hypoték, </w:t>
            </w:r>
            <w:r>
              <w:rPr>
                <w:color w:val="000000" w:themeColor="text1"/>
                <w:spacing w:val="-4"/>
              </w:rPr>
              <w:t xml:space="preserve">postupného růstu nabídkových cen bytů v Praze i ostatních regionech, </w:t>
            </w:r>
            <w:r w:rsidRPr="00AA2C15">
              <w:rPr>
                <w:color w:val="000000" w:themeColor="text1"/>
                <w:spacing w:val="-4"/>
              </w:rPr>
              <w:t xml:space="preserve">ale </w:t>
            </w:r>
            <w:r>
              <w:rPr>
                <w:color w:val="000000" w:themeColor="text1"/>
                <w:spacing w:val="-4"/>
              </w:rPr>
              <w:t>také stále</w:t>
            </w:r>
            <w:r w:rsidR="00507040">
              <w:rPr>
                <w:color w:val="000000" w:themeColor="text1"/>
                <w:spacing w:val="-4"/>
              </w:rPr>
              <w:t xml:space="preserve"> přetrvávajícího vysokého počtu</w:t>
            </w:r>
            <w:r w:rsidRPr="00AA2C15">
              <w:rPr>
                <w:color w:val="000000" w:themeColor="text1"/>
                <w:spacing w:val="-4"/>
              </w:rPr>
              <w:t xml:space="preserve"> volných bytů postavených v době konjunktury</w:t>
            </w:r>
            <w:r>
              <w:rPr>
                <w:color w:val="000000" w:themeColor="text1"/>
                <w:spacing w:val="-4"/>
              </w:rPr>
              <w:t xml:space="preserve">. </w:t>
            </w:r>
            <w:r w:rsidRPr="006B6D80">
              <w:rPr>
                <w:color w:val="000000" w:themeColor="text1"/>
                <w:spacing w:val="-4"/>
              </w:rPr>
              <w:t>Počet zahájených bytů v 1. pololetí (12,9 tis.) meziročně vzrostl o necelých 7 % (</w:t>
            </w:r>
            <w:r>
              <w:rPr>
                <w:color w:val="000000" w:themeColor="text1"/>
                <w:spacing w:val="-4"/>
              </w:rPr>
              <w:t xml:space="preserve">proti </w:t>
            </w:r>
            <w:r w:rsidRPr="006B6D80">
              <w:rPr>
                <w:color w:val="000000" w:themeColor="text1"/>
                <w:spacing w:val="-4"/>
              </w:rPr>
              <w:t>extrémně nízké předloňské hodnotě o šestinu).</w:t>
            </w:r>
            <w:r>
              <w:rPr>
                <w:color w:val="000000" w:themeColor="text1"/>
                <w:spacing w:val="-4"/>
              </w:rPr>
              <w:t xml:space="preserve"> Růst se týkal všech druhů</w:t>
            </w:r>
            <w:r w:rsidRPr="006B6D80">
              <w:rPr>
                <w:color w:val="000000" w:themeColor="text1"/>
                <w:spacing w:val="-4"/>
              </w:rPr>
              <w:t xml:space="preserve"> staveb vyjma nástaveb k rodinným domům, jichž </w:t>
            </w:r>
            <w:r>
              <w:rPr>
                <w:color w:val="000000" w:themeColor="text1"/>
                <w:spacing w:val="-4"/>
              </w:rPr>
              <w:t xml:space="preserve">bylo zahájeno nejméně od poloviny 90. let. Na Prahu a Středočeský kraj připadalo téměř 42 % zahájených bytů, nejvíce od roku 2005. Počet dokončených bytů se </w:t>
            </w:r>
            <w:r w:rsidR="00F55605">
              <w:rPr>
                <w:color w:val="000000" w:themeColor="text1"/>
                <w:spacing w:val="-4"/>
              </w:rPr>
              <w:t>„</w:t>
            </w:r>
            <w:r>
              <w:rPr>
                <w:color w:val="000000" w:themeColor="text1"/>
                <w:spacing w:val="-4"/>
              </w:rPr>
              <w:t>odrazil ode dna</w:t>
            </w:r>
            <w:r w:rsidR="00F55605">
              <w:rPr>
                <w:color w:val="000000" w:themeColor="text1"/>
                <w:spacing w:val="-4"/>
              </w:rPr>
              <w:t>“</w:t>
            </w:r>
            <w:r>
              <w:rPr>
                <w:color w:val="000000" w:themeColor="text1"/>
                <w:spacing w:val="-4"/>
              </w:rPr>
              <w:t xml:space="preserve"> (meziročně +11 %), téměř výhradně zásluhou bytových domů, kterých se v rámci 1. pololetí letos dokončilo nejvíce z</w:t>
            </w:r>
            <w:r w:rsidR="00507040">
              <w:rPr>
                <w:color w:val="000000" w:themeColor="text1"/>
                <w:spacing w:val="-4"/>
              </w:rPr>
              <w:t>a</w:t>
            </w:r>
            <w:r>
              <w:rPr>
                <w:color w:val="000000" w:themeColor="text1"/>
                <w:spacing w:val="-4"/>
              </w:rPr>
              <w:t xml:space="preserve"> posledních pět let.  </w:t>
            </w:r>
          </w:p>
          <w:p w:rsidR="00DC3790" w:rsidRPr="00130599" w:rsidRDefault="00DC3790" w:rsidP="00DC3790">
            <w:pPr>
              <w:pStyle w:val="Textpoznpodarou"/>
              <w:jc w:val="both"/>
              <w:rPr>
                <w:spacing w:val="-4"/>
                <w:sz w:val="16"/>
                <w:szCs w:val="16"/>
              </w:rPr>
            </w:pPr>
          </w:p>
        </w:tc>
      </w:tr>
      <w:tr w:rsidR="00DC3790" w:rsidTr="00BB1CFD">
        <w:tc>
          <w:tcPr>
            <w:tcW w:w="1091" w:type="pct"/>
          </w:tcPr>
          <w:p w:rsidR="00DC3790" w:rsidRPr="0032604E" w:rsidRDefault="00DC3790" w:rsidP="00DC3790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32604E">
              <w:rPr>
                <w:color w:val="000000" w:themeColor="text1"/>
                <w:sz w:val="16"/>
                <w:szCs w:val="16"/>
              </w:rPr>
              <w:t>Tržby ve službách zrychlily dynamiku (při současném poklesu cen), meziročně rostly nejvíce za posledních sedm let</w:t>
            </w:r>
          </w:p>
        </w:tc>
        <w:tc>
          <w:tcPr>
            <w:tcW w:w="146" w:type="pct"/>
          </w:tcPr>
          <w:p w:rsidR="00DC3790" w:rsidRDefault="00DC3790" w:rsidP="00DC3790">
            <w:pPr>
              <w:pStyle w:val="Textpoznpodarou"/>
              <w:jc w:val="both"/>
              <w:rPr>
                <w:spacing w:val="-2"/>
              </w:rPr>
            </w:pPr>
          </w:p>
        </w:tc>
        <w:tc>
          <w:tcPr>
            <w:tcW w:w="3763" w:type="pct"/>
          </w:tcPr>
          <w:p w:rsidR="00DC3790" w:rsidRPr="00764D95" w:rsidRDefault="00DC3790" w:rsidP="00DC3790">
            <w:pPr>
              <w:pStyle w:val="Textpoznpodarou"/>
              <w:jc w:val="both"/>
              <w:rPr>
                <w:spacing w:val="-4"/>
              </w:rPr>
            </w:pPr>
            <w:r w:rsidRPr="00764D95">
              <w:rPr>
                <w:spacing w:val="-4"/>
              </w:rPr>
              <w:t xml:space="preserve">Ve službách </w:t>
            </w:r>
            <w:r>
              <w:rPr>
                <w:spacing w:val="-4"/>
              </w:rPr>
              <w:t xml:space="preserve">vlivem jejich značné vnitřní různorodosti se oživení ekonomiky projevovalo s jistým </w:t>
            </w:r>
            <w:r w:rsidRPr="001E0AEC">
              <w:rPr>
                <w:color w:val="000000" w:themeColor="text1"/>
                <w:spacing w:val="-4"/>
              </w:rPr>
              <w:t>zpožděním. Tržby ve vybraných službách</w:t>
            </w:r>
            <w:r w:rsidRPr="001E0AEC">
              <w:rPr>
                <w:color w:val="000000" w:themeColor="text1"/>
                <w:spacing w:val="-4"/>
                <w:vertAlign w:val="superscript"/>
              </w:rPr>
              <w:footnoteReference w:id="2"/>
            </w:r>
            <w:r w:rsidRPr="001E0AEC">
              <w:rPr>
                <w:color w:val="000000" w:themeColor="text1"/>
                <w:spacing w:val="-4"/>
              </w:rPr>
              <w:t xml:space="preserve"> zaznamenaly klíčový obrat až s počátkem roku 2015. Zatímco ještě v posledním loňském čtvrtletí meziročně mírn</w:t>
            </w:r>
            <w:r w:rsidR="00F55605">
              <w:rPr>
                <w:color w:val="000000" w:themeColor="text1"/>
                <w:spacing w:val="-4"/>
              </w:rPr>
              <w:t>ě</w:t>
            </w:r>
            <w:r w:rsidRPr="001E0AEC">
              <w:rPr>
                <w:color w:val="000000" w:themeColor="text1"/>
                <w:spacing w:val="-4"/>
              </w:rPr>
              <w:t xml:space="preserve"> oslabily (o 0,7 %), na počátku letošního roku tempo tržeb prudce zrychlilo (na 3 %, nejvíce od konce roku 2007), podobné růstové tempo si služby </w:t>
            </w:r>
            <w:r>
              <w:rPr>
                <w:color w:val="000000" w:themeColor="text1"/>
                <w:spacing w:val="-4"/>
              </w:rPr>
              <w:t xml:space="preserve">udržely </w:t>
            </w:r>
            <w:r w:rsidRPr="001E0AEC">
              <w:rPr>
                <w:color w:val="000000" w:themeColor="text1"/>
                <w:spacing w:val="-4"/>
              </w:rPr>
              <w:t>i v následujícím čtvrtletí.</w:t>
            </w:r>
            <w:r>
              <w:rPr>
                <w:color w:val="000000" w:themeColor="text1"/>
                <w:spacing w:val="-4"/>
              </w:rPr>
              <w:t xml:space="preserve"> Významné oživení služeb probíhalo letos netradičně při současném poklesu cen, a to především v </w:t>
            </w:r>
            <w:r w:rsidRPr="00A649E2">
              <w:rPr>
                <w:color w:val="000000" w:themeColor="text1"/>
                <w:spacing w:val="-4"/>
              </w:rPr>
              <w:t>letecké dopravě či skladování (v důsledku prudkého poklesu cen ropy na světových trzích), ale i v telekomunikacích (kde je pokles cen dlouhodobějším jevem) a také u pracovních agentur (</w:t>
            </w:r>
            <w:r>
              <w:rPr>
                <w:color w:val="000000" w:themeColor="text1"/>
                <w:spacing w:val="-4"/>
              </w:rPr>
              <w:t>z</w:t>
            </w:r>
            <w:r w:rsidRPr="00A649E2">
              <w:rPr>
                <w:color w:val="000000" w:themeColor="text1"/>
                <w:spacing w:val="-4"/>
              </w:rPr>
              <w:t>de ovšem ceny v předchozích dvou letech naopak citelně rostly).</w:t>
            </w:r>
          </w:p>
          <w:p w:rsidR="00DC3790" w:rsidRPr="006D142E" w:rsidRDefault="00DC3790" w:rsidP="00DC3790">
            <w:pPr>
              <w:pStyle w:val="Textpoznpodarou"/>
              <w:jc w:val="both"/>
              <w:rPr>
                <w:spacing w:val="-4"/>
                <w:sz w:val="16"/>
                <w:szCs w:val="16"/>
              </w:rPr>
            </w:pPr>
          </w:p>
        </w:tc>
      </w:tr>
      <w:tr w:rsidR="00DC3790" w:rsidTr="00BB1CFD">
        <w:tc>
          <w:tcPr>
            <w:tcW w:w="1091" w:type="pct"/>
          </w:tcPr>
          <w:p w:rsidR="00DC3790" w:rsidRDefault="00DC3790" w:rsidP="00DC3790">
            <w:pPr>
              <w:spacing w:line="240" w:lineRule="auto"/>
              <w:rPr>
                <w:sz w:val="16"/>
                <w:szCs w:val="16"/>
              </w:rPr>
            </w:pPr>
            <w:r w:rsidRPr="00367CB0">
              <w:rPr>
                <w:sz w:val="16"/>
                <w:szCs w:val="16"/>
              </w:rPr>
              <w:t>Profesní, vědecké a technické činnosti táhly vzhůru zejména architektonické a inženýrské činnosti</w:t>
            </w:r>
          </w:p>
          <w:p w:rsidR="00DC3790" w:rsidRDefault="00DC3790" w:rsidP="00DC3790">
            <w:pPr>
              <w:spacing w:line="240" w:lineRule="auto"/>
              <w:rPr>
                <w:sz w:val="16"/>
                <w:szCs w:val="16"/>
              </w:rPr>
            </w:pPr>
          </w:p>
          <w:p w:rsidR="00DC3790" w:rsidRDefault="00DC3790" w:rsidP="00DC3790">
            <w:pPr>
              <w:spacing w:line="240" w:lineRule="auto"/>
              <w:rPr>
                <w:sz w:val="16"/>
                <w:szCs w:val="16"/>
              </w:rPr>
            </w:pPr>
          </w:p>
          <w:p w:rsidR="00DC3790" w:rsidRPr="00367CB0" w:rsidRDefault="00DC3790" w:rsidP="00DC3790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Rekordním výsledkům ubytování a pohostinství ve 2. čtvrtletí pomohlo </w:t>
            </w:r>
            <w:proofErr w:type="gramStart"/>
            <w:r>
              <w:rPr>
                <w:sz w:val="16"/>
                <w:szCs w:val="16"/>
              </w:rPr>
              <w:t>pořád</w:t>
            </w:r>
            <w:r w:rsidR="00F55605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ní</w:t>
            </w:r>
            <w:proofErr w:type="gramEnd"/>
            <w:r>
              <w:rPr>
                <w:sz w:val="16"/>
                <w:szCs w:val="16"/>
              </w:rPr>
              <w:t xml:space="preserve"> sportovních i kulturních aktivit</w:t>
            </w:r>
          </w:p>
          <w:p w:rsidR="00DC3790" w:rsidRPr="0032604E" w:rsidRDefault="00DC3790" w:rsidP="00DC3790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6" w:type="pct"/>
          </w:tcPr>
          <w:p w:rsidR="00DC3790" w:rsidRDefault="00DC3790" w:rsidP="00DC3790">
            <w:pPr>
              <w:pStyle w:val="Textpoznpodarou"/>
              <w:jc w:val="both"/>
              <w:rPr>
                <w:spacing w:val="-2"/>
              </w:rPr>
            </w:pPr>
          </w:p>
        </w:tc>
        <w:tc>
          <w:tcPr>
            <w:tcW w:w="3763" w:type="pct"/>
          </w:tcPr>
          <w:p w:rsidR="00DC3790" w:rsidRDefault="00DC3790" w:rsidP="00DC3790">
            <w:pPr>
              <w:pStyle w:val="Textpoznpodarou"/>
              <w:jc w:val="both"/>
              <w:rPr>
                <w:spacing w:val="-4"/>
              </w:rPr>
            </w:pPr>
            <w:r>
              <w:rPr>
                <w:spacing w:val="-4"/>
              </w:rPr>
              <w:t>Tržby v dopravě a skladování, které v podmínkách ČR obvykle reagují na ekonomický cyklus poměrně pružně, v 1. pololetí 2015 reálně meziročně stagnovaly. Váhově významná pozemní a potrubní doprava (+4,1 %) stačila kompenzovat niž</w:t>
            </w:r>
            <w:r w:rsidR="00707D43">
              <w:rPr>
                <w:spacing w:val="-4"/>
              </w:rPr>
              <w:t>ší tržby v letecké dopravě (-2,1</w:t>
            </w:r>
            <w:r>
              <w:rPr>
                <w:spacing w:val="-4"/>
              </w:rPr>
              <w:t xml:space="preserve"> %) a zejména skladování (-4,8 %), jehož vývoj byl významně ovlivněn vysokou meziroční základnou. </w:t>
            </w:r>
            <w:r w:rsidR="00F55605">
              <w:rPr>
                <w:spacing w:val="-4"/>
              </w:rPr>
              <w:t>K</w:t>
            </w:r>
            <w:r>
              <w:rPr>
                <w:spacing w:val="-4"/>
              </w:rPr>
              <w:t> obratu ve službách významně přispěly p</w:t>
            </w:r>
            <w:r w:rsidRPr="002B161C">
              <w:rPr>
                <w:spacing w:val="-4"/>
              </w:rPr>
              <w:t xml:space="preserve">rofesní, vědecké a </w:t>
            </w:r>
            <w:r w:rsidRPr="00367CB0">
              <w:rPr>
                <w:color w:val="000000" w:themeColor="text1"/>
                <w:spacing w:val="-4"/>
              </w:rPr>
              <w:t>technické činnosti, kde na počátku roku vzrostly tržby poprvé po jedenácti čtvrtletích a</w:t>
            </w:r>
            <w:r w:rsidR="00707D43">
              <w:rPr>
                <w:color w:val="000000" w:themeColor="text1"/>
                <w:spacing w:val="-4"/>
              </w:rPr>
              <w:t xml:space="preserve"> za celé 1. pololetí přidaly 3,6</w:t>
            </w:r>
            <w:r w:rsidRPr="00367CB0">
              <w:rPr>
                <w:color w:val="000000" w:themeColor="text1"/>
                <w:spacing w:val="-4"/>
              </w:rPr>
              <w:t xml:space="preserve"> % (nejvíce od konce roku 2007). Na vlně silné</w:t>
            </w:r>
            <w:r w:rsidR="003736B5">
              <w:rPr>
                <w:color w:val="000000" w:themeColor="text1"/>
                <w:spacing w:val="-4"/>
              </w:rPr>
              <w:t>ho</w:t>
            </w:r>
            <w:r w:rsidRPr="00367CB0">
              <w:rPr>
                <w:color w:val="000000" w:themeColor="text1"/>
                <w:spacing w:val="-4"/>
              </w:rPr>
              <w:t xml:space="preserve"> růstu stavebnictví se dařilo především činnostem souvisejícím s projektováním.</w:t>
            </w:r>
            <w:r w:rsidRPr="00E42D2E">
              <w:rPr>
                <w:color w:val="FF0000"/>
                <w:spacing w:val="-4"/>
              </w:rPr>
              <w:t xml:space="preserve"> </w:t>
            </w:r>
            <w:r w:rsidRPr="004963E7">
              <w:rPr>
                <w:color w:val="000000" w:themeColor="text1"/>
                <w:spacing w:val="-4"/>
              </w:rPr>
              <w:t>Tržby administrativních a podpůrných činností (+6,3 %) táhly t</w:t>
            </w:r>
            <w:r w:rsidR="00707D43">
              <w:rPr>
                <w:color w:val="000000" w:themeColor="text1"/>
                <w:spacing w:val="-4"/>
              </w:rPr>
              <w:t>radičně pracovní agentury (+19,3</w:t>
            </w:r>
            <w:r w:rsidRPr="004963E7">
              <w:rPr>
                <w:color w:val="000000" w:themeColor="text1"/>
                <w:spacing w:val="-4"/>
              </w:rPr>
              <w:t xml:space="preserve"> %, nepřetržitý růst po 21 čtvrtletí v řadě), v dlouhodobém útlumu pokr</w:t>
            </w:r>
            <w:r w:rsidR="00707D43">
              <w:rPr>
                <w:color w:val="000000" w:themeColor="text1"/>
                <w:spacing w:val="-4"/>
              </w:rPr>
              <w:t>ačovaly cestovní kanceláře (-6,6</w:t>
            </w:r>
            <w:r w:rsidRPr="004963E7">
              <w:rPr>
                <w:color w:val="000000" w:themeColor="text1"/>
                <w:spacing w:val="-4"/>
              </w:rPr>
              <w:t xml:space="preserve"> %), od jejichž služeb mohly část zákazníků odradit i rostoucí ceny zahraničních dovolených.</w:t>
            </w:r>
            <w:r>
              <w:rPr>
                <w:color w:val="000000" w:themeColor="text1"/>
                <w:spacing w:val="-4"/>
              </w:rPr>
              <w:t xml:space="preserve"> Naopak již dvacet čtvrtletí</w:t>
            </w:r>
            <w:r w:rsidR="00F55605">
              <w:rPr>
                <w:color w:val="000000" w:themeColor="text1"/>
                <w:spacing w:val="-4"/>
              </w:rPr>
              <w:t xml:space="preserve"> v</w:t>
            </w:r>
            <w:r>
              <w:rPr>
                <w:color w:val="000000" w:themeColor="text1"/>
                <w:spacing w:val="-4"/>
              </w:rPr>
              <w:t xml:space="preserve"> řadě rostly tržby ubytovatelů, ve 2. čtvrtletí zrychlily meziročně o desetinu. Rekordně utržili ve stejném období i v pohostinství a stravování (+5,2 %, nejvíce od 4. čtvrtletí 2005). Nejvyššího růstu od vrcholu konjunktury dosáhly v 1. pololetí (+5,1 %) také </w:t>
            </w:r>
            <w:r w:rsidRPr="0032604E">
              <w:rPr>
                <w:color w:val="000000" w:themeColor="text1"/>
                <w:spacing w:val="-4"/>
              </w:rPr>
              <w:t>informační a komunikační činnosti.</w:t>
            </w:r>
          </w:p>
          <w:p w:rsidR="00DC3790" w:rsidRPr="00C6308B" w:rsidRDefault="00DC3790" w:rsidP="00DC3790">
            <w:pPr>
              <w:pStyle w:val="Textpoznpodarou"/>
              <w:jc w:val="both"/>
              <w:rPr>
                <w:spacing w:val="-4"/>
                <w:sz w:val="16"/>
                <w:szCs w:val="16"/>
              </w:rPr>
            </w:pPr>
          </w:p>
        </w:tc>
      </w:tr>
      <w:tr w:rsidR="00BB1CFD" w:rsidTr="00BB1CFD">
        <w:tc>
          <w:tcPr>
            <w:tcW w:w="1091" w:type="pct"/>
          </w:tcPr>
          <w:p w:rsidR="00BB1CFD" w:rsidRDefault="00BB1CFD" w:rsidP="00BB1CFD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390A05">
              <w:rPr>
                <w:color w:val="000000" w:themeColor="text1"/>
                <w:sz w:val="16"/>
                <w:szCs w:val="16"/>
              </w:rPr>
              <w:t>Maloobchodní tržby (bez motoristického segmentu) vzrostly meziročně nejvíce za posledních sedm let</w:t>
            </w:r>
          </w:p>
          <w:p w:rsidR="00707D43" w:rsidRDefault="00707D43" w:rsidP="00BB1CFD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:rsidR="00707D43" w:rsidRDefault="00707D43" w:rsidP="00BB1CFD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:rsidR="00707D43" w:rsidRDefault="00707D43" w:rsidP="00BB1CFD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:rsidR="00707D43" w:rsidRDefault="00707D43" w:rsidP="00BB1CFD">
            <w:pPr>
              <w:spacing w:line="240" w:lineRule="auto"/>
              <w:rPr>
                <w:spacing w:val="-2"/>
                <w:sz w:val="16"/>
                <w:szCs w:val="16"/>
              </w:rPr>
            </w:pPr>
          </w:p>
          <w:p w:rsidR="00BB1CFD" w:rsidRDefault="00BB1CFD" w:rsidP="00BB1CFD">
            <w:pPr>
              <w:spacing w:line="240" w:lineRule="auto"/>
              <w:rPr>
                <w:spacing w:val="-2"/>
                <w:sz w:val="16"/>
                <w:szCs w:val="16"/>
              </w:rPr>
            </w:pPr>
          </w:p>
          <w:p w:rsidR="00BB1CFD" w:rsidRPr="00C548DF" w:rsidRDefault="00BB1CFD" w:rsidP="00BB1CFD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C548DF">
              <w:rPr>
                <w:color w:val="000000" w:themeColor="text1"/>
                <w:sz w:val="16"/>
                <w:szCs w:val="16"/>
              </w:rPr>
              <w:lastRenderedPageBreak/>
              <w:t xml:space="preserve">Vyšší tržby za zboží ve specializovaných prodejnách ve všech hlavních sortimentních skupinách  </w:t>
            </w:r>
          </w:p>
          <w:p w:rsidR="00BB1CFD" w:rsidRPr="00C548DF" w:rsidRDefault="00BB1CFD" w:rsidP="00BB1CFD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:rsidR="00BB1CFD" w:rsidRPr="00C548DF" w:rsidRDefault="00BB1CFD" w:rsidP="00BB1CFD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:rsidR="00BB1CFD" w:rsidRPr="00C548DF" w:rsidRDefault="00BB1CFD" w:rsidP="00BB1CFD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:rsidR="00BB1CFD" w:rsidRPr="00C548DF" w:rsidRDefault="00BB1CFD" w:rsidP="00BB1CFD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C548DF">
              <w:rPr>
                <w:color w:val="000000" w:themeColor="text1"/>
                <w:sz w:val="16"/>
                <w:szCs w:val="16"/>
              </w:rPr>
              <w:t>Růst tržeb za potravinářské zboží v ČR</w:t>
            </w:r>
            <w:r w:rsidRPr="00C548DF">
              <w:rPr>
                <w:rStyle w:val="Znakapoznpodarou"/>
                <w:color w:val="000000" w:themeColor="text1"/>
                <w:sz w:val="16"/>
                <w:szCs w:val="16"/>
              </w:rPr>
              <w:footnoteReference w:id="3"/>
            </w:r>
            <w:r w:rsidRPr="00C548DF">
              <w:rPr>
                <w:color w:val="000000" w:themeColor="text1"/>
                <w:sz w:val="16"/>
                <w:szCs w:val="16"/>
              </w:rPr>
              <w:t xml:space="preserve"> byl v 1.</w:t>
            </w:r>
            <w:r w:rsidR="00F55605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C548DF">
              <w:rPr>
                <w:color w:val="000000" w:themeColor="text1"/>
                <w:sz w:val="16"/>
                <w:szCs w:val="16"/>
              </w:rPr>
              <w:t xml:space="preserve">pololetí pátý nejvyšší z celé EU, u </w:t>
            </w:r>
            <w:proofErr w:type="spellStart"/>
            <w:r w:rsidRPr="00C548DF">
              <w:rPr>
                <w:color w:val="000000" w:themeColor="text1"/>
                <w:sz w:val="16"/>
                <w:szCs w:val="16"/>
              </w:rPr>
              <w:t>nepotravinářského</w:t>
            </w:r>
            <w:proofErr w:type="spellEnd"/>
            <w:r w:rsidRPr="00C548DF">
              <w:rPr>
                <w:color w:val="000000" w:themeColor="text1"/>
                <w:sz w:val="16"/>
                <w:szCs w:val="16"/>
              </w:rPr>
              <w:t xml:space="preserve"> zboží šestý nejvyšší</w:t>
            </w:r>
            <w:r>
              <w:rPr>
                <w:color w:val="000000" w:themeColor="text1"/>
                <w:sz w:val="16"/>
                <w:szCs w:val="16"/>
              </w:rPr>
              <w:t>, u PHM devátý nejvyšší</w:t>
            </w:r>
          </w:p>
          <w:p w:rsidR="00BB1CFD" w:rsidRPr="00367CB0" w:rsidRDefault="00BB1CFD" w:rsidP="00DC379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6" w:type="pct"/>
          </w:tcPr>
          <w:p w:rsidR="00BB1CFD" w:rsidRDefault="00BB1CFD" w:rsidP="00DC3790">
            <w:pPr>
              <w:pStyle w:val="Textpoznpodarou"/>
              <w:jc w:val="both"/>
              <w:rPr>
                <w:spacing w:val="-2"/>
              </w:rPr>
            </w:pPr>
          </w:p>
        </w:tc>
        <w:tc>
          <w:tcPr>
            <w:tcW w:w="3763" w:type="pct"/>
          </w:tcPr>
          <w:p w:rsidR="00BB1CFD" w:rsidRDefault="00BB1CFD" w:rsidP="00F55605">
            <w:pPr>
              <w:pStyle w:val="Textpoznpodarou"/>
              <w:jc w:val="both"/>
              <w:rPr>
                <w:spacing w:val="-4"/>
              </w:rPr>
            </w:pPr>
            <w:r>
              <w:rPr>
                <w:color w:val="000000" w:themeColor="text1"/>
                <w:spacing w:val="-4"/>
              </w:rPr>
              <w:t xml:space="preserve">Obnovení růstu ekonomiky </w:t>
            </w:r>
            <w:r w:rsidRPr="006E080E">
              <w:rPr>
                <w:color w:val="000000" w:themeColor="text1"/>
                <w:spacing w:val="-4"/>
              </w:rPr>
              <w:t>zvolna následované postupným zlepšením situace na trhu práce (s dopadem do vyšších disponibilních příjmů domácností) se promítlo do indikátoru spotřebitelské důvěry</w:t>
            </w:r>
            <w:r>
              <w:rPr>
                <w:color w:val="000000" w:themeColor="text1"/>
                <w:spacing w:val="-4"/>
              </w:rPr>
              <w:t xml:space="preserve"> (</w:t>
            </w:r>
            <w:r w:rsidRPr="006E080E">
              <w:rPr>
                <w:color w:val="000000" w:themeColor="text1"/>
                <w:spacing w:val="-4"/>
              </w:rPr>
              <w:t xml:space="preserve">na počátku roku </w:t>
            </w:r>
            <w:r>
              <w:rPr>
                <w:color w:val="000000" w:themeColor="text1"/>
                <w:spacing w:val="-4"/>
              </w:rPr>
              <w:t xml:space="preserve">2015 </w:t>
            </w:r>
            <w:r w:rsidR="00F55605">
              <w:rPr>
                <w:color w:val="000000" w:themeColor="text1"/>
                <w:spacing w:val="-4"/>
              </w:rPr>
              <w:t xml:space="preserve">se </w:t>
            </w:r>
            <w:r w:rsidRPr="006E080E">
              <w:rPr>
                <w:color w:val="000000" w:themeColor="text1"/>
                <w:spacing w:val="-4"/>
              </w:rPr>
              <w:t>nacházel nejvýše od března 2007</w:t>
            </w:r>
            <w:r>
              <w:rPr>
                <w:color w:val="000000" w:themeColor="text1"/>
                <w:spacing w:val="-4"/>
              </w:rPr>
              <w:t xml:space="preserve">). </w:t>
            </w:r>
            <w:r w:rsidRPr="004722CB">
              <w:rPr>
                <w:color w:val="000000" w:themeColor="text1"/>
                <w:spacing w:val="-4"/>
              </w:rPr>
              <w:t>Růst maloobchodních tržeb (CZ-NACE 47) na počátku roku zrychlil na 6,4 % (v posledním čtvrtletí 2014 činil 3,5 %), silnou meziroční dynamiku si podržel i ve 2. čtvrtletí (</w:t>
            </w:r>
            <w:r>
              <w:rPr>
                <w:color w:val="000000" w:themeColor="text1"/>
                <w:spacing w:val="-4"/>
              </w:rPr>
              <w:t xml:space="preserve">5,7 %). V obou případech šlo o pátou největší hodnotu v EU, v 1. pololetí dosáhlo nejlepších výsledků Polsko (+8,1 %), na úrovni ČR se nacházelo </w:t>
            </w:r>
            <w:r>
              <w:rPr>
                <w:color w:val="000000" w:themeColor="text1"/>
                <w:spacing w:val="-4"/>
              </w:rPr>
              <w:lastRenderedPageBreak/>
              <w:t>Maďarsko či Irsko, blízko ní Velká Británie (+4,5 %), skrom</w:t>
            </w:r>
            <w:r w:rsidR="00707D43">
              <w:rPr>
                <w:color w:val="000000" w:themeColor="text1"/>
                <w:spacing w:val="-4"/>
              </w:rPr>
              <w:t>něji rostly tržby v Německu (2,7</w:t>
            </w:r>
            <w:r>
              <w:rPr>
                <w:color w:val="000000" w:themeColor="text1"/>
                <w:spacing w:val="-4"/>
              </w:rPr>
              <w:t xml:space="preserve"> %) či Slovensku (1 %). Rychleji reagoval na oživení ekonomiky motoristický segment</w:t>
            </w:r>
            <w:r w:rsidRPr="004722CB">
              <w:rPr>
                <w:color w:val="000000" w:themeColor="text1"/>
                <w:spacing w:val="-4"/>
              </w:rPr>
              <w:t xml:space="preserve"> tržeb </w:t>
            </w:r>
            <w:r>
              <w:rPr>
                <w:color w:val="000000" w:themeColor="text1"/>
                <w:spacing w:val="-4"/>
              </w:rPr>
              <w:t xml:space="preserve">(CZ-NACE 45), který v 1. pololetí rostl o osminu (podobně jako </w:t>
            </w:r>
            <w:r w:rsidRPr="00C700BE">
              <w:rPr>
                <w:color w:val="000000" w:themeColor="text1"/>
                <w:spacing w:val="-4"/>
              </w:rPr>
              <w:t xml:space="preserve">loni). </w:t>
            </w:r>
            <w:r w:rsidR="00707D43">
              <w:rPr>
                <w:color w:val="000000" w:themeColor="text1"/>
                <w:spacing w:val="-4"/>
              </w:rPr>
              <w:t>Samotný</w:t>
            </w:r>
            <w:r w:rsidRPr="00C700BE">
              <w:rPr>
                <w:color w:val="000000" w:themeColor="text1"/>
                <w:spacing w:val="-4"/>
              </w:rPr>
              <w:t xml:space="preserve"> </w:t>
            </w:r>
            <w:r w:rsidR="00707D43">
              <w:rPr>
                <w:color w:val="000000" w:themeColor="text1"/>
                <w:spacing w:val="-4"/>
              </w:rPr>
              <w:t>maloobchod (CZ-NACE 47)</w:t>
            </w:r>
            <w:r w:rsidRPr="003B163B">
              <w:rPr>
                <w:color w:val="000000" w:themeColor="text1"/>
                <w:spacing w:val="-4"/>
              </w:rPr>
              <w:t xml:space="preserve"> táhl váhově nejvýznamnější prodej </w:t>
            </w:r>
            <w:proofErr w:type="spellStart"/>
            <w:r w:rsidRPr="003B163B">
              <w:rPr>
                <w:color w:val="000000" w:themeColor="text1"/>
                <w:spacing w:val="-4"/>
              </w:rPr>
              <w:t>nepotravinářského</w:t>
            </w:r>
            <w:proofErr w:type="spellEnd"/>
            <w:r w:rsidRPr="003B163B">
              <w:rPr>
                <w:color w:val="000000" w:themeColor="text1"/>
                <w:spacing w:val="-4"/>
              </w:rPr>
              <w:t xml:space="preserve"> zboží (ve 2. čtvrtletí 8,1 %), kde pokles cen dlouhodobě pomáhal hlavně prodejům počítačových a</w:t>
            </w:r>
            <w:r>
              <w:rPr>
                <w:color w:val="000000" w:themeColor="text1"/>
                <w:spacing w:val="-4"/>
              </w:rPr>
              <w:t xml:space="preserve"> komunikačních zařízení (o </w:t>
            </w:r>
            <w:r w:rsidRPr="003B163B">
              <w:rPr>
                <w:color w:val="000000" w:themeColor="text1"/>
                <w:spacing w:val="-4"/>
              </w:rPr>
              <w:t>8,2 %). Tržby se ale zvyšovaly ve všech ostatních specializovaných prodejnách, zejména za výrobky pro kulturu a rekreaci (ze 7,3</w:t>
            </w:r>
            <w:r w:rsidR="00F55605">
              <w:rPr>
                <w:color w:val="000000" w:themeColor="text1"/>
                <w:spacing w:val="-4"/>
              </w:rPr>
              <w:t xml:space="preserve"> %</w:t>
            </w:r>
            <w:r w:rsidRPr="003B163B">
              <w:rPr>
                <w:color w:val="000000" w:themeColor="text1"/>
                <w:spacing w:val="-4"/>
              </w:rPr>
              <w:t xml:space="preserve"> v 1. čtvrtletí na 13,1 % ve 2</w:t>
            </w:r>
            <w:r w:rsidR="00F55605">
              <w:rPr>
                <w:color w:val="000000" w:themeColor="text1"/>
                <w:spacing w:val="-4"/>
              </w:rPr>
              <w:t>.</w:t>
            </w:r>
            <w:r w:rsidRPr="003B163B">
              <w:rPr>
                <w:color w:val="000000" w:themeColor="text1"/>
                <w:spacing w:val="-4"/>
              </w:rPr>
              <w:t xml:space="preserve"> čtvrtletí).</w:t>
            </w:r>
            <w:r w:rsidRPr="00E42D2E">
              <w:rPr>
                <w:color w:val="FF0000"/>
                <w:spacing w:val="-4"/>
              </w:rPr>
              <w:t xml:space="preserve"> </w:t>
            </w:r>
            <w:r w:rsidRPr="00360276">
              <w:rPr>
                <w:color w:val="000000" w:themeColor="text1"/>
                <w:spacing w:val="-4"/>
              </w:rPr>
              <w:t>Růst tržeb za potravinářské zboží byl i přes „skromnější“ dynamiku (v 1. pololetí +3,4 %) také nejvyšší v „</w:t>
            </w:r>
            <w:proofErr w:type="spellStart"/>
            <w:r w:rsidRPr="00360276">
              <w:rPr>
                <w:color w:val="000000" w:themeColor="text1"/>
                <w:spacing w:val="-4"/>
              </w:rPr>
              <w:t>pokrizovém</w:t>
            </w:r>
            <w:proofErr w:type="spellEnd"/>
            <w:r w:rsidRPr="00360276">
              <w:rPr>
                <w:color w:val="000000" w:themeColor="text1"/>
                <w:spacing w:val="-4"/>
              </w:rPr>
              <w:t>“ období (a podobně jako v úhrnu za rok 2014 zároveň také vyšší než v EU).</w:t>
            </w:r>
            <w:r w:rsidRPr="00E42D2E">
              <w:rPr>
                <w:color w:val="FF0000"/>
                <w:spacing w:val="-4"/>
              </w:rPr>
              <w:t xml:space="preserve"> </w:t>
            </w:r>
            <w:r w:rsidRPr="00360276">
              <w:rPr>
                <w:color w:val="000000" w:themeColor="text1"/>
                <w:spacing w:val="-4"/>
              </w:rPr>
              <w:t xml:space="preserve">Na rozdíl od </w:t>
            </w:r>
            <w:r w:rsidRPr="00A61D24">
              <w:rPr>
                <w:color w:val="000000" w:themeColor="text1"/>
                <w:spacing w:val="-4"/>
              </w:rPr>
              <w:t>předchozích let s touto dynamikou tržeb stačili držet krok i prodejci potravin ve specializovaných prodejnách. Tržby u čerpacích stanic od loňského prosince akcelerovaly, za 1. pololetí meziročně vzrostly o téměř 8 %. Vyšší poptávku stimuloval zejména velmi příznivý cenový vývoj PHM (i v kontextu sousedních zemí).</w:t>
            </w:r>
          </w:p>
        </w:tc>
      </w:tr>
    </w:tbl>
    <w:p w:rsidR="00DC3790" w:rsidRDefault="00DC3790" w:rsidP="006D142E">
      <w:pPr>
        <w:pStyle w:val="Textpoznpodarou"/>
        <w:jc w:val="both"/>
        <w:rPr>
          <w:sz w:val="16"/>
          <w:szCs w:val="16"/>
        </w:rPr>
      </w:pPr>
    </w:p>
    <w:tbl>
      <w:tblPr>
        <w:tblW w:w="5059" w:type="pct"/>
        <w:tblCellMar>
          <w:left w:w="28" w:type="dxa"/>
          <w:right w:w="28" w:type="dxa"/>
        </w:tblCellMar>
        <w:tblLook w:val="04A0"/>
      </w:tblPr>
      <w:tblGrid>
        <w:gridCol w:w="737"/>
        <w:gridCol w:w="4200"/>
        <w:gridCol w:w="761"/>
        <w:gridCol w:w="4110"/>
      </w:tblGrid>
      <w:tr w:rsidR="00DC3790" w:rsidTr="00DC3790">
        <w:tc>
          <w:tcPr>
            <w:tcW w:w="376" w:type="pct"/>
          </w:tcPr>
          <w:p w:rsidR="00DC3790" w:rsidRDefault="00DC3790" w:rsidP="00DC3790">
            <w:pPr>
              <w:spacing w:line="240" w:lineRule="auto"/>
            </w:pPr>
            <w:r>
              <w:t>Graf č. 5</w:t>
            </w:r>
          </w:p>
        </w:tc>
        <w:tc>
          <w:tcPr>
            <w:tcW w:w="2141" w:type="pct"/>
          </w:tcPr>
          <w:p w:rsidR="00DC3790" w:rsidRPr="001D04BA" w:rsidRDefault="00DC3790" w:rsidP="00DC3790">
            <w:pPr>
              <w:pStyle w:val="Textpoznpodarou"/>
              <w:rPr>
                <w:b/>
              </w:rPr>
            </w:pPr>
            <w:r w:rsidRPr="001D04BA">
              <w:rPr>
                <w:b/>
              </w:rPr>
              <w:t>Produkce v průmyslu a</w:t>
            </w:r>
            <w:r w:rsidR="006B6B3B">
              <w:rPr>
                <w:b/>
              </w:rPr>
              <w:t xml:space="preserve"> ve</w:t>
            </w:r>
            <w:r w:rsidRPr="001D04BA">
              <w:rPr>
                <w:b/>
              </w:rPr>
              <w:t xml:space="preserve"> vyb</w:t>
            </w:r>
            <w:r w:rsidR="00F55605">
              <w:rPr>
                <w:b/>
              </w:rPr>
              <w:t>raných zpracovatelských odvětvích</w:t>
            </w:r>
          </w:p>
          <w:p w:rsidR="00DC3790" w:rsidRDefault="00DC3790" w:rsidP="00DC3790">
            <w:pPr>
              <w:pStyle w:val="Textpoznpodarou"/>
              <w:rPr>
                <w:b/>
              </w:rPr>
            </w:pPr>
            <w:r w:rsidRPr="001D04BA">
              <w:t>(reálně, y/y, v %)</w:t>
            </w:r>
          </w:p>
        </w:tc>
        <w:tc>
          <w:tcPr>
            <w:tcW w:w="388" w:type="pct"/>
          </w:tcPr>
          <w:p w:rsidR="00DC3790" w:rsidRDefault="00DC3790" w:rsidP="00DC3790">
            <w:pPr>
              <w:spacing w:line="240" w:lineRule="auto"/>
            </w:pPr>
            <w:r>
              <w:t>Graf č. 6</w:t>
            </w:r>
          </w:p>
        </w:tc>
        <w:tc>
          <w:tcPr>
            <w:tcW w:w="2095" w:type="pct"/>
          </w:tcPr>
          <w:p w:rsidR="00DC3790" w:rsidRDefault="00DC3790" w:rsidP="00DC3790">
            <w:pPr>
              <w:spacing w:line="240" w:lineRule="auto"/>
              <w:rPr>
                <w:b/>
              </w:rPr>
            </w:pPr>
            <w:r w:rsidRPr="004B22DA">
              <w:rPr>
                <w:b/>
                <w:spacing w:val="-2"/>
              </w:rPr>
              <w:t>Nové zakázky v automobilovém průmyslu</w:t>
            </w:r>
            <w:r>
              <w:rPr>
                <w:b/>
              </w:rPr>
              <w:t xml:space="preserve">, v průmyslu </w:t>
            </w:r>
            <w:proofErr w:type="gramStart"/>
            <w:r>
              <w:rPr>
                <w:b/>
              </w:rPr>
              <w:t xml:space="preserve">celkem </w:t>
            </w: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b.c</w:t>
            </w:r>
            <w:proofErr w:type="spellEnd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, y/y, v %) </w:t>
            </w:r>
            <w:r w:rsidRPr="004B22DA">
              <w:t>a</w:t>
            </w:r>
            <w:r>
              <w:rPr>
                <w:b/>
              </w:rPr>
              <w:t xml:space="preserve"> saldo indikátoru důvěry v průmyslu </w:t>
            </w:r>
            <w:r w:rsidRPr="00C1711F">
              <w:t>(pravá osa)</w:t>
            </w:r>
          </w:p>
        </w:tc>
      </w:tr>
      <w:tr w:rsidR="00DC3790" w:rsidTr="00DC3790">
        <w:tc>
          <w:tcPr>
            <w:tcW w:w="2517" w:type="pct"/>
            <w:gridSpan w:val="2"/>
          </w:tcPr>
          <w:p w:rsidR="00DC3790" w:rsidRDefault="00857CB0" w:rsidP="00DC3790">
            <w:pPr>
              <w:pStyle w:val="Textpoznpodarou"/>
              <w:jc w:val="both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243pt;height:192pt">
                  <v:imagedata r:id="rId8" o:title=""/>
                </v:shape>
              </w:pict>
            </w:r>
          </w:p>
        </w:tc>
        <w:tc>
          <w:tcPr>
            <w:tcW w:w="2483" w:type="pct"/>
            <w:gridSpan w:val="2"/>
          </w:tcPr>
          <w:p w:rsidR="00DC3790" w:rsidRDefault="00857CB0" w:rsidP="00DC3790">
            <w:pPr>
              <w:pStyle w:val="Textpoznpodarou"/>
              <w:jc w:val="both"/>
            </w:pPr>
            <w:r>
              <w:pict>
                <v:shape id="_x0000_i1030" type="#_x0000_t75" style="width:237.75pt;height:192pt">
                  <v:imagedata r:id="rId9" o:title=""/>
                </v:shape>
              </w:pict>
            </w:r>
          </w:p>
        </w:tc>
      </w:tr>
      <w:tr w:rsidR="00DC3790" w:rsidTr="00DC3790">
        <w:tc>
          <w:tcPr>
            <w:tcW w:w="5000" w:type="pct"/>
            <w:gridSpan w:val="4"/>
          </w:tcPr>
          <w:p w:rsidR="00DC3790" w:rsidRDefault="00DC3790" w:rsidP="00DC3790">
            <w:pPr>
              <w:pStyle w:val="Textpoznpodarou"/>
              <w:jc w:val="right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Zdroj: ČSÚ</w:t>
            </w:r>
          </w:p>
        </w:tc>
      </w:tr>
    </w:tbl>
    <w:p w:rsidR="00DC3790" w:rsidRPr="00857CB0" w:rsidRDefault="00DC3790" w:rsidP="006D142E">
      <w:pPr>
        <w:pStyle w:val="Textpoznpodarou"/>
        <w:jc w:val="both"/>
        <w:rPr>
          <w:sz w:val="12"/>
          <w:szCs w:val="12"/>
        </w:rPr>
      </w:pPr>
    </w:p>
    <w:tbl>
      <w:tblPr>
        <w:tblW w:w="5117" w:type="pct"/>
        <w:tblCellMar>
          <w:left w:w="28" w:type="dxa"/>
          <w:right w:w="28" w:type="dxa"/>
        </w:tblCellMar>
        <w:tblLook w:val="04A0"/>
      </w:tblPr>
      <w:tblGrid>
        <w:gridCol w:w="736"/>
        <w:gridCol w:w="4181"/>
        <w:gridCol w:w="44"/>
        <w:gridCol w:w="738"/>
        <w:gridCol w:w="4222"/>
      </w:tblGrid>
      <w:tr w:rsidR="00DC3790" w:rsidTr="00BB1CFD">
        <w:tc>
          <w:tcPr>
            <w:tcW w:w="371" w:type="pct"/>
          </w:tcPr>
          <w:p w:rsidR="00DC3790" w:rsidRDefault="00DC3790" w:rsidP="00DC3790">
            <w:pPr>
              <w:spacing w:line="240" w:lineRule="auto"/>
            </w:pPr>
            <w:r>
              <w:t>Graf č. 7</w:t>
            </w:r>
          </w:p>
        </w:tc>
        <w:tc>
          <w:tcPr>
            <w:tcW w:w="2107" w:type="pct"/>
          </w:tcPr>
          <w:p w:rsidR="00DC3790" w:rsidRDefault="00DC3790" w:rsidP="00DC3790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Stavební produkce, hodnota nových zakázek </w:t>
            </w:r>
            <w:r>
              <w:rPr>
                <w:bCs/>
              </w:rPr>
              <w:t xml:space="preserve">(y/y, v %) </w:t>
            </w:r>
            <w:r w:rsidRPr="004B22DA">
              <w:t>a</w:t>
            </w:r>
            <w:r>
              <w:rPr>
                <w:b/>
              </w:rPr>
              <w:t xml:space="preserve"> saldo indikátoru důvěry ve stavebnictví </w:t>
            </w:r>
            <w:r w:rsidRPr="00C1711F">
              <w:t>(pravá osa)</w:t>
            </w:r>
          </w:p>
        </w:tc>
        <w:tc>
          <w:tcPr>
            <w:tcW w:w="394" w:type="pct"/>
            <w:gridSpan w:val="2"/>
          </w:tcPr>
          <w:p w:rsidR="00DC3790" w:rsidRDefault="00DC3790" w:rsidP="00DC3790">
            <w:pPr>
              <w:spacing w:line="240" w:lineRule="auto"/>
            </w:pPr>
            <w:r>
              <w:t>Graf č. 8</w:t>
            </w:r>
          </w:p>
        </w:tc>
        <w:tc>
          <w:tcPr>
            <w:tcW w:w="2128" w:type="pct"/>
          </w:tcPr>
          <w:p w:rsidR="00DC3790" w:rsidRDefault="00DC3790" w:rsidP="00DC3790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Tržby v maloobchodě vč. motoristického segmentu </w:t>
            </w:r>
            <w:r>
              <w:rPr>
                <w:bCs/>
              </w:rPr>
              <w:t xml:space="preserve">(reálně, y/y v %) </w:t>
            </w:r>
            <w:r>
              <w:rPr>
                <w:b/>
              </w:rPr>
              <w:t xml:space="preserve">saldo indikátoru důvěry spotřebitelů </w:t>
            </w:r>
            <w:r w:rsidRPr="00C1711F">
              <w:t>(pravá osa)</w:t>
            </w:r>
          </w:p>
        </w:tc>
      </w:tr>
      <w:tr w:rsidR="00DC3790" w:rsidTr="00BB1CFD">
        <w:tc>
          <w:tcPr>
            <w:tcW w:w="2478" w:type="pct"/>
            <w:gridSpan w:val="2"/>
          </w:tcPr>
          <w:p w:rsidR="00DC3790" w:rsidRDefault="00857CB0" w:rsidP="00DC3790">
            <w:pPr>
              <w:pStyle w:val="Textpoznpodarou"/>
              <w:jc w:val="both"/>
            </w:pPr>
            <w:r>
              <w:pict>
                <v:shape id="_x0000_i1031" type="#_x0000_t75" style="width:241.5pt;height:189pt">
                  <v:imagedata r:id="rId10" o:title=""/>
                </v:shape>
              </w:pict>
            </w:r>
          </w:p>
        </w:tc>
        <w:tc>
          <w:tcPr>
            <w:tcW w:w="2522" w:type="pct"/>
            <w:gridSpan w:val="3"/>
          </w:tcPr>
          <w:p w:rsidR="00DC3790" w:rsidRDefault="00857CB0" w:rsidP="00DC3790">
            <w:pPr>
              <w:pStyle w:val="Textpoznpodarou"/>
              <w:jc w:val="both"/>
            </w:pPr>
            <w:r>
              <w:pict>
                <v:shape id="_x0000_i1032" type="#_x0000_t75" style="width:243pt;height:189pt">
                  <v:imagedata r:id="rId11" o:title=""/>
                </v:shape>
              </w:pict>
            </w:r>
          </w:p>
        </w:tc>
      </w:tr>
      <w:tr w:rsidR="00DC3790" w:rsidTr="00BB1CFD">
        <w:trPr>
          <w:trHeight w:val="58"/>
        </w:trPr>
        <w:tc>
          <w:tcPr>
            <w:tcW w:w="2500" w:type="pct"/>
            <w:gridSpan w:val="3"/>
          </w:tcPr>
          <w:p w:rsidR="00DC3790" w:rsidRDefault="00DC3790" w:rsidP="00DC3790">
            <w:pPr>
              <w:pStyle w:val="Zhlav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00" w:type="pct"/>
            <w:gridSpan w:val="2"/>
          </w:tcPr>
          <w:p w:rsidR="00DC3790" w:rsidRDefault="00DC3790" w:rsidP="00DC3790">
            <w:pPr>
              <w:pStyle w:val="Zhlav"/>
              <w:spacing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*Motoristický segment zahrnuje obchod, opravy a údržbu</w:t>
            </w:r>
            <w:r w:rsidRPr="005601BA">
              <w:rPr>
                <w:rFonts w:ascii="Arial" w:eastAsia="Times New Roman" w:hAnsi="Arial" w:cs="Arial"/>
                <w:sz w:val="18"/>
                <w:szCs w:val="18"/>
              </w:rPr>
              <w:t xml:space="preserve"> motorových </w:t>
            </w:r>
            <w:proofErr w:type="gramStart"/>
            <w:r w:rsidRPr="005601BA">
              <w:rPr>
                <w:rFonts w:ascii="Arial" w:eastAsia="Times New Roman" w:hAnsi="Arial" w:cs="Arial"/>
                <w:sz w:val="18"/>
                <w:szCs w:val="18"/>
              </w:rPr>
              <w:t>vozidel</w:t>
            </w:r>
            <w:r w:rsidR="00BB1CFD" w:rsidRPr="000F401E">
              <w:rPr>
                <w:rFonts w:ascii="Arial" w:hAnsi="Arial" w:cs="Arial"/>
                <w:sz w:val="18"/>
                <w:szCs w:val="18"/>
                <w:lang w:eastAsia="cs-CZ"/>
              </w:rPr>
              <w:t xml:space="preserve"> </w:t>
            </w:r>
            <w:r w:rsidR="00BB1CFD">
              <w:rPr>
                <w:rFonts w:ascii="Arial" w:hAnsi="Arial" w:cs="Arial"/>
                <w:sz w:val="18"/>
                <w:szCs w:val="18"/>
                <w:lang w:eastAsia="cs-CZ"/>
              </w:rPr>
              <w:t xml:space="preserve">                                               </w:t>
            </w:r>
            <w:r w:rsidR="00BB1CFD" w:rsidRPr="000F401E">
              <w:rPr>
                <w:rFonts w:ascii="Arial" w:hAnsi="Arial" w:cs="Arial"/>
                <w:sz w:val="18"/>
                <w:szCs w:val="18"/>
                <w:lang w:eastAsia="cs-CZ"/>
              </w:rPr>
              <w:t>Zdroj</w:t>
            </w:r>
            <w:proofErr w:type="gramEnd"/>
            <w:r w:rsidR="00BB1CFD" w:rsidRPr="000F401E">
              <w:rPr>
                <w:rFonts w:ascii="Arial" w:hAnsi="Arial" w:cs="Arial"/>
                <w:sz w:val="18"/>
                <w:szCs w:val="18"/>
                <w:lang w:eastAsia="cs-CZ"/>
              </w:rPr>
              <w:t>: ČSÚ</w:t>
            </w:r>
          </w:p>
        </w:tc>
      </w:tr>
    </w:tbl>
    <w:p w:rsidR="00B55BA8" w:rsidRPr="00C2463B" w:rsidRDefault="00B55BA8" w:rsidP="00857CB0">
      <w:pPr>
        <w:pStyle w:val="Nadpis1"/>
        <w:jc w:val="both"/>
        <w:rPr>
          <w:rFonts w:cs="Arial"/>
          <w:color w:val="000000" w:themeColor="text1"/>
          <w:spacing w:val="-2"/>
        </w:rPr>
      </w:pPr>
    </w:p>
    <w:sectPr w:rsidR="00B55BA8" w:rsidRPr="00C2463B" w:rsidSect="00857CB0">
      <w:headerReference w:type="even" r:id="rId12"/>
      <w:headerReference w:type="default" r:id="rId13"/>
      <w:footerReference w:type="even" r:id="rId14"/>
      <w:footerReference w:type="default" r:id="rId15"/>
      <w:type w:val="continuous"/>
      <w:pgSz w:w="11906" w:h="16838" w:code="9"/>
      <w:pgMar w:top="1134" w:right="1134" w:bottom="1418" w:left="1134" w:header="680" w:footer="680" w:gutter="0"/>
      <w:pgNumType w:start="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D43" w:rsidRDefault="00707D43" w:rsidP="00E71A58">
      <w:r>
        <w:separator/>
      </w:r>
    </w:p>
  </w:endnote>
  <w:endnote w:type="continuationSeparator" w:id="0">
    <w:p w:rsidR="00707D43" w:rsidRDefault="00707D43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D43" w:rsidRDefault="00D316AF" w:rsidP="00357449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s2050" type="#_x0000_t75" alt="Description: 3" style="position:absolute;margin-left:445.7pt;margin-top:-4.1pt;width:36.75pt;height:17.25pt;z-index:251657728;visibility:visible">
          <v:imagedata r:id="rId1" o:title=""/>
        </v:shape>
      </w:pict>
    </w:r>
    <w:r w:rsidRPr="005A21E0">
      <w:rPr>
        <w:rFonts w:ascii="Arial" w:hAnsi="Arial" w:cs="Arial"/>
        <w:sz w:val="16"/>
        <w:szCs w:val="16"/>
      </w:rPr>
      <w:fldChar w:fldCharType="begin"/>
    </w:r>
    <w:r w:rsidR="00707D43" w:rsidRPr="005A21E0">
      <w:rPr>
        <w:rFonts w:ascii="Arial" w:hAnsi="Arial" w:cs="Arial"/>
        <w:sz w:val="16"/>
        <w:szCs w:val="16"/>
      </w:rPr>
      <w:instrText>PAGE   \* MERGEFORMAT</w:instrText>
    </w:r>
    <w:r w:rsidRPr="005A21E0">
      <w:rPr>
        <w:rFonts w:ascii="Arial" w:hAnsi="Arial" w:cs="Arial"/>
        <w:sz w:val="16"/>
        <w:szCs w:val="16"/>
      </w:rPr>
      <w:fldChar w:fldCharType="separate"/>
    </w:r>
    <w:r w:rsidR="00857CB0">
      <w:rPr>
        <w:rFonts w:ascii="Arial" w:hAnsi="Arial" w:cs="Arial"/>
        <w:noProof/>
        <w:sz w:val="16"/>
        <w:szCs w:val="16"/>
      </w:rPr>
      <w:t>10</w:t>
    </w:r>
    <w:r w:rsidRPr="005A21E0">
      <w:rPr>
        <w:rFonts w:ascii="Arial" w:hAnsi="Arial" w:cs="Arial"/>
        <w:sz w:val="16"/>
        <w:szCs w:val="16"/>
      </w:rPr>
      <w:fldChar w:fldCharType="end"/>
    </w:r>
    <w:r w:rsidR="00707D43">
      <w:rPr>
        <w:rFonts w:ascii="Arial" w:hAnsi="Arial" w:cs="Arial"/>
        <w:sz w:val="16"/>
        <w:szCs w:val="16"/>
      </w:rPr>
      <w:tab/>
      <w:t>2015</w:t>
    </w:r>
    <w:r w:rsidR="00707D43">
      <w:tab/>
    </w:r>
    <w:r w:rsidR="00707D43"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D43" w:rsidRDefault="00D316AF" w:rsidP="00357449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alt="Description: 3" style="position:absolute;margin-left:.3pt;margin-top:7.1pt;width:39pt;height:21pt;z-index:251658752;visibility:visible">
          <v:imagedata r:id="rId1" o:title=""/>
        </v:shape>
      </w:pict>
    </w:r>
    <w:r w:rsidR="00707D43">
      <w:tab/>
    </w:r>
    <w:r w:rsidR="00707D43">
      <w:tab/>
    </w:r>
    <w:r w:rsidR="00707D43" w:rsidRPr="00DC5B3B">
      <w:t xml:space="preserve">                              </w:t>
    </w:r>
  </w:p>
  <w:p w:rsidR="00707D43" w:rsidRPr="00223E00" w:rsidRDefault="00707D43" w:rsidP="00357449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262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2015</w:t>
    </w:r>
    <w:r>
      <w:rPr>
        <w:rFonts w:ascii="Arial" w:hAnsi="Arial" w:cs="Arial"/>
        <w:sz w:val="16"/>
        <w:szCs w:val="16"/>
      </w:rPr>
      <w:tab/>
    </w:r>
    <w:r w:rsidR="00D316AF" w:rsidRPr="00223E00">
      <w:rPr>
        <w:rFonts w:ascii="Arial" w:hAnsi="Arial" w:cs="Arial"/>
        <w:sz w:val="16"/>
        <w:szCs w:val="16"/>
      </w:rPr>
      <w:fldChar w:fldCharType="begin"/>
    </w:r>
    <w:r w:rsidRPr="00223E00">
      <w:rPr>
        <w:rFonts w:ascii="Arial" w:hAnsi="Arial" w:cs="Arial"/>
        <w:sz w:val="16"/>
        <w:szCs w:val="16"/>
      </w:rPr>
      <w:instrText xml:space="preserve"> PAGE   \* MERGEFORMAT </w:instrText>
    </w:r>
    <w:r w:rsidR="00D316AF" w:rsidRPr="00223E00">
      <w:rPr>
        <w:rFonts w:ascii="Arial" w:hAnsi="Arial" w:cs="Arial"/>
        <w:sz w:val="16"/>
        <w:szCs w:val="16"/>
      </w:rPr>
      <w:fldChar w:fldCharType="separate"/>
    </w:r>
    <w:r w:rsidR="00857CB0">
      <w:rPr>
        <w:rFonts w:ascii="Arial" w:hAnsi="Arial" w:cs="Arial"/>
        <w:noProof/>
        <w:sz w:val="16"/>
        <w:szCs w:val="16"/>
      </w:rPr>
      <w:t>11</w:t>
    </w:r>
    <w:r w:rsidR="00D316AF" w:rsidRPr="00223E00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D43" w:rsidRDefault="00707D43" w:rsidP="00E71A58">
      <w:r>
        <w:separator/>
      </w:r>
    </w:p>
  </w:footnote>
  <w:footnote w:type="continuationSeparator" w:id="0">
    <w:p w:rsidR="00707D43" w:rsidRDefault="00707D43" w:rsidP="00E71A58">
      <w:r>
        <w:continuationSeparator/>
      </w:r>
    </w:p>
  </w:footnote>
  <w:footnote w:id="1">
    <w:p w:rsidR="00707D43" w:rsidRPr="00EF6BE3" w:rsidRDefault="00707D43" w:rsidP="00DC3790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EF6BE3">
        <w:rPr>
          <w:sz w:val="16"/>
          <w:szCs w:val="16"/>
        </w:rPr>
        <w:t>Zahrnující odvětví dle CZ-NACE: B (Těžba a dobývání), C (Zpracovatelský průmysl), D (Energetika)</w:t>
      </w:r>
      <w:r>
        <w:rPr>
          <w:sz w:val="16"/>
          <w:szCs w:val="16"/>
        </w:rPr>
        <w:t>.</w:t>
      </w:r>
    </w:p>
  </w:footnote>
  <w:footnote w:id="2">
    <w:p w:rsidR="00707D43" w:rsidRDefault="00707D43" w:rsidP="00DC3790">
      <w:pPr>
        <w:pStyle w:val="Textpoznpodarou"/>
        <w:rPr>
          <w:sz w:val="18"/>
        </w:rPr>
      </w:pPr>
      <w:r w:rsidRPr="006D142E">
        <w:rPr>
          <w:rStyle w:val="Znakapoznpodarou"/>
          <w:sz w:val="16"/>
          <w:szCs w:val="16"/>
        </w:rPr>
        <w:footnoteRef/>
      </w:r>
      <w:r w:rsidRPr="006D142E">
        <w:rPr>
          <w:sz w:val="16"/>
          <w:szCs w:val="16"/>
        </w:rPr>
        <w:t xml:space="preserve"> Nezahrnují odvětví obchodu, peněžnictví a pojišťovnictví, vědy a výzkumu a také veřejných služeb</w:t>
      </w:r>
      <w:r>
        <w:rPr>
          <w:sz w:val="16"/>
          <w:szCs w:val="16"/>
        </w:rPr>
        <w:t>.</w:t>
      </w:r>
    </w:p>
  </w:footnote>
  <w:footnote w:id="3">
    <w:p w:rsidR="00707D43" w:rsidRPr="003F1A48" w:rsidRDefault="00707D43" w:rsidP="00BB1CFD">
      <w:pPr>
        <w:pStyle w:val="Textpoznpodarou"/>
        <w:rPr>
          <w:sz w:val="16"/>
          <w:szCs w:val="16"/>
        </w:rPr>
      </w:pPr>
      <w:r w:rsidRPr="004978D3">
        <w:rPr>
          <w:rStyle w:val="Znakapoznpodarou"/>
        </w:rPr>
        <w:footnoteRef/>
      </w:r>
      <w:r w:rsidRPr="004978D3">
        <w:t xml:space="preserve"> </w:t>
      </w:r>
      <w:r w:rsidRPr="003F1A48">
        <w:rPr>
          <w:sz w:val="16"/>
          <w:szCs w:val="16"/>
        </w:rPr>
        <w:t>Očištěný o počet pracovních dní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D43" w:rsidRPr="00D766EF" w:rsidRDefault="00707D43" w:rsidP="00D766EF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szCs w:val="16"/>
      </w:rPr>
    </w:pPr>
    <w:r>
      <w:rPr>
        <w:rFonts w:ascii="Arial" w:hAnsi="Arial" w:cs="Arial"/>
        <w:sz w:val="16"/>
        <w:szCs w:val="16"/>
      </w:rPr>
      <w:t>Vývoj ekonomiky České republiky v 1. pololetí 2015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D43" w:rsidRPr="00D766EF" w:rsidRDefault="00707D43" w:rsidP="00D766EF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szCs w:val="16"/>
      </w:rPr>
    </w:pPr>
    <w:r>
      <w:rPr>
        <w:rFonts w:ascii="Arial" w:hAnsi="Arial" w:cs="Arial"/>
        <w:sz w:val="16"/>
        <w:szCs w:val="16"/>
      </w:rPr>
      <w:t>Vývoj ekonomiky České republiky v 1. pololetí 2015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10ED3"/>
    <w:multiLevelType w:val="hybridMultilevel"/>
    <w:tmpl w:val="BD3E911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D0FE2"/>
    <w:multiLevelType w:val="hybridMultilevel"/>
    <w:tmpl w:val="03541CA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93E7F"/>
    <w:multiLevelType w:val="hybridMultilevel"/>
    <w:tmpl w:val="CEA2AC42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F0669"/>
    <w:multiLevelType w:val="hybridMultilevel"/>
    <w:tmpl w:val="6B9809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6C940DA"/>
    <w:multiLevelType w:val="hybridMultilevel"/>
    <w:tmpl w:val="D2C67DD0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550A0F"/>
    <w:multiLevelType w:val="hybridMultilevel"/>
    <w:tmpl w:val="A6E66A4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24"/>
  <w:doNotTrackMoves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0BD"/>
    <w:rsid w:val="00000FA7"/>
    <w:rsid w:val="00003687"/>
    <w:rsid w:val="00003C43"/>
    <w:rsid w:val="00007498"/>
    <w:rsid w:val="0000767A"/>
    <w:rsid w:val="000101F5"/>
    <w:rsid w:val="000104B9"/>
    <w:rsid w:val="00010702"/>
    <w:rsid w:val="00011191"/>
    <w:rsid w:val="0001159B"/>
    <w:rsid w:val="00012986"/>
    <w:rsid w:val="0001573E"/>
    <w:rsid w:val="00017F05"/>
    <w:rsid w:val="000202C6"/>
    <w:rsid w:val="00020946"/>
    <w:rsid w:val="00024887"/>
    <w:rsid w:val="00024CBA"/>
    <w:rsid w:val="00025501"/>
    <w:rsid w:val="00026998"/>
    <w:rsid w:val="0003066A"/>
    <w:rsid w:val="00032838"/>
    <w:rsid w:val="00032C12"/>
    <w:rsid w:val="00035FC6"/>
    <w:rsid w:val="00037667"/>
    <w:rsid w:val="000411E1"/>
    <w:rsid w:val="00043E05"/>
    <w:rsid w:val="0004694F"/>
    <w:rsid w:val="000500DC"/>
    <w:rsid w:val="00052172"/>
    <w:rsid w:val="00055059"/>
    <w:rsid w:val="000553E4"/>
    <w:rsid w:val="00062EC5"/>
    <w:rsid w:val="00064256"/>
    <w:rsid w:val="000706A4"/>
    <w:rsid w:val="00072118"/>
    <w:rsid w:val="00073173"/>
    <w:rsid w:val="000779AC"/>
    <w:rsid w:val="00083803"/>
    <w:rsid w:val="0008716A"/>
    <w:rsid w:val="00087634"/>
    <w:rsid w:val="00091237"/>
    <w:rsid w:val="0009191B"/>
    <w:rsid w:val="000920EC"/>
    <w:rsid w:val="00092208"/>
    <w:rsid w:val="00092505"/>
    <w:rsid w:val="00097D02"/>
    <w:rsid w:val="000A1183"/>
    <w:rsid w:val="000A2121"/>
    <w:rsid w:val="000A2484"/>
    <w:rsid w:val="000B1CFE"/>
    <w:rsid w:val="000B210A"/>
    <w:rsid w:val="000B249B"/>
    <w:rsid w:val="000B3DB9"/>
    <w:rsid w:val="000B3F02"/>
    <w:rsid w:val="000B48E7"/>
    <w:rsid w:val="000B7663"/>
    <w:rsid w:val="000C11D3"/>
    <w:rsid w:val="000C12F5"/>
    <w:rsid w:val="000C3408"/>
    <w:rsid w:val="000D0D51"/>
    <w:rsid w:val="000D14B3"/>
    <w:rsid w:val="000D208B"/>
    <w:rsid w:val="000D2B8D"/>
    <w:rsid w:val="000D2E41"/>
    <w:rsid w:val="000D5E7A"/>
    <w:rsid w:val="000D5FAA"/>
    <w:rsid w:val="000D65A4"/>
    <w:rsid w:val="000D6AEF"/>
    <w:rsid w:val="000E025B"/>
    <w:rsid w:val="000E153A"/>
    <w:rsid w:val="000E19A8"/>
    <w:rsid w:val="000E4A42"/>
    <w:rsid w:val="000E6476"/>
    <w:rsid w:val="000E78D2"/>
    <w:rsid w:val="000F3332"/>
    <w:rsid w:val="000F33EE"/>
    <w:rsid w:val="000F401E"/>
    <w:rsid w:val="000F5445"/>
    <w:rsid w:val="000F67B2"/>
    <w:rsid w:val="000F790F"/>
    <w:rsid w:val="000F7E1B"/>
    <w:rsid w:val="00100014"/>
    <w:rsid w:val="0010039A"/>
    <w:rsid w:val="00101FB2"/>
    <w:rsid w:val="00102F02"/>
    <w:rsid w:val="001041B6"/>
    <w:rsid w:val="001070EA"/>
    <w:rsid w:val="0011002A"/>
    <w:rsid w:val="0011110A"/>
    <w:rsid w:val="001118AF"/>
    <w:rsid w:val="0011256E"/>
    <w:rsid w:val="0011352E"/>
    <w:rsid w:val="00116DB9"/>
    <w:rsid w:val="00116F28"/>
    <w:rsid w:val="00121C39"/>
    <w:rsid w:val="00123255"/>
    <w:rsid w:val="00124D2D"/>
    <w:rsid w:val="001307BE"/>
    <w:rsid w:val="00130C8F"/>
    <w:rsid w:val="001314F2"/>
    <w:rsid w:val="001317DA"/>
    <w:rsid w:val="001323BA"/>
    <w:rsid w:val="0013254D"/>
    <w:rsid w:val="00133AAC"/>
    <w:rsid w:val="00136561"/>
    <w:rsid w:val="001400E1"/>
    <w:rsid w:val="001405FA"/>
    <w:rsid w:val="001413B3"/>
    <w:rsid w:val="001425C3"/>
    <w:rsid w:val="00142F16"/>
    <w:rsid w:val="00143E03"/>
    <w:rsid w:val="00143E93"/>
    <w:rsid w:val="00151AC0"/>
    <w:rsid w:val="00152046"/>
    <w:rsid w:val="00154147"/>
    <w:rsid w:val="00156318"/>
    <w:rsid w:val="0015639A"/>
    <w:rsid w:val="0016081D"/>
    <w:rsid w:val="00160CF3"/>
    <w:rsid w:val="001620FA"/>
    <w:rsid w:val="00162853"/>
    <w:rsid w:val="00163793"/>
    <w:rsid w:val="001707DE"/>
    <w:rsid w:val="00170B04"/>
    <w:rsid w:val="00170F47"/>
    <w:rsid w:val="001714F2"/>
    <w:rsid w:val="00173642"/>
    <w:rsid w:val="00174CE8"/>
    <w:rsid w:val="00176050"/>
    <w:rsid w:val="001764D8"/>
    <w:rsid w:val="00176A8F"/>
    <w:rsid w:val="00180D58"/>
    <w:rsid w:val="00182981"/>
    <w:rsid w:val="00184CF9"/>
    <w:rsid w:val="00185010"/>
    <w:rsid w:val="001852EC"/>
    <w:rsid w:val="001874CF"/>
    <w:rsid w:val="00190D9B"/>
    <w:rsid w:val="00191BAE"/>
    <w:rsid w:val="00193432"/>
    <w:rsid w:val="00195444"/>
    <w:rsid w:val="001A2BDB"/>
    <w:rsid w:val="001A30F4"/>
    <w:rsid w:val="001A552F"/>
    <w:rsid w:val="001A56F3"/>
    <w:rsid w:val="001A750C"/>
    <w:rsid w:val="001B1D89"/>
    <w:rsid w:val="001B3110"/>
    <w:rsid w:val="001B44BC"/>
    <w:rsid w:val="001B6545"/>
    <w:rsid w:val="001B681B"/>
    <w:rsid w:val="001B6A49"/>
    <w:rsid w:val="001B74FB"/>
    <w:rsid w:val="001B77A1"/>
    <w:rsid w:val="001C0422"/>
    <w:rsid w:val="001C0E0E"/>
    <w:rsid w:val="001C1219"/>
    <w:rsid w:val="001C357A"/>
    <w:rsid w:val="001C3A37"/>
    <w:rsid w:val="001C4384"/>
    <w:rsid w:val="001C65FF"/>
    <w:rsid w:val="001D47E5"/>
    <w:rsid w:val="001D584C"/>
    <w:rsid w:val="001D66C1"/>
    <w:rsid w:val="001E0C65"/>
    <w:rsid w:val="001E23E3"/>
    <w:rsid w:val="001E387A"/>
    <w:rsid w:val="001E3DA4"/>
    <w:rsid w:val="001E5830"/>
    <w:rsid w:val="001E684C"/>
    <w:rsid w:val="001E701C"/>
    <w:rsid w:val="001E7C03"/>
    <w:rsid w:val="001F02AF"/>
    <w:rsid w:val="001F28F4"/>
    <w:rsid w:val="001F3C79"/>
    <w:rsid w:val="001F3E68"/>
    <w:rsid w:val="001F4597"/>
    <w:rsid w:val="00200D15"/>
    <w:rsid w:val="00203074"/>
    <w:rsid w:val="00203B46"/>
    <w:rsid w:val="002048E1"/>
    <w:rsid w:val="00210278"/>
    <w:rsid w:val="00210CC2"/>
    <w:rsid w:val="00210F5B"/>
    <w:rsid w:val="00211262"/>
    <w:rsid w:val="00211AC9"/>
    <w:rsid w:val="0021355B"/>
    <w:rsid w:val="002205F2"/>
    <w:rsid w:val="0022080E"/>
    <w:rsid w:val="0022139E"/>
    <w:rsid w:val="0022272B"/>
    <w:rsid w:val="00222A99"/>
    <w:rsid w:val="00223678"/>
    <w:rsid w:val="00223E00"/>
    <w:rsid w:val="002252E0"/>
    <w:rsid w:val="002255F6"/>
    <w:rsid w:val="00226466"/>
    <w:rsid w:val="002266D0"/>
    <w:rsid w:val="00230DAD"/>
    <w:rsid w:val="0023229C"/>
    <w:rsid w:val="00234280"/>
    <w:rsid w:val="00235000"/>
    <w:rsid w:val="002350E3"/>
    <w:rsid w:val="00236443"/>
    <w:rsid w:val="00240A5B"/>
    <w:rsid w:val="002436BA"/>
    <w:rsid w:val="002444ED"/>
    <w:rsid w:val="00244A15"/>
    <w:rsid w:val="00244D40"/>
    <w:rsid w:val="00246AE9"/>
    <w:rsid w:val="0024799E"/>
    <w:rsid w:val="00250C59"/>
    <w:rsid w:val="00251D59"/>
    <w:rsid w:val="00252602"/>
    <w:rsid w:val="00252FDC"/>
    <w:rsid w:val="00261E5B"/>
    <w:rsid w:val="00263470"/>
    <w:rsid w:val="00263733"/>
    <w:rsid w:val="00264676"/>
    <w:rsid w:val="00265536"/>
    <w:rsid w:val="00265E54"/>
    <w:rsid w:val="00266F3E"/>
    <w:rsid w:val="00272464"/>
    <w:rsid w:val="00273DCD"/>
    <w:rsid w:val="00274291"/>
    <w:rsid w:val="00276CFE"/>
    <w:rsid w:val="00277071"/>
    <w:rsid w:val="0027786C"/>
    <w:rsid w:val="00277BF7"/>
    <w:rsid w:val="00281416"/>
    <w:rsid w:val="00285CD3"/>
    <w:rsid w:val="0028686A"/>
    <w:rsid w:val="00286E66"/>
    <w:rsid w:val="002919B5"/>
    <w:rsid w:val="00293441"/>
    <w:rsid w:val="0029493E"/>
    <w:rsid w:val="00296C2E"/>
    <w:rsid w:val="002A1B05"/>
    <w:rsid w:val="002A3354"/>
    <w:rsid w:val="002A35EA"/>
    <w:rsid w:val="002A37B6"/>
    <w:rsid w:val="002A3BD5"/>
    <w:rsid w:val="002A43A2"/>
    <w:rsid w:val="002A4612"/>
    <w:rsid w:val="002A5263"/>
    <w:rsid w:val="002A6821"/>
    <w:rsid w:val="002A74D2"/>
    <w:rsid w:val="002B1544"/>
    <w:rsid w:val="002B36C8"/>
    <w:rsid w:val="002B7240"/>
    <w:rsid w:val="002C2668"/>
    <w:rsid w:val="002C43BD"/>
    <w:rsid w:val="002C5261"/>
    <w:rsid w:val="002C6091"/>
    <w:rsid w:val="002D0562"/>
    <w:rsid w:val="002D1B5A"/>
    <w:rsid w:val="002D3F00"/>
    <w:rsid w:val="002D4D59"/>
    <w:rsid w:val="002D54BF"/>
    <w:rsid w:val="002D5E94"/>
    <w:rsid w:val="002D632D"/>
    <w:rsid w:val="002E02A1"/>
    <w:rsid w:val="002E0982"/>
    <w:rsid w:val="002E0DB9"/>
    <w:rsid w:val="002E2CE4"/>
    <w:rsid w:val="002F33FB"/>
    <w:rsid w:val="002F7594"/>
    <w:rsid w:val="00301357"/>
    <w:rsid w:val="00301D04"/>
    <w:rsid w:val="00304771"/>
    <w:rsid w:val="00305736"/>
    <w:rsid w:val="00306C5B"/>
    <w:rsid w:val="00306E3B"/>
    <w:rsid w:val="00312C3D"/>
    <w:rsid w:val="00314331"/>
    <w:rsid w:val="00317E31"/>
    <w:rsid w:val="00320214"/>
    <w:rsid w:val="003209D6"/>
    <w:rsid w:val="0032109A"/>
    <w:rsid w:val="0032214F"/>
    <w:rsid w:val="00322164"/>
    <w:rsid w:val="0032513D"/>
    <w:rsid w:val="00326251"/>
    <w:rsid w:val="00327DEE"/>
    <w:rsid w:val="003329F3"/>
    <w:rsid w:val="0033352E"/>
    <w:rsid w:val="00333690"/>
    <w:rsid w:val="00333D20"/>
    <w:rsid w:val="003340EF"/>
    <w:rsid w:val="00334A49"/>
    <w:rsid w:val="00335BB0"/>
    <w:rsid w:val="0033627B"/>
    <w:rsid w:val="003406BD"/>
    <w:rsid w:val="00343F84"/>
    <w:rsid w:val="00344135"/>
    <w:rsid w:val="00351B63"/>
    <w:rsid w:val="00352E57"/>
    <w:rsid w:val="003541B0"/>
    <w:rsid w:val="00355885"/>
    <w:rsid w:val="0035605E"/>
    <w:rsid w:val="00357449"/>
    <w:rsid w:val="0036238B"/>
    <w:rsid w:val="00365680"/>
    <w:rsid w:val="003657F3"/>
    <w:rsid w:val="00367038"/>
    <w:rsid w:val="0037144E"/>
    <w:rsid w:val="003736B5"/>
    <w:rsid w:val="00374F1E"/>
    <w:rsid w:val="00376DEC"/>
    <w:rsid w:val="00380E04"/>
    <w:rsid w:val="00383227"/>
    <w:rsid w:val="00384D8F"/>
    <w:rsid w:val="00385D98"/>
    <w:rsid w:val="00385EC5"/>
    <w:rsid w:val="0039066E"/>
    <w:rsid w:val="00391C95"/>
    <w:rsid w:val="00396DAC"/>
    <w:rsid w:val="003A0214"/>
    <w:rsid w:val="003A027D"/>
    <w:rsid w:val="003A1D74"/>
    <w:rsid w:val="003A2B4D"/>
    <w:rsid w:val="003A2D2B"/>
    <w:rsid w:val="003A2DD4"/>
    <w:rsid w:val="003A3B1C"/>
    <w:rsid w:val="003A478C"/>
    <w:rsid w:val="003A4F82"/>
    <w:rsid w:val="003A5525"/>
    <w:rsid w:val="003A6B38"/>
    <w:rsid w:val="003B2E63"/>
    <w:rsid w:val="003B3189"/>
    <w:rsid w:val="003B3A9D"/>
    <w:rsid w:val="003B5031"/>
    <w:rsid w:val="003B5A32"/>
    <w:rsid w:val="003B6105"/>
    <w:rsid w:val="003C04C4"/>
    <w:rsid w:val="003C26F4"/>
    <w:rsid w:val="003C4852"/>
    <w:rsid w:val="003C601E"/>
    <w:rsid w:val="003D3600"/>
    <w:rsid w:val="003D3825"/>
    <w:rsid w:val="003D3EC4"/>
    <w:rsid w:val="003D4760"/>
    <w:rsid w:val="003D49DC"/>
    <w:rsid w:val="003E0663"/>
    <w:rsid w:val="003E133F"/>
    <w:rsid w:val="003E699C"/>
    <w:rsid w:val="003E69F3"/>
    <w:rsid w:val="003E782E"/>
    <w:rsid w:val="003E7A0B"/>
    <w:rsid w:val="003E7B2B"/>
    <w:rsid w:val="003F1A48"/>
    <w:rsid w:val="003F2B0A"/>
    <w:rsid w:val="003F313C"/>
    <w:rsid w:val="003F37FC"/>
    <w:rsid w:val="003F49A6"/>
    <w:rsid w:val="003F5098"/>
    <w:rsid w:val="003F5568"/>
    <w:rsid w:val="003F5A95"/>
    <w:rsid w:val="003F6D19"/>
    <w:rsid w:val="004000D5"/>
    <w:rsid w:val="00401716"/>
    <w:rsid w:val="0040273A"/>
    <w:rsid w:val="00402C25"/>
    <w:rsid w:val="004050D7"/>
    <w:rsid w:val="004078BD"/>
    <w:rsid w:val="00410132"/>
    <w:rsid w:val="00410BCD"/>
    <w:rsid w:val="0041175D"/>
    <w:rsid w:val="004123BE"/>
    <w:rsid w:val="00414CE5"/>
    <w:rsid w:val="00416673"/>
    <w:rsid w:val="0042160D"/>
    <w:rsid w:val="0042681B"/>
    <w:rsid w:val="0043068A"/>
    <w:rsid w:val="004306E0"/>
    <w:rsid w:val="004329BE"/>
    <w:rsid w:val="00432C38"/>
    <w:rsid w:val="00437C76"/>
    <w:rsid w:val="004441A0"/>
    <w:rsid w:val="00444268"/>
    <w:rsid w:val="004443BF"/>
    <w:rsid w:val="00444C19"/>
    <w:rsid w:val="00446892"/>
    <w:rsid w:val="00450C30"/>
    <w:rsid w:val="00455ECA"/>
    <w:rsid w:val="00460164"/>
    <w:rsid w:val="0046039A"/>
    <w:rsid w:val="00460A6B"/>
    <w:rsid w:val="00461977"/>
    <w:rsid w:val="004629FD"/>
    <w:rsid w:val="00463F4D"/>
    <w:rsid w:val="0046471F"/>
    <w:rsid w:val="00464BE8"/>
    <w:rsid w:val="00465019"/>
    <w:rsid w:val="0046613F"/>
    <w:rsid w:val="0046655D"/>
    <w:rsid w:val="0046765E"/>
    <w:rsid w:val="004676E2"/>
    <w:rsid w:val="00471EDD"/>
    <w:rsid w:val="00473E94"/>
    <w:rsid w:val="0047400C"/>
    <w:rsid w:val="004745D9"/>
    <w:rsid w:val="004762D8"/>
    <w:rsid w:val="004765B3"/>
    <w:rsid w:val="00476D29"/>
    <w:rsid w:val="00477241"/>
    <w:rsid w:val="00477EAF"/>
    <w:rsid w:val="00477EE0"/>
    <w:rsid w:val="0048139F"/>
    <w:rsid w:val="00483053"/>
    <w:rsid w:val="004879E9"/>
    <w:rsid w:val="0049104F"/>
    <w:rsid w:val="00491218"/>
    <w:rsid w:val="00493362"/>
    <w:rsid w:val="00496C2F"/>
    <w:rsid w:val="0049740D"/>
    <w:rsid w:val="004978D3"/>
    <w:rsid w:val="004A11F8"/>
    <w:rsid w:val="004A22FA"/>
    <w:rsid w:val="004A269A"/>
    <w:rsid w:val="004A30FB"/>
    <w:rsid w:val="004A35DD"/>
    <w:rsid w:val="004A37D3"/>
    <w:rsid w:val="004A3AD6"/>
    <w:rsid w:val="004A5865"/>
    <w:rsid w:val="004A77DF"/>
    <w:rsid w:val="004B0295"/>
    <w:rsid w:val="004B10A8"/>
    <w:rsid w:val="004B22DA"/>
    <w:rsid w:val="004B3CB7"/>
    <w:rsid w:val="004B3D55"/>
    <w:rsid w:val="004B55B7"/>
    <w:rsid w:val="004C00A6"/>
    <w:rsid w:val="004C0BBB"/>
    <w:rsid w:val="004C1B86"/>
    <w:rsid w:val="004C3382"/>
    <w:rsid w:val="004C3867"/>
    <w:rsid w:val="004C4AB7"/>
    <w:rsid w:val="004C4CD0"/>
    <w:rsid w:val="004C57B5"/>
    <w:rsid w:val="004C5C25"/>
    <w:rsid w:val="004C6717"/>
    <w:rsid w:val="004C6CFF"/>
    <w:rsid w:val="004C70DC"/>
    <w:rsid w:val="004C7268"/>
    <w:rsid w:val="004D0211"/>
    <w:rsid w:val="004D1C9C"/>
    <w:rsid w:val="004D504B"/>
    <w:rsid w:val="004D536E"/>
    <w:rsid w:val="004E1839"/>
    <w:rsid w:val="004E4A75"/>
    <w:rsid w:val="004E541A"/>
    <w:rsid w:val="004E5A5C"/>
    <w:rsid w:val="004E76D6"/>
    <w:rsid w:val="004F06F5"/>
    <w:rsid w:val="004F191F"/>
    <w:rsid w:val="004F2A73"/>
    <w:rsid w:val="004F33A0"/>
    <w:rsid w:val="004F4353"/>
    <w:rsid w:val="004F447D"/>
    <w:rsid w:val="004F4C28"/>
    <w:rsid w:val="004F5CC5"/>
    <w:rsid w:val="00507040"/>
    <w:rsid w:val="005079F8"/>
    <w:rsid w:val="00510189"/>
    <w:rsid w:val="005108C0"/>
    <w:rsid w:val="00511873"/>
    <w:rsid w:val="00513B7E"/>
    <w:rsid w:val="00514474"/>
    <w:rsid w:val="005215EF"/>
    <w:rsid w:val="00524637"/>
    <w:rsid w:val="00525137"/>
    <w:rsid w:val="005251DD"/>
    <w:rsid w:val="0053017A"/>
    <w:rsid w:val="00530492"/>
    <w:rsid w:val="00532854"/>
    <w:rsid w:val="005350F2"/>
    <w:rsid w:val="00535152"/>
    <w:rsid w:val="00535359"/>
    <w:rsid w:val="005357A2"/>
    <w:rsid w:val="00535D87"/>
    <w:rsid w:val="00535EF0"/>
    <w:rsid w:val="0053734B"/>
    <w:rsid w:val="00537AFD"/>
    <w:rsid w:val="00537CB4"/>
    <w:rsid w:val="0054516B"/>
    <w:rsid w:val="0054559E"/>
    <w:rsid w:val="005513D5"/>
    <w:rsid w:val="005523B9"/>
    <w:rsid w:val="005545E0"/>
    <w:rsid w:val="00554865"/>
    <w:rsid w:val="00554E57"/>
    <w:rsid w:val="00562749"/>
    <w:rsid w:val="00562DE9"/>
    <w:rsid w:val="005638A5"/>
    <w:rsid w:val="00566381"/>
    <w:rsid w:val="00566A03"/>
    <w:rsid w:val="00571932"/>
    <w:rsid w:val="00573C97"/>
    <w:rsid w:val="00574240"/>
    <w:rsid w:val="00575CDC"/>
    <w:rsid w:val="005765D5"/>
    <w:rsid w:val="00576A3E"/>
    <w:rsid w:val="00583D5B"/>
    <w:rsid w:val="00583FFD"/>
    <w:rsid w:val="00587CCD"/>
    <w:rsid w:val="005908AE"/>
    <w:rsid w:val="0059176E"/>
    <w:rsid w:val="00593152"/>
    <w:rsid w:val="00593CA3"/>
    <w:rsid w:val="00594161"/>
    <w:rsid w:val="00594969"/>
    <w:rsid w:val="00596C5E"/>
    <w:rsid w:val="005A2194"/>
    <w:rsid w:val="005A21E0"/>
    <w:rsid w:val="005A33A1"/>
    <w:rsid w:val="005A54EE"/>
    <w:rsid w:val="005A7500"/>
    <w:rsid w:val="005B1BDB"/>
    <w:rsid w:val="005B2BAA"/>
    <w:rsid w:val="005B2D53"/>
    <w:rsid w:val="005B3247"/>
    <w:rsid w:val="005B3409"/>
    <w:rsid w:val="005B7B12"/>
    <w:rsid w:val="005C16CB"/>
    <w:rsid w:val="005C3F9F"/>
    <w:rsid w:val="005C4A23"/>
    <w:rsid w:val="005C6400"/>
    <w:rsid w:val="005C7F1E"/>
    <w:rsid w:val="005D374F"/>
    <w:rsid w:val="005D5802"/>
    <w:rsid w:val="005D6CFC"/>
    <w:rsid w:val="005D73E2"/>
    <w:rsid w:val="005E1E4B"/>
    <w:rsid w:val="005E362D"/>
    <w:rsid w:val="005E492C"/>
    <w:rsid w:val="005E4BAA"/>
    <w:rsid w:val="005E52EF"/>
    <w:rsid w:val="005E5B56"/>
    <w:rsid w:val="005E6088"/>
    <w:rsid w:val="005E61DF"/>
    <w:rsid w:val="005E6B78"/>
    <w:rsid w:val="005F4057"/>
    <w:rsid w:val="005F4088"/>
    <w:rsid w:val="005F6119"/>
    <w:rsid w:val="0060107A"/>
    <w:rsid w:val="00601AFF"/>
    <w:rsid w:val="00602D1D"/>
    <w:rsid w:val="00604307"/>
    <w:rsid w:val="0060487F"/>
    <w:rsid w:val="00605814"/>
    <w:rsid w:val="00606B93"/>
    <w:rsid w:val="00607727"/>
    <w:rsid w:val="006118AA"/>
    <w:rsid w:val="006139C7"/>
    <w:rsid w:val="006153E3"/>
    <w:rsid w:val="00617D2D"/>
    <w:rsid w:val="00617D83"/>
    <w:rsid w:val="00620AC5"/>
    <w:rsid w:val="00621575"/>
    <w:rsid w:val="006215FC"/>
    <w:rsid w:val="00624093"/>
    <w:rsid w:val="00630F66"/>
    <w:rsid w:val="00631FC2"/>
    <w:rsid w:val="00632171"/>
    <w:rsid w:val="0063332A"/>
    <w:rsid w:val="006347F9"/>
    <w:rsid w:val="00634C90"/>
    <w:rsid w:val="00635E79"/>
    <w:rsid w:val="00636E5E"/>
    <w:rsid w:val="006404A7"/>
    <w:rsid w:val="006407F3"/>
    <w:rsid w:val="00644DFC"/>
    <w:rsid w:val="006451E4"/>
    <w:rsid w:val="006460B8"/>
    <w:rsid w:val="006520C7"/>
    <w:rsid w:val="006530B8"/>
    <w:rsid w:val="006535D6"/>
    <w:rsid w:val="006572ED"/>
    <w:rsid w:val="00657E87"/>
    <w:rsid w:val="00660457"/>
    <w:rsid w:val="00660E1E"/>
    <w:rsid w:val="006637B1"/>
    <w:rsid w:val="00665D67"/>
    <w:rsid w:val="00665D77"/>
    <w:rsid w:val="006660CD"/>
    <w:rsid w:val="00666F4B"/>
    <w:rsid w:val="006676D0"/>
    <w:rsid w:val="00670FAC"/>
    <w:rsid w:val="006710C9"/>
    <w:rsid w:val="00675E37"/>
    <w:rsid w:val="00676F11"/>
    <w:rsid w:val="00680079"/>
    <w:rsid w:val="00680F68"/>
    <w:rsid w:val="0068260E"/>
    <w:rsid w:val="0068373D"/>
    <w:rsid w:val="00683BFE"/>
    <w:rsid w:val="006857DF"/>
    <w:rsid w:val="00685E66"/>
    <w:rsid w:val="00686B72"/>
    <w:rsid w:val="00686BF1"/>
    <w:rsid w:val="00690A09"/>
    <w:rsid w:val="00693FEA"/>
    <w:rsid w:val="00694930"/>
    <w:rsid w:val="00695170"/>
    <w:rsid w:val="00695BEF"/>
    <w:rsid w:val="006960D6"/>
    <w:rsid w:val="00696AA5"/>
    <w:rsid w:val="006977F6"/>
    <w:rsid w:val="00697A13"/>
    <w:rsid w:val="006A109C"/>
    <w:rsid w:val="006A3CF3"/>
    <w:rsid w:val="006A672B"/>
    <w:rsid w:val="006B3F8A"/>
    <w:rsid w:val="006B5CA3"/>
    <w:rsid w:val="006B6B3B"/>
    <w:rsid w:val="006B7714"/>
    <w:rsid w:val="006B78D8"/>
    <w:rsid w:val="006C090F"/>
    <w:rsid w:val="006C113F"/>
    <w:rsid w:val="006C38DD"/>
    <w:rsid w:val="006C5577"/>
    <w:rsid w:val="006C559A"/>
    <w:rsid w:val="006C58FA"/>
    <w:rsid w:val="006D042D"/>
    <w:rsid w:val="006D06EF"/>
    <w:rsid w:val="006D142E"/>
    <w:rsid w:val="006D4E6F"/>
    <w:rsid w:val="006D61F6"/>
    <w:rsid w:val="006E1F4C"/>
    <w:rsid w:val="006E279A"/>
    <w:rsid w:val="006E2F3F"/>
    <w:rsid w:val="006E313B"/>
    <w:rsid w:val="006E442A"/>
    <w:rsid w:val="006E5CFD"/>
    <w:rsid w:val="006F1326"/>
    <w:rsid w:val="006F2BEE"/>
    <w:rsid w:val="006F3708"/>
    <w:rsid w:val="006F3E6B"/>
    <w:rsid w:val="006F4A59"/>
    <w:rsid w:val="007014C7"/>
    <w:rsid w:val="00702D6F"/>
    <w:rsid w:val="00703B6C"/>
    <w:rsid w:val="007047D5"/>
    <w:rsid w:val="00705D98"/>
    <w:rsid w:val="00707891"/>
    <w:rsid w:val="00707D43"/>
    <w:rsid w:val="00711EF1"/>
    <w:rsid w:val="0071229A"/>
    <w:rsid w:val="00712572"/>
    <w:rsid w:val="00713495"/>
    <w:rsid w:val="00720FA2"/>
    <w:rsid w:val="007211F5"/>
    <w:rsid w:val="00724666"/>
    <w:rsid w:val="00726043"/>
    <w:rsid w:val="0072704A"/>
    <w:rsid w:val="00730AE8"/>
    <w:rsid w:val="00731963"/>
    <w:rsid w:val="00734321"/>
    <w:rsid w:val="00740310"/>
    <w:rsid w:val="00740652"/>
    <w:rsid w:val="00740F02"/>
    <w:rsid w:val="00740FEC"/>
    <w:rsid w:val="0074132E"/>
    <w:rsid w:val="00741493"/>
    <w:rsid w:val="007426B3"/>
    <w:rsid w:val="007426FD"/>
    <w:rsid w:val="0074329D"/>
    <w:rsid w:val="00744376"/>
    <w:rsid w:val="007449EA"/>
    <w:rsid w:val="00746DD9"/>
    <w:rsid w:val="0075057A"/>
    <w:rsid w:val="00751771"/>
    <w:rsid w:val="00751C1C"/>
    <w:rsid w:val="00752180"/>
    <w:rsid w:val="007521A1"/>
    <w:rsid w:val="0075315D"/>
    <w:rsid w:val="007538F9"/>
    <w:rsid w:val="00754253"/>
    <w:rsid w:val="007558D3"/>
    <w:rsid w:val="007559D7"/>
    <w:rsid w:val="00755D3A"/>
    <w:rsid w:val="00760141"/>
    <w:rsid w:val="007609C6"/>
    <w:rsid w:val="007610A0"/>
    <w:rsid w:val="007620F2"/>
    <w:rsid w:val="00762EBA"/>
    <w:rsid w:val="0076359D"/>
    <w:rsid w:val="00772536"/>
    <w:rsid w:val="00773613"/>
    <w:rsid w:val="00774782"/>
    <w:rsid w:val="00776527"/>
    <w:rsid w:val="0078113E"/>
    <w:rsid w:val="00781834"/>
    <w:rsid w:val="007821DB"/>
    <w:rsid w:val="00782818"/>
    <w:rsid w:val="00784C4A"/>
    <w:rsid w:val="00787432"/>
    <w:rsid w:val="00787507"/>
    <w:rsid w:val="007879F2"/>
    <w:rsid w:val="00791CF8"/>
    <w:rsid w:val="00792262"/>
    <w:rsid w:val="00793387"/>
    <w:rsid w:val="00793BAE"/>
    <w:rsid w:val="00794E0A"/>
    <w:rsid w:val="00796642"/>
    <w:rsid w:val="007A11D9"/>
    <w:rsid w:val="007A327B"/>
    <w:rsid w:val="007A4606"/>
    <w:rsid w:val="007B1966"/>
    <w:rsid w:val="007B3DCC"/>
    <w:rsid w:val="007B4518"/>
    <w:rsid w:val="007B5031"/>
    <w:rsid w:val="007B573F"/>
    <w:rsid w:val="007C605B"/>
    <w:rsid w:val="007D2A5A"/>
    <w:rsid w:val="007D2AD8"/>
    <w:rsid w:val="007D2C47"/>
    <w:rsid w:val="007D3167"/>
    <w:rsid w:val="007D4281"/>
    <w:rsid w:val="007D42F5"/>
    <w:rsid w:val="007D44C3"/>
    <w:rsid w:val="007D5947"/>
    <w:rsid w:val="007D65C1"/>
    <w:rsid w:val="007E030F"/>
    <w:rsid w:val="007E0E59"/>
    <w:rsid w:val="007E0F4B"/>
    <w:rsid w:val="007E7E61"/>
    <w:rsid w:val="007F0845"/>
    <w:rsid w:val="007F16F9"/>
    <w:rsid w:val="007F3E3E"/>
    <w:rsid w:val="007F500D"/>
    <w:rsid w:val="007F5F14"/>
    <w:rsid w:val="007F7B54"/>
    <w:rsid w:val="008005D7"/>
    <w:rsid w:val="00801FDD"/>
    <w:rsid w:val="008020C2"/>
    <w:rsid w:val="0080255C"/>
    <w:rsid w:val="0081187C"/>
    <w:rsid w:val="00811E24"/>
    <w:rsid w:val="00812E2B"/>
    <w:rsid w:val="00813A70"/>
    <w:rsid w:val="00813FE6"/>
    <w:rsid w:val="00815C6E"/>
    <w:rsid w:val="0081645F"/>
    <w:rsid w:val="008178C2"/>
    <w:rsid w:val="008178CF"/>
    <w:rsid w:val="00817C98"/>
    <w:rsid w:val="00820C9F"/>
    <w:rsid w:val="00821FF6"/>
    <w:rsid w:val="00823AAF"/>
    <w:rsid w:val="00824081"/>
    <w:rsid w:val="0082409A"/>
    <w:rsid w:val="00827181"/>
    <w:rsid w:val="00827746"/>
    <w:rsid w:val="0083143E"/>
    <w:rsid w:val="0083159D"/>
    <w:rsid w:val="00832187"/>
    <w:rsid w:val="008336D8"/>
    <w:rsid w:val="008339C4"/>
    <w:rsid w:val="00834F0A"/>
    <w:rsid w:val="00834FAA"/>
    <w:rsid w:val="00836086"/>
    <w:rsid w:val="00841D9F"/>
    <w:rsid w:val="00842604"/>
    <w:rsid w:val="00843ECF"/>
    <w:rsid w:val="00846673"/>
    <w:rsid w:val="0085281A"/>
    <w:rsid w:val="008559FE"/>
    <w:rsid w:val="00857339"/>
    <w:rsid w:val="00857CB0"/>
    <w:rsid w:val="00862A7A"/>
    <w:rsid w:val="00863D9E"/>
    <w:rsid w:val="008642AF"/>
    <w:rsid w:val="00867E29"/>
    <w:rsid w:val="00870F2B"/>
    <w:rsid w:val="008746E6"/>
    <w:rsid w:val="00876086"/>
    <w:rsid w:val="008768D6"/>
    <w:rsid w:val="008775D1"/>
    <w:rsid w:val="008777BB"/>
    <w:rsid w:val="00877D68"/>
    <w:rsid w:val="00877E5D"/>
    <w:rsid w:val="0088733A"/>
    <w:rsid w:val="00891BE0"/>
    <w:rsid w:val="00893302"/>
    <w:rsid w:val="008945A1"/>
    <w:rsid w:val="00894A63"/>
    <w:rsid w:val="00895A54"/>
    <w:rsid w:val="00896916"/>
    <w:rsid w:val="00896BDE"/>
    <w:rsid w:val="008A0861"/>
    <w:rsid w:val="008A0BB2"/>
    <w:rsid w:val="008A1AB3"/>
    <w:rsid w:val="008A1D5C"/>
    <w:rsid w:val="008A3292"/>
    <w:rsid w:val="008A3A85"/>
    <w:rsid w:val="008A43E9"/>
    <w:rsid w:val="008A4CB1"/>
    <w:rsid w:val="008A615E"/>
    <w:rsid w:val="008A632B"/>
    <w:rsid w:val="008A6BFE"/>
    <w:rsid w:val="008B190E"/>
    <w:rsid w:val="008B1A8A"/>
    <w:rsid w:val="008B7306"/>
    <w:rsid w:val="008B775F"/>
    <w:rsid w:val="008B7C02"/>
    <w:rsid w:val="008B7F9E"/>
    <w:rsid w:val="008C0E88"/>
    <w:rsid w:val="008C1AA8"/>
    <w:rsid w:val="008C22A8"/>
    <w:rsid w:val="008C63FD"/>
    <w:rsid w:val="008C6CB8"/>
    <w:rsid w:val="008C7815"/>
    <w:rsid w:val="008C7A07"/>
    <w:rsid w:val="008D0171"/>
    <w:rsid w:val="008D2A16"/>
    <w:rsid w:val="008D2ECF"/>
    <w:rsid w:val="008D3F3D"/>
    <w:rsid w:val="008E31FF"/>
    <w:rsid w:val="008E5DE6"/>
    <w:rsid w:val="008E6113"/>
    <w:rsid w:val="008E6AB3"/>
    <w:rsid w:val="008E6AD3"/>
    <w:rsid w:val="008E71A6"/>
    <w:rsid w:val="008E77B6"/>
    <w:rsid w:val="008F032E"/>
    <w:rsid w:val="008F0F14"/>
    <w:rsid w:val="008F4FCE"/>
    <w:rsid w:val="008F5301"/>
    <w:rsid w:val="008F7D28"/>
    <w:rsid w:val="009003A8"/>
    <w:rsid w:val="00902CBE"/>
    <w:rsid w:val="00902D74"/>
    <w:rsid w:val="00902EFF"/>
    <w:rsid w:val="00903E06"/>
    <w:rsid w:val="00904B9D"/>
    <w:rsid w:val="009066E1"/>
    <w:rsid w:val="00907A41"/>
    <w:rsid w:val="009102BD"/>
    <w:rsid w:val="00910F93"/>
    <w:rsid w:val="00914426"/>
    <w:rsid w:val="0091675F"/>
    <w:rsid w:val="00917709"/>
    <w:rsid w:val="00917918"/>
    <w:rsid w:val="00921F14"/>
    <w:rsid w:val="00923750"/>
    <w:rsid w:val="009243A5"/>
    <w:rsid w:val="009250D2"/>
    <w:rsid w:val="00926283"/>
    <w:rsid w:val="00937B11"/>
    <w:rsid w:val="00940F1F"/>
    <w:rsid w:val="00941250"/>
    <w:rsid w:val="0094427A"/>
    <w:rsid w:val="009459C5"/>
    <w:rsid w:val="0094626C"/>
    <w:rsid w:val="0095013A"/>
    <w:rsid w:val="00953AEF"/>
    <w:rsid w:val="009551E2"/>
    <w:rsid w:val="00955783"/>
    <w:rsid w:val="00955E5F"/>
    <w:rsid w:val="009560B0"/>
    <w:rsid w:val="00957871"/>
    <w:rsid w:val="00964498"/>
    <w:rsid w:val="009663EB"/>
    <w:rsid w:val="0096650F"/>
    <w:rsid w:val="009700DB"/>
    <w:rsid w:val="00972263"/>
    <w:rsid w:val="00972D8D"/>
    <w:rsid w:val="00973AAE"/>
    <w:rsid w:val="0097476C"/>
    <w:rsid w:val="00974923"/>
    <w:rsid w:val="00974D48"/>
    <w:rsid w:val="00974D5F"/>
    <w:rsid w:val="00975017"/>
    <w:rsid w:val="009759DF"/>
    <w:rsid w:val="00980621"/>
    <w:rsid w:val="00982072"/>
    <w:rsid w:val="00983ECF"/>
    <w:rsid w:val="00986745"/>
    <w:rsid w:val="00987109"/>
    <w:rsid w:val="00987309"/>
    <w:rsid w:val="0099012D"/>
    <w:rsid w:val="009954FF"/>
    <w:rsid w:val="00996355"/>
    <w:rsid w:val="009A2014"/>
    <w:rsid w:val="009A4E12"/>
    <w:rsid w:val="009A5C68"/>
    <w:rsid w:val="009B04D0"/>
    <w:rsid w:val="009B052C"/>
    <w:rsid w:val="009B0EF2"/>
    <w:rsid w:val="009B23A3"/>
    <w:rsid w:val="009B4925"/>
    <w:rsid w:val="009B4B4B"/>
    <w:rsid w:val="009B6FD3"/>
    <w:rsid w:val="009B70BD"/>
    <w:rsid w:val="009C07A5"/>
    <w:rsid w:val="009C7388"/>
    <w:rsid w:val="009D1551"/>
    <w:rsid w:val="009D2859"/>
    <w:rsid w:val="009D4173"/>
    <w:rsid w:val="009D6095"/>
    <w:rsid w:val="009D6306"/>
    <w:rsid w:val="009E048A"/>
    <w:rsid w:val="009E1FBA"/>
    <w:rsid w:val="009E2C54"/>
    <w:rsid w:val="009E3710"/>
    <w:rsid w:val="009E7B1F"/>
    <w:rsid w:val="009F41C4"/>
    <w:rsid w:val="009F5846"/>
    <w:rsid w:val="009F7D77"/>
    <w:rsid w:val="00A10D66"/>
    <w:rsid w:val="00A1420C"/>
    <w:rsid w:val="00A14821"/>
    <w:rsid w:val="00A2055B"/>
    <w:rsid w:val="00A2253C"/>
    <w:rsid w:val="00A23545"/>
    <w:rsid w:val="00A23A55"/>
    <w:rsid w:val="00A23E43"/>
    <w:rsid w:val="00A24F8C"/>
    <w:rsid w:val="00A262BF"/>
    <w:rsid w:val="00A271AD"/>
    <w:rsid w:val="00A276D5"/>
    <w:rsid w:val="00A30336"/>
    <w:rsid w:val="00A30BB5"/>
    <w:rsid w:val="00A3128F"/>
    <w:rsid w:val="00A326D0"/>
    <w:rsid w:val="00A35287"/>
    <w:rsid w:val="00A378F8"/>
    <w:rsid w:val="00A40B19"/>
    <w:rsid w:val="00A424F8"/>
    <w:rsid w:val="00A437B7"/>
    <w:rsid w:val="00A46DE0"/>
    <w:rsid w:val="00A4778A"/>
    <w:rsid w:val="00A5067F"/>
    <w:rsid w:val="00A55301"/>
    <w:rsid w:val="00A57B3C"/>
    <w:rsid w:val="00A6128E"/>
    <w:rsid w:val="00A62CE1"/>
    <w:rsid w:val="00A631FA"/>
    <w:rsid w:val="00A64203"/>
    <w:rsid w:val="00A64348"/>
    <w:rsid w:val="00A721FB"/>
    <w:rsid w:val="00A727BA"/>
    <w:rsid w:val="00A72D4B"/>
    <w:rsid w:val="00A732AE"/>
    <w:rsid w:val="00A75E40"/>
    <w:rsid w:val="00A77EB2"/>
    <w:rsid w:val="00A82B66"/>
    <w:rsid w:val="00A83B58"/>
    <w:rsid w:val="00A851B6"/>
    <w:rsid w:val="00A85729"/>
    <w:rsid w:val="00A8574B"/>
    <w:rsid w:val="00A857C0"/>
    <w:rsid w:val="00A96463"/>
    <w:rsid w:val="00A97E3F"/>
    <w:rsid w:val="00AA09D3"/>
    <w:rsid w:val="00AA23FB"/>
    <w:rsid w:val="00AA42AB"/>
    <w:rsid w:val="00AA559A"/>
    <w:rsid w:val="00AB104D"/>
    <w:rsid w:val="00AB2AF1"/>
    <w:rsid w:val="00AB440B"/>
    <w:rsid w:val="00AB47E3"/>
    <w:rsid w:val="00AB74C5"/>
    <w:rsid w:val="00AB7DF2"/>
    <w:rsid w:val="00AC1E3F"/>
    <w:rsid w:val="00AC4F18"/>
    <w:rsid w:val="00AD0B46"/>
    <w:rsid w:val="00AD1094"/>
    <w:rsid w:val="00AD2565"/>
    <w:rsid w:val="00AD306C"/>
    <w:rsid w:val="00AD3424"/>
    <w:rsid w:val="00AD50D1"/>
    <w:rsid w:val="00AD59BB"/>
    <w:rsid w:val="00AD5D68"/>
    <w:rsid w:val="00AD6C73"/>
    <w:rsid w:val="00AE06D0"/>
    <w:rsid w:val="00AE39DC"/>
    <w:rsid w:val="00AE3CDA"/>
    <w:rsid w:val="00AE7968"/>
    <w:rsid w:val="00AF128B"/>
    <w:rsid w:val="00AF1AEA"/>
    <w:rsid w:val="00AF2852"/>
    <w:rsid w:val="00AF3225"/>
    <w:rsid w:val="00AF518B"/>
    <w:rsid w:val="00AF5275"/>
    <w:rsid w:val="00AF6367"/>
    <w:rsid w:val="00AF6A79"/>
    <w:rsid w:val="00AF724E"/>
    <w:rsid w:val="00AF73A9"/>
    <w:rsid w:val="00B01C2C"/>
    <w:rsid w:val="00B0231C"/>
    <w:rsid w:val="00B15DCD"/>
    <w:rsid w:val="00B17E71"/>
    <w:rsid w:val="00B17FDE"/>
    <w:rsid w:val="00B208FC"/>
    <w:rsid w:val="00B20C65"/>
    <w:rsid w:val="00B22E17"/>
    <w:rsid w:val="00B27293"/>
    <w:rsid w:val="00B3229E"/>
    <w:rsid w:val="00B32DDB"/>
    <w:rsid w:val="00B35174"/>
    <w:rsid w:val="00B35BEA"/>
    <w:rsid w:val="00B3793D"/>
    <w:rsid w:val="00B41BE6"/>
    <w:rsid w:val="00B457E7"/>
    <w:rsid w:val="00B45D1B"/>
    <w:rsid w:val="00B46D25"/>
    <w:rsid w:val="00B47430"/>
    <w:rsid w:val="00B52D2D"/>
    <w:rsid w:val="00B55BA8"/>
    <w:rsid w:val="00B55F15"/>
    <w:rsid w:val="00B561A6"/>
    <w:rsid w:val="00B60062"/>
    <w:rsid w:val="00B62960"/>
    <w:rsid w:val="00B63A11"/>
    <w:rsid w:val="00B63FD0"/>
    <w:rsid w:val="00B65C84"/>
    <w:rsid w:val="00B6608F"/>
    <w:rsid w:val="00B74317"/>
    <w:rsid w:val="00B76D1E"/>
    <w:rsid w:val="00B800EB"/>
    <w:rsid w:val="00B822D2"/>
    <w:rsid w:val="00B848B8"/>
    <w:rsid w:val="00B84A41"/>
    <w:rsid w:val="00B84D57"/>
    <w:rsid w:val="00B85689"/>
    <w:rsid w:val="00B86748"/>
    <w:rsid w:val="00B907EA"/>
    <w:rsid w:val="00B91EC9"/>
    <w:rsid w:val="00B924CA"/>
    <w:rsid w:val="00B93384"/>
    <w:rsid w:val="00B94417"/>
    <w:rsid w:val="00B95940"/>
    <w:rsid w:val="00B95EF8"/>
    <w:rsid w:val="00B95F50"/>
    <w:rsid w:val="00B96BD9"/>
    <w:rsid w:val="00BB1CFD"/>
    <w:rsid w:val="00BB2C53"/>
    <w:rsid w:val="00BB32DA"/>
    <w:rsid w:val="00BB3A54"/>
    <w:rsid w:val="00BB4E21"/>
    <w:rsid w:val="00BB7746"/>
    <w:rsid w:val="00BC22EB"/>
    <w:rsid w:val="00BC682B"/>
    <w:rsid w:val="00BC6B04"/>
    <w:rsid w:val="00BD186B"/>
    <w:rsid w:val="00BD1EAC"/>
    <w:rsid w:val="00BD3428"/>
    <w:rsid w:val="00BD366B"/>
    <w:rsid w:val="00BD534C"/>
    <w:rsid w:val="00BD56BC"/>
    <w:rsid w:val="00BD5D91"/>
    <w:rsid w:val="00BD6615"/>
    <w:rsid w:val="00BD6D50"/>
    <w:rsid w:val="00BE0D79"/>
    <w:rsid w:val="00BE0DB0"/>
    <w:rsid w:val="00BE3381"/>
    <w:rsid w:val="00BE3F09"/>
    <w:rsid w:val="00BE670A"/>
    <w:rsid w:val="00BE6906"/>
    <w:rsid w:val="00BF18F4"/>
    <w:rsid w:val="00BF1A69"/>
    <w:rsid w:val="00BF3BC8"/>
    <w:rsid w:val="00BF3DF1"/>
    <w:rsid w:val="00BF4C31"/>
    <w:rsid w:val="00BF4E57"/>
    <w:rsid w:val="00C00F20"/>
    <w:rsid w:val="00C034E6"/>
    <w:rsid w:val="00C0784A"/>
    <w:rsid w:val="00C10B28"/>
    <w:rsid w:val="00C10FAE"/>
    <w:rsid w:val="00C12A69"/>
    <w:rsid w:val="00C150BE"/>
    <w:rsid w:val="00C15A0C"/>
    <w:rsid w:val="00C15DCB"/>
    <w:rsid w:val="00C1711F"/>
    <w:rsid w:val="00C20744"/>
    <w:rsid w:val="00C20C4D"/>
    <w:rsid w:val="00C21D46"/>
    <w:rsid w:val="00C21F94"/>
    <w:rsid w:val="00C222A1"/>
    <w:rsid w:val="00C23CBD"/>
    <w:rsid w:val="00C23D22"/>
    <w:rsid w:val="00C2463B"/>
    <w:rsid w:val="00C24E77"/>
    <w:rsid w:val="00C2732D"/>
    <w:rsid w:val="00C273C6"/>
    <w:rsid w:val="00C27913"/>
    <w:rsid w:val="00C300C6"/>
    <w:rsid w:val="00C3271C"/>
    <w:rsid w:val="00C34FDE"/>
    <w:rsid w:val="00C35C16"/>
    <w:rsid w:val="00C40F81"/>
    <w:rsid w:val="00C41463"/>
    <w:rsid w:val="00C41A72"/>
    <w:rsid w:val="00C476C5"/>
    <w:rsid w:val="00C503B0"/>
    <w:rsid w:val="00C511C2"/>
    <w:rsid w:val="00C53D82"/>
    <w:rsid w:val="00C60696"/>
    <w:rsid w:val="00C615F1"/>
    <w:rsid w:val="00C61627"/>
    <w:rsid w:val="00C64E60"/>
    <w:rsid w:val="00C657A4"/>
    <w:rsid w:val="00C6736C"/>
    <w:rsid w:val="00C71A1D"/>
    <w:rsid w:val="00C75C7E"/>
    <w:rsid w:val="00C75C9B"/>
    <w:rsid w:val="00C76D8E"/>
    <w:rsid w:val="00C77833"/>
    <w:rsid w:val="00C80C9B"/>
    <w:rsid w:val="00C8335E"/>
    <w:rsid w:val="00C83F9C"/>
    <w:rsid w:val="00C84CE3"/>
    <w:rsid w:val="00C85614"/>
    <w:rsid w:val="00C90CF4"/>
    <w:rsid w:val="00C91C19"/>
    <w:rsid w:val="00C929A0"/>
    <w:rsid w:val="00C93389"/>
    <w:rsid w:val="00C937DB"/>
    <w:rsid w:val="00C94519"/>
    <w:rsid w:val="00C94E83"/>
    <w:rsid w:val="00CA140F"/>
    <w:rsid w:val="00CA25C2"/>
    <w:rsid w:val="00CA37CA"/>
    <w:rsid w:val="00CA6508"/>
    <w:rsid w:val="00CA6BA1"/>
    <w:rsid w:val="00CA6CD5"/>
    <w:rsid w:val="00CB1910"/>
    <w:rsid w:val="00CB2150"/>
    <w:rsid w:val="00CB28EE"/>
    <w:rsid w:val="00CB43A7"/>
    <w:rsid w:val="00CB5996"/>
    <w:rsid w:val="00CB7452"/>
    <w:rsid w:val="00CC0E10"/>
    <w:rsid w:val="00CC2642"/>
    <w:rsid w:val="00CC2E15"/>
    <w:rsid w:val="00CC3908"/>
    <w:rsid w:val="00CC62AD"/>
    <w:rsid w:val="00CC7B80"/>
    <w:rsid w:val="00CD2B3C"/>
    <w:rsid w:val="00CD30F6"/>
    <w:rsid w:val="00CD4B29"/>
    <w:rsid w:val="00CD6EF1"/>
    <w:rsid w:val="00CE21C7"/>
    <w:rsid w:val="00CE57D8"/>
    <w:rsid w:val="00CE617A"/>
    <w:rsid w:val="00CF28C2"/>
    <w:rsid w:val="00CF42BD"/>
    <w:rsid w:val="00CF51EC"/>
    <w:rsid w:val="00CF6CD7"/>
    <w:rsid w:val="00D0037A"/>
    <w:rsid w:val="00D00DAF"/>
    <w:rsid w:val="00D017EC"/>
    <w:rsid w:val="00D01CDA"/>
    <w:rsid w:val="00D040DD"/>
    <w:rsid w:val="00D04E1B"/>
    <w:rsid w:val="00D076DB"/>
    <w:rsid w:val="00D1067C"/>
    <w:rsid w:val="00D136D4"/>
    <w:rsid w:val="00D13830"/>
    <w:rsid w:val="00D13ECF"/>
    <w:rsid w:val="00D142E5"/>
    <w:rsid w:val="00D148CD"/>
    <w:rsid w:val="00D1611E"/>
    <w:rsid w:val="00D16E69"/>
    <w:rsid w:val="00D205A9"/>
    <w:rsid w:val="00D217EE"/>
    <w:rsid w:val="00D245BA"/>
    <w:rsid w:val="00D26923"/>
    <w:rsid w:val="00D27856"/>
    <w:rsid w:val="00D301CA"/>
    <w:rsid w:val="00D30740"/>
    <w:rsid w:val="00D31075"/>
    <w:rsid w:val="00D31445"/>
    <w:rsid w:val="00D316AF"/>
    <w:rsid w:val="00D31932"/>
    <w:rsid w:val="00D378CC"/>
    <w:rsid w:val="00D4042C"/>
    <w:rsid w:val="00D42312"/>
    <w:rsid w:val="00D43998"/>
    <w:rsid w:val="00D4615E"/>
    <w:rsid w:val="00D478E2"/>
    <w:rsid w:val="00D5264C"/>
    <w:rsid w:val="00D547BA"/>
    <w:rsid w:val="00D55626"/>
    <w:rsid w:val="00D556BC"/>
    <w:rsid w:val="00D5626D"/>
    <w:rsid w:val="00D60277"/>
    <w:rsid w:val="00D61F88"/>
    <w:rsid w:val="00D62901"/>
    <w:rsid w:val="00D6470C"/>
    <w:rsid w:val="00D64853"/>
    <w:rsid w:val="00D64CB5"/>
    <w:rsid w:val="00D66D48"/>
    <w:rsid w:val="00D73256"/>
    <w:rsid w:val="00D73A30"/>
    <w:rsid w:val="00D74C65"/>
    <w:rsid w:val="00D75DC2"/>
    <w:rsid w:val="00D766EF"/>
    <w:rsid w:val="00D76C03"/>
    <w:rsid w:val="00D82462"/>
    <w:rsid w:val="00D868CE"/>
    <w:rsid w:val="00D86DAE"/>
    <w:rsid w:val="00D90C1E"/>
    <w:rsid w:val="00D91BDF"/>
    <w:rsid w:val="00D93F09"/>
    <w:rsid w:val="00D954C2"/>
    <w:rsid w:val="00D97BB8"/>
    <w:rsid w:val="00DA1318"/>
    <w:rsid w:val="00DA1382"/>
    <w:rsid w:val="00DA4AF6"/>
    <w:rsid w:val="00DB016E"/>
    <w:rsid w:val="00DB06E9"/>
    <w:rsid w:val="00DB378E"/>
    <w:rsid w:val="00DB3E9D"/>
    <w:rsid w:val="00DB47B9"/>
    <w:rsid w:val="00DB4FB8"/>
    <w:rsid w:val="00DB53CE"/>
    <w:rsid w:val="00DB549D"/>
    <w:rsid w:val="00DC257F"/>
    <w:rsid w:val="00DC3790"/>
    <w:rsid w:val="00DC408A"/>
    <w:rsid w:val="00DC5B3B"/>
    <w:rsid w:val="00DC6796"/>
    <w:rsid w:val="00DC78DF"/>
    <w:rsid w:val="00DD0821"/>
    <w:rsid w:val="00DD0E32"/>
    <w:rsid w:val="00DD373E"/>
    <w:rsid w:val="00DD57AD"/>
    <w:rsid w:val="00DE009B"/>
    <w:rsid w:val="00DE2ED9"/>
    <w:rsid w:val="00DE319A"/>
    <w:rsid w:val="00DF0DC3"/>
    <w:rsid w:val="00DF21FD"/>
    <w:rsid w:val="00DF2873"/>
    <w:rsid w:val="00DF5578"/>
    <w:rsid w:val="00DF78DD"/>
    <w:rsid w:val="00DF7FEC"/>
    <w:rsid w:val="00E01C0E"/>
    <w:rsid w:val="00E03B27"/>
    <w:rsid w:val="00E04694"/>
    <w:rsid w:val="00E05B2B"/>
    <w:rsid w:val="00E06A2A"/>
    <w:rsid w:val="00E07F05"/>
    <w:rsid w:val="00E127E1"/>
    <w:rsid w:val="00E144D2"/>
    <w:rsid w:val="00E15346"/>
    <w:rsid w:val="00E15B7D"/>
    <w:rsid w:val="00E215EA"/>
    <w:rsid w:val="00E24619"/>
    <w:rsid w:val="00E25223"/>
    <w:rsid w:val="00E30BEA"/>
    <w:rsid w:val="00E31764"/>
    <w:rsid w:val="00E34985"/>
    <w:rsid w:val="00E34E4A"/>
    <w:rsid w:val="00E365B3"/>
    <w:rsid w:val="00E366BB"/>
    <w:rsid w:val="00E37C45"/>
    <w:rsid w:val="00E40AAA"/>
    <w:rsid w:val="00E438CF"/>
    <w:rsid w:val="00E43C41"/>
    <w:rsid w:val="00E450CE"/>
    <w:rsid w:val="00E45A00"/>
    <w:rsid w:val="00E45CE7"/>
    <w:rsid w:val="00E4631F"/>
    <w:rsid w:val="00E522BB"/>
    <w:rsid w:val="00E539E4"/>
    <w:rsid w:val="00E569C7"/>
    <w:rsid w:val="00E571F2"/>
    <w:rsid w:val="00E57429"/>
    <w:rsid w:val="00E70510"/>
    <w:rsid w:val="00E71262"/>
    <w:rsid w:val="00E71A58"/>
    <w:rsid w:val="00E7724B"/>
    <w:rsid w:val="00E84F21"/>
    <w:rsid w:val="00E90F73"/>
    <w:rsid w:val="00E921C7"/>
    <w:rsid w:val="00E92995"/>
    <w:rsid w:val="00E94612"/>
    <w:rsid w:val="00E95797"/>
    <w:rsid w:val="00E9682F"/>
    <w:rsid w:val="00E96A8D"/>
    <w:rsid w:val="00E972BA"/>
    <w:rsid w:val="00E97FA2"/>
    <w:rsid w:val="00EA06CB"/>
    <w:rsid w:val="00EA0C68"/>
    <w:rsid w:val="00EA3EBE"/>
    <w:rsid w:val="00EA3FAC"/>
    <w:rsid w:val="00EA4153"/>
    <w:rsid w:val="00EA5CD6"/>
    <w:rsid w:val="00EB20A0"/>
    <w:rsid w:val="00EB30B6"/>
    <w:rsid w:val="00EB4FA4"/>
    <w:rsid w:val="00EB5146"/>
    <w:rsid w:val="00EB55E9"/>
    <w:rsid w:val="00EB5641"/>
    <w:rsid w:val="00EB5CA9"/>
    <w:rsid w:val="00EB5ED4"/>
    <w:rsid w:val="00EB6537"/>
    <w:rsid w:val="00EB70E1"/>
    <w:rsid w:val="00EB7EB5"/>
    <w:rsid w:val="00EC454B"/>
    <w:rsid w:val="00EC6153"/>
    <w:rsid w:val="00EC7F92"/>
    <w:rsid w:val="00ED00A8"/>
    <w:rsid w:val="00ED0A79"/>
    <w:rsid w:val="00ED2989"/>
    <w:rsid w:val="00ED2CA5"/>
    <w:rsid w:val="00ED336F"/>
    <w:rsid w:val="00ED54D6"/>
    <w:rsid w:val="00ED5726"/>
    <w:rsid w:val="00EE0298"/>
    <w:rsid w:val="00EE0384"/>
    <w:rsid w:val="00EE10AA"/>
    <w:rsid w:val="00EE1637"/>
    <w:rsid w:val="00EE3B7A"/>
    <w:rsid w:val="00EE3E78"/>
    <w:rsid w:val="00EE5E02"/>
    <w:rsid w:val="00EE617D"/>
    <w:rsid w:val="00EE61BF"/>
    <w:rsid w:val="00EE6748"/>
    <w:rsid w:val="00EE6C6B"/>
    <w:rsid w:val="00EF0E75"/>
    <w:rsid w:val="00EF1F5A"/>
    <w:rsid w:val="00EF4685"/>
    <w:rsid w:val="00EF5397"/>
    <w:rsid w:val="00EF6BE3"/>
    <w:rsid w:val="00F00D0E"/>
    <w:rsid w:val="00F00D3C"/>
    <w:rsid w:val="00F04811"/>
    <w:rsid w:val="00F0488C"/>
    <w:rsid w:val="00F0496E"/>
    <w:rsid w:val="00F04D10"/>
    <w:rsid w:val="00F0625B"/>
    <w:rsid w:val="00F101FF"/>
    <w:rsid w:val="00F10A33"/>
    <w:rsid w:val="00F15BEF"/>
    <w:rsid w:val="00F172BE"/>
    <w:rsid w:val="00F1776C"/>
    <w:rsid w:val="00F2037E"/>
    <w:rsid w:val="00F20D17"/>
    <w:rsid w:val="00F2103E"/>
    <w:rsid w:val="00F214FC"/>
    <w:rsid w:val="00F21C31"/>
    <w:rsid w:val="00F23825"/>
    <w:rsid w:val="00F23FFF"/>
    <w:rsid w:val="00F2441D"/>
    <w:rsid w:val="00F24FAA"/>
    <w:rsid w:val="00F26197"/>
    <w:rsid w:val="00F318FC"/>
    <w:rsid w:val="00F31F76"/>
    <w:rsid w:val="00F3364D"/>
    <w:rsid w:val="00F35ACD"/>
    <w:rsid w:val="00F36BF8"/>
    <w:rsid w:val="00F37760"/>
    <w:rsid w:val="00F403D1"/>
    <w:rsid w:val="00F43921"/>
    <w:rsid w:val="00F4591F"/>
    <w:rsid w:val="00F4736B"/>
    <w:rsid w:val="00F47D05"/>
    <w:rsid w:val="00F50030"/>
    <w:rsid w:val="00F51FC9"/>
    <w:rsid w:val="00F54B31"/>
    <w:rsid w:val="00F54FD3"/>
    <w:rsid w:val="00F55605"/>
    <w:rsid w:val="00F62F02"/>
    <w:rsid w:val="00F63DDE"/>
    <w:rsid w:val="00F63FB7"/>
    <w:rsid w:val="00F64726"/>
    <w:rsid w:val="00F6561A"/>
    <w:rsid w:val="00F727D5"/>
    <w:rsid w:val="00F72F44"/>
    <w:rsid w:val="00F73A0C"/>
    <w:rsid w:val="00F759DC"/>
    <w:rsid w:val="00F771A5"/>
    <w:rsid w:val="00F817A4"/>
    <w:rsid w:val="00F81C3A"/>
    <w:rsid w:val="00F835FC"/>
    <w:rsid w:val="00F83E21"/>
    <w:rsid w:val="00F84E18"/>
    <w:rsid w:val="00F852E5"/>
    <w:rsid w:val="00F95117"/>
    <w:rsid w:val="00FA05D7"/>
    <w:rsid w:val="00FA1C6C"/>
    <w:rsid w:val="00FA2C2A"/>
    <w:rsid w:val="00FA309A"/>
    <w:rsid w:val="00FA7644"/>
    <w:rsid w:val="00FB0A9A"/>
    <w:rsid w:val="00FB483B"/>
    <w:rsid w:val="00FB56F1"/>
    <w:rsid w:val="00FB5FD4"/>
    <w:rsid w:val="00FB67F3"/>
    <w:rsid w:val="00FC0D8A"/>
    <w:rsid w:val="00FC0E5F"/>
    <w:rsid w:val="00FC135D"/>
    <w:rsid w:val="00FC3C84"/>
    <w:rsid w:val="00FC4660"/>
    <w:rsid w:val="00FC56DE"/>
    <w:rsid w:val="00FD1261"/>
    <w:rsid w:val="00FD1627"/>
    <w:rsid w:val="00FD473D"/>
    <w:rsid w:val="00FD61C8"/>
    <w:rsid w:val="00FD63CE"/>
    <w:rsid w:val="00FD7D49"/>
    <w:rsid w:val="00FE1251"/>
    <w:rsid w:val="00FE2F78"/>
    <w:rsid w:val="00FE3510"/>
    <w:rsid w:val="00FE375F"/>
    <w:rsid w:val="00FE4FCB"/>
    <w:rsid w:val="00FF28E0"/>
    <w:rsid w:val="00FF2FB4"/>
    <w:rsid w:val="00FF30B3"/>
    <w:rsid w:val="00FF3DF3"/>
    <w:rsid w:val="00FF4027"/>
    <w:rsid w:val="00FF55B1"/>
    <w:rsid w:val="00FF65DF"/>
    <w:rsid w:val="00FF7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ln">
    <w:name w:val="Normal"/>
    <w:qFormat/>
    <w:rsid w:val="005E492C"/>
    <w:pPr>
      <w:spacing w:line="288" w:lineRule="auto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492C"/>
    <w:pPr>
      <w:keepNext/>
      <w:keepLines/>
      <w:spacing w:after="200"/>
      <w:outlineLvl w:val="0"/>
    </w:pPr>
    <w:rPr>
      <w:rFonts w:eastAsia="MS Gothic"/>
      <w:b/>
      <w:bCs/>
      <w:color w:val="71818C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5E492C"/>
    <w:pPr>
      <w:keepNext/>
      <w:keepLines/>
      <w:outlineLvl w:val="1"/>
    </w:pPr>
    <w:rPr>
      <w:rFonts w:eastAsia="MS Gothic"/>
      <w:b/>
      <w:bCs/>
      <w:color w:val="71818C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5E492C"/>
    <w:pPr>
      <w:keepNext/>
      <w:keepLines/>
      <w:outlineLvl w:val="2"/>
    </w:pPr>
    <w:rPr>
      <w:rFonts w:eastAsia="MS Gothic"/>
      <w:b/>
      <w:bCs/>
      <w:color w:val="71818C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5E492C"/>
    <w:pPr>
      <w:keepNext/>
      <w:keepLines/>
      <w:outlineLvl w:val="3"/>
    </w:pPr>
    <w:rPr>
      <w:rFonts w:eastAsia="MS Gothic"/>
      <w:b/>
      <w:bCs/>
      <w:iCs/>
    </w:rPr>
  </w:style>
  <w:style w:type="paragraph" w:styleId="Nadpis5">
    <w:name w:val="heading 5"/>
    <w:basedOn w:val="Normln"/>
    <w:next w:val="Normln"/>
    <w:link w:val="Nadpis5Char"/>
    <w:uiPriority w:val="99"/>
    <w:qFormat/>
    <w:rsid w:val="007521A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7521A1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5E492C"/>
    <w:rPr>
      <w:rFonts w:ascii="Arial" w:eastAsia="MS Gothic" w:hAnsi="Arial" w:cs="Times New Roman"/>
      <w:b/>
      <w:color w:val="71818C"/>
      <w:sz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E492C"/>
    <w:rPr>
      <w:rFonts w:ascii="Arial" w:eastAsia="MS Gothic" w:hAnsi="Arial" w:cs="Times New Roman"/>
      <w:b/>
      <w:color w:val="71818C"/>
      <w:sz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E492C"/>
    <w:rPr>
      <w:rFonts w:ascii="Arial" w:eastAsia="MS Gothic" w:hAnsi="Arial" w:cs="Times New Roman"/>
      <w:b/>
      <w:color w:val="71818C"/>
      <w:sz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E492C"/>
    <w:rPr>
      <w:rFonts w:ascii="Arial" w:eastAsia="MS Gothic" w:hAnsi="Arial" w:cs="Times New Roman"/>
      <w:b/>
      <w:sz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521A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7521A1"/>
    <w:rPr>
      <w:rFonts w:ascii="Calibri" w:hAnsi="Calibri" w:cs="Times New Roman"/>
      <w:b/>
      <w:bCs/>
      <w:sz w:val="22"/>
      <w:szCs w:val="22"/>
    </w:rPr>
  </w:style>
  <w:style w:type="character" w:styleId="Hypertextovodkaz">
    <w:name w:val="Hyperlink"/>
    <w:basedOn w:val="Standardnpsmoodstavce"/>
    <w:uiPriority w:val="99"/>
    <w:rsid w:val="00E71A58"/>
    <w:rPr>
      <w:rFonts w:cs="Times New Roman"/>
      <w:color w:val="0000FF"/>
      <w:u w:val="single"/>
    </w:rPr>
  </w:style>
  <w:style w:type="paragraph" w:customStyle="1" w:styleId="Styl1">
    <w:name w:val="Styl1"/>
    <w:uiPriority w:val="99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rsid w:val="00E71A58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E71A58"/>
    <w:rPr>
      <w:rFonts w:cs="Times New Roman"/>
    </w:rPr>
  </w:style>
  <w:style w:type="paragraph" w:styleId="Zpat">
    <w:name w:val="footer"/>
    <w:basedOn w:val="Normln"/>
    <w:link w:val="ZpatChar"/>
    <w:uiPriority w:val="99"/>
    <w:rsid w:val="00E71A58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E71A58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sid w:val="00E71A58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71A58"/>
    <w:rPr>
      <w:rFonts w:ascii="Tahoma" w:hAnsi="Tahoma" w:cs="Times New Roman"/>
      <w:sz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hAnsi="Minion Pro"/>
      <w:color w:val="000000"/>
      <w:sz w:val="24"/>
      <w:szCs w:val="20"/>
    </w:rPr>
  </w:style>
  <w:style w:type="paragraph" w:styleId="Nzev">
    <w:name w:val="Title"/>
    <w:basedOn w:val="Normln"/>
    <w:next w:val="Normln"/>
    <w:link w:val="NzevChar"/>
    <w:uiPriority w:val="99"/>
    <w:qFormat/>
    <w:rsid w:val="005E492C"/>
    <w:pPr>
      <w:contextualSpacing/>
      <w:outlineLvl w:val="0"/>
    </w:pPr>
    <w:rPr>
      <w:rFonts w:eastAsia="MS Gothic"/>
      <w:b/>
      <w:caps/>
      <w:color w:val="71818C"/>
      <w:sz w:val="56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5E492C"/>
    <w:rPr>
      <w:rFonts w:ascii="Arial" w:eastAsia="MS Gothic" w:hAnsi="Arial" w:cs="Times New Roman"/>
      <w:b/>
      <w:caps/>
      <w:color w:val="71818C"/>
      <w:sz w:val="52"/>
    </w:rPr>
  </w:style>
  <w:style w:type="paragraph" w:styleId="Podtitul">
    <w:name w:val="Subtitle"/>
    <w:basedOn w:val="Normln"/>
    <w:next w:val="Normln"/>
    <w:link w:val="PodtitulChar"/>
    <w:uiPriority w:val="99"/>
    <w:qFormat/>
    <w:rsid w:val="005E492C"/>
    <w:pPr>
      <w:numPr>
        <w:ilvl w:val="1"/>
      </w:numPr>
    </w:pPr>
    <w:rPr>
      <w:rFonts w:eastAsia="MS Gothic"/>
      <w:b/>
      <w:iCs/>
      <w:color w:val="71818C"/>
      <w:sz w:val="28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5E492C"/>
    <w:rPr>
      <w:rFonts w:ascii="Arial" w:eastAsia="MS Gothic" w:hAnsi="Arial" w:cs="Times New Roman"/>
      <w:b/>
      <w:color w:val="71818C"/>
      <w:sz w:val="24"/>
    </w:rPr>
  </w:style>
  <w:style w:type="paragraph" w:customStyle="1" w:styleId="Bezmezer1">
    <w:name w:val="Bez mezer1"/>
    <w:aliases w:val="Bez zarážky"/>
    <w:link w:val="NoSpacingChar"/>
    <w:uiPriority w:val="99"/>
    <w:rsid w:val="005E492C"/>
    <w:pPr>
      <w:spacing w:line="288" w:lineRule="auto"/>
    </w:pPr>
    <w:rPr>
      <w:rFonts w:ascii="Arial" w:hAnsi="Arial"/>
      <w:sz w:val="22"/>
      <w:szCs w:val="22"/>
    </w:rPr>
  </w:style>
  <w:style w:type="paragraph" w:customStyle="1" w:styleId="Box1">
    <w:name w:val="Box 1"/>
    <w:basedOn w:val="Zkladnodstavec"/>
    <w:next w:val="Normln"/>
    <w:uiPriority w:val="99"/>
    <w:rsid w:val="005E492C"/>
    <w:pPr>
      <w:ind w:left="1134"/>
    </w:pPr>
    <w:rPr>
      <w:rFonts w:ascii="Arial" w:hAnsi="Arial" w:cs="Arial"/>
      <w:color w:val="71818C"/>
      <w:sz w:val="20"/>
    </w:rPr>
  </w:style>
  <w:style w:type="paragraph" w:customStyle="1" w:styleId="Box2">
    <w:name w:val="Box 2"/>
    <w:basedOn w:val="Zkladnodstavec"/>
    <w:link w:val="Box2Char"/>
    <w:uiPriority w:val="99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uiPriority w:val="99"/>
    <w:rsid w:val="005E492C"/>
    <w:pPr>
      <w:shd w:val="clear" w:color="auto" w:fill="EAECEE"/>
      <w:spacing w:line="288" w:lineRule="auto"/>
      <w:ind w:left="1134"/>
    </w:pPr>
    <w:rPr>
      <w:rFonts w:ascii="Arial" w:hAnsi="Arial"/>
      <w:color w:val="000000"/>
      <w:sz w:val="22"/>
      <w:szCs w:val="22"/>
    </w:rPr>
  </w:style>
  <w:style w:type="paragraph" w:customStyle="1" w:styleId="TL-Kontakty">
    <w:name w:val="TL - Kontakty"/>
    <w:next w:val="Normln"/>
    <w:link w:val="TL-KontaktyChar"/>
    <w:uiPriority w:val="99"/>
    <w:rsid w:val="005E492C"/>
    <w:pPr>
      <w:spacing w:after="80"/>
    </w:pPr>
    <w:rPr>
      <w:rFonts w:ascii="Arial" w:hAnsi="Arial"/>
      <w:b/>
      <w:caps/>
      <w:color w:val="BD1B21"/>
      <w:sz w:val="22"/>
      <w:szCs w:val="22"/>
    </w:rPr>
  </w:style>
  <w:style w:type="character" w:customStyle="1" w:styleId="ZkladnodstavecChar">
    <w:name w:val="[Základní odstavec] Char"/>
    <w:link w:val="Zkladnodstavec"/>
    <w:uiPriority w:val="99"/>
    <w:locked/>
    <w:rsid w:val="006710C9"/>
    <w:rPr>
      <w:rFonts w:ascii="Minion Pro" w:hAnsi="Minion Pro"/>
      <w:color w:val="000000"/>
      <w:sz w:val="24"/>
    </w:rPr>
  </w:style>
  <w:style w:type="character" w:customStyle="1" w:styleId="Box2Char">
    <w:name w:val="Box 2 Char"/>
    <w:link w:val="Box2"/>
    <w:uiPriority w:val="99"/>
    <w:locked/>
    <w:rsid w:val="006710C9"/>
    <w:rPr>
      <w:rFonts w:ascii="Arial" w:hAnsi="Arial"/>
      <w:b/>
      <w:color w:val="000000"/>
      <w:sz w:val="24"/>
      <w:shd w:val="clear" w:color="auto" w:fill="CCC0D9"/>
    </w:rPr>
  </w:style>
  <w:style w:type="character" w:customStyle="1" w:styleId="BoxChar">
    <w:name w:val="Box Char"/>
    <w:link w:val="Box"/>
    <w:uiPriority w:val="99"/>
    <w:locked/>
    <w:rsid w:val="005E492C"/>
    <w:rPr>
      <w:rFonts w:ascii="Arial" w:hAnsi="Arial"/>
      <w:color w:val="000000"/>
      <w:sz w:val="22"/>
      <w:szCs w:val="22"/>
      <w:shd w:val="clear" w:color="auto" w:fill="EAECEE"/>
      <w:lang w:bidi="ar-SA"/>
    </w:rPr>
  </w:style>
  <w:style w:type="paragraph" w:customStyle="1" w:styleId="TL-Identifikace">
    <w:name w:val="TL - Identifikace"/>
    <w:next w:val="Normln"/>
    <w:link w:val="TL-IdentifikaceChar"/>
    <w:uiPriority w:val="99"/>
    <w:rsid w:val="005E492C"/>
    <w:pPr>
      <w:spacing w:after="200" w:line="288" w:lineRule="auto"/>
    </w:pPr>
    <w:rPr>
      <w:rFonts w:ascii="Arial" w:hAnsi="Arial"/>
      <w:sz w:val="22"/>
      <w:szCs w:val="22"/>
    </w:rPr>
  </w:style>
  <w:style w:type="character" w:customStyle="1" w:styleId="TL-KontaktyChar">
    <w:name w:val="TL - Kontakty Char"/>
    <w:link w:val="TL-Kontakty"/>
    <w:uiPriority w:val="99"/>
    <w:locked/>
    <w:rsid w:val="005E492C"/>
    <w:rPr>
      <w:rFonts w:ascii="Arial" w:hAnsi="Arial"/>
      <w:b/>
      <w:caps/>
      <w:color w:val="BD1B21"/>
      <w:sz w:val="22"/>
      <w:szCs w:val="22"/>
      <w:lang w:bidi="ar-SA"/>
    </w:rPr>
  </w:style>
  <w:style w:type="character" w:customStyle="1" w:styleId="TL-IdentifikaceChar">
    <w:name w:val="TL - Identifikace Char"/>
    <w:link w:val="TL-Identifikace"/>
    <w:uiPriority w:val="99"/>
    <w:locked/>
    <w:rsid w:val="005E492C"/>
    <w:rPr>
      <w:rFonts w:ascii="Arial" w:hAnsi="Arial"/>
      <w:sz w:val="22"/>
      <w:szCs w:val="22"/>
      <w:lang w:bidi="ar-SA"/>
    </w:rPr>
  </w:style>
  <w:style w:type="paragraph" w:customStyle="1" w:styleId="3372873BB58A4DED866D2BE34882C06C">
    <w:name w:val="3372873BB58A4DED866D2BE34882C06C"/>
    <w:uiPriority w:val="99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uiPriority w:val="99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uiPriority w:val="99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NoSpacingChar">
    <w:name w:val="No Spacing Char"/>
    <w:aliases w:val="Bez zarážky Char"/>
    <w:link w:val="Bezmezer1"/>
    <w:uiPriority w:val="99"/>
    <w:locked/>
    <w:rsid w:val="005E492C"/>
    <w:rPr>
      <w:rFonts w:ascii="Arial" w:hAnsi="Arial"/>
      <w:sz w:val="22"/>
      <w:szCs w:val="22"/>
      <w:lang w:bidi="ar-SA"/>
    </w:rPr>
  </w:style>
  <w:style w:type="paragraph" w:customStyle="1" w:styleId="TL-identifikace-sted">
    <w:name w:val="TL - identifikace - střed"/>
    <w:basedOn w:val="Normln"/>
    <w:link w:val="TL-identifikace-stedChar"/>
    <w:uiPriority w:val="99"/>
    <w:rsid w:val="005E492C"/>
    <w:pPr>
      <w:spacing w:after="200"/>
    </w:pPr>
    <w:rPr>
      <w:sz w:val="24"/>
      <w:szCs w:val="20"/>
    </w:rPr>
  </w:style>
  <w:style w:type="paragraph" w:customStyle="1" w:styleId="TL-Identifikace-dole">
    <w:name w:val="TL - Identifikace - dole"/>
    <w:basedOn w:val="Normln"/>
    <w:link w:val="TL-Identifikace-doleChar"/>
    <w:uiPriority w:val="99"/>
    <w:rsid w:val="005E492C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uiPriority w:val="99"/>
    <w:locked/>
    <w:rsid w:val="005E492C"/>
    <w:rPr>
      <w:rFonts w:ascii="Arial" w:hAnsi="Arial"/>
      <w:sz w:val="24"/>
    </w:rPr>
  </w:style>
  <w:style w:type="character" w:customStyle="1" w:styleId="TL-Identifikace-doleChar">
    <w:name w:val="TL - Identifikace - dole Char"/>
    <w:link w:val="TL-Identifikace-dole"/>
    <w:uiPriority w:val="99"/>
    <w:locked/>
    <w:rsid w:val="005E492C"/>
    <w:rPr>
      <w:rFonts w:ascii="Arial" w:hAnsi="Arial"/>
      <w:lang w:eastAsia="ar-SA" w:bidi="ar-SA"/>
    </w:rPr>
  </w:style>
  <w:style w:type="paragraph" w:styleId="Nadpisobsahu">
    <w:name w:val="TOC Heading"/>
    <w:basedOn w:val="Nadpis1"/>
    <w:next w:val="Normln"/>
    <w:uiPriority w:val="99"/>
    <w:qFormat/>
    <w:rsid w:val="007521A1"/>
    <w:pPr>
      <w:keepLines w:val="0"/>
      <w:spacing w:before="240" w:after="60"/>
      <w:outlineLvl w:val="9"/>
    </w:pPr>
    <w:rPr>
      <w:rFonts w:ascii="Cambria" w:eastAsia="Times New Roman" w:hAnsi="Cambria"/>
      <w:color w:val="auto"/>
      <w:kern w:val="32"/>
      <w:szCs w:val="32"/>
    </w:rPr>
  </w:style>
  <w:style w:type="paragraph" w:styleId="Obsah1">
    <w:name w:val="toc 1"/>
    <w:basedOn w:val="Normln"/>
    <w:next w:val="Normln"/>
    <w:autoRedefine/>
    <w:uiPriority w:val="39"/>
    <w:rsid w:val="00E921C7"/>
    <w:pPr>
      <w:tabs>
        <w:tab w:val="left" w:pos="660"/>
        <w:tab w:val="right" w:leader="dot" w:pos="9628"/>
      </w:tabs>
      <w:spacing w:after="100" w:line="360" w:lineRule="auto"/>
      <w:jc w:val="both"/>
    </w:pPr>
    <w:rPr>
      <w:rFonts w:cs="Arial"/>
      <w:b/>
      <w:noProof/>
      <w:szCs w:val="20"/>
      <w:lang w:eastAsia="en-US"/>
    </w:rPr>
  </w:style>
  <w:style w:type="paragraph" w:styleId="Obsah2">
    <w:name w:val="toc 2"/>
    <w:basedOn w:val="Normln"/>
    <w:next w:val="Normln"/>
    <w:autoRedefine/>
    <w:uiPriority w:val="99"/>
    <w:rsid w:val="00D142E5"/>
    <w:pPr>
      <w:ind w:left="200"/>
    </w:pPr>
  </w:style>
  <w:style w:type="paragraph" w:styleId="Obsah3">
    <w:name w:val="toc 3"/>
    <w:basedOn w:val="Normln"/>
    <w:next w:val="Normln"/>
    <w:autoRedefine/>
    <w:uiPriority w:val="99"/>
    <w:rsid w:val="00D142E5"/>
    <w:pPr>
      <w:ind w:left="400"/>
    </w:pPr>
  </w:style>
  <w:style w:type="paragraph" w:styleId="Textpoznpodarou">
    <w:name w:val="footnote text"/>
    <w:aliases w:val="Text pozn. pod čarou_martin_ang"/>
    <w:basedOn w:val="Normln"/>
    <w:link w:val="TextpoznpodarouChar"/>
    <w:rsid w:val="00972263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locked/>
    <w:rsid w:val="00972263"/>
    <w:rPr>
      <w:rFonts w:ascii="Arial" w:hAnsi="Arial" w:cs="Times New Roman"/>
    </w:rPr>
  </w:style>
  <w:style w:type="character" w:styleId="Znakapoznpodarou">
    <w:name w:val="footnote reference"/>
    <w:basedOn w:val="Standardnpsmoodstavce"/>
    <w:rsid w:val="00972263"/>
    <w:rPr>
      <w:rFonts w:cs="Times New Roman"/>
      <w:vertAlign w:val="superscript"/>
    </w:rPr>
  </w:style>
  <w:style w:type="paragraph" w:styleId="Rozvrendokumentu">
    <w:name w:val="Document Map"/>
    <w:basedOn w:val="Normln"/>
    <w:link w:val="RozvrendokumentuChar"/>
    <w:uiPriority w:val="99"/>
    <w:semiHidden/>
    <w:rsid w:val="00D5626D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D5626D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99"/>
    <w:qFormat/>
    <w:rsid w:val="00E921C7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46039A"/>
    <w:pPr>
      <w:ind w:left="708"/>
    </w:pPr>
  </w:style>
  <w:style w:type="table" w:styleId="Mkatabulky">
    <w:name w:val="Table Grid"/>
    <w:basedOn w:val="Normlntabulka"/>
    <w:uiPriority w:val="59"/>
    <w:rsid w:val="000779A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uiPriority w:val="59"/>
    <w:rsid w:val="003D476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qFormat/>
    <w:rsid w:val="007D4281"/>
    <w:pPr>
      <w:jc w:val="both"/>
    </w:pPr>
    <w:rPr>
      <w:rFonts w:ascii="Arial" w:eastAsia="Times New Roman" w:hAnsi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15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OVA~1\AppData\Local\Temp\publikace%20bar_vicetematick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9673B-AFDB-4042-94D9-DA4A7C205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bar_vicetematicke</Template>
  <TotalTime>108</TotalTime>
  <Pages>4</Pages>
  <Words>2665</Words>
  <Characters>15429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18058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Jašová</dc:creator>
  <cp:lastModifiedBy>Ing. Drahomíra Dubská, CSc.</cp:lastModifiedBy>
  <cp:revision>25</cp:revision>
  <cp:lastPrinted>2015-06-19T06:21:00Z</cp:lastPrinted>
  <dcterms:created xsi:type="dcterms:W3CDTF">2015-09-15T08:14:00Z</dcterms:created>
  <dcterms:modified xsi:type="dcterms:W3CDTF">2015-09-18T08:37:00Z</dcterms:modified>
</cp:coreProperties>
</file>