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949B1" w14:textId="77777777" w:rsidR="00B8548A" w:rsidRPr="00D8339D" w:rsidRDefault="00B8548A" w:rsidP="00B8548A">
      <w:pPr>
        <w:pStyle w:val="Nadpis8"/>
        <w:spacing w:after="120" w:line="233" w:lineRule="auto"/>
        <w:rPr>
          <w:rStyle w:val="Siln"/>
          <w:rFonts w:cs="Arial"/>
          <w:b/>
          <w:bCs/>
        </w:rPr>
      </w:pPr>
      <w:r>
        <w:rPr>
          <w:rStyle w:val="Siln"/>
          <w:rFonts w:cs="Arial"/>
          <w:b/>
          <w:bCs/>
        </w:rPr>
        <w:t>ZMĚNY ÚZEMNÍ STRUKTURY</w:t>
      </w:r>
    </w:p>
    <w:p w14:paraId="7D8CD7F3" w14:textId="77777777" w:rsidR="003F0A24" w:rsidRDefault="00571410" w:rsidP="00B8548A">
      <w:pPr>
        <w:pStyle w:val="Zkladntext3"/>
        <w:spacing w:after="120"/>
        <w:rPr>
          <w:rFonts w:cs="Arial"/>
          <w:szCs w:val="20"/>
        </w:rPr>
      </w:pPr>
      <w:r w:rsidRPr="00073DE6">
        <w:rPr>
          <w:rFonts w:cs="Arial"/>
          <w:b/>
          <w:szCs w:val="20"/>
        </w:rPr>
        <w:t xml:space="preserve">K </w:t>
      </w:r>
      <w:r w:rsidR="00D8339D" w:rsidRPr="00073DE6">
        <w:rPr>
          <w:rFonts w:cs="Arial"/>
          <w:b/>
          <w:szCs w:val="20"/>
        </w:rPr>
        <w:t>1.</w:t>
      </w:r>
      <w:r w:rsidRPr="00073DE6">
        <w:rPr>
          <w:rFonts w:cs="Arial"/>
          <w:b/>
          <w:szCs w:val="20"/>
        </w:rPr>
        <w:t> </w:t>
      </w:r>
      <w:r w:rsidR="00D8339D" w:rsidRPr="00073DE6">
        <w:rPr>
          <w:rFonts w:cs="Arial"/>
          <w:b/>
          <w:szCs w:val="20"/>
        </w:rPr>
        <w:t>1.</w:t>
      </w:r>
      <w:r w:rsidRPr="00073DE6">
        <w:rPr>
          <w:rFonts w:cs="Arial"/>
          <w:b/>
          <w:szCs w:val="20"/>
        </w:rPr>
        <w:t> </w:t>
      </w:r>
      <w:r w:rsidR="00D8339D" w:rsidRPr="00073DE6">
        <w:rPr>
          <w:rFonts w:cs="Arial"/>
          <w:b/>
          <w:szCs w:val="20"/>
        </w:rPr>
        <w:t>2021</w:t>
      </w:r>
      <w:r w:rsidR="00D8339D">
        <w:rPr>
          <w:rFonts w:cs="Arial"/>
          <w:szCs w:val="20"/>
        </w:rPr>
        <w:t xml:space="preserve"> nabyl účinnosti </w:t>
      </w:r>
      <w:r w:rsidR="00D8339D" w:rsidRPr="004363BE">
        <w:rPr>
          <w:rFonts w:cs="Arial"/>
          <w:b/>
          <w:szCs w:val="20"/>
        </w:rPr>
        <w:t>zákon č. 51/2020 Sb., o</w:t>
      </w:r>
      <w:r>
        <w:rPr>
          <w:rFonts w:cs="Arial"/>
          <w:b/>
          <w:szCs w:val="20"/>
        </w:rPr>
        <w:t> </w:t>
      </w:r>
      <w:r w:rsidR="00D8339D" w:rsidRPr="004363BE">
        <w:rPr>
          <w:rFonts w:cs="Arial"/>
          <w:b/>
          <w:szCs w:val="20"/>
        </w:rPr>
        <w:t>územně správním členění státu</w:t>
      </w:r>
      <w:r w:rsidR="00D8339D" w:rsidRPr="00D8339D">
        <w:rPr>
          <w:rFonts w:cs="Arial"/>
          <w:szCs w:val="20"/>
        </w:rPr>
        <w:t xml:space="preserve"> a o</w:t>
      </w:r>
      <w:r>
        <w:rPr>
          <w:rFonts w:cs="Arial"/>
          <w:szCs w:val="20"/>
        </w:rPr>
        <w:t> </w:t>
      </w:r>
      <w:r w:rsidR="00D8339D" w:rsidRPr="00D8339D">
        <w:rPr>
          <w:rFonts w:cs="Arial"/>
          <w:szCs w:val="20"/>
        </w:rPr>
        <w:t xml:space="preserve">změně souvisejících zákonů ze dne 29. ledna 2020 </w:t>
      </w:r>
      <w:r w:rsidR="00D8339D">
        <w:rPr>
          <w:rFonts w:cs="Arial"/>
          <w:szCs w:val="20"/>
        </w:rPr>
        <w:t>(</w:t>
      </w:r>
      <w:r w:rsidR="00D8339D" w:rsidRPr="00D8339D">
        <w:rPr>
          <w:rFonts w:cs="Arial"/>
          <w:szCs w:val="20"/>
        </w:rPr>
        <w:t>zveřejněn v částce 22/2020 Sb</w:t>
      </w:r>
      <w:r w:rsidR="0003704E">
        <w:rPr>
          <w:rFonts w:cs="Arial"/>
          <w:szCs w:val="20"/>
        </w:rPr>
        <w:t>.</w:t>
      </w:r>
      <w:r w:rsidR="00D8339D">
        <w:rPr>
          <w:rFonts w:cs="Arial"/>
          <w:szCs w:val="20"/>
        </w:rPr>
        <w:t>)</w:t>
      </w:r>
      <w:r w:rsidR="00D8339D" w:rsidRPr="00D8339D">
        <w:rPr>
          <w:rFonts w:cs="Arial"/>
          <w:szCs w:val="20"/>
        </w:rPr>
        <w:t xml:space="preserve">. </w:t>
      </w:r>
      <w:r w:rsidR="00D8339D">
        <w:rPr>
          <w:rFonts w:cs="Arial"/>
          <w:szCs w:val="20"/>
        </w:rPr>
        <w:t>V</w:t>
      </w:r>
      <w:r w:rsidR="0003704E">
        <w:rPr>
          <w:rFonts w:cs="Arial"/>
          <w:szCs w:val="20"/>
        </w:rPr>
        <w:t> návaznosti na tento zákon a</w:t>
      </w:r>
      <w:r>
        <w:rPr>
          <w:rFonts w:cs="Arial"/>
          <w:szCs w:val="20"/>
        </w:rPr>
        <w:t> </w:t>
      </w:r>
      <w:r w:rsidR="0003704E">
        <w:rPr>
          <w:rFonts w:cs="Arial"/>
          <w:szCs w:val="20"/>
        </w:rPr>
        <w:t xml:space="preserve">Vyhlášku </w:t>
      </w:r>
      <w:r w:rsidR="0003704E" w:rsidRPr="0003704E">
        <w:rPr>
          <w:rFonts w:cs="Arial"/>
          <w:szCs w:val="20"/>
        </w:rPr>
        <w:t>č.</w:t>
      </w:r>
      <w:r w:rsidR="0003704E">
        <w:rPr>
          <w:rFonts w:cs="Arial"/>
          <w:szCs w:val="20"/>
        </w:rPr>
        <w:t> </w:t>
      </w:r>
      <w:r w:rsidR="0003704E" w:rsidRPr="0003704E">
        <w:rPr>
          <w:rFonts w:cs="Arial"/>
          <w:szCs w:val="20"/>
        </w:rPr>
        <w:t>346/2020 Sb., o stanovení správních obvodů obcí s rozšířenou působností, území obvodů hlavního města Prahy a příslušnosti některých obcí do jiného okresu ze dne 28. července 2020</w:t>
      </w:r>
      <w:r w:rsidR="0003704E">
        <w:rPr>
          <w:rFonts w:cs="Arial"/>
          <w:szCs w:val="20"/>
        </w:rPr>
        <w:t>,</w:t>
      </w:r>
      <w:r w:rsidR="00D8339D">
        <w:rPr>
          <w:rFonts w:cs="Arial"/>
          <w:szCs w:val="20"/>
        </w:rPr>
        <w:t xml:space="preserve"> došlo ke</w:t>
      </w:r>
      <w:r w:rsidR="00B46946">
        <w:rPr>
          <w:rFonts w:cs="Arial"/>
          <w:szCs w:val="20"/>
        </w:rPr>
        <w:t> </w:t>
      </w:r>
      <w:r w:rsidR="00D8339D">
        <w:rPr>
          <w:rFonts w:cs="Arial"/>
          <w:szCs w:val="20"/>
        </w:rPr>
        <w:t>změně územního vymezení několika okresů a několika správních obvodů s rozšířenou působností (území krajů zůstalo nezměněno</w:t>
      </w:r>
      <w:r w:rsidR="003F0A24">
        <w:rPr>
          <w:rFonts w:cs="Arial"/>
          <w:szCs w:val="20"/>
        </w:rPr>
        <w:t>)</w:t>
      </w:r>
      <w:r w:rsidR="00D8339D">
        <w:rPr>
          <w:rFonts w:cs="Arial"/>
          <w:szCs w:val="20"/>
        </w:rPr>
        <w:t>.</w:t>
      </w:r>
    </w:p>
    <w:p w14:paraId="1F457E83" w14:textId="77777777" w:rsidR="004363BE" w:rsidRDefault="004363BE" w:rsidP="004363BE">
      <w:pPr>
        <w:pStyle w:val="Zkladntext3"/>
        <w:spacing w:after="120"/>
        <w:rPr>
          <w:rFonts w:cs="Arial"/>
          <w:szCs w:val="20"/>
        </w:rPr>
      </w:pPr>
      <w:r>
        <w:rPr>
          <w:rFonts w:cs="Arial"/>
          <w:szCs w:val="20"/>
        </w:rPr>
        <w:t xml:space="preserve">Z pohledu </w:t>
      </w:r>
      <w:r w:rsidRPr="004363BE">
        <w:rPr>
          <w:rFonts w:cs="Arial"/>
          <w:b/>
          <w:szCs w:val="20"/>
        </w:rPr>
        <w:t>okresů</w:t>
      </w:r>
      <w:r>
        <w:rPr>
          <w:rFonts w:cs="Arial"/>
          <w:szCs w:val="20"/>
        </w:rPr>
        <w:t xml:space="preserve"> došlo </w:t>
      </w:r>
      <w:r w:rsidR="00D97DDB">
        <w:rPr>
          <w:rFonts w:cs="Arial"/>
          <w:szCs w:val="20"/>
        </w:rPr>
        <w:t xml:space="preserve">ve Středočeském kraji </w:t>
      </w:r>
      <w:r w:rsidR="00571410">
        <w:rPr>
          <w:rFonts w:cs="Arial"/>
          <w:szCs w:val="20"/>
        </w:rPr>
        <w:t xml:space="preserve">k </w:t>
      </w:r>
      <w:r w:rsidR="003F0A24">
        <w:rPr>
          <w:rFonts w:cs="Arial"/>
          <w:szCs w:val="20"/>
        </w:rPr>
        <w:t>přesunu</w:t>
      </w:r>
      <w:r>
        <w:rPr>
          <w:rFonts w:cs="Arial"/>
          <w:szCs w:val="20"/>
        </w:rPr>
        <w:t xml:space="preserve"> 1 obce</w:t>
      </w:r>
      <w:r w:rsidR="003F0A24" w:rsidRPr="003F0A24">
        <w:rPr>
          <w:rFonts w:cs="Arial"/>
          <w:szCs w:val="20"/>
        </w:rPr>
        <w:t xml:space="preserve"> z okresu Nymburk do okresu Kolín</w:t>
      </w:r>
      <w:r>
        <w:rPr>
          <w:rFonts w:cs="Arial"/>
          <w:szCs w:val="20"/>
        </w:rPr>
        <w:t xml:space="preserve">, </w:t>
      </w:r>
      <w:r w:rsidR="00D97DDB">
        <w:rPr>
          <w:rFonts w:cs="Arial"/>
          <w:szCs w:val="20"/>
        </w:rPr>
        <w:t xml:space="preserve">v Plzeňském kraji </w:t>
      </w:r>
      <w:r w:rsidR="003F0A24" w:rsidRPr="003F0A24">
        <w:rPr>
          <w:rFonts w:cs="Arial"/>
          <w:szCs w:val="20"/>
        </w:rPr>
        <w:t>9 obcí z okresu Domažlice do okresu Plzeň-jih</w:t>
      </w:r>
      <w:r>
        <w:rPr>
          <w:rFonts w:cs="Arial"/>
          <w:szCs w:val="20"/>
        </w:rPr>
        <w:t xml:space="preserve">, </w:t>
      </w:r>
      <w:r w:rsidR="00D97DDB">
        <w:rPr>
          <w:rFonts w:cs="Arial"/>
          <w:szCs w:val="20"/>
        </w:rPr>
        <w:t xml:space="preserve">v Libereckém kraji </w:t>
      </w:r>
      <w:r>
        <w:rPr>
          <w:rFonts w:cs="Arial"/>
          <w:szCs w:val="20"/>
        </w:rPr>
        <w:t>1</w:t>
      </w:r>
      <w:r w:rsidR="003F0A24" w:rsidRPr="003F0A24">
        <w:rPr>
          <w:rFonts w:cs="Arial"/>
          <w:szCs w:val="20"/>
        </w:rPr>
        <w:t xml:space="preserve"> obc</w:t>
      </w:r>
      <w:r>
        <w:rPr>
          <w:rFonts w:cs="Arial"/>
          <w:szCs w:val="20"/>
        </w:rPr>
        <w:t>e</w:t>
      </w:r>
      <w:r w:rsidR="00D97DDB">
        <w:rPr>
          <w:rFonts w:cs="Arial"/>
          <w:szCs w:val="20"/>
        </w:rPr>
        <w:t xml:space="preserve"> </w:t>
      </w:r>
      <w:r w:rsidR="003F0A24" w:rsidRPr="003F0A24">
        <w:rPr>
          <w:rFonts w:cs="Arial"/>
          <w:szCs w:val="20"/>
        </w:rPr>
        <w:t>z okresu Semily do okresu Jablonec nad Nisou</w:t>
      </w:r>
      <w:r>
        <w:rPr>
          <w:rFonts w:cs="Arial"/>
          <w:szCs w:val="20"/>
        </w:rPr>
        <w:t xml:space="preserve"> a ve</w:t>
      </w:r>
      <w:r w:rsidR="00D97DDB">
        <w:rPr>
          <w:rFonts w:cs="Arial"/>
          <w:szCs w:val="20"/>
        </w:rPr>
        <w:t xml:space="preserve"> Zlínském </w:t>
      </w:r>
      <w:r>
        <w:rPr>
          <w:rFonts w:cs="Arial"/>
          <w:szCs w:val="20"/>
        </w:rPr>
        <w:t xml:space="preserve">kraji </w:t>
      </w:r>
      <w:r w:rsidR="009A48BD">
        <w:rPr>
          <w:rFonts w:cs="Arial"/>
          <w:szCs w:val="20"/>
        </w:rPr>
        <w:t>2</w:t>
      </w:r>
      <w:r w:rsidR="00D97DDB" w:rsidRPr="00D97DDB">
        <w:rPr>
          <w:rFonts w:cs="Arial"/>
          <w:szCs w:val="20"/>
        </w:rPr>
        <w:t xml:space="preserve"> obc</w:t>
      </w:r>
      <w:r>
        <w:rPr>
          <w:rFonts w:cs="Arial"/>
          <w:szCs w:val="20"/>
        </w:rPr>
        <w:t>í</w:t>
      </w:r>
      <w:r w:rsidR="00D97DDB" w:rsidRPr="00D97DDB">
        <w:rPr>
          <w:rFonts w:cs="Arial"/>
          <w:szCs w:val="20"/>
        </w:rPr>
        <w:t xml:space="preserve"> z okresu Vsetín do okresu Zlín</w:t>
      </w:r>
      <w:r>
        <w:rPr>
          <w:rFonts w:cs="Arial"/>
          <w:szCs w:val="20"/>
        </w:rPr>
        <w:t>.</w:t>
      </w:r>
    </w:p>
    <w:p w14:paraId="48133D88" w14:textId="77777777" w:rsidR="004363BE" w:rsidRDefault="00D97DDB" w:rsidP="004363BE">
      <w:pPr>
        <w:pStyle w:val="Zkladntext3"/>
        <w:spacing w:after="120"/>
        <w:rPr>
          <w:bCs/>
          <w:szCs w:val="20"/>
        </w:rPr>
      </w:pPr>
      <w:r>
        <w:rPr>
          <w:rFonts w:cs="Arial"/>
          <w:szCs w:val="20"/>
        </w:rPr>
        <w:t xml:space="preserve">Ve </w:t>
      </w:r>
      <w:r w:rsidRPr="004363BE">
        <w:rPr>
          <w:rFonts w:cs="Arial"/>
          <w:b/>
          <w:szCs w:val="20"/>
        </w:rPr>
        <w:t>správních obvodech obcí s rozšířenou působností</w:t>
      </w:r>
      <w:r>
        <w:rPr>
          <w:rFonts w:cs="Arial"/>
          <w:szCs w:val="20"/>
        </w:rPr>
        <w:t xml:space="preserve"> </w:t>
      </w:r>
      <w:r w:rsidR="004363BE">
        <w:rPr>
          <w:rFonts w:cs="Arial"/>
          <w:szCs w:val="20"/>
        </w:rPr>
        <w:t xml:space="preserve">(SO ORP) byly přesunuty </w:t>
      </w:r>
      <w:r>
        <w:rPr>
          <w:rFonts w:cs="Arial"/>
          <w:szCs w:val="20"/>
        </w:rPr>
        <w:t xml:space="preserve">ve Středočeském kraji </w:t>
      </w:r>
      <w:r w:rsidRPr="00D97DDB">
        <w:rPr>
          <w:rFonts w:cs="Arial"/>
          <w:szCs w:val="20"/>
        </w:rPr>
        <w:t>3</w:t>
      </w:r>
      <w:r w:rsidR="004363BE">
        <w:rPr>
          <w:rFonts w:cs="Arial"/>
          <w:szCs w:val="20"/>
        </w:rPr>
        <w:t> </w:t>
      </w:r>
      <w:r w:rsidRPr="00D97DDB">
        <w:rPr>
          <w:rFonts w:cs="Arial"/>
          <w:szCs w:val="20"/>
        </w:rPr>
        <w:t xml:space="preserve">obce </w:t>
      </w:r>
      <w:r w:rsidR="004363BE">
        <w:rPr>
          <w:rFonts w:cs="Arial"/>
          <w:szCs w:val="20"/>
        </w:rPr>
        <w:t>z</w:t>
      </w:r>
      <w:r w:rsidRPr="00D97DDB">
        <w:rPr>
          <w:rFonts w:cs="Arial"/>
          <w:szCs w:val="20"/>
        </w:rPr>
        <w:t xml:space="preserve"> SO ORP Český Brod do</w:t>
      </w:r>
      <w:r w:rsidR="009A48BD">
        <w:rPr>
          <w:rFonts w:cs="Arial"/>
          <w:szCs w:val="20"/>
        </w:rPr>
        <w:t> </w:t>
      </w:r>
      <w:r w:rsidRPr="00D97DDB">
        <w:rPr>
          <w:rFonts w:cs="Arial"/>
          <w:szCs w:val="20"/>
        </w:rPr>
        <w:t>SO</w:t>
      </w:r>
      <w:r w:rsidR="009A48BD">
        <w:rPr>
          <w:rFonts w:cs="Arial"/>
          <w:szCs w:val="20"/>
        </w:rPr>
        <w:t> </w:t>
      </w:r>
      <w:r w:rsidRPr="00D97DDB">
        <w:rPr>
          <w:rFonts w:cs="Arial"/>
          <w:szCs w:val="20"/>
        </w:rPr>
        <w:t>ORP Lysá nad Labem</w:t>
      </w:r>
      <w:r w:rsidR="004363BE">
        <w:rPr>
          <w:rFonts w:cs="Arial"/>
          <w:szCs w:val="20"/>
        </w:rPr>
        <w:t xml:space="preserve">, </w:t>
      </w:r>
      <w:r w:rsidR="009A48BD">
        <w:rPr>
          <w:rFonts w:cs="Arial"/>
          <w:szCs w:val="20"/>
        </w:rPr>
        <w:t xml:space="preserve">v Libereckém kraji </w:t>
      </w:r>
      <w:r w:rsidRPr="00D97DDB">
        <w:rPr>
          <w:rFonts w:cs="Arial"/>
          <w:szCs w:val="20"/>
        </w:rPr>
        <w:t>1 obec</w:t>
      </w:r>
      <w:r w:rsidR="009A48BD">
        <w:rPr>
          <w:rFonts w:cs="Arial"/>
          <w:szCs w:val="20"/>
        </w:rPr>
        <w:t xml:space="preserve"> </w:t>
      </w:r>
      <w:r w:rsidRPr="00D97DDB">
        <w:rPr>
          <w:rFonts w:cs="Arial"/>
          <w:szCs w:val="20"/>
        </w:rPr>
        <w:t>z SO ORP Turnov do</w:t>
      </w:r>
      <w:r w:rsidR="004363BE">
        <w:rPr>
          <w:rFonts w:cs="Arial"/>
          <w:szCs w:val="20"/>
        </w:rPr>
        <w:t> </w:t>
      </w:r>
      <w:r w:rsidRPr="00D97DDB">
        <w:rPr>
          <w:rFonts w:cs="Arial"/>
          <w:szCs w:val="20"/>
        </w:rPr>
        <w:t>SO ORP Jablonec nad Nisou</w:t>
      </w:r>
      <w:r w:rsidR="004363BE">
        <w:rPr>
          <w:rFonts w:cs="Arial"/>
          <w:szCs w:val="20"/>
        </w:rPr>
        <w:t xml:space="preserve"> a v</w:t>
      </w:r>
      <w:r w:rsidR="009A48BD" w:rsidRPr="009F442E">
        <w:rPr>
          <w:rFonts w:cs="Arial"/>
          <w:szCs w:val="20"/>
        </w:rPr>
        <w:t xml:space="preserve"> Kraji Vysočina </w:t>
      </w:r>
      <w:r w:rsidRPr="009F442E">
        <w:rPr>
          <w:rFonts w:cs="Arial"/>
          <w:szCs w:val="20"/>
        </w:rPr>
        <w:t>1 obec</w:t>
      </w:r>
      <w:r w:rsidR="009A48BD" w:rsidRPr="009F442E">
        <w:rPr>
          <w:rFonts w:cs="Arial"/>
          <w:szCs w:val="20"/>
        </w:rPr>
        <w:t xml:space="preserve"> (</w:t>
      </w:r>
      <w:r w:rsidRPr="009F442E">
        <w:rPr>
          <w:bCs/>
          <w:szCs w:val="20"/>
        </w:rPr>
        <w:t>z SO ORP Jihlava do SO ORP Havlíčkův Brod</w:t>
      </w:r>
      <w:r w:rsidR="00571410">
        <w:rPr>
          <w:bCs/>
          <w:szCs w:val="20"/>
        </w:rPr>
        <w:t>)</w:t>
      </w:r>
      <w:r w:rsidR="004363BE">
        <w:rPr>
          <w:bCs/>
          <w:szCs w:val="20"/>
        </w:rPr>
        <w:t>.</w:t>
      </w:r>
    </w:p>
    <w:p w14:paraId="252C715C" w14:textId="77777777" w:rsidR="00B35AF9" w:rsidRPr="0031466D" w:rsidRDefault="00B35AF9" w:rsidP="00073DE6">
      <w:pPr>
        <w:pStyle w:val="Zkladntext3"/>
        <w:spacing w:after="120"/>
        <w:rPr>
          <w:rFonts w:cs="Arial"/>
          <w:spacing w:val="-4"/>
          <w:szCs w:val="20"/>
        </w:rPr>
      </w:pPr>
      <w:r w:rsidRPr="0031466D">
        <w:rPr>
          <w:rFonts w:cs="Arial"/>
          <w:b/>
          <w:spacing w:val="-4"/>
          <w:szCs w:val="20"/>
        </w:rPr>
        <w:t>K 1. 1</w:t>
      </w:r>
      <w:r w:rsidR="003F7EF0" w:rsidRPr="0031466D">
        <w:rPr>
          <w:rFonts w:cs="Arial"/>
          <w:b/>
          <w:spacing w:val="-4"/>
          <w:szCs w:val="20"/>
        </w:rPr>
        <w:t>.</w:t>
      </w:r>
      <w:r w:rsidRPr="0031466D">
        <w:rPr>
          <w:rFonts w:cs="Arial"/>
          <w:b/>
          <w:spacing w:val="-4"/>
          <w:szCs w:val="20"/>
        </w:rPr>
        <w:t xml:space="preserve"> 2023</w:t>
      </w:r>
      <w:r w:rsidRPr="0031466D">
        <w:rPr>
          <w:rFonts w:cs="Arial"/>
          <w:spacing w:val="-4"/>
          <w:szCs w:val="20"/>
        </w:rPr>
        <w:t xml:space="preserve"> došlo v Olomouckém kraji k přesunu 1 obce (Přemyslovice) z SO ORP Prostějov do SO OPR Konice.</w:t>
      </w:r>
    </w:p>
    <w:p w14:paraId="35059FED" w14:textId="77777777" w:rsidR="00CF5AA4" w:rsidRDefault="00CF5AA4" w:rsidP="00B35AF9">
      <w:pPr>
        <w:pStyle w:val="Zkladntext3"/>
        <w:rPr>
          <w:rFonts w:cs="Arial"/>
          <w:szCs w:val="20"/>
        </w:rPr>
      </w:pPr>
      <w:r>
        <w:rPr>
          <w:rFonts w:cs="Arial"/>
          <w:szCs w:val="20"/>
        </w:rPr>
        <w:t xml:space="preserve">Všechny údaje jsou ve statistických bulletinech zásadně publikovány </w:t>
      </w:r>
      <w:r w:rsidRPr="00CF5AA4">
        <w:rPr>
          <w:rFonts w:cs="Arial"/>
          <w:b/>
          <w:szCs w:val="20"/>
        </w:rPr>
        <w:t>v územní struktuře platné v příslušném roce</w:t>
      </w:r>
      <w:r>
        <w:rPr>
          <w:rFonts w:cs="Arial"/>
          <w:szCs w:val="20"/>
        </w:rPr>
        <w:t>. Při posuzování dat v meziročním vývoji je proto nutno změny území zohlednit.</w:t>
      </w:r>
    </w:p>
    <w:p w14:paraId="33D52835" w14:textId="77777777" w:rsidR="00CF5AA4" w:rsidRDefault="00CF5AA4" w:rsidP="00CF5AA4">
      <w:pPr>
        <w:pStyle w:val="Nadpis8"/>
        <w:spacing w:line="233" w:lineRule="auto"/>
        <w:rPr>
          <w:rStyle w:val="Siln"/>
          <w:rFonts w:cs="Arial"/>
          <w:b/>
          <w:bCs/>
        </w:rPr>
      </w:pPr>
    </w:p>
    <w:p w14:paraId="13743C51" w14:textId="77777777"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14:paraId="6D3AB8B4" w14:textId="796A878E" w:rsidR="00073DE6" w:rsidRPr="00073DE6" w:rsidRDefault="00073DE6" w:rsidP="00073DE6">
      <w:pPr>
        <w:pStyle w:val="Zkladntext3"/>
        <w:spacing w:after="120"/>
        <w:rPr>
          <w:rFonts w:cs="Arial"/>
          <w:szCs w:val="20"/>
        </w:rPr>
      </w:pPr>
      <w:r w:rsidRPr="00073DE6">
        <w:rPr>
          <w:rFonts w:cs="Arial"/>
          <w:szCs w:val="20"/>
        </w:rPr>
        <w:t xml:space="preserve">Základem pro údaje </w:t>
      </w:r>
      <w:r w:rsidRPr="00073DE6">
        <w:rPr>
          <w:rFonts w:cs="Arial"/>
          <w:b/>
          <w:szCs w:val="20"/>
        </w:rPr>
        <w:t>o počtu a struktuře obyvatelstva</w:t>
      </w:r>
      <w:r w:rsidRPr="00073DE6">
        <w:rPr>
          <w:rFonts w:cs="Arial"/>
          <w:szCs w:val="20"/>
        </w:rPr>
        <w:t xml:space="preserve"> jsou výsledky sčítání lidu, domů a bytů, která jsou uskutečňována zhruba v desetiletých intervalech. Na tyto výsledky pak navazují (každoroční) intercenzální statistické bilance obyvatel vycházející ze zpracování </w:t>
      </w:r>
      <w:r w:rsidR="00E75BC7">
        <w:rPr>
          <w:rFonts w:cs="Arial"/>
          <w:szCs w:val="20"/>
        </w:rPr>
        <w:t>údajů</w:t>
      </w:r>
      <w:r w:rsidRPr="00073DE6">
        <w:rPr>
          <w:rFonts w:cs="Arial"/>
          <w:szCs w:val="20"/>
        </w:rPr>
        <w:t xml:space="preserve"> o sňatcích, na</w:t>
      </w:r>
      <w:r w:rsidR="0031466D">
        <w:rPr>
          <w:rFonts w:cs="Arial"/>
          <w:szCs w:val="20"/>
        </w:rPr>
        <w:t>rozeních, úmrtích a rozvodech a z </w:t>
      </w:r>
      <w:r w:rsidRPr="00073DE6">
        <w:rPr>
          <w:rFonts w:cs="Arial"/>
          <w:szCs w:val="20"/>
        </w:rPr>
        <w:t xml:space="preserve">dat o stěhování. </w:t>
      </w:r>
    </w:p>
    <w:p w14:paraId="00CCC3F6" w14:textId="77777777" w:rsidR="00073DE6" w:rsidRPr="00073DE6" w:rsidRDefault="00073DE6" w:rsidP="00073DE6">
      <w:pPr>
        <w:pStyle w:val="Zkladntext3"/>
        <w:spacing w:after="120"/>
        <w:rPr>
          <w:rFonts w:cs="Arial"/>
          <w:szCs w:val="20"/>
        </w:rPr>
      </w:pPr>
      <w:r w:rsidRPr="00073DE6">
        <w:rPr>
          <w:rFonts w:cs="Arial"/>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w:t>
      </w:r>
      <w:r>
        <w:rPr>
          <w:rFonts w:cs="Arial"/>
          <w:szCs w:val="20"/>
        </w:rPr>
        <w:t> </w:t>
      </w:r>
      <w:r w:rsidRPr="00073DE6">
        <w:rPr>
          <w:rFonts w:cs="Arial"/>
          <w:szCs w:val="20"/>
        </w:rPr>
        <w:t>cizinců s platným azylem v České republice. Od roku 2022 jsou do obyvatelstva zahrnovány osoby s</w:t>
      </w:r>
      <w:r>
        <w:rPr>
          <w:rFonts w:cs="Arial"/>
          <w:szCs w:val="20"/>
        </w:rPr>
        <w:t> </w:t>
      </w:r>
      <w:r w:rsidRPr="00073DE6">
        <w:rPr>
          <w:rFonts w:cs="Arial"/>
          <w:szCs w:val="20"/>
        </w:rPr>
        <w:t xml:space="preserve">udělenou dočasnou ochranou v České republice s obvyklým pobytem v ČR. Údaje zohledňují i události (sňatky, narození a úmrtí) českých občanů s trvalým bydlištěm na území ČR, které nastaly v cizině, pokud byly nahlášeny a evidovány zvláštní matrikou v termínu, který umožňuje jejich zařazení do statistiky. </w:t>
      </w:r>
    </w:p>
    <w:p w14:paraId="4A865D81" w14:textId="5CBE75EE" w:rsidR="00073DE6" w:rsidRPr="00073DE6" w:rsidRDefault="00073DE6" w:rsidP="00073DE6">
      <w:pPr>
        <w:pStyle w:val="Zkladntext3"/>
        <w:spacing w:after="120"/>
        <w:rPr>
          <w:rFonts w:cs="Arial"/>
          <w:szCs w:val="20"/>
        </w:rPr>
      </w:pPr>
      <w:r w:rsidRPr="00073DE6">
        <w:rPr>
          <w:rFonts w:cs="Arial"/>
          <w:szCs w:val="20"/>
        </w:rPr>
        <w:t xml:space="preserve">Údaje jsou zveřejňovány čtvrtletně v členění </w:t>
      </w:r>
      <w:r>
        <w:rPr>
          <w:rFonts w:cs="Arial"/>
          <w:szCs w:val="20"/>
        </w:rPr>
        <w:t>podle</w:t>
      </w:r>
      <w:r w:rsidRPr="00073DE6">
        <w:rPr>
          <w:rFonts w:cs="Arial"/>
          <w:szCs w:val="20"/>
        </w:rPr>
        <w:t xml:space="preserve"> krajů</w:t>
      </w:r>
      <w:r w:rsidR="00E75BC7">
        <w:rPr>
          <w:rFonts w:cs="Arial"/>
          <w:szCs w:val="20"/>
        </w:rPr>
        <w:t>,</w:t>
      </w:r>
      <w:r w:rsidRPr="00073DE6">
        <w:rPr>
          <w:rFonts w:cs="Arial"/>
          <w:szCs w:val="20"/>
        </w:rPr>
        <w:t xml:space="preserve"> okresů </w:t>
      </w:r>
      <w:r w:rsidR="00E75BC7">
        <w:rPr>
          <w:rFonts w:cs="Arial"/>
          <w:szCs w:val="20"/>
        </w:rPr>
        <w:t xml:space="preserve">a správních obvodů obcí s rozšířenou působností </w:t>
      </w:r>
      <w:r w:rsidRPr="00073DE6">
        <w:rPr>
          <w:rFonts w:cs="Arial"/>
          <w:szCs w:val="20"/>
        </w:rPr>
        <w:t xml:space="preserve">(v Praze </w:t>
      </w:r>
      <w:r w:rsidR="00E75BC7">
        <w:rPr>
          <w:rFonts w:cs="Arial"/>
          <w:szCs w:val="20"/>
        </w:rPr>
        <w:t>do</w:t>
      </w:r>
      <w:r>
        <w:rPr>
          <w:rFonts w:cs="Arial"/>
          <w:szCs w:val="20"/>
        </w:rPr>
        <w:t> </w:t>
      </w:r>
      <w:r w:rsidRPr="00073DE6">
        <w:rPr>
          <w:rFonts w:cs="Arial"/>
          <w:szCs w:val="20"/>
        </w:rPr>
        <w:t xml:space="preserve">městských částí), jednou ročně pak i do jednotlivých obcí. </w:t>
      </w:r>
    </w:p>
    <w:p w14:paraId="1FBDECFE" w14:textId="77777777" w:rsidR="00073DE6" w:rsidRPr="00073DE6" w:rsidRDefault="00073DE6" w:rsidP="00073DE6">
      <w:pPr>
        <w:pStyle w:val="Zkladntext3"/>
        <w:spacing w:after="120"/>
        <w:rPr>
          <w:rFonts w:cs="Arial"/>
          <w:szCs w:val="20"/>
        </w:rPr>
      </w:pPr>
      <w:r w:rsidRPr="00073DE6">
        <w:rPr>
          <w:rFonts w:cs="Arial"/>
          <w:szCs w:val="20"/>
        </w:rPr>
        <w:t xml:space="preserve">Údaje pro intenzitní ukazatele </w:t>
      </w:r>
      <w:r w:rsidRPr="00073DE6">
        <w:rPr>
          <w:rFonts w:cs="Arial"/>
          <w:b/>
          <w:szCs w:val="20"/>
        </w:rPr>
        <w:t>hrubých relativních měr demografických událostí</w:t>
      </w:r>
      <w:r w:rsidRPr="00073DE6">
        <w:rPr>
          <w:rFonts w:cs="Arial"/>
          <w:szCs w:val="20"/>
        </w:rPr>
        <w:t xml:space="preserve"> jsou vztaženy na</w:t>
      </w:r>
      <w:r>
        <w:rPr>
          <w:rFonts w:cs="Arial"/>
          <w:szCs w:val="20"/>
        </w:rPr>
        <w:t> </w:t>
      </w:r>
      <w:r w:rsidRPr="00073DE6">
        <w:rPr>
          <w:rFonts w:cs="Arial"/>
          <w:szCs w:val="20"/>
        </w:rPr>
        <w:t>1</w:t>
      </w:r>
      <w:r>
        <w:rPr>
          <w:rFonts w:cs="Arial"/>
          <w:szCs w:val="20"/>
        </w:rPr>
        <w:t> </w:t>
      </w:r>
      <w:r w:rsidRPr="00073DE6">
        <w:rPr>
          <w:rFonts w:cs="Arial"/>
          <w:szCs w:val="20"/>
        </w:rPr>
        <w:t>000</w:t>
      </w:r>
      <w:r>
        <w:rPr>
          <w:rFonts w:cs="Arial"/>
          <w:szCs w:val="20"/>
        </w:rPr>
        <w:t> </w:t>
      </w:r>
      <w:r w:rsidRPr="00073DE6">
        <w:rPr>
          <w:rFonts w:cs="Arial"/>
          <w:szCs w:val="20"/>
        </w:rPr>
        <w:t>obyvatel středního stavu. Střední stav obyvatel obecně vyjadřuje počet obyvatel daného území v</w:t>
      </w:r>
      <w:r w:rsidR="009432A6">
        <w:rPr>
          <w:rFonts w:cs="Arial"/>
          <w:szCs w:val="20"/>
        </w:rPr>
        <w:t> </w:t>
      </w:r>
      <w:r w:rsidRPr="00073DE6">
        <w:rPr>
          <w:rFonts w:cs="Arial"/>
          <w:szCs w:val="20"/>
        </w:rPr>
        <w:t xml:space="preserve">okamžiku, který byl zvolen za střed sledovaného období. Za střední stav obyvatel v kalendářním roce je považován počet obyvatel daného území o půlnoci z 30. 6. na 1. 7. sledovaného roku, který vychází z bilance pohybu obyvatel daného území od počátku roku do konce června. Za střední stav obyvatel v období (vymezeném kalendářními měsíci) kratším než jeden rok je považován průměr středních měsíčních stavů za dané období, přičemž měsíční střední stav je průměrem z počátečního a koncového stavu daného měsíce. </w:t>
      </w:r>
    </w:p>
    <w:p w14:paraId="54398405" w14:textId="77777777" w:rsidR="00E271D6" w:rsidRDefault="00073DE6" w:rsidP="009432A6">
      <w:pPr>
        <w:pStyle w:val="Zkladntext3"/>
        <w:rPr>
          <w:rFonts w:cs="Arial"/>
          <w:szCs w:val="20"/>
        </w:rPr>
      </w:pPr>
      <w:r w:rsidRPr="00073DE6">
        <w:rPr>
          <w:rFonts w:cs="Arial"/>
          <w:b/>
          <w:szCs w:val="20"/>
        </w:rPr>
        <w:t>Kojenecká úmrtnost</w:t>
      </w:r>
      <w:r w:rsidRPr="00073DE6">
        <w:rPr>
          <w:rFonts w:cs="Arial"/>
          <w:szCs w:val="20"/>
        </w:rPr>
        <w:t xml:space="preserve"> vyjadřuje poměr počtu dětí zemřelých před dosažením věku 1 roku k počtu živě narozených dětí ve stejném období.</w:t>
      </w:r>
    </w:p>
    <w:p w14:paraId="3D8A930D" w14:textId="77777777" w:rsidR="00073DE6" w:rsidRPr="00FD1B27" w:rsidRDefault="00073DE6" w:rsidP="00073DE6">
      <w:pPr>
        <w:jc w:val="both"/>
        <w:rPr>
          <w:rFonts w:ascii="Arial" w:hAnsi="Arial" w:cs="Arial"/>
          <w:szCs w:val="20"/>
        </w:rPr>
      </w:pPr>
    </w:p>
    <w:p w14:paraId="08382E65" w14:textId="77777777" w:rsidR="00E271D6" w:rsidRPr="00C63FAD" w:rsidRDefault="000A050D" w:rsidP="00FD1B27">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14:paraId="6E5895E8" w14:textId="77777777"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r w:rsidR="00471F5E" w:rsidRPr="00471F5E">
        <w:t xml:space="preserve"> </w:t>
      </w:r>
      <w:r w:rsidR="00471F5E" w:rsidRPr="00471F5E">
        <w:rPr>
          <w:rFonts w:cs="Arial"/>
          <w:szCs w:val="20"/>
        </w:rPr>
        <w:t>Výběrový soubor je vztažený k celkovému počtu obyvatel z demografické statistiky, od kterého jsou odečítány odhady počtu osob žijících mimo byty, tj. zejména v ubytovnách a v kolektivních domácnostech (např. domovech důchodců, ústavech sociální péče, nápravných zařízeních apod.).</w:t>
      </w:r>
    </w:p>
    <w:p w14:paraId="577BCE7B" w14:textId="77777777"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14:paraId="43AD1F6C" w14:textId="77777777"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14:paraId="639B4ACC" w14:textId="29079966" w:rsidR="009D4D95" w:rsidRPr="007A48C0" w:rsidRDefault="009D4D95" w:rsidP="00045CF4">
      <w:pPr>
        <w:pStyle w:val="Normlnweb"/>
        <w:spacing w:before="120" w:beforeAutospacing="0" w:after="120" w:afterAutospacing="0"/>
        <w:jc w:val="center"/>
        <w:rPr>
          <w:rFonts w:ascii="Arial" w:hAnsi="Arial" w:cs="Arial"/>
          <w:b/>
          <w:noProof/>
          <w:color w:val="auto"/>
          <w:sz w:val="20"/>
        </w:rPr>
      </w:pPr>
      <w:r w:rsidRPr="00CA0CE4">
        <w:rPr>
          <w:rFonts w:ascii="Arial" w:hAnsi="Arial" w:cs="Arial"/>
          <w:b/>
          <w:color w:val="auto"/>
          <w:sz w:val="20"/>
        </w:rPr>
        <w:lastRenderedPageBreak/>
        <w:t>Intervaly spolehlivosti (95%) pro odhad počtu zaměstnaných v NH,</w:t>
      </w:r>
      <w:r w:rsidRPr="00CA0CE4">
        <w:rPr>
          <w:rFonts w:ascii="Arial" w:hAnsi="Arial" w:cs="Arial"/>
          <w:b/>
          <w:color w:val="auto"/>
          <w:sz w:val="20"/>
        </w:rPr>
        <w:br/>
        <w:t xml:space="preserve">nezaměstnaných a </w:t>
      </w:r>
      <w:r w:rsidR="00D64D80" w:rsidRPr="00CA0CE4">
        <w:rPr>
          <w:rFonts w:ascii="Arial" w:hAnsi="Arial" w:cs="Arial"/>
          <w:b/>
          <w:color w:val="auto"/>
          <w:sz w:val="20"/>
        </w:rPr>
        <w:t xml:space="preserve">obecné míry </w:t>
      </w:r>
      <w:r w:rsidRPr="00CA0CE4">
        <w:rPr>
          <w:rFonts w:ascii="Arial" w:hAnsi="Arial" w:cs="Arial"/>
          <w:b/>
          <w:color w:val="auto"/>
          <w:sz w:val="20"/>
        </w:rPr>
        <w:t>nezaměstnanosti (</w:t>
      </w:r>
      <w:r w:rsidR="009D448F">
        <w:rPr>
          <w:rFonts w:ascii="Arial" w:hAnsi="Arial" w:cs="Arial"/>
          <w:b/>
          <w:color w:val="auto"/>
          <w:sz w:val="20"/>
        </w:rPr>
        <w:t>2</w:t>
      </w:r>
      <w:r w:rsidRPr="00CA0CE4">
        <w:rPr>
          <w:rFonts w:ascii="Arial" w:hAnsi="Arial" w:cs="Arial"/>
          <w:b/>
          <w:color w:val="auto"/>
          <w:sz w:val="20"/>
        </w:rPr>
        <w:t>. čtvrtletí 202</w:t>
      </w:r>
      <w:r w:rsidR="001A3EEF">
        <w:rPr>
          <w:rFonts w:ascii="Arial" w:hAnsi="Arial" w:cs="Arial"/>
          <w:b/>
          <w:color w:val="auto"/>
          <w:sz w:val="20"/>
        </w:rPr>
        <w:t>4</w:t>
      </w:r>
      <w:r w:rsidRPr="00CA0CE4">
        <w:rPr>
          <w:rFonts w:ascii="Arial" w:hAnsi="Arial" w:cs="Arial"/>
          <w:b/>
          <w:color w:val="auto"/>
          <w:sz w:val="20"/>
        </w:rPr>
        <w:t>)</w:t>
      </w:r>
    </w:p>
    <w:p w14:paraId="579168C6" w14:textId="6447CC8A" w:rsidR="00290A84" w:rsidRDefault="009D448F" w:rsidP="00E93E4C">
      <w:pPr>
        <w:pStyle w:val="Normlnweb"/>
        <w:spacing w:before="120" w:beforeAutospacing="0" w:after="120" w:afterAutospacing="0"/>
        <w:jc w:val="center"/>
        <w:rPr>
          <w:rFonts w:ascii="Arial" w:hAnsi="Arial" w:cs="Arial"/>
          <w:b/>
          <w:color w:val="auto"/>
          <w:sz w:val="20"/>
        </w:rPr>
      </w:pPr>
      <w:r w:rsidRPr="009D448F">
        <w:drawing>
          <wp:inline distT="0" distB="0" distL="0" distR="0" wp14:anchorId="3BF24684" wp14:editId="7C0763C0">
            <wp:extent cx="6094800" cy="3891600"/>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4800" cy="3891600"/>
                    </a:xfrm>
                    <a:prstGeom prst="rect">
                      <a:avLst/>
                    </a:prstGeom>
                    <a:noFill/>
                    <a:ln>
                      <a:noFill/>
                    </a:ln>
                  </pic:spPr>
                </pic:pic>
              </a:graphicData>
            </a:graphic>
          </wp:inline>
        </w:drawing>
      </w:r>
    </w:p>
    <w:p w14:paraId="006D46A8" w14:textId="77777777" w:rsidR="00125712" w:rsidRPr="00C63FAD" w:rsidRDefault="00125712" w:rsidP="00125712">
      <w:pPr>
        <w:pStyle w:val="Zkladntext3"/>
        <w:spacing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w:t>
      </w:r>
      <w:r>
        <w:rPr>
          <w:szCs w:val="20"/>
        </w:rPr>
        <w:t xml:space="preserve">neplacené </w:t>
      </w:r>
      <w:r w:rsidRPr="00C63FAD">
        <w:rPr>
          <w:rFonts w:cs="Arial"/>
          <w:szCs w:val="20"/>
        </w:rPr>
        <w:t xml:space="preserve">pomáhající rodinné příslušníky. </w:t>
      </w:r>
      <w:r>
        <w:rPr>
          <w:szCs w:val="20"/>
        </w:rPr>
        <w:t>Osoby</w:t>
      </w:r>
      <w:r w:rsidRPr="008C1A21">
        <w:rPr>
          <w:szCs w:val="20"/>
        </w:rPr>
        <w:t xml:space="preserve">, které uvedly, že v referenčním týdnu byly v práci dočasně nepřítomné, jsou považovány za zaměstnané, pokud jejich nepřítomnost z ostatních (osobních, rodinných aj.) </w:t>
      </w:r>
      <w:r>
        <w:rPr>
          <w:szCs w:val="20"/>
        </w:rPr>
        <w:t xml:space="preserve">důvodů byla kratší než 3 měsíce. Mezi zaměstnané jsou zařazovány osoby zaměstnané jako </w:t>
      </w:r>
      <w:r w:rsidRPr="002865DD">
        <w:rPr>
          <w:szCs w:val="20"/>
        </w:rPr>
        <w:t>profe</w:t>
      </w:r>
      <w:r>
        <w:rPr>
          <w:szCs w:val="20"/>
        </w:rPr>
        <w:t xml:space="preserve">sionální příslušníci armády a </w:t>
      </w:r>
      <w:r w:rsidRPr="002865DD">
        <w:rPr>
          <w:szCs w:val="20"/>
        </w:rPr>
        <w:t xml:space="preserve">osoby na mateřské dovolené, které </w:t>
      </w:r>
      <w:r>
        <w:rPr>
          <w:szCs w:val="20"/>
        </w:rPr>
        <w:t>před nástupem na mateřskou dovolenou pracovaly.</w:t>
      </w:r>
    </w:p>
    <w:p w14:paraId="7B3C3C85" w14:textId="77777777" w:rsidR="00125712" w:rsidRPr="00C63FAD" w:rsidRDefault="00125712" w:rsidP="00125712">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Pr>
          <w:rFonts w:cs="Arial"/>
          <w:szCs w:val="20"/>
        </w:rPr>
        <w:t> </w:t>
      </w:r>
      <w:r w:rsidRPr="00C63FAD">
        <w:rPr>
          <w:rFonts w:cs="Arial"/>
          <w:szCs w:val="20"/>
        </w:rPr>
        <w:t>práce, aktivně ji hledaly a byly připraveny k nástupu do zaměstnání nejpozději do 14 dnů. Za</w:t>
      </w:r>
      <w:r>
        <w:rPr>
          <w:rFonts w:cs="Arial"/>
          <w:szCs w:val="20"/>
        </w:rPr>
        <w:t>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14:paraId="50EAC1F0" w14:textId="77777777" w:rsidR="00125712" w:rsidRPr="00C63FAD" w:rsidRDefault="00125712" w:rsidP="00125712">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14:paraId="591EF0B9" w14:textId="77777777" w:rsidR="00125712" w:rsidRPr="00A90BA4" w:rsidRDefault="00125712" w:rsidP="00125712">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 udává se v %.</w:t>
      </w:r>
      <w:r>
        <w:rPr>
          <w:rFonts w:cs="Arial"/>
        </w:rPr>
        <w:t xml:space="preserve"> </w:t>
      </w:r>
    </w:p>
    <w:p w14:paraId="1305CF90" w14:textId="77777777" w:rsidR="00E271D6" w:rsidRDefault="00E271D6" w:rsidP="003E0A67">
      <w:pPr>
        <w:pStyle w:val="Nadpis8"/>
        <w:spacing w:line="233" w:lineRule="auto"/>
        <w:rPr>
          <w:rStyle w:val="Siln"/>
          <w:rFonts w:cs="Arial"/>
          <w:b/>
          <w:bCs/>
        </w:rPr>
      </w:pPr>
    </w:p>
    <w:p w14:paraId="60F87F6F" w14:textId="77777777" w:rsidR="001613CD" w:rsidRPr="00C63FAD" w:rsidRDefault="001613CD" w:rsidP="00FD1B2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14:paraId="383DA10A" w14:textId="77777777" w:rsidR="00125712" w:rsidRPr="00A16978" w:rsidRDefault="00125712" w:rsidP="00125712">
      <w:pPr>
        <w:pStyle w:val="Zkladntext3"/>
        <w:spacing w:before="120" w:after="120" w:line="233" w:lineRule="auto"/>
        <w:rPr>
          <w:rFonts w:cs="Arial"/>
          <w:szCs w:val="20"/>
        </w:rPr>
      </w:pPr>
      <w:r>
        <w:rPr>
          <w:rFonts w:cs="Arial"/>
          <w:bCs/>
          <w:szCs w:val="20"/>
        </w:rPr>
        <w:t>Údaje</w:t>
      </w:r>
      <w:r w:rsidRPr="000A050D">
        <w:rPr>
          <w:rFonts w:cs="Arial"/>
          <w:bCs/>
          <w:szCs w:val="20"/>
        </w:rPr>
        <w:t xml:space="preserve"> </w:t>
      </w:r>
      <w:r w:rsidRPr="00506239">
        <w:rPr>
          <w:rFonts w:cs="Arial"/>
          <w:bCs/>
          <w:szCs w:val="20"/>
        </w:rPr>
        <w:t>jsou publikovány</w:t>
      </w:r>
      <w:r w:rsidRPr="00A16978">
        <w:rPr>
          <w:rFonts w:cs="Arial"/>
          <w:b/>
          <w:bCs/>
          <w:szCs w:val="20"/>
        </w:rPr>
        <w:t xml:space="preserve"> za celou populaci podniků </w:t>
      </w:r>
      <w:r w:rsidRPr="00A16978">
        <w:rPr>
          <w:rFonts w:cs="Arial"/>
          <w:szCs w:val="20"/>
        </w:rPr>
        <w:t xml:space="preserve">se zvýšeným důrazem na </w:t>
      </w:r>
      <w:r w:rsidRPr="00A16978">
        <w:rPr>
          <w:rFonts w:cs="Arial"/>
          <w:b/>
          <w:bCs/>
          <w:szCs w:val="20"/>
        </w:rPr>
        <w:t>průměrné</w:t>
      </w:r>
      <w:r w:rsidRPr="00A16978">
        <w:rPr>
          <w:rFonts w:cs="Arial"/>
          <w:szCs w:val="20"/>
        </w:rPr>
        <w:t xml:space="preserve"> </w:t>
      </w:r>
      <w:r w:rsidRPr="00A16978">
        <w:rPr>
          <w:rFonts w:cs="Arial"/>
          <w:b/>
          <w:bCs/>
          <w:szCs w:val="20"/>
        </w:rPr>
        <w:t>mzdy zaměstnanců přepočtené na plně zaměstnané</w:t>
      </w:r>
      <w:r w:rsidRPr="00A16978">
        <w:rPr>
          <w:rFonts w:cs="Arial"/>
          <w:szCs w:val="20"/>
        </w:rPr>
        <w:t>, které zohledňují délku pracovního úvazku.</w:t>
      </w:r>
    </w:p>
    <w:p w14:paraId="2F57BCB3" w14:textId="77777777" w:rsidR="00125712" w:rsidRPr="00A16978" w:rsidRDefault="00125712" w:rsidP="00125712">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podle místa skutečného pracoviště zaměstnanců, tzv. pracovištní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14:paraId="53EEDE1E" w14:textId="77777777" w:rsidR="00125712" w:rsidRPr="00A16978" w:rsidRDefault="00125712" w:rsidP="00125712">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w:t>
      </w:r>
      <w:r w:rsidRPr="00A16978">
        <w:rPr>
          <w:rFonts w:cs="Arial"/>
          <w:szCs w:val="20"/>
        </w:rPr>
        <w:lastRenderedPageBreak/>
        <w:t xml:space="preserve">pracovní poměr, osoby vykonávající veřejné funkce (např. poslanci, senátoři, uvolnění členové zastupitelstev všech stupňů, soudci aj.). </w:t>
      </w:r>
    </w:p>
    <w:p w14:paraId="0DCBFC7E" w14:textId="77777777" w:rsidR="00125712" w:rsidRPr="00A16978" w:rsidRDefault="00125712" w:rsidP="00125712">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Pr>
          <w:rFonts w:ascii="Arial" w:hAnsi="Arial" w:cs="Arial"/>
          <w:sz w:val="20"/>
          <w:szCs w:val="20"/>
        </w:rPr>
        <w:t> </w:t>
      </w:r>
      <w:r w:rsidRPr="00A16978">
        <w:rPr>
          <w:rFonts w:ascii="Arial" w:hAnsi="Arial" w:cs="Arial"/>
          <w:sz w:val="20"/>
          <w:szCs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14:paraId="19D3AF8D" w14:textId="23C3059F" w:rsidR="00125712" w:rsidRPr="00A16978" w:rsidRDefault="00125712" w:rsidP="00125712">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14:paraId="69027735" w14:textId="30463160" w:rsidR="00125712" w:rsidRPr="00AE73A3" w:rsidRDefault="00125712" w:rsidP="00125712">
      <w:pPr>
        <w:rPr>
          <w:color w:val="000000" w:themeColor="text1"/>
        </w:rPr>
      </w:pPr>
      <w:r>
        <w:rPr>
          <w:rFonts w:ascii="Arial" w:hAnsi="Arial" w:cs="Arial"/>
          <w:sz w:val="20"/>
        </w:rPr>
        <w:t xml:space="preserve">Podrobnější informace jsou k dispozici na </w:t>
      </w:r>
      <w:hyperlink r:id="rId9" w:history="1">
        <w:r w:rsidR="00BD6177" w:rsidRPr="0031466D">
          <w:rPr>
            <w:rStyle w:val="Hypertextovodkaz"/>
            <w:rFonts w:ascii="Arial" w:hAnsi="Arial" w:cs="Arial"/>
            <w:sz w:val="20"/>
          </w:rPr>
          <w:t>https://csu.gov.cz/1-pmz_m</w:t>
        </w:r>
      </w:hyperlink>
      <w:r>
        <w:rPr>
          <w:color w:val="000000" w:themeColor="text1"/>
        </w:rPr>
        <w:t>.</w:t>
      </w:r>
      <w:r>
        <w:rPr>
          <w:rFonts w:ascii="Arial" w:hAnsi="Arial" w:cs="Arial"/>
          <w:sz w:val="20"/>
        </w:rPr>
        <w:t xml:space="preserve"> </w:t>
      </w:r>
    </w:p>
    <w:p w14:paraId="1EA414EE" w14:textId="77777777" w:rsidR="00987DCD" w:rsidRPr="00B46946" w:rsidRDefault="00987DCD" w:rsidP="00987DCD">
      <w:pPr>
        <w:rPr>
          <w:rFonts w:ascii="Arial" w:hAnsi="Arial" w:cs="Arial"/>
          <w:b/>
          <w:sz w:val="22"/>
        </w:rPr>
      </w:pPr>
    </w:p>
    <w:p w14:paraId="17C3BEC9" w14:textId="77777777" w:rsidR="009C5FE5" w:rsidRPr="00C63FAD" w:rsidRDefault="009C5FE5" w:rsidP="00E5328D">
      <w:pPr>
        <w:pStyle w:val="Nadpis8"/>
        <w:rPr>
          <w:rStyle w:val="Siln"/>
          <w:rFonts w:cs="Arial"/>
          <w:b/>
          <w:bCs/>
        </w:rPr>
      </w:pPr>
      <w:r w:rsidRPr="00C63FAD">
        <w:rPr>
          <w:rStyle w:val="Siln"/>
          <w:rFonts w:cs="Arial"/>
          <w:b/>
          <w:bCs/>
        </w:rPr>
        <w:t xml:space="preserve">NEZAMĚSTNANOST (MPSV) </w:t>
      </w:r>
    </w:p>
    <w:p w14:paraId="4B7AF412" w14:textId="77777777" w:rsidR="00125712" w:rsidRPr="00C63FAD" w:rsidRDefault="00125712" w:rsidP="00125712">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14:paraId="46F22237" w14:textId="77777777" w:rsidR="00125712" w:rsidRDefault="00125712" w:rsidP="00125712">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14:paraId="5217835A" w14:textId="77777777" w:rsidR="00987DCD" w:rsidRDefault="00125712" w:rsidP="00125712">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14:paraId="6B16F8B2" w14:textId="77777777" w:rsidR="00125712" w:rsidRPr="00C63FAD" w:rsidRDefault="00125712" w:rsidP="00125712">
      <w:pPr>
        <w:jc w:val="both"/>
        <w:rPr>
          <w:rFonts w:ascii="Arial" w:hAnsi="Arial" w:cs="Arial"/>
          <w:sz w:val="20"/>
          <w:szCs w:val="20"/>
        </w:rPr>
      </w:pPr>
    </w:p>
    <w:p w14:paraId="6B4FBF2B" w14:textId="77777777" w:rsidR="00956E81" w:rsidRPr="00C63FAD" w:rsidRDefault="005D1668" w:rsidP="00956E81">
      <w:pPr>
        <w:pStyle w:val="Nadpis8"/>
        <w:rPr>
          <w:rFonts w:cs="Arial"/>
          <w:b w:val="0"/>
          <w:bCs w:val="0"/>
        </w:rPr>
      </w:pPr>
      <w:r>
        <w:rPr>
          <w:rStyle w:val="Siln"/>
          <w:rFonts w:cs="Arial"/>
          <w:b/>
          <w:bCs/>
        </w:rPr>
        <w:t>EKONOMICKÉ SUBJEKTY</w:t>
      </w:r>
    </w:p>
    <w:p w14:paraId="6D65D439" w14:textId="59FF57ED" w:rsidR="00125712" w:rsidRPr="00C63FAD" w:rsidRDefault="00125712" w:rsidP="00125712">
      <w:pPr>
        <w:pStyle w:val="Zkladntext3"/>
        <w:spacing w:before="120" w:after="120"/>
        <w:rPr>
          <w:rFonts w:cs="Arial"/>
        </w:rPr>
      </w:pPr>
      <w:r w:rsidRPr="005D1668">
        <w:rPr>
          <w:rFonts w:cs="Arial"/>
          <w:szCs w:val="20"/>
        </w:rPr>
        <w:t>Údaje o ekonomických subjektech jsou sestaveny z dat vedených v</w:t>
      </w:r>
      <w:r w:rsidRPr="00C63FAD">
        <w:rPr>
          <w:rFonts w:cs="Arial"/>
        </w:rPr>
        <w:t xml:space="preserve"> Registr</w:t>
      </w:r>
      <w:r>
        <w:rPr>
          <w:rFonts w:cs="Arial"/>
        </w:rPr>
        <w:t>u</w:t>
      </w:r>
      <w:r w:rsidRPr="00C63FAD">
        <w:rPr>
          <w:rFonts w:cs="Arial"/>
        </w:rPr>
        <w:t xml:space="preserve">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w:t>
      </w:r>
      <w:r w:rsidR="00BA0BE4">
        <w:rPr>
          <w:rFonts w:cs="Arial"/>
        </w:rPr>
        <w:t>,</w:t>
      </w:r>
      <w:r w:rsidRPr="00C63FAD">
        <w:rPr>
          <w:rFonts w:cs="Arial"/>
        </w:rPr>
        <w:t xml:space="preserve"> </w:t>
      </w:r>
      <w:r w:rsidR="00C90D69" w:rsidRPr="00C90D69">
        <w:rPr>
          <w:rFonts w:cs="Arial"/>
        </w:rPr>
        <w:t xml:space="preserve">údaji z obchodního rejstříku, živnostenských úřadů a z dalších </w:t>
      </w:r>
      <w:r w:rsidRPr="00C63FAD">
        <w:rPr>
          <w:rFonts w:cs="Arial"/>
        </w:rPr>
        <w:t xml:space="preserve">administrativních zdrojů. Po spuštění základních registrů veřejné správy od 1. 7. 2012 se hlavním zdrojem pro jeho aktualizaci stal Registr osob (ROS). </w:t>
      </w:r>
    </w:p>
    <w:p w14:paraId="768B756E" w14:textId="77777777" w:rsidR="00125712" w:rsidRPr="00C63FAD" w:rsidRDefault="00125712" w:rsidP="00125712">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14:paraId="5F24FE5C" w14:textId="77777777" w:rsidR="00125712" w:rsidRPr="00C63FAD" w:rsidRDefault="00125712" w:rsidP="00125712">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14:paraId="293F03F0" w14:textId="77777777" w:rsidR="00987DCD" w:rsidRPr="00C63FAD" w:rsidRDefault="00125712" w:rsidP="00125712">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 xml:space="preserve">i odpovídá sekcím a oddílům </w:t>
      </w:r>
      <w:r>
        <w:rPr>
          <w:rFonts w:ascii="Arial" w:hAnsi="Arial" w:cs="Arial"/>
          <w:sz w:val="20"/>
        </w:rPr>
        <w:t>K</w:t>
      </w:r>
      <w:r w:rsidRPr="00C63FAD">
        <w:rPr>
          <w:rFonts w:ascii="Arial" w:hAnsi="Arial" w:cs="Arial"/>
          <w:sz w:val="20"/>
        </w:rPr>
        <w:t>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subsektorů (dle ESA 2010).</w:t>
      </w:r>
    </w:p>
    <w:p w14:paraId="7186D2F8" w14:textId="77777777" w:rsidR="001613CD" w:rsidRPr="006A3D8E" w:rsidRDefault="001613CD" w:rsidP="00815C7C">
      <w:pPr>
        <w:pStyle w:val="Nadpis8"/>
        <w:rPr>
          <w:rStyle w:val="Siln"/>
        </w:rPr>
      </w:pPr>
    </w:p>
    <w:p w14:paraId="5C586A8E" w14:textId="77777777" w:rsidR="005D1668" w:rsidRPr="00C63FAD" w:rsidRDefault="005D1668" w:rsidP="005D1668">
      <w:pPr>
        <w:pStyle w:val="Nadpis8"/>
        <w:rPr>
          <w:rFonts w:cs="Arial"/>
          <w:b w:val="0"/>
          <w:bCs w:val="0"/>
        </w:rPr>
      </w:pPr>
      <w:r w:rsidRPr="00C63FAD">
        <w:rPr>
          <w:rStyle w:val="Siln"/>
          <w:rFonts w:cs="Arial"/>
          <w:b/>
          <w:bCs/>
        </w:rPr>
        <w:t>ZEMĚDĚLSTVÍ</w:t>
      </w:r>
      <w:r w:rsidRPr="00C63FAD">
        <w:rPr>
          <w:rFonts w:cs="Arial"/>
          <w:b w:val="0"/>
          <w:bCs w:val="0"/>
        </w:rPr>
        <w:t xml:space="preserve"> </w:t>
      </w:r>
    </w:p>
    <w:p w14:paraId="46FCAA2B" w14:textId="77777777" w:rsidR="005D1668" w:rsidRPr="00C63FAD" w:rsidRDefault="005D1668" w:rsidP="0031028F">
      <w:pPr>
        <w:pStyle w:val="Zkladntext3"/>
        <w:spacing w:before="120" w:after="120"/>
        <w:rPr>
          <w:rFonts w:cs="Arial"/>
        </w:rPr>
      </w:pPr>
      <w:r w:rsidRPr="0079301E">
        <w:rPr>
          <w:rFonts w:cs="Arial"/>
          <w:b/>
          <w:szCs w:val="20"/>
        </w:rPr>
        <w:t>Výroba masa</w:t>
      </w:r>
      <w:r w:rsidRPr="00E62003">
        <w:rPr>
          <w:rFonts w:cs="Arial"/>
          <w:szCs w:val="20"/>
        </w:rPr>
        <w:t xml:space="preserve"> (bez drůbežího) představuje jatečnou hmotnost zvířat (bez ohledu na to, zda jsou tuzemského původu nebo byla dovezena ze zahraničí) poražených na registrovaných jatkách. Zahrnuje maso (i</w:t>
      </w:r>
      <w:r>
        <w:rPr>
          <w:rFonts w:cs="Arial"/>
          <w:szCs w:val="20"/>
        </w:rPr>
        <w:t> </w:t>
      </w:r>
      <w:r w:rsidRPr="00E62003">
        <w:rPr>
          <w:rFonts w:cs="Arial"/>
          <w:szCs w:val="20"/>
        </w:rPr>
        <w:t>z</w:t>
      </w:r>
      <w:r>
        <w:rPr>
          <w:rFonts w:cs="Arial"/>
          <w:szCs w:val="20"/>
        </w:rPr>
        <w:t> </w:t>
      </w:r>
      <w:r w:rsidRPr="00E62003">
        <w:rPr>
          <w:rFonts w:cs="Arial"/>
          <w:szCs w:val="20"/>
        </w:rPr>
        <w:t>nutných porážek), které bylo uznáno za vhodné pro lidskou spotřebu. Jatečná hmotnost je hmotnost jatečně upravených těl dle definice stanovené v nařízeních Rady EU.</w:t>
      </w:r>
      <w:r>
        <w:rPr>
          <w:rFonts w:cs="Arial"/>
          <w:szCs w:val="20"/>
        </w:rPr>
        <w:t xml:space="preserve"> </w:t>
      </w:r>
      <w:r w:rsidRPr="00C63FAD">
        <w:rPr>
          <w:rFonts w:cs="Arial"/>
          <w:szCs w:val="20"/>
        </w:rPr>
        <w:t>Výroba masa</w:t>
      </w:r>
      <w:r>
        <w:rPr>
          <w:rFonts w:cs="Arial"/>
          <w:szCs w:val="20"/>
        </w:rPr>
        <w:t xml:space="preserve"> celkem (bez drůbežího)</w:t>
      </w:r>
      <w:r w:rsidRPr="00C63FAD">
        <w:rPr>
          <w:rFonts w:cs="Arial"/>
          <w:szCs w:val="20"/>
        </w:rPr>
        <w:t xml:space="preserve"> zahrnuje výrobu hovězího, telecího, vepřového, skopového, </w:t>
      </w:r>
      <w:r>
        <w:rPr>
          <w:rFonts w:cs="Arial"/>
          <w:szCs w:val="20"/>
        </w:rPr>
        <w:t xml:space="preserve">jehněčího, </w:t>
      </w:r>
      <w:r w:rsidRPr="00C63FAD">
        <w:rPr>
          <w:rFonts w:cs="Arial"/>
          <w:szCs w:val="20"/>
        </w:rPr>
        <w:t>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r w:rsidR="001A6F24">
        <w:rPr>
          <w:rFonts w:cs="Arial"/>
          <w:szCs w:val="20"/>
        </w:rPr>
        <w:t>.</w:t>
      </w:r>
    </w:p>
    <w:p w14:paraId="661912A1" w14:textId="303B9B8B" w:rsidR="005D1668" w:rsidRDefault="001A6F24" w:rsidP="005D1668">
      <w:pPr>
        <w:jc w:val="both"/>
        <w:rPr>
          <w:rFonts w:ascii="Arial" w:hAnsi="Arial" w:cs="Arial"/>
          <w:sz w:val="20"/>
          <w:szCs w:val="26"/>
        </w:rPr>
      </w:pPr>
      <w:r w:rsidRPr="00C63FAD">
        <w:rPr>
          <w:rFonts w:ascii="Arial" w:hAnsi="Arial" w:cs="Arial"/>
          <w:sz w:val="20"/>
          <w:szCs w:val="26"/>
        </w:rPr>
        <w:lastRenderedPageBreak/>
        <w:t xml:space="preserve">Obsah tabulky </w:t>
      </w:r>
      <w:r>
        <w:rPr>
          <w:rFonts w:ascii="Arial" w:hAnsi="Arial" w:cs="Arial"/>
          <w:sz w:val="20"/>
          <w:szCs w:val="26"/>
        </w:rPr>
        <w:t>I</w:t>
      </w:r>
      <w:r w:rsidRPr="00C63FAD">
        <w:rPr>
          <w:rFonts w:ascii="Arial" w:hAnsi="Arial" w:cs="Arial"/>
          <w:sz w:val="20"/>
          <w:szCs w:val="26"/>
        </w:rPr>
        <w:t xml:space="preserve">.2 </w:t>
      </w:r>
      <w:r>
        <w:rPr>
          <w:rFonts w:ascii="Arial" w:hAnsi="Arial" w:cs="Arial"/>
          <w:sz w:val="20"/>
          <w:szCs w:val="26"/>
        </w:rPr>
        <w:t xml:space="preserve">(popřípadě I.3) </w:t>
      </w:r>
      <w:r w:rsidRPr="00C63FAD">
        <w:rPr>
          <w:rFonts w:ascii="Arial" w:hAnsi="Arial" w:cs="Arial"/>
          <w:sz w:val="20"/>
          <w:szCs w:val="26"/>
        </w:rPr>
        <w:t>je proměnlivý</w:t>
      </w:r>
      <w:r w:rsidR="00BD6177">
        <w:rPr>
          <w:rFonts w:ascii="Arial" w:hAnsi="Arial" w:cs="Arial"/>
          <w:sz w:val="20"/>
          <w:szCs w:val="26"/>
        </w:rPr>
        <w:t>.</w:t>
      </w:r>
      <w:r w:rsidRPr="00C63FAD">
        <w:rPr>
          <w:rFonts w:ascii="Arial" w:hAnsi="Arial" w:cs="Arial"/>
          <w:sz w:val="20"/>
          <w:szCs w:val="26"/>
        </w:rPr>
        <w:t xml:space="preserve"> </w:t>
      </w:r>
      <w:r w:rsidR="00BD6177">
        <w:rPr>
          <w:rFonts w:ascii="Arial" w:hAnsi="Arial" w:cs="Arial"/>
          <w:sz w:val="20"/>
          <w:szCs w:val="26"/>
        </w:rPr>
        <w:t>V</w:t>
      </w:r>
      <w:r>
        <w:rPr>
          <w:rFonts w:ascii="Arial" w:hAnsi="Arial" w:cs="Arial"/>
          <w:sz w:val="20"/>
          <w:szCs w:val="26"/>
        </w:rPr>
        <w:t xml:space="preserve">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(po zrušení výkazu Soupis hospodářských zvířat k 1. 4. od roku 2023)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k </w:t>
      </w:r>
      <w:r>
        <w:rPr>
          <w:rFonts w:ascii="Arial" w:hAnsi="Arial" w:cs="Arial"/>
          <w:sz w:val="20"/>
          <w:szCs w:val="26"/>
        </w:rPr>
        <w:t>31</w:t>
      </w:r>
      <w:r w:rsidRPr="00C63FAD">
        <w:rPr>
          <w:rFonts w:ascii="Arial" w:hAnsi="Arial" w:cs="Arial"/>
          <w:sz w:val="20"/>
          <w:szCs w:val="26"/>
        </w:rPr>
        <w:t>. </w:t>
      </w:r>
      <w:r>
        <w:rPr>
          <w:rFonts w:ascii="Arial" w:hAnsi="Arial" w:cs="Arial"/>
          <w:sz w:val="20"/>
          <w:szCs w:val="26"/>
        </w:rPr>
        <w:t>12</w:t>
      </w:r>
      <w:r w:rsidRPr="00C63FAD">
        <w:rPr>
          <w:rFonts w:ascii="Arial" w:hAnsi="Arial" w:cs="Arial"/>
          <w:sz w:val="20"/>
          <w:szCs w:val="26"/>
        </w:rPr>
        <w:t>.</w:t>
      </w:r>
      <w:r>
        <w:rPr>
          <w:rFonts w:ascii="Arial" w:hAnsi="Arial" w:cs="Arial"/>
          <w:sz w:val="20"/>
          <w:szCs w:val="26"/>
        </w:rPr>
        <w:t xml:space="preserve"> </w:t>
      </w:r>
      <w:r w:rsidR="00C90D69" w:rsidRPr="00C90D69">
        <w:rPr>
          <w:rFonts w:ascii="Arial" w:hAnsi="Arial" w:cs="Arial"/>
          <w:sz w:val="20"/>
          <w:szCs w:val="26"/>
        </w:rPr>
        <w:t>2023, který vychází ze statistického zjišťování o chovu skotu, prasat a drůbeže a z Integrovaného zemědělského registru za ovce a kozy.</w:t>
      </w:r>
      <w:r w:rsidRPr="00C63FAD">
        <w:rPr>
          <w:rFonts w:ascii="Arial" w:hAnsi="Arial" w:cs="Arial"/>
          <w:sz w:val="20"/>
          <w:szCs w:val="26"/>
        </w:rPr>
        <w:t xml:space="preserve">, </w:t>
      </w:r>
      <w:r w:rsidR="00C90D69">
        <w:rPr>
          <w:rFonts w:ascii="Arial" w:hAnsi="Arial" w:cs="Arial"/>
          <w:sz w:val="20"/>
          <w:szCs w:val="26"/>
        </w:rPr>
        <w:t>B</w:t>
      </w:r>
      <w:r w:rsidRPr="00C63FAD">
        <w:rPr>
          <w:rFonts w:ascii="Arial" w:hAnsi="Arial" w:cs="Arial"/>
          <w:sz w:val="20"/>
          <w:szCs w:val="26"/>
        </w:rPr>
        <w:t>ulletin za</w:t>
      </w:r>
      <w:r>
        <w:rPr>
          <w:rFonts w:ascii="Arial" w:hAnsi="Arial" w:cs="Arial"/>
          <w:sz w:val="20"/>
          <w:szCs w:val="26"/>
        </w:rPr>
        <w:t> </w:t>
      </w:r>
      <w:r w:rsidRPr="00C63FAD">
        <w:rPr>
          <w:rFonts w:ascii="Arial" w:hAnsi="Arial" w:cs="Arial"/>
          <w:sz w:val="20"/>
          <w:szCs w:val="26"/>
        </w:rPr>
        <w:t>1.</w:t>
      </w:r>
      <w:r>
        <w:rPr>
          <w:rFonts w:ascii="Arial" w:hAnsi="Arial" w:cs="Arial"/>
          <w:sz w:val="20"/>
          <w:szCs w:val="26"/>
        </w:rPr>
        <w:t> </w:t>
      </w:r>
      <w:r w:rsidRPr="00C63FAD">
        <w:rPr>
          <w:rFonts w:ascii="Arial" w:hAnsi="Arial" w:cs="Arial"/>
          <w:sz w:val="20"/>
          <w:szCs w:val="26"/>
        </w:rPr>
        <w:t xml:space="preserve">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k 31.</w:t>
      </w:r>
      <w:r w:rsidR="00C90D69">
        <w:rPr>
          <w:rFonts w:ascii="Arial" w:hAnsi="Arial" w:cs="Arial"/>
          <w:sz w:val="20"/>
          <w:szCs w:val="26"/>
        </w:rPr>
        <w:t> </w:t>
      </w:r>
      <w:r w:rsidRPr="00C63FAD">
        <w:rPr>
          <w:rFonts w:ascii="Arial" w:hAnsi="Arial" w:cs="Arial"/>
          <w:sz w:val="20"/>
          <w:szCs w:val="26"/>
        </w:rPr>
        <w:t>5., bulletin za 1.</w:t>
      </w:r>
      <w:r>
        <w:rPr>
          <w:rFonts w:ascii="Arial" w:hAnsi="Arial" w:cs="Arial"/>
          <w:sz w:val="20"/>
          <w:szCs w:val="26"/>
        </w:rPr>
        <w:t> </w:t>
      </w:r>
      <w:r w:rsidRPr="00C63FAD">
        <w:rPr>
          <w:rFonts w:ascii="Arial" w:hAnsi="Arial" w:cs="Arial"/>
          <w:sz w:val="20"/>
          <w:szCs w:val="26"/>
        </w:rPr>
        <w:t>až 3.</w:t>
      </w:r>
      <w:r w:rsidR="00C90D69">
        <w:rPr>
          <w:rFonts w:ascii="Arial" w:hAnsi="Arial" w:cs="Arial"/>
          <w:sz w:val="20"/>
          <w:szCs w:val="26"/>
        </w:rPr>
        <w:t> </w:t>
      </w:r>
      <w:r w:rsidRPr="00C63FAD">
        <w:rPr>
          <w:rFonts w:ascii="Arial" w:hAnsi="Arial" w:cs="Arial"/>
          <w:sz w:val="20"/>
          <w:szCs w:val="26"/>
        </w:rPr>
        <w:t xml:space="preserve">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k 30.</w:t>
      </w:r>
      <w:r w:rsidR="00C90D69">
        <w:rPr>
          <w:rFonts w:ascii="Arial" w:hAnsi="Arial" w:cs="Arial"/>
          <w:sz w:val="20"/>
          <w:szCs w:val="26"/>
        </w:rPr>
        <w:t> </w:t>
      </w:r>
      <w:r>
        <w:rPr>
          <w:rFonts w:ascii="Arial" w:hAnsi="Arial" w:cs="Arial"/>
          <w:sz w:val="20"/>
          <w:szCs w:val="26"/>
        </w:rPr>
        <w:t xml:space="preserve">9. </w:t>
      </w:r>
      <w:r w:rsidRPr="00C63FAD">
        <w:rPr>
          <w:rFonts w:ascii="Arial" w:hAnsi="Arial" w:cs="Arial"/>
          <w:sz w:val="20"/>
          <w:szCs w:val="26"/>
        </w:rPr>
        <w:t>a bulletin za 1. až 4.</w:t>
      </w:r>
      <w:r w:rsidR="00C90D69">
        <w:rPr>
          <w:rFonts w:ascii="Arial" w:hAnsi="Arial" w:cs="Arial"/>
          <w:sz w:val="20"/>
          <w:szCs w:val="26"/>
        </w:rPr>
        <w:t> </w:t>
      </w:r>
      <w:r w:rsidRPr="00C63FAD">
        <w:rPr>
          <w:rFonts w:ascii="Arial" w:hAnsi="Arial" w:cs="Arial"/>
          <w:sz w:val="20"/>
          <w:szCs w:val="26"/>
        </w:rPr>
        <w:t xml:space="preserve">čtvrtletí </w:t>
      </w:r>
      <w:r w:rsidRPr="00C63FAD">
        <w:rPr>
          <w:rFonts w:ascii="Arial" w:hAnsi="Arial" w:cs="Arial"/>
          <w:b/>
          <w:sz w:val="20"/>
          <w:szCs w:val="26"/>
        </w:rPr>
        <w:t>výsledky sklizně</w:t>
      </w:r>
      <w:r w:rsidRPr="00C90D69">
        <w:rPr>
          <w:rFonts w:ascii="Arial" w:hAnsi="Arial" w:cs="Arial"/>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w:t>
      </w:r>
      <w:r>
        <w:rPr>
          <w:rFonts w:ascii="Arial" w:hAnsi="Arial" w:cs="Arial"/>
          <w:sz w:val="20"/>
          <w:szCs w:val="26"/>
        </w:rPr>
        <w:t> </w:t>
      </w:r>
      <w:r w:rsidRPr="00C63FAD">
        <w:rPr>
          <w:rFonts w:ascii="Arial" w:hAnsi="Arial" w:cs="Arial"/>
          <w:sz w:val="20"/>
          <w:szCs w:val="26"/>
        </w:rPr>
        <w:t>příslušných speciálních publikacích ČSÚ.</w:t>
      </w:r>
    </w:p>
    <w:p w14:paraId="6AEC909D" w14:textId="77777777" w:rsidR="001A6F24" w:rsidRPr="00C63FAD" w:rsidRDefault="001A6F24" w:rsidP="005D1668">
      <w:pPr>
        <w:jc w:val="both"/>
        <w:rPr>
          <w:rFonts w:ascii="Arial" w:hAnsi="Arial" w:cs="Arial"/>
          <w:sz w:val="20"/>
          <w:szCs w:val="26"/>
        </w:rPr>
      </w:pPr>
    </w:p>
    <w:p w14:paraId="1074C6FB" w14:textId="77777777" w:rsidR="005D1668" w:rsidRPr="00C63FAD" w:rsidRDefault="005D1668" w:rsidP="0031028F">
      <w:pPr>
        <w:pStyle w:val="Nadpis8"/>
        <w:rPr>
          <w:rFonts w:cs="Arial"/>
          <w:b w:val="0"/>
          <w:bCs w:val="0"/>
        </w:rPr>
      </w:pPr>
      <w:r w:rsidRPr="00C63FAD">
        <w:rPr>
          <w:rStyle w:val="Siln"/>
          <w:rFonts w:cs="Arial"/>
          <w:b/>
          <w:bCs/>
        </w:rPr>
        <w:t>PRŮMYSL</w:t>
      </w:r>
      <w:r w:rsidRPr="00C63FAD">
        <w:rPr>
          <w:rFonts w:cs="Arial"/>
          <w:b w:val="0"/>
          <w:bCs w:val="0"/>
        </w:rPr>
        <w:t xml:space="preserve"> </w:t>
      </w:r>
    </w:p>
    <w:p w14:paraId="6B024D0B" w14:textId="77777777" w:rsidR="001A6F24" w:rsidRPr="001A6F24" w:rsidRDefault="001A6F24" w:rsidP="001A6F24">
      <w:pPr>
        <w:pStyle w:val="Normlnweb"/>
        <w:spacing w:before="120" w:beforeAutospacing="0" w:after="120" w:afterAutospacing="0"/>
        <w:jc w:val="both"/>
        <w:rPr>
          <w:rFonts w:ascii="Arial" w:hAnsi="Arial" w:cs="Arial"/>
          <w:sz w:val="20"/>
          <w:szCs w:val="20"/>
        </w:rPr>
      </w:pPr>
      <w:r w:rsidRPr="001A6F24">
        <w:rPr>
          <w:rFonts w:ascii="Arial" w:hAnsi="Arial" w:cs="Arial"/>
          <w:sz w:val="20"/>
          <w:szCs w:val="20"/>
        </w:rPr>
        <w:t xml:space="preserve">Údaje jsou publikovány za podnikatelské subjekty s převažující průmyslovou činností (sekce CZ-NACE B, C, D = Těžba a dobývání, Zpracovatelský průmysl a Výroba a rozvod elektřiny, plynu, tepla a klimatizovaného vzduchu) </w:t>
      </w:r>
      <w:r w:rsidRPr="001A6F24">
        <w:rPr>
          <w:rFonts w:ascii="Arial" w:hAnsi="Arial" w:cs="Arial"/>
          <w:b/>
          <w:sz w:val="20"/>
          <w:szCs w:val="20"/>
        </w:rPr>
        <w:t xml:space="preserve">se 100 a více zaměstnanci </w:t>
      </w:r>
      <w:r w:rsidRPr="001A6F24">
        <w:rPr>
          <w:rFonts w:ascii="Arial" w:hAnsi="Arial" w:cs="Arial"/>
          <w:sz w:val="20"/>
          <w:szCs w:val="20"/>
        </w:rPr>
        <w:t xml:space="preserve">a zjišťovány podnikovou metodou, tedy za podniky </w:t>
      </w:r>
      <w:r w:rsidRPr="001A6F24">
        <w:rPr>
          <w:rFonts w:ascii="Arial" w:hAnsi="Arial" w:cs="Arial"/>
          <w:b/>
          <w:sz w:val="20"/>
          <w:szCs w:val="20"/>
        </w:rPr>
        <w:t>se sídlem na příslušném území</w:t>
      </w:r>
      <w:r w:rsidRPr="001A6F24">
        <w:rPr>
          <w:rFonts w:ascii="Arial" w:hAnsi="Arial" w:cs="Arial"/>
          <w:sz w:val="20"/>
          <w:szCs w:val="20"/>
        </w:rPr>
        <w:t xml:space="preserve"> včetně jejich závodů a provozoven v jiných krajích. V kategorii 100 a více zaměstnanců je zjišťování úplné.</w:t>
      </w:r>
    </w:p>
    <w:p w14:paraId="5252923C" w14:textId="77777777" w:rsidR="001A6F24" w:rsidRPr="001A6F24" w:rsidRDefault="001A6F24" w:rsidP="001A6F24">
      <w:pPr>
        <w:pStyle w:val="Normlnweb"/>
        <w:spacing w:before="120" w:beforeAutospacing="0" w:after="120" w:afterAutospacing="0"/>
        <w:jc w:val="both"/>
        <w:rPr>
          <w:rFonts w:ascii="Arial" w:hAnsi="Arial" w:cs="Arial"/>
          <w:sz w:val="20"/>
          <w:szCs w:val="20"/>
        </w:rPr>
      </w:pPr>
      <w:r w:rsidRPr="001A6F24">
        <w:rPr>
          <w:rFonts w:ascii="Arial" w:hAnsi="Arial" w:cs="Arial"/>
          <w:b/>
          <w:sz w:val="20"/>
          <w:szCs w:val="20"/>
        </w:rPr>
        <w:t>Tržby z prodeje výrobků a služeb</w:t>
      </w:r>
      <w:r w:rsidRPr="001A6F24">
        <w:rPr>
          <w:rFonts w:ascii="Arial" w:hAnsi="Arial" w:cs="Arial"/>
          <w:sz w:val="20"/>
          <w:szCs w:val="20"/>
        </w:rPr>
        <w:t xml:space="preserve"> </w:t>
      </w:r>
      <w:r w:rsidRPr="001A6F24">
        <w:rPr>
          <w:rFonts w:ascii="Arial" w:hAnsi="Arial" w:cs="Arial"/>
          <w:b/>
          <w:sz w:val="20"/>
          <w:szCs w:val="20"/>
        </w:rPr>
        <w:t>průmyslové povahy</w:t>
      </w:r>
      <w:r w:rsidRPr="001A6F24">
        <w:rPr>
          <w:rFonts w:ascii="Arial" w:hAnsi="Arial" w:cs="Arial"/>
          <w:sz w:val="20"/>
          <w:szCs w:val="20"/>
        </w:rPr>
        <w:t xml:space="preserve"> jsou uvedeny v základních běžných cenách, které fakturuje výrobce kupujícímu. </w:t>
      </w:r>
      <w:r w:rsidRPr="001A6F24">
        <w:rPr>
          <w:rFonts w:ascii="Arial" w:hAnsi="Arial" w:cs="Arial"/>
          <w:bCs/>
          <w:sz w:val="20"/>
          <w:szCs w:val="20"/>
        </w:rPr>
        <w:t xml:space="preserve">Zařazeny jsou pouze tržby za výrobky a služby z CZ-CPA 05–39, jedná se tedy o tržby očištěné od neprůmyslových činností podniku. Mezi služby průmyslové povahy patří rovněž obchod, přenos, distribuce a rozvod energií. Tržbou za tuto službu je rozdíl mezi hodnotou nakoupené a prodané (předané) energie. </w:t>
      </w:r>
      <w:r w:rsidRPr="001A6F24">
        <w:rPr>
          <w:rFonts w:ascii="Arial" w:hAnsi="Arial" w:cs="Arial"/>
          <w:sz w:val="20"/>
          <w:szCs w:val="20"/>
        </w:rPr>
        <w:t>Tržby (příjmy) zahrnují prodej vlastní hmotné a nehmotné produkce, oceněné v běžných cenách. Součástí těchto tržeb není DPH, spotřební daň ani clo.</w:t>
      </w:r>
    </w:p>
    <w:p w14:paraId="44C0EFB9" w14:textId="77777777" w:rsidR="001A6F24" w:rsidRDefault="001A6F24" w:rsidP="001A6F24">
      <w:pPr>
        <w:pStyle w:val="Zkladntext3"/>
        <w:spacing w:after="120"/>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14:paraId="38B96393" w14:textId="77777777" w:rsidR="001A6F24" w:rsidRDefault="001A6F24" w:rsidP="001A6F24">
      <w:pPr>
        <w:pStyle w:val="Normlnweb"/>
        <w:spacing w:before="120" w:beforeAutospacing="0" w:after="0" w:afterAutospacing="0"/>
        <w:jc w:val="both"/>
        <w:rPr>
          <w:rFonts w:ascii="Arial" w:hAnsi="Arial" w:cs="Arial"/>
          <w:sz w:val="20"/>
          <w:szCs w:val="20"/>
        </w:rPr>
      </w:pPr>
      <w:r w:rsidRPr="001A6F24">
        <w:rPr>
          <w:rFonts w:ascii="Arial" w:hAnsi="Arial" w:cs="Arial"/>
          <w:b/>
          <w:sz w:val="20"/>
          <w:szCs w:val="20"/>
        </w:rPr>
        <w:t>Průměrná hrubá měsíční mzda</w:t>
      </w:r>
      <w:r w:rsidRPr="001A6F24">
        <w:rPr>
          <w:rFonts w:ascii="Arial" w:hAnsi="Arial" w:cs="Arial"/>
          <w:sz w:val="20"/>
          <w:szCs w:val="20"/>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Nezahrnují se náhrady mzdy nebo platu za dobu trvání dočasné pracovní neschopnosti nebo karantény placené zaměstnavatelem.</w:t>
      </w:r>
    </w:p>
    <w:p w14:paraId="3B2DD04D" w14:textId="77777777" w:rsidR="001A6F24" w:rsidRPr="001A6F24" w:rsidRDefault="001A6F24" w:rsidP="001A6F24">
      <w:pPr>
        <w:pStyle w:val="Normlnweb"/>
        <w:spacing w:before="120" w:beforeAutospacing="0" w:after="0" w:afterAutospacing="0"/>
        <w:jc w:val="both"/>
        <w:rPr>
          <w:rFonts w:ascii="Arial" w:hAnsi="Arial" w:cs="Arial"/>
          <w:sz w:val="20"/>
          <w:szCs w:val="20"/>
        </w:rPr>
      </w:pPr>
    </w:p>
    <w:p w14:paraId="679CE1E7" w14:textId="77777777" w:rsidR="005D1668" w:rsidRPr="00C63FAD" w:rsidRDefault="005D1668" w:rsidP="005D1668">
      <w:pPr>
        <w:pStyle w:val="Nadpis8"/>
        <w:rPr>
          <w:rFonts w:cs="Arial"/>
          <w:b w:val="0"/>
          <w:bCs w:val="0"/>
        </w:rPr>
      </w:pPr>
      <w:r w:rsidRPr="00C63FAD">
        <w:rPr>
          <w:rStyle w:val="Siln"/>
          <w:rFonts w:cs="Arial"/>
          <w:b/>
          <w:bCs/>
        </w:rPr>
        <w:t>STAVEBNICTVÍ</w:t>
      </w:r>
      <w:r w:rsidRPr="00C63FAD">
        <w:rPr>
          <w:rFonts w:cs="Arial"/>
          <w:b w:val="0"/>
          <w:bCs w:val="0"/>
        </w:rPr>
        <w:t xml:space="preserve"> </w:t>
      </w:r>
    </w:p>
    <w:p w14:paraId="08934326" w14:textId="77777777" w:rsidR="001A6F24" w:rsidRPr="00CC0ABB" w:rsidRDefault="001A6F24" w:rsidP="001A6F24">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14:paraId="1AE99E34" w14:textId="7A2DDA84" w:rsidR="001A6F24" w:rsidRPr="00CC0ABB" w:rsidRDefault="001A6F24" w:rsidP="001A6F24">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w:t>
      </w:r>
      <w:r w:rsidRPr="00853717">
        <w:rPr>
          <w:rFonts w:ascii="Arial" w:hAnsi="Arial" w:cs="Arial"/>
          <w:color w:val="auto"/>
          <w:sz w:val="20"/>
          <w:szCs w:val="20"/>
        </w:rPr>
        <w:t>. Hodnota stavebních prací je uváděna bez daně z přidané hodnoty.</w:t>
      </w:r>
      <w:r w:rsidRPr="00853717">
        <w:rPr>
          <w:rFonts w:ascii="Arial" w:hAnsi="Arial" w:cs="Arial"/>
          <w:b/>
          <w:bCs/>
          <w:color w:val="auto"/>
          <w:sz w:val="20"/>
          <w:szCs w:val="20"/>
        </w:rPr>
        <w:t xml:space="preserve">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14:paraId="0F66FA53" w14:textId="77777777" w:rsidR="001A6F24" w:rsidRPr="00CC0ABB" w:rsidRDefault="001A6F24" w:rsidP="001A6F24">
      <w:pPr>
        <w:pStyle w:val="Normlnweb"/>
        <w:spacing w:before="12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14:paraId="7C9DF5ED" w14:textId="77777777" w:rsidR="001A6F24" w:rsidRDefault="001A6F24" w:rsidP="001A6F24">
      <w:pPr>
        <w:pStyle w:val="Normlnweb"/>
        <w:spacing w:before="12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14:paraId="52F072A4" w14:textId="77777777" w:rsidR="005D1668" w:rsidRDefault="005D1668" w:rsidP="00C92701">
      <w:pPr>
        <w:pStyle w:val="Nadpis8"/>
        <w:rPr>
          <w:rStyle w:val="Siln"/>
          <w:rFonts w:cs="Arial"/>
          <w:b/>
          <w:bCs/>
        </w:rPr>
      </w:pPr>
    </w:p>
    <w:p w14:paraId="6D6AECFE" w14:textId="77777777"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14:paraId="3A12D04C" w14:textId="001EE4CD" w:rsidR="001A6F24" w:rsidRPr="001A6F24" w:rsidRDefault="001A6F24" w:rsidP="0060320E">
      <w:pPr>
        <w:spacing w:before="120" w:after="120"/>
        <w:jc w:val="both"/>
        <w:rPr>
          <w:rFonts w:ascii="Arial" w:hAnsi="Arial" w:cs="Arial"/>
          <w:sz w:val="20"/>
          <w:szCs w:val="20"/>
        </w:rPr>
      </w:pPr>
      <w:r w:rsidRPr="001A6F24">
        <w:rPr>
          <w:rFonts w:ascii="Arial" w:hAnsi="Arial" w:cs="Arial"/>
          <w:b/>
          <w:bCs/>
          <w:sz w:val="20"/>
          <w:szCs w:val="20"/>
        </w:rPr>
        <w:t>Stavebním povolením</w:t>
      </w:r>
      <w:r w:rsidRPr="001A6F24">
        <w:rPr>
          <w:rFonts w:ascii="Arial" w:hAnsi="Arial" w:cs="Arial"/>
          <w:sz w:val="20"/>
          <w:szCs w:val="20"/>
        </w:rPr>
        <w:t xml:space="preserve"> se rozumí celkový počet stavebních povolení (včetně společných), stavebních ohlášení, </w:t>
      </w:r>
      <w:r w:rsidR="002D2902" w:rsidRPr="002D2902">
        <w:rPr>
          <w:rFonts w:ascii="Arial" w:hAnsi="Arial" w:cs="Arial"/>
          <w:sz w:val="20"/>
          <w:szCs w:val="20"/>
        </w:rPr>
        <w:t xml:space="preserve">souhlasů s provedením ohlášeného stavebního záměru, oznámení stavebního záměru s certifikátem autorizovaného inspektora a </w:t>
      </w:r>
      <w:r w:rsidRPr="001A6F24">
        <w:rPr>
          <w:rFonts w:ascii="Arial" w:hAnsi="Arial" w:cs="Arial"/>
          <w:sz w:val="20"/>
          <w:szCs w:val="20"/>
        </w:rPr>
        <w:t xml:space="preserve">staveb povolených na podkladě veřejnoprávní smlouvy, které byly </w:t>
      </w:r>
      <w:r w:rsidR="0031466D">
        <w:rPr>
          <w:rFonts w:ascii="Arial" w:hAnsi="Arial" w:cs="Arial"/>
          <w:sz w:val="20"/>
          <w:szCs w:val="20"/>
        </w:rPr>
        <w:t>vydány a </w:t>
      </w:r>
      <w:r w:rsidRPr="001A6F24">
        <w:rPr>
          <w:rFonts w:ascii="Arial" w:hAnsi="Arial" w:cs="Arial"/>
          <w:sz w:val="20"/>
          <w:szCs w:val="20"/>
        </w:rPr>
        <w:t xml:space="preserve">evidovány příslušným stavebním úřadem. </w:t>
      </w:r>
    </w:p>
    <w:p w14:paraId="7ECDCF8B" w14:textId="77777777" w:rsidR="001A6F24" w:rsidRPr="001A6F24" w:rsidRDefault="001A6F24" w:rsidP="0060320E">
      <w:pPr>
        <w:spacing w:before="120" w:after="120"/>
        <w:jc w:val="both"/>
        <w:rPr>
          <w:rFonts w:ascii="Arial" w:hAnsi="Arial" w:cs="Arial"/>
          <w:sz w:val="20"/>
          <w:szCs w:val="20"/>
        </w:rPr>
      </w:pPr>
      <w:r w:rsidRPr="001A6F24">
        <w:rPr>
          <w:rFonts w:ascii="Arial" w:hAnsi="Arial" w:cs="Arial"/>
          <w:b/>
          <w:bCs/>
          <w:sz w:val="20"/>
          <w:szCs w:val="20"/>
        </w:rPr>
        <w:t xml:space="preserve">Orientační hodnota </w:t>
      </w:r>
      <w:r w:rsidRPr="001A6F24">
        <w:rPr>
          <w:rFonts w:ascii="Arial" w:hAnsi="Arial" w:cs="Arial"/>
          <w:bCs/>
          <w:sz w:val="20"/>
          <w:szCs w:val="20"/>
        </w:rPr>
        <w:t>staveb</w:t>
      </w:r>
      <w:r w:rsidRPr="001A6F24">
        <w:rPr>
          <w:rFonts w:ascii="Arial" w:hAnsi="Arial" w:cs="Arial"/>
          <w:sz w:val="20"/>
          <w:szCs w:val="20"/>
        </w:rPr>
        <w:t xml:space="preserve"> zahrnuje celkové náklady včetně technologie (v běžných cenách) vynaložené na přípravu, realizaci a uvedení stavby do provozu.</w:t>
      </w:r>
    </w:p>
    <w:p w14:paraId="38A002D4" w14:textId="77777777" w:rsidR="005D1668" w:rsidRPr="001A6F24" w:rsidRDefault="001A6F24" w:rsidP="001A6F24">
      <w:pPr>
        <w:pStyle w:val="Normlnweb"/>
        <w:spacing w:before="0" w:beforeAutospacing="0" w:after="0" w:afterAutospacing="0"/>
        <w:jc w:val="both"/>
        <w:rPr>
          <w:rFonts w:ascii="Arial" w:hAnsi="Arial" w:cs="Arial"/>
          <w:sz w:val="20"/>
          <w:szCs w:val="20"/>
        </w:rPr>
      </w:pPr>
      <w:r w:rsidRPr="001A6F24">
        <w:rPr>
          <w:rFonts w:ascii="Arial" w:hAnsi="Arial" w:cs="Arial"/>
          <w:b/>
          <w:sz w:val="20"/>
          <w:szCs w:val="20"/>
        </w:rPr>
        <w:t>Nová výstavba</w:t>
      </w:r>
      <w:r w:rsidRPr="001A6F24">
        <w:rPr>
          <w:rFonts w:ascii="Arial" w:hAnsi="Arial" w:cs="Arial"/>
          <w:sz w:val="20"/>
          <w:szCs w:val="20"/>
        </w:rPr>
        <w:t xml:space="preserve"> představuje zcela novou konstrukci, nové stavební dílo. Změnami dokončených staveb se rozumí nástavby, jimiž se stavby zvyšují, přístavby, jimiž se stavby půdorysně rozšiřují a které jsou </w:t>
      </w:r>
      <w:r w:rsidRPr="001A6F24">
        <w:rPr>
          <w:rFonts w:ascii="Arial" w:hAnsi="Arial" w:cs="Arial"/>
          <w:sz w:val="20"/>
          <w:szCs w:val="20"/>
        </w:rPr>
        <w:lastRenderedPageBreak/>
        <w:t>vzájemně provozně propojeny s dosavadní stavbou, dále vestavby, tj. stavební úpravy, při nichž se zachovává vnější půdorysné i výškové ohraničení stavby.</w:t>
      </w:r>
    </w:p>
    <w:p w14:paraId="6D995841" w14:textId="77777777" w:rsidR="00987DCD" w:rsidRDefault="00987DCD" w:rsidP="005D1668">
      <w:pPr>
        <w:jc w:val="both"/>
        <w:rPr>
          <w:rFonts w:ascii="Arial" w:hAnsi="Arial" w:cs="Arial"/>
          <w:sz w:val="20"/>
          <w:szCs w:val="20"/>
        </w:rPr>
      </w:pPr>
    </w:p>
    <w:p w14:paraId="2EDB9C44" w14:textId="77777777"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14:paraId="3A06B0D9" w14:textId="77777777" w:rsidR="001A6F24" w:rsidRPr="00CC0ABB" w:rsidRDefault="001A6F24" w:rsidP="001A6F24">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14:paraId="2DBB4E00" w14:textId="77777777" w:rsidR="001A6F24" w:rsidRPr="00CC0ABB" w:rsidRDefault="001A6F24" w:rsidP="001A6F24">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14:paraId="05AC0F53" w14:textId="77777777" w:rsidR="00987DCD" w:rsidRDefault="001A6F24" w:rsidP="001A6F24">
      <w:pPr>
        <w:pStyle w:val="GroupWiseView"/>
        <w:tabs>
          <w:tab w:val="left" w:pos="1500"/>
          <w:tab w:val="left" w:pos="3000"/>
        </w:tabs>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14:paraId="34D494E8" w14:textId="77777777" w:rsidR="009D4D95" w:rsidRDefault="009D4D95" w:rsidP="009D4D95">
      <w:pPr>
        <w:pStyle w:val="Nadpis8"/>
        <w:rPr>
          <w:rFonts w:cs="Arial"/>
        </w:rPr>
      </w:pPr>
    </w:p>
    <w:p w14:paraId="5A615322" w14:textId="77777777" w:rsidR="001613CD" w:rsidRPr="00C63FAD" w:rsidRDefault="001613CD">
      <w:pPr>
        <w:pStyle w:val="Nadpis8"/>
        <w:rPr>
          <w:rFonts w:cs="Arial"/>
        </w:rPr>
      </w:pPr>
      <w:r w:rsidRPr="00C63FAD">
        <w:rPr>
          <w:rFonts w:cs="Arial"/>
        </w:rPr>
        <w:t>CESTOVNÍ RUCH</w:t>
      </w:r>
    </w:p>
    <w:p w14:paraId="62BF2ACC" w14:textId="77777777" w:rsidR="001A6F24" w:rsidRDefault="001A6F24" w:rsidP="001A6F24">
      <w:pPr>
        <w:pStyle w:val="Zkladntext"/>
        <w:spacing w:before="120" w:after="120"/>
      </w:pPr>
      <w:r>
        <w:t>Údaje o kapacitách hromadných ubytovacích zařízení a jejich návštěvnosti vycházejí z pravidelného měsíčního a čtvrtletního šetření.</w:t>
      </w:r>
    </w:p>
    <w:p w14:paraId="5AD9C014" w14:textId="77777777" w:rsidR="001A6F24" w:rsidRDefault="001A6F24" w:rsidP="001A6F24">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w:t>
      </w:r>
      <w:r>
        <w:rPr>
          <w:szCs w:val="20"/>
        </w:rPr>
        <w:t>bytu dětí ve škole v přírodě, v </w:t>
      </w:r>
      <w:r w:rsidRPr="00A47D52">
        <w:rPr>
          <w:szCs w:val="20"/>
        </w:rPr>
        <w:t>letních a zimních táborech.</w:t>
      </w:r>
      <w:r w:rsidRPr="008C5C76">
        <w:t xml:space="preserve"> Mezi hromadná ubytovací zařízení</w:t>
      </w:r>
      <w:r>
        <w:t xml:space="preserve"> patří hotely, penziony, </w:t>
      </w:r>
      <w:r w:rsidRPr="00D6280C">
        <w:t>kempy, chatové osady, turistické ubytovny</w:t>
      </w:r>
      <w:r>
        <w:t xml:space="preserve"> a ostatní ubytovací zařízení (např. léčebné lázně, rekreační zařízení podniků, školicí střediska).</w:t>
      </w:r>
    </w:p>
    <w:p w14:paraId="6EAAB5A6" w14:textId="77777777" w:rsidR="001A6F24" w:rsidRDefault="001A6F24" w:rsidP="001A6F24">
      <w:pPr>
        <w:pStyle w:val="Rbntext"/>
        <w:spacing w:before="0" w:after="120"/>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14:paraId="2607A136" w14:textId="77777777" w:rsidR="001A6F24" w:rsidRDefault="001A6F24" w:rsidP="001A6F24">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14:paraId="0DC04A7E" w14:textId="77777777" w:rsidR="001A6F24" w:rsidRDefault="001A6F24" w:rsidP="001A6F24">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BB231B">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14:paraId="24F68E41" w14:textId="77777777" w:rsidR="00004FAC" w:rsidRDefault="001A6F24" w:rsidP="001A6F24">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Pr>
          <w:rFonts w:cs="Arial"/>
          <w:b/>
          <w:bCs/>
        </w:rPr>
        <w:t xml:space="preserve"> </w:t>
      </w:r>
      <w:r>
        <w:rPr>
          <w:rFonts w:cs="Arial"/>
        </w:rPr>
        <w:t>je soukromá cesta (včetně víkendových pobytů), při které osoba ales</w:t>
      </w:r>
      <w:r w:rsidRPr="00A47D52">
        <w:rPr>
          <w:rFonts w:cs="Arial"/>
        </w:rPr>
        <w:t>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14:paraId="21BC1C39" w14:textId="77777777" w:rsidR="00E55CBE" w:rsidRPr="006A3D8E" w:rsidRDefault="00E55CBE" w:rsidP="00815C7C">
      <w:pPr>
        <w:pStyle w:val="Nadpis8"/>
        <w:rPr>
          <w:rStyle w:val="Siln"/>
        </w:rPr>
      </w:pPr>
    </w:p>
    <w:p w14:paraId="48936A8F" w14:textId="77777777" w:rsidR="0034429F" w:rsidRPr="00A650B4" w:rsidRDefault="0034429F" w:rsidP="00BA5C00">
      <w:pPr>
        <w:pStyle w:val="Rbntext"/>
        <w:spacing w:before="0"/>
        <w:rPr>
          <w:rFonts w:cs="Arial"/>
          <w:b/>
          <w:bCs/>
          <w:sz w:val="24"/>
          <w:szCs w:val="24"/>
        </w:rPr>
      </w:pPr>
      <w:r w:rsidRPr="00A650B4">
        <w:rPr>
          <w:rFonts w:cs="Arial"/>
          <w:b/>
          <w:bCs/>
          <w:sz w:val="24"/>
          <w:szCs w:val="24"/>
        </w:rPr>
        <w:t>KRIMINALITA</w:t>
      </w:r>
      <w:r>
        <w:rPr>
          <w:rFonts w:cs="Arial"/>
          <w:b/>
          <w:bCs/>
          <w:sz w:val="24"/>
          <w:szCs w:val="24"/>
        </w:rPr>
        <w:t>, NEHODY</w:t>
      </w:r>
    </w:p>
    <w:p w14:paraId="5A6BBE19" w14:textId="77777777" w:rsidR="00B73E2E" w:rsidRDefault="00B73E2E" w:rsidP="00BA5C00">
      <w:pPr>
        <w:spacing w:before="120" w:after="120"/>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14:paraId="7268B03A" w14:textId="77777777" w:rsidR="00BB231B" w:rsidRPr="00712D27" w:rsidRDefault="00BB231B" w:rsidP="00BB231B">
      <w:pPr>
        <w:spacing w:after="120"/>
        <w:jc w:val="both"/>
        <w:rPr>
          <w:rFonts w:ascii="Arial" w:hAnsi="Arial" w:cs="Arial"/>
          <w:sz w:val="20"/>
          <w:szCs w:val="20"/>
        </w:rPr>
      </w:pPr>
      <w:r w:rsidRPr="00712D27">
        <w:rPr>
          <w:rFonts w:ascii="Arial" w:hAnsi="Arial" w:cs="Arial"/>
          <w:sz w:val="20"/>
          <w:szCs w:val="20"/>
        </w:rPr>
        <w:t>Data o </w:t>
      </w:r>
      <w:r w:rsidRPr="00BB231B">
        <w:rPr>
          <w:rFonts w:ascii="Arial" w:hAnsi="Arial" w:cs="Arial"/>
          <w:b/>
          <w:sz w:val="20"/>
          <w:szCs w:val="20"/>
        </w:rPr>
        <w:t>registrovaných a objasněných trestných činech</w:t>
      </w:r>
      <w:r w:rsidRPr="00712D27">
        <w:rPr>
          <w:rFonts w:ascii="Arial" w:hAnsi="Arial" w:cs="Arial"/>
          <w:sz w:val="20"/>
          <w:szCs w:val="20"/>
        </w:rPr>
        <w:t xml:space="preserve"> (tzn. přečinech, zločinech a trestných činech) zahrnují také trestné činy </w:t>
      </w:r>
      <w:r>
        <w:rPr>
          <w:rFonts w:ascii="Arial" w:hAnsi="Arial" w:cs="Arial"/>
          <w:sz w:val="20"/>
          <w:szCs w:val="20"/>
        </w:rPr>
        <w:t>vyšetřované oddělením</w:t>
      </w:r>
      <w:r w:rsidRPr="00712D27">
        <w:rPr>
          <w:rFonts w:ascii="Arial" w:hAnsi="Arial" w:cs="Arial"/>
          <w:sz w:val="20"/>
          <w:szCs w:val="20"/>
        </w:rPr>
        <w:t xml:space="preserve"> železni</w:t>
      </w:r>
      <w:r>
        <w:rPr>
          <w:rFonts w:ascii="Arial" w:hAnsi="Arial" w:cs="Arial"/>
          <w:sz w:val="20"/>
          <w:szCs w:val="20"/>
        </w:rPr>
        <w:t>ční</w:t>
      </w:r>
      <w:r w:rsidRPr="00712D27">
        <w:rPr>
          <w:rFonts w:ascii="Arial" w:hAnsi="Arial" w:cs="Arial"/>
          <w:sz w:val="20"/>
          <w:szCs w:val="20"/>
        </w:rPr>
        <w:t xml:space="preserve"> </w:t>
      </w:r>
      <w:r>
        <w:rPr>
          <w:rFonts w:ascii="Arial" w:hAnsi="Arial" w:cs="Arial"/>
          <w:sz w:val="20"/>
          <w:szCs w:val="20"/>
        </w:rPr>
        <w:t xml:space="preserve">policie a doprovodu vlaků </w:t>
      </w:r>
      <w:r w:rsidRPr="00712D27">
        <w:rPr>
          <w:rFonts w:ascii="Arial" w:hAnsi="Arial" w:cs="Arial"/>
          <w:sz w:val="20"/>
          <w:szCs w:val="20"/>
        </w:rPr>
        <w:t xml:space="preserve">a </w:t>
      </w:r>
      <w:r>
        <w:rPr>
          <w:rFonts w:ascii="Arial" w:hAnsi="Arial" w:cs="Arial"/>
          <w:sz w:val="20"/>
          <w:szCs w:val="20"/>
        </w:rPr>
        <w:t>inspektorátem</w:t>
      </w:r>
      <w:r w:rsidRPr="00712D27">
        <w:rPr>
          <w:rFonts w:ascii="Arial" w:hAnsi="Arial" w:cs="Arial"/>
          <w:sz w:val="20"/>
          <w:szCs w:val="20"/>
        </w:rPr>
        <w:t xml:space="preserve"> cizinecké policie. Objasněné trestné činy zahrnují trestné činy spáchané a vyřešené ve vykazovaném období.</w:t>
      </w:r>
    </w:p>
    <w:p w14:paraId="353D9788" w14:textId="77777777" w:rsidR="00BB231B" w:rsidRPr="00712D27" w:rsidRDefault="00BB231B" w:rsidP="00BB231B">
      <w:pPr>
        <w:spacing w:after="120"/>
        <w:jc w:val="both"/>
        <w:rPr>
          <w:rFonts w:ascii="Arial" w:hAnsi="Arial" w:cs="Arial"/>
          <w:sz w:val="20"/>
          <w:szCs w:val="20"/>
        </w:rPr>
      </w:pPr>
      <w:r w:rsidRPr="00712D27">
        <w:rPr>
          <w:rFonts w:ascii="Arial" w:hAnsi="Arial" w:cs="Arial"/>
          <w:b/>
          <w:sz w:val="20"/>
          <w:szCs w:val="20"/>
        </w:rPr>
        <w:t>Obecná kriminalita</w:t>
      </w:r>
      <w:r w:rsidRPr="00712D27">
        <w:rPr>
          <w:rFonts w:ascii="Arial" w:hAnsi="Arial" w:cs="Arial"/>
          <w:sz w:val="20"/>
          <w:szCs w:val="20"/>
        </w:rPr>
        <w:t xml:space="preserve"> zahrnuje násilné trestné činy, mravnostní trestné činy, majetkové trestné činy</w:t>
      </w:r>
      <w:r>
        <w:rPr>
          <w:rFonts w:ascii="Arial" w:hAnsi="Arial" w:cs="Arial"/>
          <w:sz w:val="20"/>
          <w:szCs w:val="20"/>
        </w:rPr>
        <w:t xml:space="preserve"> (krádeže vloupáním, krádeže prosté a</w:t>
      </w:r>
      <w:r w:rsidRPr="00712D27">
        <w:rPr>
          <w:rFonts w:ascii="Arial" w:hAnsi="Arial" w:cs="Arial"/>
          <w:sz w:val="20"/>
          <w:szCs w:val="20"/>
        </w:rPr>
        <w:t xml:space="preserve"> ostatní majetkov</w:t>
      </w:r>
      <w:r>
        <w:rPr>
          <w:rFonts w:ascii="Arial" w:hAnsi="Arial" w:cs="Arial"/>
          <w:sz w:val="20"/>
          <w:szCs w:val="20"/>
        </w:rPr>
        <w:t>á kriminalita)</w:t>
      </w:r>
      <w:r w:rsidRPr="00712D27">
        <w:rPr>
          <w:rFonts w:ascii="Arial" w:hAnsi="Arial" w:cs="Arial"/>
          <w:sz w:val="20"/>
          <w:szCs w:val="20"/>
        </w:rPr>
        <w:t xml:space="preserve"> a ostatní trestné činy. </w:t>
      </w:r>
      <w:r w:rsidRPr="00712D27">
        <w:rPr>
          <w:rFonts w:ascii="Arial" w:hAnsi="Arial" w:cs="Arial"/>
          <w:b/>
          <w:sz w:val="20"/>
          <w:szCs w:val="20"/>
        </w:rPr>
        <w:t>Hospodářská kriminalita</w:t>
      </w:r>
      <w:r w:rsidRPr="00712D27">
        <w:rPr>
          <w:rFonts w:ascii="Arial" w:hAnsi="Arial" w:cs="Arial"/>
          <w:sz w:val="20"/>
          <w:szCs w:val="20"/>
        </w:rPr>
        <w:t xml:space="preserve"> za</w:t>
      </w:r>
      <w:r>
        <w:rPr>
          <w:rFonts w:ascii="Arial" w:hAnsi="Arial" w:cs="Arial"/>
          <w:sz w:val="20"/>
          <w:szCs w:val="20"/>
        </w:rPr>
        <w:t>hrnuje především trestné činy v </w:t>
      </w:r>
      <w:r w:rsidRPr="00712D27">
        <w:rPr>
          <w:rFonts w:ascii="Arial" w:hAnsi="Arial" w:cs="Arial"/>
          <w:sz w:val="20"/>
          <w:szCs w:val="20"/>
        </w:rPr>
        <w:t>obchodních a finančních vztazích.</w:t>
      </w:r>
    </w:p>
    <w:p w14:paraId="16EB1CFE" w14:textId="6FC82B0E" w:rsidR="00BB231B" w:rsidRPr="00712D27" w:rsidRDefault="00BB231B" w:rsidP="00BB231B">
      <w:pPr>
        <w:pStyle w:val="Rtextmetodika"/>
        <w:rPr>
          <w:sz w:val="20"/>
        </w:rPr>
      </w:pPr>
      <w:r w:rsidRPr="00712D27">
        <w:rPr>
          <w:rFonts w:cs="Arial"/>
          <w:b/>
          <w:bCs/>
          <w:sz w:val="20"/>
        </w:rPr>
        <w:t>Dopravní nehody</w:t>
      </w:r>
      <w:r w:rsidRPr="00712D27">
        <w:rPr>
          <w:rFonts w:cs="Arial"/>
          <w:sz w:val="20"/>
        </w:rPr>
        <w:t xml:space="preserve"> zahrnují všechny nehody nahlášené Policii České republiky. Počet usmrcených, těžce a</w:t>
      </w:r>
      <w:r>
        <w:rPr>
          <w:rFonts w:cs="Arial"/>
          <w:sz w:val="20"/>
        </w:rPr>
        <w:t> </w:t>
      </w:r>
      <w:r w:rsidRPr="00712D27">
        <w:rPr>
          <w:rFonts w:cs="Arial"/>
          <w:sz w:val="20"/>
        </w:rPr>
        <w:t xml:space="preserve">lehce zraněných odpovídá stavu do 24 hodin po </w:t>
      </w:r>
      <w:r w:rsidRPr="0031466D">
        <w:rPr>
          <w:rFonts w:cs="Arial"/>
          <w:sz w:val="20"/>
        </w:rPr>
        <w:t xml:space="preserve">nehodě. </w:t>
      </w:r>
      <w:r w:rsidR="00BD6177" w:rsidRPr="0031466D">
        <w:rPr>
          <w:rFonts w:cs="Arial"/>
          <w:sz w:val="20"/>
        </w:rPr>
        <w:t xml:space="preserve">Dopravní nehody pod vlivem alkoholu zahrnují </w:t>
      </w:r>
      <w:r w:rsidR="00BD6177" w:rsidRPr="0031466D">
        <w:rPr>
          <w:rFonts w:cs="Arial"/>
          <w:sz w:val="20"/>
        </w:rPr>
        <w:lastRenderedPageBreak/>
        <w:t xml:space="preserve">nehody, při kterých byla u viníka zjištěna přítomnost alkoholu v krvi. </w:t>
      </w:r>
      <w:r w:rsidRPr="0031466D">
        <w:rPr>
          <w:rFonts w:cs="Arial"/>
          <w:sz w:val="20"/>
        </w:rPr>
        <w:t xml:space="preserve">Hmotná </w:t>
      </w:r>
      <w:r w:rsidRPr="00712D27">
        <w:rPr>
          <w:rFonts w:cs="Arial"/>
          <w:sz w:val="20"/>
        </w:rPr>
        <w:t>škoda zahrnuje škodu na vo</w:t>
      </w:r>
      <w:r>
        <w:rPr>
          <w:rFonts w:cs="Arial"/>
          <w:sz w:val="20"/>
        </w:rPr>
        <w:t xml:space="preserve">zidlech, jejich nákladu nebo na </w:t>
      </w:r>
      <w:r w:rsidRPr="00712D27">
        <w:rPr>
          <w:rFonts w:cs="Arial"/>
          <w:sz w:val="20"/>
        </w:rPr>
        <w:t>zařízení komunikace.</w:t>
      </w:r>
      <w:r>
        <w:rPr>
          <w:rFonts w:cs="Arial"/>
          <w:sz w:val="20"/>
        </w:rPr>
        <w:t xml:space="preserve"> Do krajů a okresů byly </w:t>
      </w:r>
      <w:r w:rsidRPr="00BB231B">
        <w:rPr>
          <w:rFonts w:cs="Arial"/>
          <w:sz w:val="20"/>
        </w:rPr>
        <w:t>dopravní nehod</w:t>
      </w:r>
      <w:r>
        <w:rPr>
          <w:rFonts w:cs="Arial"/>
          <w:sz w:val="20"/>
        </w:rPr>
        <w:t xml:space="preserve">y </w:t>
      </w:r>
      <w:r w:rsidR="00F7426A">
        <w:rPr>
          <w:rFonts w:cs="Arial"/>
          <w:sz w:val="20"/>
        </w:rPr>
        <w:t xml:space="preserve">zařazeny </w:t>
      </w:r>
      <w:r>
        <w:rPr>
          <w:rFonts w:cs="Arial"/>
          <w:sz w:val="20"/>
        </w:rPr>
        <w:t>na základě souřadnic místa jednotlivých nehod</w:t>
      </w:r>
      <w:r w:rsidRPr="00BB231B">
        <w:rPr>
          <w:rFonts w:cs="Arial"/>
          <w:sz w:val="20"/>
        </w:rPr>
        <w:t xml:space="preserve"> poskytnutých </w:t>
      </w:r>
      <w:r>
        <w:rPr>
          <w:rFonts w:cs="Arial"/>
          <w:sz w:val="20"/>
        </w:rPr>
        <w:t>P</w:t>
      </w:r>
      <w:r w:rsidRPr="00BB231B">
        <w:rPr>
          <w:rFonts w:cs="Arial"/>
          <w:sz w:val="20"/>
        </w:rPr>
        <w:t>olicií ČR.</w:t>
      </w:r>
    </w:p>
    <w:p w14:paraId="54C3F4EB" w14:textId="77777777" w:rsidR="00BB231B" w:rsidRPr="00712D27" w:rsidRDefault="00BB231B" w:rsidP="00BB231B">
      <w:pPr>
        <w:pStyle w:val="Rtextmetodika"/>
        <w:rPr>
          <w:rFonts w:cs="Arial"/>
          <w:sz w:val="20"/>
        </w:rPr>
      </w:pPr>
      <w:r>
        <w:rPr>
          <w:rFonts w:cs="Arial"/>
          <w:sz w:val="20"/>
        </w:rPr>
        <w:t>Údaje o </w:t>
      </w:r>
      <w:r w:rsidRPr="00712D27">
        <w:rPr>
          <w:rFonts w:cs="Arial"/>
          <w:b/>
          <w:bCs/>
          <w:sz w:val="20"/>
        </w:rPr>
        <w:t>požárech</w:t>
      </w:r>
      <w:r w:rsidRPr="00712D27">
        <w:rPr>
          <w:rFonts w:cs="Arial"/>
          <w:sz w:val="20"/>
        </w:rPr>
        <w:t xml:space="preserve"> byly převzaty z podkladů Hasičského záchranného sboru ČR.</w:t>
      </w:r>
    </w:p>
    <w:p w14:paraId="7C97C17F" w14:textId="77777777" w:rsidR="00BB231B" w:rsidRPr="00712D27" w:rsidRDefault="00BB231B" w:rsidP="00BB231B">
      <w:pPr>
        <w:pStyle w:val="Rtextmetodika"/>
        <w:rPr>
          <w:rFonts w:cs="Arial"/>
          <w:sz w:val="20"/>
        </w:rPr>
      </w:pPr>
      <w:r w:rsidRPr="00712D27">
        <w:rPr>
          <w:rFonts w:cs="Arial"/>
          <w:b/>
          <w:sz w:val="20"/>
        </w:rPr>
        <w:t>Požár</w:t>
      </w:r>
      <w:r w:rsidRPr="00712D27">
        <w:rPr>
          <w:rFonts w:cs="Arial"/>
          <w:sz w:val="20"/>
        </w:rPr>
        <w:t xml:space="preserve"> představuje každé nežádoucí hoření, při kterém došlo k usmrcení či zranění osob nebo zvířat anebo ke</w:t>
      </w:r>
      <w:r w:rsidR="00DC4FA2">
        <w:rPr>
          <w:rFonts w:cs="Arial"/>
          <w:sz w:val="20"/>
        </w:rPr>
        <w:t> </w:t>
      </w:r>
      <w:r w:rsidRPr="00712D27">
        <w:rPr>
          <w:rFonts w:cs="Arial"/>
          <w:sz w:val="20"/>
        </w:rPr>
        <w:t>škodám na</w:t>
      </w:r>
      <w:r>
        <w:rPr>
          <w:rFonts w:cs="Arial"/>
          <w:sz w:val="20"/>
        </w:rPr>
        <w:t xml:space="preserve"> </w:t>
      </w:r>
      <w:r w:rsidRPr="00712D27">
        <w:rPr>
          <w:rFonts w:cs="Arial"/>
          <w:sz w:val="20"/>
        </w:rPr>
        <w:t>materiálních hodnotách nebo životním prostředí. Za požár se považuje i nežádoucí hoření, při</w:t>
      </w:r>
      <w:r w:rsidR="00DC4FA2">
        <w:rPr>
          <w:rFonts w:cs="Arial"/>
          <w:sz w:val="20"/>
        </w:rPr>
        <w:t> </w:t>
      </w:r>
      <w:r w:rsidRPr="00712D27">
        <w:rPr>
          <w:rFonts w:cs="Arial"/>
          <w:sz w:val="20"/>
        </w:rPr>
        <w:t>kterém byly osoby, zvířata nebo materiální hodnoty nebo životní prostředí bezprostředně ohroženy.</w:t>
      </w:r>
    </w:p>
    <w:p w14:paraId="64E71514" w14:textId="77777777" w:rsidR="00BB231B" w:rsidRPr="00712D27" w:rsidRDefault="00BB231B" w:rsidP="00BB231B">
      <w:pPr>
        <w:pStyle w:val="Rtextmetodika"/>
        <w:rPr>
          <w:rFonts w:cs="Arial"/>
          <w:bCs/>
          <w:iCs/>
          <w:sz w:val="20"/>
        </w:rPr>
      </w:pPr>
      <w:r w:rsidRPr="00712D27">
        <w:rPr>
          <w:rFonts w:cs="Arial"/>
          <w:b/>
          <w:bCs/>
          <w:iCs/>
          <w:sz w:val="20"/>
        </w:rPr>
        <w:t>Usmrcené osoby celkem</w:t>
      </w:r>
      <w:r w:rsidRPr="00712D27">
        <w:rPr>
          <w:rFonts w:cs="Arial"/>
          <w:bCs/>
          <w:iCs/>
          <w:sz w:val="20"/>
        </w:rPr>
        <w:t xml:space="preserve"> jsou </w:t>
      </w:r>
      <w:r w:rsidRPr="00712D27">
        <w:rPr>
          <w:rFonts w:cs="Arial"/>
          <w:sz w:val="20"/>
        </w:rPr>
        <w:t>všechny</w:t>
      </w:r>
      <w:r w:rsidRPr="00712D27">
        <w:rPr>
          <w:rFonts w:cs="Arial"/>
          <w:bCs/>
          <w:iCs/>
          <w:sz w:val="20"/>
        </w:rPr>
        <w:t xml:space="preserve"> usmrcené osoby nalezené n</w:t>
      </w:r>
      <w:r>
        <w:rPr>
          <w:rFonts w:cs="Arial"/>
          <w:bCs/>
          <w:iCs/>
          <w:sz w:val="20"/>
        </w:rPr>
        <w:t xml:space="preserve">a místě požáru. Údaj zahrnuje i </w:t>
      </w:r>
      <w:r w:rsidRPr="00712D27">
        <w:rPr>
          <w:rFonts w:cs="Arial"/>
          <w:bCs/>
          <w:iCs/>
          <w:sz w:val="20"/>
        </w:rPr>
        <w:t>osoby, jejichž smrt prokazatelně nenastala v přímé souvislosti s požárem např. v důsledku infarktu, vraždy apod.</w:t>
      </w:r>
    </w:p>
    <w:p w14:paraId="1020887E" w14:textId="77777777" w:rsidR="005D1668" w:rsidRPr="00BA5C00" w:rsidRDefault="00BB231B" w:rsidP="00BB231B">
      <w:pPr>
        <w:pStyle w:val="Rbntext"/>
        <w:spacing w:before="0"/>
        <w:rPr>
          <w:rFonts w:cs="Arial"/>
          <w:sz w:val="22"/>
          <w:szCs w:val="18"/>
        </w:rPr>
      </w:pPr>
      <w:r w:rsidRPr="00712D27">
        <w:rPr>
          <w:b/>
          <w:bCs/>
          <w:iCs/>
        </w:rPr>
        <w:t>Usmrcené osoby v přímé souvislosti</w:t>
      </w:r>
      <w:r w:rsidRPr="00712D27">
        <w:rPr>
          <w:bCs/>
          <w:iCs/>
        </w:rPr>
        <w:t xml:space="preserve"> jsou jak osoby, které zemřely v důsledku popálenin, intoxikace zplodinami hoření apod., tak osoby, u kterých nebylo možné zjistit, zda prokazatelně zemřely v přímé souvislosti s požárem.</w:t>
      </w:r>
    </w:p>
    <w:p w14:paraId="4B2116A6" w14:textId="77777777" w:rsidR="00EE2E0B" w:rsidRDefault="00EE2E0B" w:rsidP="00BA5C00">
      <w:pPr>
        <w:pStyle w:val="Nadpis20"/>
        <w:spacing w:before="0"/>
        <w:rPr>
          <w:rFonts w:cs="Arial"/>
          <w:bCs/>
          <w:sz w:val="24"/>
        </w:rPr>
      </w:pPr>
    </w:p>
    <w:p w14:paraId="15E79333" w14:textId="77777777" w:rsidR="00EE2E0B" w:rsidRPr="00C63FAD" w:rsidRDefault="00EE2E0B" w:rsidP="00B46946">
      <w:pPr>
        <w:pStyle w:val="Nadpis20"/>
        <w:spacing w:before="0"/>
        <w:rPr>
          <w:rFonts w:cs="Arial"/>
          <w:b w:val="0"/>
          <w:bCs/>
          <w:sz w:val="24"/>
        </w:rPr>
      </w:pPr>
      <w:bookmarkStart w:id="0" w:name="_GoBack"/>
      <w:bookmarkEnd w:id="0"/>
      <w:r>
        <w:rPr>
          <w:rFonts w:cs="Arial"/>
          <w:bCs/>
          <w:sz w:val="24"/>
        </w:rPr>
        <w:t>MEZIROČNÍ VÝVOJ UKAZATELŮ</w:t>
      </w:r>
    </w:p>
    <w:p w14:paraId="7006BA21" w14:textId="77777777" w:rsidR="00EE2E0B" w:rsidRPr="0031466D" w:rsidRDefault="00EE2E0B" w:rsidP="00EE2E0B">
      <w:pPr>
        <w:spacing w:before="120" w:after="120" w:line="228" w:lineRule="auto"/>
        <w:jc w:val="both"/>
        <w:rPr>
          <w:rFonts w:ascii="Arial" w:hAnsi="Arial" w:cs="Arial"/>
          <w:spacing w:val="-2"/>
          <w:sz w:val="20"/>
        </w:rPr>
      </w:pPr>
      <w:r w:rsidRPr="0031466D">
        <w:rPr>
          <w:rFonts w:ascii="Arial" w:hAnsi="Arial" w:cs="Arial"/>
          <w:spacing w:val="-2"/>
          <w:sz w:val="20"/>
        </w:rPr>
        <w:t xml:space="preserve">Velikost meziročního indexu </w:t>
      </w:r>
      <w:r w:rsidR="00176436" w:rsidRPr="0031466D">
        <w:rPr>
          <w:rFonts w:ascii="Arial" w:hAnsi="Arial" w:cs="Arial"/>
          <w:spacing w:val="-2"/>
          <w:sz w:val="20"/>
        </w:rPr>
        <w:t xml:space="preserve">(např. v průmyslu, stavebnictví, zemědělství) </w:t>
      </w:r>
      <w:r w:rsidRPr="0031466D">
        <w:rPr>
          <w:rFonts w:ascii="Arial" w:hAnsi="Arial" w:cs="Arial"/>
          <w:spacing w:val="-2"/>
          <w:sz w:val="20"/>
        </w:rPr>
        <w:t xml:space="preserve">může být ovlivněna skutečností, že se při jeho výpočtu vychází ze srovnání souboru subjektů, které splňují příslušná kritéria (převažující činnost, sídlo v kraji, </w:t>
      </w:r>
      <w:r w:rsidR="00D64D80" w:rsidRPr="0031466D">
        <w:rPr>
          <w:rFonts w:ascii="Arial" w:hAnsi="Arial" w:cs="Arial"/>
          <w:spacing w:val="-2"/>
          <w:sz w:val="20"/>
        </w:rPr>
        <w:t xml:space="preserve">hranice </w:t>
      </w:r>
      <w:r w:rsidRPr="0031466D">
        <w:rPr>
          <w:rFonts w:ascii="Arial" w:hAnsi="Arial" w:cs="Arial"/>
          <w:spacing w:val="-2"/>
          <w:sz w:val="20"/>
        </w:rPr>
        <w:t xml:space="preserve">počtu zaměstnanců) ve sledovaném roce a souboru subjektů, které tato kritéria splňovaly ve </w:t>
      </w:r>
      <w:r w:rsidR="00503BA3" w:rsidRPr="0031466D">
        <w:rPr>
          <w:rFonts w:ascii="Arial" w:hAnsi="Arial" w:cs="Arial"/>
          <w:spacing w:val="-2"/>
          <w:sz w:val="20"/>
        </w:rPr>
        <w:t>stejném</w:t>
      </w:r>
      <w:r w:rsidRPr="0031466D">
        <w:rPr>
          <w:rFonts w:ascii="Arial" w:hAnsi="Arial" w:cs="Arial"/>
          <w:spacing w:val="-2"/>
          <w:sz w:val="20"/>
        </w:rPr>
        <w:t xml:space="preserve"> období předchozího roku. Nejsou prováděny přepočty na srovnatelnou organizační </w:t>
      </w:r>
      <w:r w:rsidR="009F442E" w:rsidRPr="0031466D">
        <w:rPr>
          <w:rFonts w:ascii="Arial" w:hAnsi="Arial" w:cs="Arial"/>
          <w:spacing w:val="-2"/>
          <w:sz w:val="20"/>
        </w:rPr>
        <w:t xml:space="preserve">ani územní </w:t>
      </w:r>
      <w:r w:rsidRPr="0031466D">
        <w:rPr>
          <w:rFonts w:ascii="Arial" w:hAnsi="Arial" w:cs="Arial"/>
          <w:spacing w:val="-2"/>
          <w:sz w:val="20"/>
        </w:rPr>
        <w:t xml:space="preserve">strukturu. </w:t>
      </w:r>
    </w:p>
    <w:p w14:paraId="4D1F8371" w14:textId="7DF06DCD"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w:t>
      </w:r>
      <w:r w:rsidR="004B1352">
        <w:rPr>
          <w:rFonts w:ascii="Arial" w:hAnsi="Arial" w:cs="Arial"/>
          <w:sz w:val="20"/>
        </w:rPr>
        <w:t>4</w:t>
      </w:r>
      <w:r w:rsidRPr="00C63FAD">
        <w:rPr>
          <w:rFonts w:ascii="Arial" w:hAnsi="Arial" w:cs="Arial"/>
          <w:sz w:val="20"/>
        </w:rPr>
        <w:t>/20</w:t>
      </w:r>
      <w:r w:rsidR="00D0053D">
        <w:rPr>
          <w:rFonts w:ascii="Arial" w:hAnsi="Arial" w:cs="Arial"/>
          <w:sz w:val="20"/>
        </w:rPr>
        <w:t>2</w:t>
      </w:r>
      <w:r w:rsidR="004B1352">
        <w:rPr>
          <w:rFonts w:ascii="Arial" w:hAnsi="Arial" w:cs="Arial"/>
          <w:sz w:val="20"/>
        </w:rPr>
        <w:t>3</w:t>
      </w:r>
      <w:r w:rsidRPr="00C63FAD">
        <w:rPr>
          <w:rFonts w:ascii="Arial" w:hAnsi="Arial" w:cs="Arial"/>
          <w:sz w:val="20"/>
        </w:rPr>
        <w:t>, respektive 20</w:t>
      </w:r>
      <w:r w:rsidR="00AD0885">
        <w:rPr>
          <w:rFonts w:ascii="Arial" w:hAnsi="Arial" w:cs="Arial"/>
          <w:sz w:val="20"/>
        </w:rPr>
        <w:t>2</w:t>
      </w:r>
      <w:r w:rsidR="004B1352">
        <w:rPr>
          <w:rFonts w:ascii="Arial" w:hAnsi="Arial" w:cs="Arial"/>
          <w:sz w:val="20"/>
        </w:rPr>
        <w:t>3</w:t>
      </w:r>
      <w:r w:rsidRPr="00C63FAD">
        <w:rPr>
          <w:rFonts w:ascii="Arial" w:hAnsi="Arial" w:cs="Arial"/>
          <w:sz w:val="20"/>
        </w:rPr>
        <w:t>/20</w:t>
      </w:r>
      <w:r w:rsidR="00D0053D">
        <w:rPr>
          <w:rFonts w:ascii="Arial" w:hAnsi="Arial" w:cs="Arial"/>
          <w:sz w:val="20"/>
        </w:rPr>
        <w:t>2</w:t>
      </w:r>
      <w:r w:rsidR="009D1198">
        <w:rPr>
          <w:rFonts w:ascii="Arial" w:hAnsi="Arial" w:cs="Arial"/>
          <w:sz w:val="20"/>
        </w:rPr>
        <w:t>2</w:t>
      </w:r>
      <w:r w:rsidRPr="00C63FAD">
        <w:rPr>
          <w:rFonts w:ascii="Arial" w:hAnsi="Arial" w:cs="Arial"/>
          <w:sz w:val="20"/>
        </w:rPr>
        <w:t>, jsou uváděny v %.</w:t>
      </w:r>
    </w:p>
    <w:p w14:paraId="4D025ED7" w14:textId="77777777" w:rsidR="00F752DB" w:rsidRDefault="00F752DB" w:rsidP="00145516">
      <w:pPr>
        <w:pStyle w:val="Nadpis20"/>
        <w:spacing w:before="0" w:line="228" w:lineRule="auto"/>
        <w:rPr>
          <w:rFonts w:cs="Arial"/>
          <w:bCs/>
          <w:sz w:val="24"/>
        </w:rPr>
      </w:pPr>
    </w:p>
    <w:p w14:paraId="6EFD414F" w14:textId="77777777"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14:paraId="04BF606D" w14:textId="77777777"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14:paraId="3CE2D84A" w14:textId="77777777" w:rsidR="00F35C72" w:rsidRPr="00C63FAD" w:rsidRDefault="00F35C72" w:rsidP="00F35C72">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Pr>
          <w:rFonts w:ascii="Arial" w:hAnsi="Arial" w:cs="Arial"/>
          <w:sz w:val="20"/>
        </w:rPr>
        <w:t xml:space="preserve"> </w:t>
      </w:r>
      <w:r w:rsidRPr="00C63FAD">
        <w:rPr>
          <w:rFonts w:ascii="Arial" w:hAnsi="Arial" w:cs="Arial"/>
          <w:sz w:val="20"/>
        </w:rPr>
        <w:t xml:space="preserve">  údaj není k dispozici nebo není dostatečně spolehlivý </w:t>
      </w:r>
    </w:p>
    <w:p w14:paraId="65906C8B" w14:textId="77777777" w:rsidR="00F35C72" w:rsidRPr="00C63FAD" w:rsidRDefault="00F35C72" w:rsidP="00F35C72">
      <w:pPr>
        <w:spacing w:line="228" w:lineRule="auto"/>
        <w:jc w:val="both"/>
        <w:rPr>
          <w:rFonts w:ascii="Arial" w:hAnsi="Arial" w:cs="Arial"/>
          <w:sz w:val="20"/>
        </w:rPr>
      </w:pPr>
      <w:r w:rsidRPr="00C63FAD">
        <w:rPr>
          <w:rFonts w:ascii="Arial" w:hAnsi="Arial" w:cs="Arial"/>
          <w:b/>
          <w:sz w:val="20"/>
        </w:rPr>
        <w:t>x</w:t>
      </w:r>
      <w:r w:rsidRPr="00C63FAD">
        <w:rPr>
          <w:rFonts w:ascii="Arial" w:hAnsi="Arial" w:cs="Arial"/>
          <w:sz w:val="20"/>
        </w:rPr>
        <w:t xml:space="preserve">  </w:t>
      </w:r>
      <w:r>
        <w:rPr>
          <w:rFonts w:ascii="Arial" w:hAnsi="Arial" w:cs="Arial"/>
          <w:sz w:val="20"/>
        </w:rPr>
        <w:t xml:space="preserve"> </w:t>
      </w:r>
      <w:r w:rsidRPr="00C63FAD">
        <w:rPr>
          <w:rFonts w:ascii="Arial" w:hAnsi="Arial" w:cs="Arial"/>
          <w:sz w:val="20"/>
        </w:rPr>
        <w:t xml:space="preserve">   číselný údaj není možný z logických důvodů </w:t>
      </w:r>
    </w:p>
    <w:p w14:paraId="70A0EC48" w14:textId="77777777"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14:paraId="4307248D" w14:textId="77777777"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14:paraId="04121882" w14:textId="77777777"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617B58">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FA23" w14:textId="77777777" w:rsidR="00BE7A24" w:rsidRDefault="00BE7A24">
      <w:r>
        <w:separator/>
      </w:r>
    </w:p>
  </w:endnote>
  <w:endnote w:type="continuationSeparator" w:id="0">
    <w:p w14:paraId="4EFD0579" w14:textId="77777777" w:rsidR="00BE7A24" w:rsidRDefault="00BE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AE17" w14:textId="20ABC9D9"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A11819">
      <w:rPr>
        <w:rStyle w:val="slostrnky"/>
        <w:noProof/>
      </w:rPr>
      <w:t>2</w:t>
    </w:r>
    <w:r>
      <w:rPr>
        <w:rStyle w:val="slostrnky"/>
      </w:rPr>
      <w:fldChar w:fldCharType="end"/>
    </w:r>
  </w:p>
  <w:p w14:paraId="5A909407" w14:textId="45B56E17" w:rsidR="00D454FC" w:rsidRDefault="00B76CE1">
    <w:pPr>
      <w:pStyle w:val="Zpat"/>
      <w:ind w:right="360" w:firstLine="360"/>
      <w:jc w:val="center"/>
    </w:pPr>
    <w:r>
      <w:t xml:space="preserve">Statistické bulletiny krajů </w:t>
    </w:r>
    <w:r w:rsidR="009D1198">
      <w:t>2024</w:t>
    </w:r>
    <w:r>
      <w:t xml:space="preserve"> </w:t>
    </w:r>
    <w:r w:rsidR="00D454F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CF5D" w14:textId="77777777" w:rsidR="00BE7A24" w:rsidRDefault="00BE7A24">
      <w:r>
        <w:separator/>
      </w:r>
    </w:p>
  </w:footnote>
  <w:footnote w:type="continuationSeparator" w:id="0">
    <w:p w14:paraId="7E2076D5" w14:textId="77777777" w:rsidR="00BE7A24" w:rsidRDefault="00BE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9182" w14:textId="77777777"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221C" w14:textId="77777777"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86A"/>
    <w:multiLevelType w:val="hybridMultilevel"/>
    <w:tmpl w:val="D128826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3704E"/>
    <w:rsid w:val="00040160"/>
    <w:rsid w:val="00045849"/>
    <w:rsid w:val="00045CF4"/>
    <w:rsid w:val="00053BB7"/>
    <w:rsid w:val="00056DCA"/>
    <w:rsid w:val="000645A7"/>
    <w:rsid w:val="00073DE6"/>
    <w:rsid w:val="00076703"/>
    <w:rsid w:val="00084D9B"/>
    <w:rsid w:val="000A050D"/>
    <w:rsid w:val="000B5E2F"/>
    <w:rsid w:val="000B6E61"/>
    <w:rsid w:val="000E0F17"/>
    <w:rsid w:val="000F3315"/>
    <w:rsid w:val="000F4D30"/>
    <w:rsid w:val="000F4ED6"/>
    <w:rsid w:val="000F649F"/>
    <w:rsid w:val="00101CCB"/>
    <w:rsid w:val="00111AB0"/>
    <w:rsid w:val="001120C8"/>
    <w:rsid w:val="00112C8D"/>
    <w:rsid w:val="00123B74"/>
    <w:rsid w:val="00125712"/>
    <w:rsid w:val="00144A26"/>
    <w:rsid w:val="00145516"/>
    <w:rsid w:val="00155C46"/>
    <w:rsid w:val="00156B15"/>
    <w:rsid w:val="001613CD"/>
    <w:rsid w:val="001638A3"/>
    <w:rsid w:val="00163FBB"/>
    <w:rsid w:val="00176436"/>
    <w:rsid w:val="001815A9"/>
    <w:rsid w:val="00181802"/>
    <w:rsid w:val="001950B2"/>
    <w:rsid w:val="001A3EEF"/>
    <w:rsid w:val="001A6F24"/>
    <w:rsid w:val="001A75A9"/>
    <w:rsid w:val="001B593D"/>
    <w:rsid w:val="001B7B3E"/>
    <w:rsid w:val="001C0952"/>
    <w:rsid w:val="001E43EF"/>
    <w:rsid w:val="001E5325"/>
    <w:rsid w:val="001F038B"/>
    <w:rsid w:val="002048FC"/>
    <w:rsid w:val="00206A0D"/>
    <w:rsid w:val="002107AF"/>
    <w:rsid w:val="00217461"/>
    <w:rsid w:val="00221F5E"/>
    <w:rsid w:val="00224BF2"/>
    <w:rsid w:val="0027200D"/>
    <w:rsid w:val="00276BEE"/>
    <w:rsid w:val="0028066A"/>
    <w:rsid w:val="00290A84"/>
    <w:rsid w:val="002B41D5"/>
    <w:rsid w:val="002C1422"/>
    <w:rsid w:val="002D2902"/>
    <w:rsid w:val="002D562D"/>
    <w:rsid w:val="0031028F"/>
    <w:rsid w:val="0031466D"/>
    <w:rsid w:val="003175E6"/>
    <w:rsid w:val="0032458C"/>
    <w:rsid w:val="003309FF"/>
    <w:rsid w:val="00331477"/>
    <w:rsid w:val="00331C29"/>
    <w:rsid w:val="0033610D"/>
    <w:rsid w:val="0034429F"/>
    <w:rsid w:val="003534A7"/>
    <w:rsid w:val="00374492"/>
    <w:rsid w:val="003A617B"/>
    <w:rsid w:val="003A6A47"/>
    <w:rsid w:val="003B13B8"/>
    <w:rsid w:val="003B36FF"/>
    <w:rsid w:val="003C207C"/>
    <w:rsid w:val="003D6D1D"/>
    <w:rsid w:val="003E03B6"/>
    <w:rsid w:val="003E0A67"/>
    <w:rsid w:val="003F0A24"/>
    <w:rsid w:val="003F396C"/>
    <w:rsid w:val="003F68BA"/>
    <w:rsid w:val="003F7EF0"/>
    <w:rsid w:val="00405671"/>
    <w:rsid w:val="004170D2"/>
    <w:rsid w:val="004243EF"/>
    <w:rsid w:val="00426B8C"/>
    <w:rsid w:val="00432B7E"/>
    <w:rsid w:val="004363BE"/>
    <w:rsid w:val="0045273C"/>
    <w:rsid w:val="00471816"/>
    <w:rsid w:val="00471F5E"/>
    <w:rsid w:val="00474DFE"/>
    <w:rsid w:val="00483B94"/>
    <w:rsid w:val="00485AB3"/>
    <w:rsid w:val="004973B8"/>
    <w:rsid w:val="004B1352"/>
    <w:rsid w:val="004B20EB"/>
    <w:rsid w:val="004C0881"/>
    <w:rsid w:val="004E3467"/>
    <w:rsid w:val="004E596E"/>
    <w:rsid w:val="004E763F"/>
    <w:rsid w:val="004F0E90"/>
    <w:rsid w:val="004F4394"/>
    <w:rsid w:val="00503BA3"/>
    <w:rsid w:val="00506239"/>
    <w:rsid w:val="005119B0"/>
    <w:rsid w:val="005311E4"/>
    <w:rsid w:val="0053315E"/>
    <w:rsid w:val="00543DEE"/>
    <w:rsid w:val="00544311"/>
    <w:rsid w:val="0054674E"/>
    <w:rsid w:val="005467D7"/>
    <w:rsid w:val="0055094C"/>
    <w:rsid w:val="00554481"/>
    <w:rsid w:val="00556EB6"/>
    <w:rsid w:val="00557118"/>
    <w:rsid w:val="00561EF0"/>
    <w:rsid w:val="0056293F"/>
    <w:rsid w:val="00571410"/>
    <w:rsid w:val="00584D9A"/>
    <w:rsid w:val="00596341"/>
    <w:rsid w:val="00597E81"/>
    <w:rsid w:val="005A62E9"/>
    <w:rsid w:val="005A70A3"/>
    <w:rsid w:val="005A7B7F"/>
    <w:rsid w:val="005C7856"/>
    <w:rsid w:val="005D1668"/>
    <w:rsid w:val="005D197A"/>
    <w:rsid w:val="005E6922"/>
    <w:rsid w:val="005F1FC7"/>
    <w:rsid w:val="0060320E"/>
    <w:rsid w:val="006058EB"/>
    <w:rsid w:val="00617B58"/>
    <w:rsid w:val="00632820"/>
    <w:rsid w:val="00644C64"/>
    <w:rsid w:val="0064650C"/>
    <w:rsid w:val="00655228"/>
    <w:rsid w:val="0066431A"/>
    <w:rsid w:val="00665988"/>
    <w:rsid w:val="0066669A"/>
    <w:rsid w:val="00671EAA"/>
    <w:rsid w:val="006767BC"/>
    <w:rsid w:val="0068210D"/>
    <w:rsid w:val="0068466A"/>
    <w:rsid w:val="00687B06"/>
    <w:rsid w:val="006A233D"/>
    <w:rsid w:val="006A3D8E"/>
    <w:rsid w:val="006B2CD1"/>
    <w:rsid w:val="006B662A"/>
    <w:rsid w:val="006C1291"/>
    <w:rsid w:val="006C63A8"/>
    <w:rsid w:val="006D1634"/>
    <w:rsid w:val="006D3A53"/>
    <w:rsid w:val="006D6D51"/>
    <w:rsid w:val="006D726B"/>
    <w:rsid w:val="006E3019"/>
    <w:rsid w:val="006F6345"/>
    <w:rsid w:val="007003DC"/>
    <w:rsid w:val="007012DA"/>
    <w:rsid w:val="00714181"/>
    <w:rsid w:val="007166B0"/>
    <w:rsid w:val="00717B0B"/>
    <w:rsid w:val="00723BD8"/>
    <w:rsid w:val="00726CDC"/>
    <w:rsid w:val="00733B61"/>
    <w:rsid w:val="00736658"/>
    <w:rsid w:val="00761002"/>
    <w:rsid w:val="007639B7"/>
    <w:rsid w:val="00767361"/>
    <w:rsid w:val="00787B6D"/>
    <w:rsid w:val="0079256B"/>
    <w:rsid w:val="0079738B"/>
    <w:rsid w:val="007A48C0"/>
    <w:rsid w:val="007B3135"/>
    <w:rsid w:val="007B5D42"/>
    <w:rsid w:val="007C2441"/>
    <w:rsid w:val="007D0670"/>
    <w:rsid w:val="007D0F87"/>
    <w:rsid w:val="007D4112"/>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25FD"/>
    <w:rsid w:val="008C6169"/>
    <w:rsid w:val="008D1CC6"/>
    <w:rsid w:val="008D363E"/>
    <w:rsid w:val="008F0599"/>
    <w:rsid w:val="008F5202"/>
    <w:rsid w:val="00903E1E"/>
    <w:rsid w:val="00905AB6"/>
    <w:rsid w:val="00933876"/>
    <w:rsid w:val="00935912"/>
    <w:rsid w:val="009432A6"/>
    <w:rsid w:val="009442FF"/>
    <w:rsid w:val="00946BB7"/>
    <w:rsid w:val="009557E0"/>
    <w:rsid w:val="00956E81"/>
    <w:rsid w:val="00957B75"/>
    <w:rsid w:val="009629D9"/>
    <w:rsid w:val="009646E9"/>
    <w:rsid w:val="00970347"/>
    <w:rsid w:val="009703EF"/>
    <w:rsid w:val="00983E7F"/>
    <w:rsid w:val="00987DCD"/>
    <w:rsid w:val="009A48BD"/>
    <w:rsid w:val="009C5FE5"/>
    <w:rsid w:val="009D1198"/>
    <w:rsid w:val="009D448F"/>
    <w:rsid w:val="009D4D95"/>
    <w:rsid w:val="009D6DF2"/>
    <w:rsid w:val="009D6EF3"/>
    <w:rsid w:val="009E00D4"/>
    <w:rsid w:val="009F00A6"/>
    <w:rsid w:val="009F2EFB"/>
    <w:rsid w:val="009F442E"/>
    <w:rsid w:val="00A045CC"/>
    <w:rsid w:val="00A11819"/>
    <w:rsid w:val="00A301F5"/>
    <w:rsid w:val="00A33CEA"/>
    <w:rsid w:val="00A34793"/>
    <w:rsid w:val="00A34E15"/>
    <w:rsid w:val="00A5623B"/>
    <w:rsid w:val="00A56FAA"/>
    <w:rsid w:val="00A650B4"/>
    <w:rsid w:val="00A746E7"/>
    <w:rsid w:val="00A82BFD"/>
    <w:rsid w:val="00A831B9"/>
    <w:rsid w:val="00A90995"/>
    <w:rsid w:val="00AA7877"/>
    <w:rsid w:val="00AC5C01"/>
    <w:rsid w:val="00AD0885"/>
    <w:rsid w:val="00AD163D"/>
    <w:rsid w:val="00AD3BE8"/>
    <w:rsid w:val="00B03D7E"/>
    <w:rsid w:val="00B048DE"/>
    <w:rsid w:val="00B15532"/>
    <w:rsid w:val="00B17291"/>
    <w:rsid w:val="00B2092E"/>
    <w:rsid w:val="00B30D8A"/>
    <w:rsid w:val="00B31589"/>
    <w:rsid w:val="00B35AF9"/>
    <w:rsid w:val="00B46946"/>
    <w:rsid w:val="00B73E2E"/>
    <w:rsid w:val="00B76CE1"/>
    <w:rsid w:val="00B8548A"/>
    <w:rsid w:val="00B862CB"/>
    <w:rsid w:val="00B93505"/>
    <w:rsid w:val="00B95665"/>
    <w:rsid w:val="00BA010C"/>
    <w:rsid w:val="00BA0BE4"/>
    <w:rsid w:val="00BA5C00"/>
    <w:rsid w:val="00BB231B"/>
    <w:rsid w:val="00BC08CC"/>
    <w:rsid w:val="00BC2FE0"/>
    <w:rsid w:val="00BC68E9"/>
    <w:rsid w:val="00BD2EC3"/>
    <w:rsid w:val="00BD6177"/>
    <w:rsid w:val="00BE70D9"/>
    <w:rsid w:val="00BE7A24"/>
    <w:rsid w:val="00C14E0A"/>
    <w:rsid w:val="00C3455D"/>
    <w:rsid w:val="00C50DB2"/>
    <w:rsid w:val="00C6244D"/>
    <w:rsid w:val="00C63FAD"/>
    <w:rsid w:val="00C75C59"/>
    <w:rsid w:val="00C85808"/>
    <w:rsid w:val="00C90D69"/>
    <w:rsid w:val="00C92701"/>
    <w:rsid w:val="00CA0CE4"/>
    <w:rsid w:val="00CA2FB3"/>
    <w:rsid w:val="00CA5B96"/>
    <w:rsid w:val="00CB0B69"/>
    <w:rsid w:val="00CB26E1"/>
    <w:rsid w:val="00CB5336"/>
    <w:rsid w:val="00CC1FBA"/>
    <w:rsid w:val="00CD5903"/>
    <w:rsid w:val="00CF5312"/>
    <w:rsid w:val="00CF5AA4"/>
    <w:rsid w:val="00D0053D"/>
    <w:rsid w:val="00D006FF"/>
    <w:rsid w:val="00D20F62"/>
    <w:rsid w:val="00D24220"/>
    <w:rsid w:val="00D4505A"/>
    <w:rsid w:val="00D454FC"/>
    <w:rsid w:val="00D62381"/>
    <w:rsid w:val="00D64D80"/>
    <w:rsid w:val="00D65896"/>
    <w:rsid w:val="00D7145E"/>
    <w:rsid w:val="00D73C03"/>
    <w:rsid w:val="00D75E89"/>
    <w:rsid w:val="00D8339D"/>
    <w:rsid w:val="00D928BF"/>
    <w:rsid w:val="00D97DDB"/>
    <w:rsid w:val="00DA0916"/>
    <w:rsid w:val="00DA4343"/>
    <w:rsid w:val="00DA573C"/>
    <w:rsid w:val="00DA6DC9"/>
    <w:rsid w:val="00DC4FA2"/>
    <w:rsid w:val="00DC66DA"/>
    <w:rsid w:val="00DE19BF"/>
    <w:rsid w:val="00DF3484"/>
    <w:rsid w:val="00DF54F1"/>
    <w:rsid w:val="00E04409"/>
    <w:rsid w:val="00E0727D"/>
    <w:rsid w:val="00E123BC"/>
    <w:rsid w:val="00E271D6"/>
    <w:rsid w:val="00E27AF8"/>
    <w:rsid w:val="00E32933"/>
    <w:rsid w:val="00E44FFE"/>
    <w:rsid w:val="00E45CE4"/>
    <w:rsid w:val="00E47CD0"/>
    <w:rsid w:val="00E5328D"/>
    <w:rsid w:val="00E55CBE"/>
    <w:rsid w:val="00E6298F"/>
    <w:rsid w:val="00E6407C"/>
    <w:rsid w:val="00E75BC7"/>
    <w:rsid w:val="00E87189"/>
    <w:rsid w:val="00E87A33"/>
    <w:rsid w:val="00E87E2A"/>
    <w:rsid w:val="00E93E4C"/>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3534"/>
    <w:rsid w:val="00F35C72"/>
    <w:rsid w:val="00F3686A"/>
    <w:rsid w:val="00F50B9C"/>
    <w:rsid w:val="00F53089"/>
    <w:rsid w:val="00F6529D"/>
    <w:rsid w:val="00F70D76"/>
    <w:rsid w:val="00F7426A"/>
    <w:rsid w:val="00F752DB"/>
    <w:rsid w:val="00F97E98"/>
    <w:rsid w:val="00FA06ED"/>
    <w:rsid w:val="00FA5FFC"/>
    <w:rsid w:val="00FB6678"/>
    <w:rsid w:val="00FD1B27"/>
    <w:rsid w:val="00FD630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3268C"/>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 w:type="paragraph" w:styleId="Seznam">
    <w:name w:val="List"/>
    <w:basedOn w:val="Normln"/>
    <w:uiPriority w:val="99"/>
    <w:semiHidden/>
    <w:unhideWhenUsed/>
    <w:qFormat/>
    <w:rsid w:val="005D1668"/>
    <w:pPr>
      <w:spacing w:after="240" w:line="288" w:lineRule="auto"/>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u.gov.cz/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492A-0026-4977-ACB2-5F3B199C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3216</Words>
  <Characters>18975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22147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Kolísek Michal</cp:lastModifiedBy>
  <cp:revision>2</cp:revision>
  <cp:lastPrinted>2020-03-23T12:31:00Z</cp:lastPrinted>
  <dcterms:created xsi:type="dcterms:W3CDTF">2024-09-16T05:57:00Z</dcterms:created>
  <dcterms:modified xsi:type="dcterms:W3CDTF">2024-09-16T05:57:00Z</dcterms:modified>
</cp:coreProperties>
</file>