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9F" w:rsidRDefault="003C629F" w:rsidP="007A30B2">
      <w:pPr>
        <w:pStyle w:val="Nadpis2"/>
        <w:spacing w:after="100"/>
      </w:pPr>
      <w:bookmarkStart w:id="0" w:name="_Toc513101498"/>
      <w:bookmarkStart w:id="1" w:name="_Toc444112496"/>
      <w:r>
        <w:t>4.2. Nově hlášené případy dočasné pracovní neschopnosti</w:t>
      </w:r>
      <w:bookmarkEnd w:id="0"/>
    </w:p>
    <w:p w:rsidR="00977F2A" w:rsidRDefault="008C667A" w:rsidP="008C667A">
      <w:pPr>
        <w:jc w:val="both"/>
      </w:pPr>
      <w:r>
        <w:rPr>
          <w:rFonts w:cs="Arial"/>
        </w:rPr>
        <w:t>Vstupním zdrojem a podkladem pro zpracování dat této kapitoly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 tak podchycena veškerá onemocnění a úrazy, které zapříčinily alespoň jednodenní pracovní neschopnost u </w:t>
      </w:r>
      <w:proofErr w:type="spellStart"/>
      <w:r>
        <w:rPr>
          <w:rFonts w:cs="Arial"/>
        </w:rPr>
        <w:t>nemocensky</w:t>
      </w:r>
      <w:proofErr w:type="spellEnd"/>
      <w:r>
        <w:rPr>
          <w:rFonts w:cs="Arial"/>
        </w:rPr>
        <w:t xml:space="preserve"> pojištěných osob.</w:t>
      </w:r>
      <w:r w:rsidRPr="008C667A">
        <w:t xml:space="preserve"> Nově hlášené případy dočasné pracovní neschopnosti jsou evidovány na základě </w:t>
      </w:r>
      <w:r w:rsidRPr="008C667A">
        <w:rPr>
          <w:b/>
        </w:rPr>
        <w:t>hlášení o vzniku</w:t>
      </w:r>
      <w:r w:rsidRPr="008C667A">
        <w:t xml:space="preserve"> pracovní neschopnosti </w:t>
      </w:r>
      <w:proofErr w:type="spellStart"/>
      <w:r w:rsidRPr="008C667A">
        <w:t>nemocensky</w:t>
      </w:r>
      <w:proofErr w:type="spellEnd"/>
      <w:r w:rsidRPr="008C667A">
        <w:t xml:space="preserve"> pojištěných osob.</w:t>
      </w:r>
    </w:p>
    <w:p w:rsidR="006701EE" w:rsidRDefault="006701EE" w:rsidP="006701EE">
      <w:pPr>
        <w:autoSpaceDE w:val="0"/>
        <w:autoSpaceDN w:val="0"/>
        <w:adjustRightInd w:val="0"/>
        <w:jc w:val="both"/>
        <w:rPr>
          <w:rFonts w:cs="Arial"/>
        </w:rPr>
      </w:pPr>
      <w:r>
        <w:rPr>
          <w:rFonts w:cs="Arial"/>
        </w:rPr>
        <w:t xml:space="preserve">Česká správa sociálního zabezpečení za účelem zajištění statistiky dočasné pracovní neschopnosti pro nemoc a úraz poskytuje Českému statistickému úřadu datové soubory administrativních agregovaných dat o </w:t>
      </w:r>
      <w:r w:rsidRPr="005C2F72">
        <w:rPr>
          <w:rFonts w:cs="Arial"/>
          <w:b/>
        </w:rPr>
        <w:t>nově hlášených případech</w:t>
      </w:r>
      <w:r>
        <w:rPr>
          <w:rFonts w:cs="Arial"/>
        </w:rPr>
        <w:t xml:space="preserve"> dočasné pracovní neschopnosti zaměstnanců a OSVČ, které jsou na ČSÚ dále zpracovány a doplněny s využitím informací z Registru ekonomických subjektů. </w:t>
      </w:r>
    </w:p>
    <w:p w:rsidR="003C629F" w:rsidRPr="003C629F" w:rsidRDefault="003C629F" w:rsidP="003C629F"/>
    <w:p w:rsidR="00EE4B1B" w:rsidRDefault="003C629F" w:rsidP="006701EE">
      <w:pPr>
        <w:pStyle w:val="Nadpis3"/>
        <w:spacing w:after="100"/>
        <w:rPr>
          <w:szCs w:val="20"/>
        </w:rPr>
      </w:pPr>
      <w:bookmarkStart w:id="2" w:name="_Toc513101499"/>
      <w:bookmarkEnd w:id="1"/>
      <w:r>
        <w:t>4.2.1. Počet případů dočasné pracovní neschopnosti</w:t>
      </w:r>
      <w:bookmarkEnd w:id="2"/>
    </w:p>
    <w:p w:rsidR="00B32CA3" w:rsidRPr="00644534" w:rsidRDefault="00B32CA3" w:rsidP="00B32CA3">
      <w:pPr>
        <w:jc w:val="both"/>
        <w:rPr>
          <w:bCs/>
        </w:rPr>
      </w:pPr>
      <w:r w:rsidRPr="00644534">
        <w:rPr>
          <w:bCs/>
        </w:rPr>
        <w:t xml:space="preserve">Četnost výskytu dočasné pracovní neschopnosti odráží ukazatel počet nově hlášených případů pracovní neschopnosti. Tento absolutní ukazatel je rovněž vhodný pro posouzení trendů vývoje pracovní neschopnosti. </w:t>
      </w:r>
      <w:r w:rsidR="00644534" w:rsidRPr="00644534">
        <w:rPr>
          <w:bCs/>
        </w:rPr>
        <w:t>Avšak z pohledu porovnání regionů, jednotlivých odvětví ekonomických činností či velikosti zaměstnavatele má vyšší vypovídací schopnost ukazatel relativní – počet nově hlášených případů pracovní neschopnosti na 100 pojištěnců.</w:t>
      </w:r>
    </w:p>
    <w:p w:rsidR="00A2036D" w:rsidRDefault="00A2036D" w:rsidP="007508FD">
      <w:pPr>
        <w:pStyle w:val="Box1"/>
        <w:jc w:val="both"/>
        <w:rPr>
          <w:i/>
        </w:rPr>
      </w:pPr>
      <w:r w:rsidRPr="00A2036D">
        <w:rPr>
          <w:b/>
          <w:i/>
        </w:rPr>
        <w:t xml:space="preserve">Počet nově hlášených případů dočasné pracovní neschopnosti </w:t>
      </w:r>
      <w:r w:rsidR="003C629F" w:rsidRPr="00F46EA8">
        <w:rPr>
          <w:i/>
        </w:rPr>
        <w:t xml:space="preserve">– </w:t>
      </w:r>
      <w:r w:rsidR="00C53647">
        <w:rPr>
          <w:i/>
        </w:rPr>
        <w:t>ukazatel zahrnuje</w:t>
      </w:r>
      <w:r w:rsidRPr="00A2036D">
        <w:rPr>
          <w:i/>
        </w:rPr>
        <w:t xml:space="preserve"> nově hlášené případy pracovní neschopnosti ve sledovaném období na základě hlášení o vzniku pracovní neschopnosti </w:t>
      </w:r>
      <w:proofErr w:type="spellStart"/>
      <w:r w:rsidRPr="00A2036D">
        <w:rPr>
          <w:i/>
        </w:rPr>
        <w:t>nemocensky</w:t>
      </w:r>
      <w:proofErr w:type="spellEnd"/>
      <w:r w:rsidRPr="00A2036D">
        <w:rPr>
          <w:i/>
        </w:rPr>
        <w:t xml:space="preserve"> pojištěných osob.</w:t>
      </w:r>
    </w:p>
    <w:p w:rsidR="00A2036D" w:rsidRDefault="00A2036D" w:rsidP="007508FD">
      <w:pPr>
        <w:pStyle w:val="Box1"/>
        <w:jc w:val="both"/>
        <w:rPr>
          <w:i/>
        </w:rPr>
      </w:pPr>
    </w:p>
    <w:p w:rsidR="00A2036D" w:rsidRPr="00A2036D" w:rsidRDefault="00A2036D" w:rsidP="007508FD">
      <w:pPr>
        <w:pStyle w:val="Box1"/>
        <w:jc w:val="both"/>
        <w:rPr>
          <w:i/>
        </w:rPr>
      </w:pPr>
      <w:r w:rsidRPr="00A2036D">
        <w:rPr>
          <w:b/>
          <w:i/>
        </w:rPr>
        <w:t xml:space="preserve">Počet případů pracovní neschopnosti na 100 pojištěnců </w:t>
      </w:r>
      <w:r>
        <w:rPr>
          <w:i/>
        </w:rPr>
        <w:t>– u</w:t>
      </w:r>
      <w:r w:rsidRPr="00A2036D">
        <w:rPr>
          <w:i/>
        </w:rPr>
        <w:t xml:space="preserve">kazatel vyjadřuje počet nově hlášených případů pracovní neschopnosti, které připadají v průměru na 100 </w:t>
      </w:r>
      <w:proofErr w:type="spellStart"/>
      <w:r w:rsidRPr="00A2036D">
        <w:rPr>
          <w:i/>
        </w:rPr>
        <w:t>nemocensky</w:t>
      </w:r>
      <w:proofErr w:type="spellEnd"/>
      <w:r w:rsidRPr="00A2036D">
        <w:rPr>
          <w:i/>
        </w:rPr>
        <w:t xml:space="preserve"> pojištěných</w:t>
      </w:r>
      <w:r>
        <w:rPr>
          <w:i/>
        </w:rPr>
        <w:t xml:space="preserve"> osob</w:t>
      </w:r>
      <w:r w:rsidRPr="00A2036D">
        <w:rPr>
          <w:i/>
        </w:rPr>
        <w:t xml:space="preserve">. </w:t>
      </w:r>
    </w:p>
    <w:p w:rsidR="00A2036D" w:rsidRPr="00A2036D" w:rsidRDefault="00A2036D" w:rsidP="007508FD">
      <w:pPr>
        <w:pStyle w:val="Box1"/>
        <w:jc w:val="both"/>
        <w:rPr>
          <w:i/>
          <w:u w:val="single"/>
        </w:rPr>
      </w:pPr>
      <w:r w:rsidRPr="00A2036D">
        <w:rPr>
          <w:i/>
          <w:u w:val="single"/>
        </w:rPr>
        <w:t>Způsob výpočtu:</w:t>
      </w:r>
    </w:p>
    <w:p w:rsidR="003C629F" w:rsidRDefault="00A2036D" w:rsidP="007508FD">
      <w:pPr>
        <w:pStyle w:val="Box1"/>
        <w:jc w:val="both"/>
        <w:rPr>
          <w:i/>
        </w:rPr>
      </w:pPr>
      <w:r w:rsidRPr="00A2036D">
        <w:rPr>
          <w:i/>
        </w:rPr>
        <w:t xml:space="preserve">Počet případů pracovní neschopnosti na 100 pojištěnců = nově hlášené případy dočasné pracovní neschopnosti x 100 / průměrný počet osob </w:t>
      </w:r>
      <w:proofErr w:type="spellStart"/>
      <w:r w:rsidRPr="00A2036D">
        <w:rPr>
          <w:i/>
        </w:rPr>
        <w:t>nemocensky</w:t>
      </w:r>
      <w:proofErr w:type="spellEnd"/>
      <w:r w:rsidRPr="00A2036D">
        <w:rPr>
          <w:i/>
        </w:rPr>
        <w:t xml:space="preserve"> pojištěných.</w:t>
      </w:r>
    </w:p>
    <w:p w:rsidR="00644534" w:rsidRDefault="00644534" w:rsidP="00644534">
      <w:pPr>
        <w:jc w:val="both"/>
        <w:rPr>
          <w:rFonts w:cs="Arial"/>
        </w:rPr>
      </w:pPr>
      <w:r w:rsidRPr="007D0416">
        <w:rPr>
          <w:bCs/>
        </w:rPr>
        <w:t>Absolutní počet nově hlášených případů dočasné pracovní neschopnosti</w:t>
      </w:r>
      <w:r w:rsidRPr="007D0416">
        <w:rPr>
          <w:rFonts w:cs="Arial"/>
        </w:rPr>
        <w:t xml:space="preserve"> se meziročně zvýšil z</w:t>
      </w:r>
      <w:r w:rsidR="00583F66">
        <w:rPr>
          <w:rFonts w:cs="Arial"/>
        </w:rPr>
        <w:t> 944,7</w:t>
      </w:r>
      <w:r w:rsidRPr="007D0416">
        <w:rPr>
          <w:rFonts w:cs="Arial"/>
        </w:rPr>
        <w:t xml:space="preserve"> tis. případů v</w:t>
      </w:r>
      <w:r w:rsidR="00583F66">
        <w:rPr>
          <w:rFonts w:cs="Arial"/>
        </w:rPr>
        <w:t xml:space="preserve"> 1. </w:t>
      </w:r>
      <w:proofErr w:type="spellStart"/>
      <w:r w:rsidR="00583F66">
        <w:rPr>
          <w:rFonts w:cs="Arial"/>
        </w:rPr>
        <w:t>pol</w:t>
      </w:r>
      <w:proofErr w:type="spellEnd"/>
      <w:r w:rsidR="00583F66">
        <w:rPr>
          <w:rFonts w:cs="Arial"/>
        </w:rPr>
        <w:t>. 2017</w:t>
      </w:r>
      <w:r w:rsidRPr="007D0416">
        <w:rPr>
          <w:rFonts w:cs="Arial"/>
        </w:rPr>
        <w:t xml:space="preserve"> na </w:t>
      </w:r>
      <w:r w:rsidR="00583F66">
        <w:rPr>
          <w:rFonts w:cs="Arial"/>
        </w:rPr>
        <w:t>1 040,2</w:t>
      </w:r>
      <w:r w:rsidR="00583F66" w:rsidRPr="007D0416">
        <w:rPr>
          <w:rFonts w:cs="Arial"/>
        </w:rPr>
        <w:t xml:space="preserve"> </w:t>
      </w:r>
      <w:r w:rsidRPr="007D0416">
        <w:rPr>
          <w:rFonts w:cs="Arial"/>
        </w:rPr>
        <w:t>tis. případů v</w:t>
      </w:r>
      <w:r w:rsidR="00583F66">
        <w:rPr>
          <w:rFonts w:cs="Arial"/>
        </w:rPr>
        <w:t xml:space="preserve"> 1. </w:t>
      </w:r>
      <w:proofErr w:type="spellStart"/>
      <w:r w:rsidR="00583F66">
        <w:rPr>
          <w:rFonts w:cs="Arial"/>
        </w:rPr>
        <w:t>pol</w:t>
      </w:r>
      <w:proofErr w:type="spellEnd"/>
      <w:r w:rsidR="00583F66">
        <w:rPr>
          <w:rFonts w:cs="Arial"/>
        </w:rPr>
        <w:t xml:space="preserve">. 2018 </w:t>
      </w:r>
      <w:r w:rsidRPr="007D0416">
        <w:rPr>
          <w:rFonts w:cs="Arial"/>
        </w:rPr>
        <w:t xml:space="preserve">(tj. o </w:t>
      </w:r>
      <w:r w:rsidR="00063EF6">
        <w:rPr>
          <w:rFonts w:cs="Arial"/>
        </w:rPr>
        <w:t>10</w:t>
      </w:r>
      <w:r w:rsidRPr="007D0416">
        <w:rPr>
          <w:rFonts w:cs="Arial"/>
        </w:rPr>
        <w:t>,</w:t>
      </w:r>
      <w:r w:rsidR="00063EF6">
        <w:rPr>
          <w:rFonts w:cs="Arial"/>
        </w:rPr>
        <w:t>1</w:t>
      </w:r>
      <w:r w:rsidRPr="007D0416">
        <w:rPr>
          <w:rFonts w:cs="Arial"/>
        </w:rPr>
        <w:t xml:space="preserve"> %). Z celkového počtu tvořily případy dočasné pracovní neschopnosti mužů </w:t>
      </w:r>
      <w:r w:rsidR="003B305D">
        <w:rPr>
          <w:rFonts w:cs="Arial"/>
        </w:rPr>
        <w:t>4</w:t>
      </w:r>
      <w:r w:rsidR="00503FBC">
        <w:rPr>
          <w:rFonts w:cs="Arial"/>
        </w:rPr>
        <w:t>6</w:t>
      </w:r>
      <w:r w:rsidR="003B305D">
        <w:rPr>
          <w:rFonts w:cs="Arial"/>
        </w:rPr>
        <w:t>,</w:t>
      </w:r>
      <w:r w:rsidR="00503FBC">
        <w:rPr>
          <w:rFonts w:cs="Arial"/>
        </w:rPr>
        <w:t>5</w:t>
      </w:r>
      <w:r w:rsidRPr="007D0416">
        <w:rPr>
          <w:rFonts w:cs="Arial"/>
        </w:rPr>
        <w:t> %, na ženy tedy připadalo 5</w:t>
      </w:r>
      <w:r w:rsidR="00503FBC">
        <w:rPr>
          <w:rFonts w:cs="Arial"/>
        </w:rPr>
        <w:t>3</w:t>
      </w:r>
      <w:r w:rsidR="003B305D">
        <w:rPr>
          <w:rFonts w:cs="Arial"/>
        </w:rPr>
        <w:t>,</w:t>
      </w:r>
      <w:r w:rsidR="00503FBC">
        <w:rPr>
          <w:rFonts w:cs="Arial"/>
        </w:rPr>
        <w:t>5</w:t>
      </w:r>
      <w:r w:rsidRPr="007D0416">
        <w:rPr>
          <w:rFonts w:cs="Arial"/>
        </w:rPr>
        <w:t> </w:t>
      </w:r>
      <w:r w:rsidRPr="007D0416">
        <w:rPr>
          <w:rFonts w:cs="Arial"/>
          <w:lang w:val="en-US"/>
        </w:rPr>
        <w:t xml:space="preserve">% </w:t>
      </w:r>
      <w:r w:rsidRPr="007D0416">
        <w:rPr>
          <w:rFonts w:cs="Arial"/>
        </w:rPr>
        <w:t>nově hlášených případů, přestože podíl žen na celkovém počtu pojištěných osob činil</w:t>
      </w:r>
      <w:r w:rsidRPr="00821C6F">
        <w:rPr>
          <w:rFonts w:cs="Arial"/>
        </w:rPr>
        <w:t xml:space="preserve"> 49</w:t>
      </w:r>
      <w:r w:rsidR="003B305D">
        <w:rPr>
          <w:rFonts w:cs="Arial"/>
        </w:rPr>
        <w:t>,</w:t>
      </w:r>
      <w:r w:rsidR="00BF7EA5">
        <w:rPr>
          <w:rFonts w:cs="Arial"/>
        </w:rPr>
        <w:t>4</w:t>
      </w:r>
      <w:r>
        <w:rPr>
          <w:rFonts w:cs="Arial"/>
        </w:rPr>
        <w:t> </w:t>
      </w:r>
      <w:r w:rsidRPr="00821C6F">
        <w:rPr>
          <w:rFonts w:cs="Arial"/>
        </w:rPr>
        <w:t>%.</w:t>
      </w:r>
    </w:p>
    <w:p w:rsidR="009D44C6" w:rsidRDefault="009D44C6" w:rsidP="009D44C6">
      <w:pPr>
        <w:jc w:val="both"/>
        <w:rPr>
          <w:rFonts w:cs="Arial"/>
          <w:color w:val="FF0000"/>
        </w:rPr>
      </w:pPr>
      <w:r w:rsidRPr="003E6827">
        <w:rPr>
          <w:rFonts w:cs="Arial"/>
        </w:rPr>
        <w:t>V</w:t>
      </w:r>
      <w:r>
        <w:rPr>
          <w:rFonts w:cs="Arial"/>
        </w:rPr>
        <w:t xml:space="preserve"> 1. </w:t>
      </w:r>
      <w:proofErr w:type="spellStart"/>
      <w:r>
        <w:rPr>
          <w:rFonts w:cs="Arial"/>
        </w:rPr>
        <w:t>pol</w:t>
      </w:r>
      <w:proofErr w:type="spellEnd"/>
      <w:r>
        <w:rPr>
          <w:rFonts w:cs="Arial"/>
        </w:rPr>
        <w:t>. 2018</w:t>
      </w:r>
      <w:r w:rsidRPr="003E6827">
        <w:rPr>
          <w:rFonts w:cs="Arial"/>
        </w:rPr>
        <w:t xml:space="preserve"> dosáhl podíl nemocí na počtu všech nově hlášených případů dočasné pracovní neschopnosti </w:t>
      </w:r>
      <w:r>
        <w:rPr>
          <w:rFonts w:cs="Arial"/>
        </w:rPr>
        <w:t>90,1</w:t>
      </w:r>
      <w:r w:rsidRPr="003E6827">
        <w:rPr>
          <w:rFonts w:cs="Arial"/>
        </w:rPr>
        <w:t> %, další 2,</w:t>
      </w:r>
      <w:r>
        <w:rPr>
          <w:rFonts w:cs="Arial"/>
        </w:rPr>
        <w:t>3</w:t>
      </w:r>
      <w:r w:rsidRPr="003E6827">
        <w:rPr>
          <w:rFonts w:cs="Arial"/>
        </w:rPr>
        <w:t xml:space="preserve"> % připadá na pracovní úrazy a </w:t>
      </w:r>
      <w:r>
        <w:rPr>
          <w:rFonts w:cs="Arial"/>
        </w:rPr>
        <w:t>7,5</w:t>
      </w:r>
      <w:r w:rsidRPr="003E6827">
        <w:rPr>
          <w:rFonts w:cs="Arial"/>
        </w:rPr>
        <w:t xml:space="preserve"> % na ostatní úrazy. </w:t>
      </w:r>
      <w:r w:rsidRPr="00D95AD4">
        <w:rPr>
          <w:rFonts w:cs="Arial"/>
        </w:rPr>
        <w:t>Legislativní změny, které často počet případů pracovní neschopnosti přímo ovlivňují, nejvíce působí právě na případy pracovní neschopnosti pro nemoc, počty případů pracovní neschopnosti pro úrazy jsou jimi ovlivněny méně.</w:t>
      </w:r>
      <w:r w:rsidRPr="00CE702A">
        <w:rPr>
          <w:rFonts w:cs="Arial"/>
          <w:color w:val="FF0000"/>
        </w:rPr>
        <w:t xml:space="preserve"> </w:t>
      </w:r>
    </w:p>
    <w:p w:rsidR="00AF4854" w:rsidRDefault="00E73E6C" w:rsidP="00AF4854">
      <w:pPr>
        <w:jc w:val="both"/>
        <w:rPr>
          <w:rFonts w:cs="Arial"/>
        </w:rPr>
      </w:pPr>
      <w:r w:rsidRPr="00AF4854">
        <w:rPr>
          <w:rFonts w:cs="Arial"/>
        </w:rPr>
        <w:t>V</w:t>
      </w:r>
      <w:r w:rsidR="00F4341D" w:rsidRPr="00AF4854">
        <w:rPr>
          <w:rFonts w:cs="Arial"/>
        </w:rPr>
        <w:t xml:space="preserve"> souvislosti s meziročním </w:t>
      </w:r>
      <w:proofErr w:type="gramStart"/>
      <w:r w:rsidR="00F4341D" w:rsidRPr="00AF4854">
        <w:rPr>
          <w:rFonts w:cs="Arial"/>
        </w:rPr>
        <w:t>10%</w:t>
      </w:r>
      <w:proofErr w:type="gramEnd"/>
      <w:r w:rsidR="00F4341D" w:rsidRPr="00AF4854">
        <w:rPr>
          <w:rFonts w:cs="Arial"/>
        </w:rPr>
        <w:t xml:space="preserve"> nárůstem nově hlášených </w:t>
      </w:r>
      <w:r w:rsidRPr="00AF4854">
        <w:rPr>
          <w:rFonts w:cs="Arial"/>
        </w:rPr>
        <w:t> </w:t>
      </w:r>
      <w:r w:rsidR="00F4341D" w:rsidRPr="00AF4854">
        <w:rPr>
          <w:rFonts w:cs="Arial"/>
        </w:rPr>
        <w:t xml:space="preserve">případů dočasné pracovní neschopnosti, </w:t>
      </w:r>
      <w:r w:rsidRPr="00AF4854">
        <w:rPr>
          <w:rFonts w:cs="Arial"/>
        </w:rPr>
        <w:t xml:space="preserve">je </w:t>
      </w:r>
      <w:r w:rsidR="00390861" w:rsidRPr="00AF4854">
        <w:rPr>
          <w:rFonts w:cs="Arial"/>
        </w:rPr>
        <w:t>nutno</w:t>
      </w:r>
      <w:r w:rsidRPr="00AF4854">
        <w:rPr>
          <w:rFonts w:cs="Arial"/>
        </w:rPr>
        <w:t xml:space="preserve"> připomenout, že se letos od 1. ledna zvýšila sazba pro výpočet nemocenského. Od 31. </w:t>
      </w:r>
      <w:r w:rsidR="00F4341D" w:rsidRPr="00942D80">
        <w:rPr>
          <w:rFonts w:cs="Arial"/>
        </w:rPr>
        <w:t>k</w:t>
      </w:r>
      <w:r w:rsidRPr="00942D80">
        <w:rPr>
          <w:rFonts w:cs="Arial"/>
        </w:rPr>
        <w:t>alendářního dne činí nemocenské 66 % redukovaného denního v</w:t>
      </w:r>
      <w:r w:rsidRPr="00496D9B">
        <w:rPr>
          <w:rFonts w:cs="Arial"/>
        </w:rPr>
        <w:t>yměřovacího základu a od 61</w:t>
      </w:r>
      <w:r w:rsidR="001F4CD7" w:rsidRPr="00496D9B">
        <w:rPr>
          <w:rFonts w:cs="Arial"/>
        </w:rPr>
        <w:t>.</w:t>
      </w:r>
      <w:r w:rsidRPr="00496D9B">
        <w:rPr>
          <w:rFonts w:cs="Arial"/>
        </w:rPr>
        <w:t xml:space="preserve"> kalendářního dne pak 72 %</w:t>
      </w:r>
      <w:r w:rsidRPr="00AF4854">
        <w:rPr>
          <w:rFonts w:cs="Arial"/>
        </w:rPr>
        <w:t>.</w:t>
      </w:r>
    </w:p>
    <w:p w:rsidR="002A6DD0" w:rsidRPr="00AF4854" w:rsidRDefault="00EF56F0" w:rsidP="00AF4854">
      <w:pPr>
        <w:jc w:val="both"/>
        <w:rPr>
          <w:rFonts w:cs="Arial"/>
        </w:rPr>
      </w:pPr>
      <w:r w:rsidRPr="00EF56F0">
        <w:rPr>
          <w:rFonts w:cs="Arial"/>
        </w:rPr>
        <w:t>V roce 2017 činila 1. redukční hranice 942 Kč, 2. redukční hranice 1 412 Kč, 3. redukční hranice 2 824 Kč. V roce 2018 činí 1. redukční hranice 1 000 Kč, 2. redukční hranice 1 499 Kč, 3. redukční hranice 2 998 Kč.</w:t>
      </w:r>
      <w:r w:rsidR="00545321" w:rsidRPr="00545321">
        <w:rPr>
          <w:rFonts w:cs="Arial"/>
        </w:rPr>
        <w:t xml:space="preserve"> </w:t>
      </w:r>
      <w:r w:rsidR="002A6DD0" w:rsidRPr="00AF4854">
        <w:rPr>
          <w:rFonts w:cs="Arial"/>
        </w:rPr>
        <w:t>Meziroční zvýšení výdajů objemově nejvýznamnější dávky systému – nemoc</w:t>
      </w:r>
      <w:r w:rsidR="00EA29E7">
        <w:rPr>
          <w:rFonts w:cs="Arial"/>
        </w:rPr>
        <w:t>enského (o 390,2 mil. Kč, tj. o </w:t>
      </w:r>
      <w:r w:rsidR="00942D80" w:rsidRPr="00AF4854">
        <w:rPr>
          <w:rFonts w:cs="Arial"/>
        </w:rPr>
        <w:t>20</w:t>
      </w:r>
      <w:r w:rsidR="00942D80">
        <w:rPr>
          <w:rFonts w:cs="Arial"/>
        </w:rPr>
        <w:t> </w:t>
      </w:r>
      <w:r w:rsidR="002A6DD0" w:rsidRPr="00AF4854">
        <w:rPr>
          <w:rFonts w:cs="Arial"/>
        </w:rPr>
        <w:t xml:space="preserve">%) - souviselo zejména s nárůstem počtu proplacených dnů a s nárůstem výše průměrné denní dávky </w:t>
      </w:r>
      <w:r w:rsidR="002A6DD0" w:rsidRPr="00AF4854">
        <w:rPr>
          <w:rFonts w:cs="Arial"/>
        </w:rPr>
        <w:lastRenderedPageBreak/>
        <w:t xml:space="preserve">nemocenského. V </w:t>
      </w:r>
      <w:r w:rsidR="00942D80">
        <w:rPr>
          <w:rFonts w:cs="Arial"/>
        </w:rPr>
        <w:t>1. pololetí</w:t>
      </w:r>
      <w:r w:rsidR="00942D80" w:rsidRPr="00AF4854">
        <w:rPr>
          <w:rFonts w:cs="Arial"/>
        </w:rPr>
        <w:t xml:space="preserve"> </w:t>
      </w:r>
      <w:r w:rsidR="002A6DD0" w:rsidRPr="00AF4854">
        <w:rPr>
          <w:rFonts w:cs="Arial"/>
        </w:rPr>
        <w:t xml:space="preserve">2018 se tento počet meziročně zvýšil o cca 115,2 </w:t>
      </w:r>
      <w:proofErr w:type="gramStart"/>
      <w:r w:rsidR="002A6DD0" w:rsidRPr="00AF4854">
        <w:rPr>
          <w:rFonts w:cs="Arial"/>
        </w:rPr>
        <w:t>tis.</w:t>
      </w:r>
      <w:r w:rsidR="001C691D" w:rsidRPr="00AF4854">
        <w:rPr>
          <w:rFonts w:cs="Arial"/>
        </w:rPr>
        <w:t>proplacených</w:t>
      </w:r>
      <w:proofErr w:type="gramEnd"/>
      <w:r w:rsidR="001C691D" w:rsidRPr="00AF4854">
        <w:rPr>
          <w:rFonts w:cs="Arial"/>
        </w:rPr>
        <w:t xml:space="preserve"> dnů</w:t>
      </w:r>
      <w:r w:rsidR="002A6DD0" w:rsidRPr="00AF4854">
        <w:rPr>
          <w:rFonts w:cs="Arial"/>
        </w:rPr>
        <w:t xml:space="preserve">, tj. o 2,8 %, na 4,30 mil. dnů. Došlo rovněž k meziročnímu nárůstu výše průměrné denní dávky nemocenského (o cca 21,8 % na 451 Kč). </w:t>
      </w:r>
    </w:p>
    <w:p w:rsidR="0025728D" w:rsidRDefault="002A6DD0">
      <w:pPr>
        <w:jc w:val="both"/>
      </w:pPr>
      <w:r w:rsidRPr="00AF4854">
        <w:rPr>
          <w:rFonts w:cs="Arial"/>
        </w:rPr>
        <w:t xml:space="preserve">Více </w:t>
      </w:r>
      <w:r w:rsidR="008F7E19" w:rsidRPr="00AF4854">
        <w:rPr>
          <w:rFonts w:cs="Arial"/>
        </w:rPr>
        <w:t xml:space="preserve">informací </w:t>
      </w:r>
      <w:r w:rsidR="00BF576A" w:rsidRPr="00AF4854">
        <w:rPr>
          <w:rFonts w:cs="Arial"/>
        </w:rPr>
        <w:t>je uvedeno</w:t>
      </w:r>
      <w:r w:rsidRPr="00AF4854">
        <w:rPr>
          <w:rFonts w:cs="Arial"/>
        </w:rPr>
        <w:t xml:space="preserve"> v kapitole 4.4. Výdaje na nemocenské.</w:t>
      </w:r>
    </w:p>
    <w:p w:rsidR="002A6DD0" w:rsidRDefault="002A6DD0" w:rsidP="002A6DD0">
      <w:pPr>
        <w:spacing w:after="0"/>
        <w:jc w:val="both"/>
      </w:pPr>
    </w:p>
    <w:p w:rsidR="0021605D" w:rsidRPr="0021605D" w:rsidRDefault="0021605D" w:rsidP="00E25EE7">
      <w:pPr>
        <w:jc w:val="both"/>
        <w:rPr>
          <w:b/>
        </w:rPr>
      </w:pPr>
      <w:r w:rsidRPr="0021605D">
        <w:rPr>
          <w:b/>
        </w:rPr>
        <w:t>Tab. 2.1 –</w:t>
      </w:r>
      <w:r w:rsidR="00E25EE7">
        <w:rPr>
          <w:b/>
        </w:rPr>
        <w:t xml:space="preserve"> N</w:t>
      </w:r>
      <w:r w:rsidRPr="0021605D">
        <w:rPr>
          <w:b/>
        </w:rPr>
        <w:t>ově hlášen</w:t>
      </w:r>
      <w:r w:rsidR="00E25EE7">
        <w:rPr>
          <w:b/>
        </w:rPr>
        <w:t>é</w:t>
      </w:r>
      <w:r w:rsidRPr="0021605D">
        <w:rPr>
          <w:b/>
        </w:rPr>
        <w:t xml:space="preserve"> případ</w:t>
      </w:r>
      <w:r w:rsidR="00E25EE7">
        <w:rPr>
          <w:b/>
        </w:rPr>
        <w:t>y</w:t>
      </w:r>
      <w:r w:rsidRPr="0021605D">
        <w:rPr>
          <w:b/>
        </w:rPr>
        <w:t xml:space="preserve"> </w:t>
      </w:r>
      <w:r w:rsidR="00DD6112">
        <w:rPr>
          <w:b/>
        </w:rPr>
        <w:t xml:space="preserve">dočasné </w:t>
      </w:r>
      <w:r w:rsidRPr="0021605D">
        <w:rPr>
          <w:b/>
        </w:rPr>
        <w:t xml:space="preserve">pracovní neschopnosti </w:t>
      </w:r>
      <w:r w:rsidR="00DD6112">
        <w:rPr>
          <w:b/>
        </w:rPr>
        <w:t xml:space="preserve">podle příčiny a pohlaví </w:t>
      </w:r>
      <w:r w:rsidR="008F1850">
        <w:rPr>
          <w:b/>
        </w:rPr>
        <w:t>v období 1</w:t>
      </w:r>
      <w:r w:rsidR="00AF4854">
        <w:rPr>
          <w:b/>
        </w:rPr>
        <w:t>. </w:t>
      </w:r>
      <w:proofErr w:type="spellStart"/>
      <w:r w:rsidR="008F1850">
        <w:rPr>
          <w:b/>
        </w:rPr>
        <w:t>pol</w:t>
      </w:r>
      <w:proofErr w:type="spellEnd"/>
      <w:r w:rsidR="00942D80">
        <w:rPr>
          <w:b/>
        </w:rPr>
        <w:t>. </w:t>
      </w:r>
      <w:r w:rsidR="008F1850">
        <w:rPr>
          <w:b/>
        </w:rPr>
        <w:t xml:space="preserve">2007 – 1. </w:t>
      </w:r>
      <w:proofErr w:type="spellStart"/>
      <w:r w:rsidR="008F1850">
        <w:rPr>
          <w:b/>
        </w:rPr>
        <w:t>pol</w:t>
      </w:r>
      <w:proofErr w:type="spellEnd"/>
      <w:r w:rsidR="008F1850">
        <w:rPr>
          <w:b/>
        </w:rPr>
        <w:t>. 2018</w:t>
      </w:r>
      <w:r w:rsidRPr="0021605D">
        <w:rPr>
          <w:b/>
        </w:rPr>
        <w:t xml:space="preserve"> (v tis. případů)</w:t>
      </w:r>
    </w:p>
    <w:p w:rsidR="006701EE" w:rsidRDefault="00EE22A4" w:rsidP="00EE4B1B">
      <w:r w:rsidRPr="00EE22A4">
        <w:rPr>
          <w:noProof/>
        </w:rPr>
        <w:drawing>
          <wp:inline distT="0" distB="0" distL="0" distR="0">
            <wp:extent cx="6162675" cy="3124200"/>
            <wp:effectExtent l="19050" t="0" r="9525"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tretch>
                      <a:fillRect/>
                    </a:stretch>
                  </pic:blipFill>
                  <pic:spPr bwMode="auto">
                    <a:xfrm>
                      <a:off x="0" y="0"/>
                      <a:ext cx="6162675" cy="3124200"/>
                    </a:xfrm>
                    <a:prstGeom prst="rect">
                      <a:avLst/>
                    </a:prstGeom>
                    <a:noFill/>
                    <a:ln>
                      <a:noFill/>
                    </a:ln>
                  </pic:spPr>
                </pic:pic>
              </a:graphicData>
            </a:graphic>
          </wp:inline>
        </w:drawing>
      </w:r>
    </w:p>
    <w:p w:rsidR="0021605D" w:rsidRDefault="0021605D" w:rsidP="0021605D">
      <w:pPr>
        <w:jc w:val="both"/>
        <w:rPr>
          <w:rFonts w:cs="Arial"/>
          <w:sz w:val="16"/>
          <w:szCs w:val="16"/>
        </w:rPr>
      </w:pPr>
      <w:r>
        <w:rPr>
          <w:rFonts w:cs="Arial"/>
          <w:sz w:val="16"/>
          <w:szCs w:val="16"/>
        </w:rPr>
        <w:t>Zdroj: ČSÚ</w:t>
      </w:r>
    </w:p>
    <w:p w:rsidR="00157C82" w:rsidRDefault="00C1393C" w:rsidP="00157C82">
      <w:pPr>
        <w:jc w:val="both"/>
        <w:rPr>
          <w:rFonts w:cs="Arial"/>
        </w:rPr>
      </w:pPr>
      <w:r>
        <w:rPr>
          <w:rFonts w:cs="Arial"/>
        </w:rPr>
        <w:t xml:space="preserve">Meziroční nárůst pracovní neschopnosti žen byl výraznější než u mužů. </w:t>
      </w:r>
      <w:r w:rsidR="00157C82" w:rsidRPr="003E6827">
        <w:rPr>
          <w:rFonts w:cs="Arial"/>
        </w:rPr>
        <w:t>Absolutní počet nově hlášených případů pracovní neschopnosti žen se meziročně zvýšil z</w:t>
      </w:r>
      <w:r w:rsidR="007E6BAD">
        <w:rPr>
          <w:rFonts w:cs="Arial"/>
        </w:rPr>
        <w:t> 500,6</w:t>
      </w:r>
      <w:r w:rsidR="00157C82" w:rsidRPr="003E6827">
        <w:rPr>
          <w:rFonts w:cs="Arial"/>
        </w:rPr>
        <w:t xml:space="preserve"> tis. případů (muži </w:t>
      </w:r>
      <w:r w:rsidR="007E6BAD">
        <w:rPr>
          <w:rFonts w:cs="Arial"/>
        </w:rPr>
        <w:t>444,1</w:t>
      </w:r>
      <w:r w:rsidR="00157C82" w:rsidRPr="003E6827">
        <w:rPr>
          <w:rFonts w:cs="Arial"/>
        </w:rPr>
        <w:t xml:space="preserve"> tis. případů) v</w:t>
      </w:r>
      <w:r w:rsidR="007E6BAD">
        <w:rPr>
          <w:rFonts w:cs="Arial"/>
        </w:rPr>
        <w:t xml:space="preserve"> 1. </w:t>
      </w:r>
      <w:proofErr w:type="spellStart"/>
      <w:r w:rsidR="001C691D">
        <w:rPr>
          <w:rFonts w:cs="Arial"/>
        </w:rPr>
        <w:t>p</w:t>
      </w:r>
      <w:r w:rsidR="007E6BAD">
        <w:rPr>
          <w:rFonts w:cs="Arial"/>
        </w:rPr>
        <w:t>ol</w:t>
      </w:r>
      <w:proofErr w:type="spellEnd"/>
      <w:r w:rsidR="007E6BAD">
        <w:rPr>
          <w:rFonts w:cs="Arial"/>
        </w:rPr>
        <w:t xml:space="preserve">. 2017 </w:t>
      </w:r>
      <w:r w:rsidR="00157C82" w:rsidRPr="003E6827">
        <w:rPr>
          <w:rFonts w:cs="Arial"/>
        </w:rPr>
        <w:t xml:space="preserve">na </w:t>
      </w:r>
      <w:r w:rsidR="007E6BAD">
        <w:rPr>
          <w:rFonts w:cs="Arial"/>
        </w:rPr>
        <w:t xml:space="preserve">556,1 </w:t>
      </w:r>
      <w:r w:rsidR="00157C82" w:rsidRPr="003E6827">
        <w:rPr>
          <w:rFonts w:cs="Arial"/>
        </w:rPr>
        <w:t xml:space="preserve">tis. případů (muži </w:t>
      </w:r>
      <w:r w:rsidR="00DF08CD">
        <w:rPr>
          <w:rFonts w:cs="Arial"/>
        </w:rPr>
        <w:t>484,</w:t>
      </w:r>
      <w:r w:rsidR="00C6673D">
        <w:rPr>
          <w:rFonts w:cs="Arial"/>
        </w:rPr>
        <w:t>2</w:t>
      </w:r>
      <w:r w:rsidR="00DF08CD">
        <w:rPr>
          <w:rFonts w:cs="Arial"/>
        </w:rPr>
        <w:t xml:space="preserve"> </w:t>
      </w:r>
      <w:r w:rsidR="00157C82" w:rsidRPr="003E6827">
        <w:rPr>
          <w:rFonts w:cs="Arial"/>
        </w:rPr>
        <w:t>tis. případů) v</w:t>
      </w:r>
      <w:r w:rsidR="00891FEA">
        <w:rPr>
          <w:rFonts w:cs="Arial"/>
        </w:rPr>
        <w:t xml:space="preserve"> 1. </w:t>
      </w:r>
      <w:proofErr w:type="spellStart"/>
      <w:r w:rsidR="00891FEA">
        <w:rPr>
          <w:rFonts w:cs="Arial"/>
        </w:rPr>
        <w:t>pol</w:t>
      </w:r>
      <w:proofErr w:type="spellEnd"/>
      <w:r w:rsidR="00891FEA">
        <w:rPr>
          <w:rFonts w:cs="Arial"/>
        </w:rPr>
        <w:t>. 2018</w:t>
      </w:r>
      <w:r>
        <w:rPr>
          <w:rFonts w:cs="Arial"/>
        </w:rPr>
        <w:t xml:space="preserve"> </w:t>
      </w:r>
      <w:r w:rsidR="00157C82" w:rsidRPr="003E6827">
        <w:rPr>
          <w:rFonts w:cs="Arial"/>
        </w:rPr>
        <w:t xml:space="preserve">tj. vzrostl o </w:t>
      </w:r>
      <w:r w:rsidR="0036240E">
        <w:rPr>
          <w:rFonts w:cs="Arial"/>
        </w:rPr>
        <w:t>11</w:t>
      </w:r>
      <w:r w:rsidR="00157C82" w:rsidRPr="003E6827">
        <w:rPr>
          <w:rFonts w:cs="Arial"/>
        </w:rPr>
        <w:t>,</w:t>
      </w:r>
      <w:r>
        <w:rPr>
          <w:rFonts w:cs="Arial"/>
        </w:rPr>
        <w:t>1</w:t>
      </w:r>
      <w:r w:rsidR="00157C82" w:rsidRPr="003E6827">
        <w:rPr>
          <w:rFonts w:cs="Arial"/>
        </w:rPr>
        <w:t xml:space="preserve"> </w:t>
      </w:r>
      <w:r w:rsidR="00157C82" w:rsidRPr="003E6827">
        <w:rPr>
          <w:rFonts w:cs="Arial"/>
          <w:lang w:val="en-US"/>
        </w:rPr>
        <w:t xml:space="preserve">% </w:t>
      </w:r>
      <w:r>
        <w:rPr>
          <w:rFonts w:cs="Arial"/>
        </w:rPr>
        <w:t>(</w:t>
      </w:r>
      <w:r w:rsidR="00157C82" w:rsidRPr="003E6827">
        <w:rPr>
          <w:rFonts w:cs="Arial"/>
        </w:rPr>
        <w:t>o</w:t>
      </w:r>
      <w:r w:rsidR="00157C82">
        <w:rPr>
          <w:rFonts w:cs="Arial"/>
        </w:rPr>
        <w:t> </w:t>
      </w:r>
      <w:r w:rsidR="00C05003">
        <w:rPr>
          <w:rFonts w:cs="Arial"/>
        </w:rPr>
        <w:t>9</w:t>
      </w:r>
      <w:r w:rsidR="00157C82" w:rsidRPr="003E6827">
        <w:rPr>
          <w:rFonts w:cs="Arial"/>
        </w:rPr>
        <w:t>,</w:t>
      </w:r>
      <w:r w:rsidR="001C691D">
        <w:rPr>
          <w:rFonts w:cs="Arial"/>
        </w:rPr>
        <w:t>0</w:t>
      </w:r>
      <w:r w:rsidR="001C691D" w:rsidRPr="003E6827">
        <w:rPr>
          <w:rFonts w:cs="Arial"/>
        </w:rPr>
        <w:t xml:space="preserve"> </w:t>
      </w:r>
      <w:r w:rsidR="00157C82" w:rsidRPr="003E6827">
        <w:rPr>
          <w:rFonts w:cs="Arial"/>
          <w:lang w:val="en-US"/>
        </w:rPr>
        <w:t>%</w:t>
      </w:r>
      <w:r w:rsidR="00157C82" w:rsidRPr="003E6827">
        <w:rPr>
          <w:rFonts w:cs="Arial"/>
        </w:rPr>
        <w:t xml:space="preserve"> u mužů). Z hlediska příčin absolutního počtu nově hlášených případů dočasné pracovní neschopnosti žen se </w:t>
      </w:r>
      <w:r w:rsidR="004B12B7">
        <w:rPr>
          <w:rFonts w:cs="Arial"/>
        </w:rPr>
        <w:t>5</w:t>
      </w:r>
      <w:r w:rsidR="00AE2563">
        <w:rPr>
          <w:rFonts w:cs="Arial"/>
        </w:rPr>
        <w:t>18</w:t>
      </w:r>
      <w:r w:rsidR="004B12B7">
        <w:rPr>
          <w:rFonts w:cs="Arial"/>
        </w:rPr>
        <w:t>,</w:t>
      </w:r>
      <w:r w:rsidR="00AE2563">
        <w:rPr>
          <w:rFonts w:cs="Arial"/>
        </w:rPr>
        <w:t>3</w:t>
      </w:r>
      <w:r w:rsidR="00157C82" w:rsidRPr="003E6827">
        <w:rPr>
          <w:rFonts w:cs="Arial"/>
        </w:rPr>
        <w:t xml:space="preserve"> tis. případů </w:t>
      </w:r>
      <w:r w:rsidR="000D0984" w:rsidRPr="003E6827">
        <w:rPr>
          <w:rFonts w:cs="Arial"/>
        </w:rPr>
        <w:t>(</w:t>
      </w:r>
      <w:r w:rsidR="00AE2563">
        <w:rPr>
          <w:rFonts w:cs="Arial"/>
        </w:rPr>
        <w:t>93,2</w:t>
      </w:r>
      <w:r w:rsidR="000D0984" w:rsidRPr="003E6827">
        <w:rPr>
          <w:rFonts w:cs="Arial"/>
        </w:rPr>
        <w:t xml:space="preserve"> </w:t>
      </w:r>
      <w:r w:rsidR="000D0984" w:rsidRPr="003E6827">
        <w:rPr>
          <w:rFonts w:cs="Arial"/>
          <w:lang w:val="en-US"/>
        </w:rPr>
        <w:t xml:space="preserve">%) </w:t>
      </w:r>
      <w:r w:rsidR="00157C82" w:rsidRPr="003E6827">
        <w:rPr>
          <w:rFonts w:cs="Arial"/>
        </w:rPr>
        <w:t>týkalo pracovní ne</w:t>
      </w:r>
      <w:r>
        <w:rPr>
          <w:rFonts w:cs="Arial"/>
        </w:rPr>
        <w:t xml:space="preserve">schopnosti z důvodu nemoci, </w:t>
      </w:r>
      <w:r w:rsidR="00AE2563">
        <w:rPr>
          <w:rFonts w:cs="Arial"/>
        </w:rPr>
        <w:t>7,9</w:t>
      </w:r>
      <w:r w:rsidR="00157C82" w:rsidRPr="003E6827">
        <w:rPr>
          <w:rFonts w:cs="Arial"/>
        </w:rPr>
        <w:t xml:space="preserve"> tis. případů </w:t>
      </w:r>
      <w:r w:rsidR="000D0984" w:rsidRPr="003E6827">
        <w:rPr>
          <w:rFonts w:cs="Arial"/>
        </w:rPr>
        <w:t>(</w:t>
      </w:r>
      <w:r w:rsidR="00AE2563">
        <w:rPr>
          <w:rFonts w:cs="Arial"/>
        </w:rPr>
        <w:t>1,4</w:t>
      </w:r>
      <w:r w:rsidR="000D0984" w:rsidRPr="003E6827">
        <w:rPr>
          <w:rFonts w:cs="Arial"/>
        </w:rPr>
        <w:t xml:space="preserve"> %) </w:t>
      </w:r>
      <w:r w:rsidR="00157C82" w:rsidRPr="003E6827">
        <w:rPr>
          <w:rFonts w:cs="Arial"/>
        </w:rPr>
        <w:t xml:space="preserve">pro pracovní úraz a </w:t>
      </w:r>
      <w:r w:rsidR="00AE2563">
        <w:rPr>
          <w:rFonts w:cs="Arial"/>
        </w:rPr>
        <w:t>29,9</w:t>
      </w:r>
      <w:r w:rsidR="000D0984">
        <w:rPr>
          <w:rFonts w:cs="Arial"/>
        </w:rPr>
        <w:t xml:space="preserve"> tis. </w:t>
      </w:r>
      <w:r w:rsidR="00157C82" w:rsidRPr="003E6827">
        <w:rPr>
          <w:rFonts w:cs="Arial"/>
        </w:rPr>
        <w:t>případů</w:t>
      </w:r>
      <w:r w:rsidR="000D0984">
        <w:rPr>
          <w:rFonts w:cs="Arial"/>
        </w:rPr>
        <w:t xml:space="preserve"> (</w:t>
      </w:r>
      <w:r w:rsidR="00AE2563">
        <w:rPr>
          <w:rFonts w:cs="Arial"/>
        </w:rPr>
        <w:t>5,4</w:t>
      </w:r>
      <w:r w:rsidR="000D0984" w:rsidRPr="003E6827">
        <w:rPr>
          <w:rFonts w:cs="Arial"/>
        </w:rPr>
        <w:t xml:space="preserve"> %) </w:t>
      </w:r>
      <w:r w:rsidR="00157C82" w:rsidRPr="003E6827">
        <w:rPr>
          <w:rFonts w:cs="Arial"/>
        </w:rPr>
        <w:t>ostatních úrazů. Muži čerpali pracovní neschopnost z důvodu nemoci v</w:t>
      </w:r>
      <w:r w:rsidR="001B5429">
        <w:rPr>
          <w:rFonts w:cs="Arial"/>
        </w:rPr>
        <w:t> 419,5</w:t>
      </w:r>
      <w:r w:rsidR="00157C82" w:rsidRPr="003E6827">
        <w:rPr>
          <w:rFonts w:cs="Arial"/>
        </w:rPr>
        <w:t xml:space="preserve"> tis. případech</w:t>
      </w:r>
      <w:r w:rsidR="000D0984">
        <w:rPr>
          <w:rFonts w:cs="Arial"/>
        </w:rPr>
        <w:t xml:space="preserve"> </w:t>
      </w:r>
      <w:r w:rsidR="000D0984" w:rsidRPr="003E6827">
        <w:rPr>
          <w:rFonts w:cs="Arial"/>
        </w:rPr>
        <w:t>(8</w:t>
      </w:r>
      <w:r w:rsidR="00C065FE">
        <w:rPr>
          <w:rFonts w:cs="Arial"/>
        </w:rPr>
        <w:t>6,6</w:t>
      </w:r>
      <w:r w:rsidR="000D0984" w:rsidRPr="003E6827">
        <w:rPr>
          <w:rFonts w:cs="Arial"/>
        </w:rPr>
        <w:t xml:space="preserve"> %)</w:t>
      </w:r>
      <w:r w:rsidR="00157C82" w:rsidRPr="003E6827">
        <w:rPr>
          <w:rFonts w:cs="Arial"/>
        </w:rPr>
        <w:t>, z důvodu</w:t>
      </w:r>
      <w:r w:rsidR="00157C82" w:rsidRPr="00821C6F">
        <w:rPr>
          <w:rFonts w:cs="Arial"/>
        </w:rPr>
        <w:t xml:space="preserve"> pracovního úrazu v</w:t>
      </w:r>
      <w:r w:rsidR="001B5429">
        <w:rPr>
          <w:rFonts w:cs="Arial"/>
        </w:rPr>
        <w:t> 16,2</w:t>
      </w:r>
      <w:r w:rsidR="00157C82" w:rsidRPr="00821C6F">
        <w:rPr>
          <w:rFonts w:cs="Arial"/>
        </w:rPr>
        <w:t xml:space="preserve"> tis. případech </w:t>
      </w:r>
      <w:r w:rsidR="000D0984" w:rsidRPr="00821C6F">
        <w:rPr>
          <w:rFonts w:cs="Arial"/>
        </w:rPr>
        <w:t>(</w:t>
      </w:r>
      <w:r w:rsidR="00C065FE">
        <w:rPr>
          <w:rFonts w:cs="Arial"/>
        </w:rPr>
        <w:t>3,3</w:t>
      </w:r>
      <w:r w:rsidR="000D0984" w:rsidRPr="00821C6F">
        <w:rPr>
          <w:rFonts w:cs="Arial"/>
        </w:rPr>
        <w:t xml:space="preserve"> %) </w:t>
      </w:r>
      <w:r w:rsidR="00157C82" w:rsidRPr="00821C6F">
        <w:rPr>
          <w:rFonts w:cs="Arial"/>
        </w:rPr>
        <w:t>a z důvodu ostatních úrazů v</w:t>
      </w:r>
      <w:r w:rsidR="001B5429">
        <w:rPr>
          <w:rFonts w:cs="Arial"/>
        </w:rPr>
        <w:t> 48,5</w:t>
      </w:r>
      <w:r w:rsidR="00157C82" w:rsidRPr="00821C6F">
        <w:rPr>
          <w:rFonts w:cs="Arial"/>
        </w:rPr>
        <w:t xml:space="preserve"> tis. případech</w:t>
      </w:r>
      <w:r w:rsidR="000D0984">
        <w:rPr>
          <w:rFonts w:cs="Arial"/>
        </w:rPr>
        <w:t xml:space="preserve"> </w:t>
      </w:r>
      <w:r w:rsidR="000D0984" w:rsidRPr="00821C6F">
        <w:rPr>
          <w:rFonts w:cs="Arial"/>
        </w:rPr>
        <w:t>(</w:t>
      </w:r>
      <w:r w:rsidR="00C065FE">
        <w:rPr>
          <w:rFonts w:cs="Arial"/>
        </w:rPr>
        <w:t>10</w:t>
      </w:r>
      <w:r w:rsidR="000D0984" w:rsidRPr="00821C6F">
        <w:rPr>
          <w:rFonts w:cs="Arial"/>
        </w:rPr>
        <w:t xml:space="preserve"> %)</w:t>
      </w:r>
      <w:r w:rsidR="00157C82">
        <w:rPr>
          <w:rFonts w:cs="Arial"/>
          <w:lang w:val="en-US"/>
        </w:rPr>
        <w:t>.</w:t>
      </w:r>
    </w:p>
    <w:p w:rsidR="00157C82" w:rsidRDefault="001722C1" w:rsidP="00157C82">
      <w:pPr>
        <w:jc w:val="both"/>
      </w:pPr>
      <w:r>
        <w:rPr>
          <w:rFonts w:cs="Arial"/>
        </w:rPr>
        <w:t>Mezi pohlavími je ve skladbě důvodů</w:t>
      </w:r>
      <w:r w:rsidR="00157C82" w:rsidRPr="003E6827">
        <w:rPr>
          <w:rFonts w:cs="Arial"/>
        </w:rPr>
        <w:t xml:space="preserve"> dočasné pracovní neschopnosti dlouhodobě patrný rozdíl</w:t>
      </w:r>
      <w:r>
        <w:rPr>
          <w:rFonts w:cs="Arial"/>
        </w:rPr>
        <w:t xml:space="preserve">. </w:t>
      </w:r>
      <w:r w:rsidR="00157C82">
        <w:rPr>
          <w:rFonts w:cs="Arial"/>
        </w:rPr>
        <w:t>Přestože u obou pohlaví je jednoznačně nejčastější</w:t>
      </w:r>
      <w:r w:rsidR="00157C82" w:rsidRPr="003E6827">
        <w:rPr>
          <w:rFonts w:cs="Arial"/>
        </w:rPr>
        <w:t xml:space="preserve"> dočasná pracovní neschopnost pro nemoc, muži výrazně dominují v počtu dočasné pracovní neschopnosti pro úrazy jak pracovní, tak i ostatní. Vyšší podíl žen na pracovní neschopnosti pro nemoc, může souviset s mateřskou úlohou žen, u nichž mohou být důvodem pracovní neschopnosti také komplikace v těhotenství, potraty </w:t>
      </w:r>
      <w:r w:rsidR="000D0984">
        <w:rPr>
          <w:rFonts w:cs="Arial"/>
        </w:rPr>
        <w:t>apod</w:t>
      </w:r>
      <w:r w:rsidR="00157C82" w:rsidRPr="003E6827">
        <w:rPr>
          <w:rFonts w:cs="Arial"/>
        </w:rPr>
        <w:t>. Z celkového počtu nově hlášených případů pro pracovní úrazy připadá na ženy pouze 3</w:t>
      </w:r>
      <w:r w:rsidR="00FD7AEC">
        <w:rPr>
          <w:rFonts w:cs="Arial"/>
        </w:rPr>
        <w:t>2,8</w:t>
      </w:r>
      <w:r w:rsidR="00157C82" w:rsidRPr="003E6827">
        <w:rPr>
          <w:rFonts w:cs="Arial"/>
        </w:rPr>
        <w:t xml:space="preserve"> % pracovních úrazů, podíl žen z celkového počtu </w:t>
      </w:r>
      <w:r w:rsidR="0017027A">
        <w:rPr>
          <w:rFonts w:cs="Arial"/>
        </w:rPr>
        <w:t xml:space="preserve">případů </w:t>
      </w:r>
      <w:r w:rsidR="00157C82" w:rsidRPr="003E6827">
        <w:rPr>
          <w:rFonts w:cs="Arial"/>
        </w:rPr>
        <w:t>pro ostatní úrazy je 3</w:t>
      </w:r>
      <w:r w:rsidR="00FD7AEC">
        <w:rPr>
          <w:rFonts w:cs="Arial"/>
        </w:rPr>
        <w:t>8,1</w:t>
      </w:r>
      <w:r w:rsidR="00157C82" w:rsidRPr="003E6827">
        <w:rPr>
          <w:rFonts w:cs="Arial"/>
        </w:rPr>
        <w:t xml:space="preserve"> %, což je dáno i odlišnou strukturou zaměstnanosti žen a mužů. Odvětví, </w:t>
      </w:r>
      <w:r w:rsidR="00157C82" w:rsidRPr="003E6827">
        <w:t>kde převládají muži a vyskytují se zvýšená rizika pracovního úrazu</w:t>
      </w:r>
      <w:r w:rsidR="0017027A">
        <w:t>,</w:t>
      </w:r>
      <w:r w:rsidR="00157C82" w:rsidRPr="003E6827">
        <w:t xml:space="preserve"> jsou např. T</w:t>
      </w:r>
      <w:r w:rsidR="00157C82" w:rsidRPr="003E6827">
        <w:rPr>
          <w:rFonts w:cs="Arial"/>
        </w:rPr>
        <w:t>ěžb</w:t>
      </w:r>
      <w:r w:rsidR="00734018">
        <w:rPr>
          <w:rFonts w:cs="Arial"/>
        </w:rPr>
        <w:t>a</w:t>
      </w:r>
      <w:r w:rsidR="00157C82" w:rsidRPr="003E6827">
        <w:rPr>
          <w:rFonts w:cs="Arial"/>
        </w:rPr>
        <w:t xml:space="preserve"> a dobývání, Zpracovatelsk</w:t>
      </w:r>
      <w:r w:rsidR="00734018">
        <w:rPr>
          <w:rFonts w:cs="Arial"/>
        </w:rPr>
        <w:t>ý</w:t>
      </w:r>
      <w:r w:rsidR="00157C82" w:rsidRPr="003E6827">
        <w:rPr>
          <w:rFonts w:cs="Arial"/>
        </w:rPr>
        <w:t xml:space="preserve"> průmysl, S</w:t>
      </w:r>
      <w:r w:rsidR="00157C82" w:rsidRPr="003E6827">
        <w:t>tavebnictví, Doprav</w:t>
      </w:r>
      <w:r w:rsidR="00734018">
        <w:t>a</w:t>
      </w:r>
      <w:r w:rsidR="00157C82" w:rsidRPr="003E6827">
        <w:t xml:space="preserve"> a</w:t>
      </w:r>
      <w:r w:rsidR="00157C82">
        <w:t> </w:t>
      </w:r>
      <w:r w:rsidR="00157C82" w:rsidRPr="003E6827">
        <w:t xml:space="preserve">skladování či Zemědělství, lesnictví, rybářství. Naopak odvětví, kde převažují v zaměstnání ženy a rizika pracovních úrazů </w:t>
      </w:r>
      <w:r w:rsidR="001F4CD7">
        <w:t xml:space="preserve">v nich </w:t>
      </w:r>
      <w:r w:rsidR="00157C82">
        <w:t>mohou být</w:t>
      </w:r>
      <w:r w:rsidR="00157C82" w:rsidRPr="003E6827">
        <w:t xml:space="preserve"> méně častá, jsou Peněžnictví a pojišťovnictví, Č</w:t>
      </w:r>
      <w:r w:rsidR="00157C82" w:rsidRPr="003E6827">
        <w:rPr>
          <w:rFonts w:cs="Arial"/>
        </w:rPr>
        <w:t>innost</w:t>
      </w:r>
      <w:r w:rsidR="00734018">
        <w:rPr>
          <w:rFonts w:cs="Arial"/>
        </w:rPr>
        <w:t>i</w:t>
      </w:r>
      <w:r w:rsidR="00157C82" w:rsidRPr="003E6827">
        <w:rPr>
          <w:rFonts w:cs="Arial"/>
        </w:rPr>
        <w:t xml:space="preserve"> v oblasti nemovitostí</w:t>
      </w:r>
      <w:r w:rsidR="0017027A">
        <w:rPr>
          <w:rFonts w:cs="Arial"/>
        </w:rPr>
        <w:t>, Veřejná správa</w:t>
      </w:r>
      <w:r w:rsidR="00157C82" w:rsidRPr="003E6827">
        <w:rPr>
          <w:rFonts w:cs="Arial"/>
        </w:rPr>
        <w:t xml:space="preserve"> </w:t>
      </w:r>
      <w:r w:rsidR="00157C82" w:rsidRPr="003E6827">
        <w:t xml:space="preserve">a Vzdělávání. </w:t>
      </w:r>
    </w:p>
    <w:p w:rsidR="001D7F96" w:rsidRDefault="001D7F96" w:rsidP="00E25EE7">
      <w:pPr>
        <w:jc w:val="both"/>
        <w:rPr>
          <w:rFonts w:cs="Arial"/>
          <w:b/>
          <w:szCs w:val="20"/>
        </w:rPr>
      </w:pPr>
    </w:p>
    <w:p w:rsidR="006701EE" w:rsidRDefault="00AD74B8" w:rsidP="00E25EE7">
      <w:pPr>
        <w:jc w:val="both"/>
      </w:pPr>
      <w:r>
        <w:rPr>
          <w:rFonts w:cs="Arial"/>
          <w:b/>
          <w:szCs w:val="20"/>
        </w:rPr>
        <w:lastRenderedPageBreak/>
        <w:t>Graf 2.1 – Nově hlášené případy dočasné pracovní neschopnosti v</w:t>
      </w:r>
      <w:r w:rsidR="00FE26A1">
        <w:rPr>
          <w:rFonts w:cs="Arial"/>
          <w:b/>
          <w:szCs w:val="20"/>
        </w:rPr>
        <w:t xml:space="preserve"> 1. </w:t>
      </w:r>
      <w:proofErr w:type="spellStart"/>
      <w:r w:rsidR="00FE26A1">
        <w:rPr>
          <w:rFonts w:cs="Arial"/>
          <w:b/>
          <w:szCs w:val="20"/>
        </w:rPr>
        <w:t>pol</w:t>
      </w:r>
      <w:proofErr w:type="spellEnd"/>
      <w:r w:rsidR="00FE26A1">
        <w:rPr>
          <w:rFonts w:cs="Arial"/>
          <w:b/>
          <w:szCs w:val="20"/>
        </w:rPr>
        <w:t>. 2018</w:t>
      </w:r>
      <w:r w:rsidR="001F4CD7">
        <w:rPr>
          <w:rFonts w:cs="Arial"/>
          <w:b/>
          <w:szCs w:val="20"/>
        </w:rPr>
        <w:t xml:space="preserve"> podle příčiny</w:t>
      </w:r>
    </w:p>
    <w:p w:rsidR="00404192" w:rsidRDefault="005D6703" w:rsidP="00AD74B8">
      <w:pPr>
        <w:jc w:val="both"/>
        <w:rPr>
          <w:rFonts w:cs="Arial"/>
          <w:sz w:val="16"/>
          <w:szCs w:val="16"/>
        </w:rPr>
      </w:pPr>
      <w:r>
        <w:rPr>
          <w:rFonts w:cs="Arial"/>
          <w:noProof/>
          <w:sz w:val="16"/>
          <w:szCs w:val="16"/>
        </w:rPr>
        <w:drawing>
          <wp:inline distT="0" distB="0" distL="0" distR="0">
            <wp:extent cx="2533650" cy="2743200"/>
            <wp:effectExtent l="19050" t="0" r="0" b="0"/>
            <wp:docPr id="55"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2540907" cy="2751057"/>
                    </a:xfrm>
                    <a:prstGeom prst="rect">
                      <a:avLst/>
                    </a:prstGeom>
                    <a:noFill/>
                  </pic:spPr>
                </pic:pic>
              </a:graphicData>
            </a:graphic>
          </wp:inline>
        </w:drawing>
      </w:r>
      <w:r w:rsidR="00F95781" w:rsidRPr="00F95781">
        <w:rPr>
          <w:rFonts w:cs="Arial"/>
          <w:noProof/>
          <w:sz w:val="16"/>
          <w:szCs w:val="16"/>
        </w:rPr>
        <w:drawing>
          <wp:inline distT="0" distB="0" distL="0" distR="0">
            <wp:extent cx="3322320" cy="2750820"/>
            <wp:effectExtent l="19050" t="0" r="0" b="0"/>
            <wp:docPr id="59"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3322320" cy="2750820"/>
                    </a:xfrm>
                    <a:prstGeom prst="rect">
                      <a:avLst/>
                    </a:prstGeom>
                    <a:noFill/>
                  </pic:spPr>
                </pic:pic>
              </a:graphicData>
            </a:graphic>
          </wp:inline>
        </w:drawing>
      </w:r>
    </w:p>
    <w:p w:rsidR="005D6703" w:rsidRDefault="005D6703" w:rsidP="005D6703">
      <w:pPr>
        <w:jc w:val="both"/>
        <w:rPr>
          <w:rFonts w:cs="Arial"/>
          <w:sz w:val="16"/>
          <w:szCs w:val="16"/>
        </w:rPr>
      </w:pPr>
      <w:r>
        <w:rPr>
          <w:rFonts w:cs="Arial"/>
          <w:sz w:val="16"/>
          <w:szCs w:val="16"/>
        </w:rPr>
        <w:t>Zdroj: ČSÚ</w:t>
      </w:r>
    </w:p>
    <w:p w:rsidR="002710B1" w:rsidRDefault="002710B1" w:rsidP="005D6703">
      <w:pPr>
        <w:jc w:val="both"/>
        <w:rPr>
          <w:rFonts w:cs="Arial"/>
          <w:sz w:val="16"/>
          <w:szCs w:val="16"/>
        </w:rPr>
      </w:pPr>
      <w:r w:rsidRPr="002710B1">
        <w:rPr>
          <w:noProof/>
          <w:szCs w:val="16"/>
        </w:rPr>
        <w:drawing>
          <wp:inline distT="0" distB="0" distL="0" distR="0">
            <wp:extent cx="619125" cy="190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619125" cy="190500"/>
                    </a:xfrm>
                    <a:prstGeom prst="rect">
                      <a:avLst/>
                    </a:prstGeom>
                    <a:noFill/>
                    <a:ln w="9525">
                      <a:noFill/>
                      <a:miter lim="800000"/>
                      <a:headEnd/>
                      <a:tailEnd/>
                    </a:ln>
                  </pic:spPr>
                </pic:pic>
              </a:graphicData>
            </a:graphic>
          </wp:inline>
        </w:drawing>
      </w:r>
      <w:r w:rsidRPr="002710B1">
        <w:rPr>
          <w:noProof/>
          <w:szCs w:val="16"/>
        </w:rPr>
        <w:drawing>
          <wp:inline distT="0" distB="0" distL="0" distR="0">
            <wp:extent cx="619125" cy="1905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19125" cy="190500"/>
                    </a:xfrm>
                    <a:prstGeom prst="rect">
                      <a:avLst/>
                    </a:prstGeom>
                    <a:noFill/>
                    <a:ln w="9525">
                      <a:noFill/>
                      <a:miter lim="800000"/>
                      <a:headEnd/>
                      <a:tailEnd/>
                    </a:ln>
                  </pic:spPr>
                </pic:pic>
              </a:graphicData>
            </a:graphic>
          </wp:inline>
        </w:drawing>
      </w:r>
    </w:p>
    <w:p w:rsidR="007F6998" w:rsidRDefault="001F4CD7" w:rsidP="00157C82">
      <w:pPr>
        <w:jc w:val="both"/>
        <w:rPr>
          <w:rFonts w:cs="Arial"/>
        </w:rPr>
      </w:pPr>
      <w:r>
        <w:rPr>
          <w:rFonts w:cs="Arial"/>
        </w:rPr>
        <w:t>Jak již bylo zmíněno výše, d</w:t>
      </w:r>
      <w:r w:rsidR="001F3AEC">
        <w:rPr>
          <w:rFonts w:cs="Arial"/>
        </w:rPr>
        <w:t>opad l</w:t>
      </w:r>
      <w:r w:rsidR="00157C82" w:rsidRPr="00AD787C">
        <w:rPr>
          <w:rFonts w:cs="Arial"/>
        </w:rPr>
        <w:t>egislativní</w:t>
      </w:r>
      <w:r w:rsidR="001F3AEC">
        <w:rPr>
          <w:rFonts w:cs="Arial"/>
        </w:rPr>
        <w:t>ch</w:t>
      </w:r>
      <w:r w:rsidR="00157C82" w:rsidRPr="00AD787C">
        <w:rPr>
          <w:rFonts w:cs="Arial"/>
        </w:rPr>
        <w:t xml:space="preserve"> změn</w:t>
      </w:r>
      <w:r w:rsidR="001F3AEC">
        <w:rPr>
          <w:rFonts w:cs="Arial"/>
        </w:rPr>
        <w:t xml:space="preserve"> na četnost</w:t>
      </w:r>
      <w:r w:rsidR="00157C82" w:rsidRPr="00AD787C">
        <w:rPr>
          <w:rFonts w:cs="Arial"/>
        </w:rPr>
        <w:t xml:space="preserve"> případů pracovní neschopnosti </w:t>
      </w:r>
      <w:r w:rsidR="001F3AEC">
        <w:rPr>
          <w:rFonts w:cs="Arial"/>
        </w:rPr>
        <w:t>je zřejmý na vývoji počtu</w:t>
      </w:r>
      <w:r w:rsidR="00157C82" w:rsidRPr="00AD787C">
        <w:rPr>
          <w:rFonts w:cs="Arial"/>
        </w:rPr>
        <w:t xml:space="preserve"> případ</w:t>
      </w:r>
      <w:r w:rsidR="001F3AEC">
        <w:rPr>
          <w:rFonts w:cs="Arial"/>
        </w:rPr>
        <w:t>ů</w:t>
      </w:r>
      <w:r w:rsidR="00157C82" w:rsidRPr="00AD787C">
        <w:rPr>
          <w:rFonts w:cs="Arial"/>
        </w:rPr>
        <w:t xml:space="preserve"> pracovní neschopnosti pro nemoc, počty případů pracovní neschopnosti pro pracovní </w:t>
      </w:r>
      <w:r w:rsidR="004F2E80" w:rsidRPr="00AD787C">
        <w:rPr>
          <w:rFonts w:cs="Arial"/>
        </w:rPr>
        <w:t xml:space="preserve">i ostatní </w:t>
      </w:r>
      <w:r w:rsidR="00157C82" w:rsidRPr="00AD787C">
        <w:rPr>
          <w:rFonts w:cs="Arial"/>
        </w:rPr>
        <w:t xml:space="preserve">úrazy jsou </w:t>
      </w:r>
      <w:r w:rsidR="001F3AEC">
        <w:rPr>
          <w:rFonts w:cs="Arial"/>
        </w:rPr>
        <w:t>těmito změnami</w:t>
      </w:r>
      <w:r w:rsidR="00157C82" w:rsidRPr="00AD787C">
        <w:rPr>
          <w:rFonts w:cs="Arial"/>
        </w:rPr>
        <w:t xml:space="preserve"> ovlivněny méně. Legislativní úpravy ve vyplácení dávek nemocenského se nejvíce projevují v četnosti případů méně závažných a krátkodobých pracovních neschopností, například u nemoc</w:t>
      </w:r>
      <w:r w:rsidR="001D520B">
        <w:rPr>
          <w:rFonts w:cs="Arial"/>
        </w:rPr>
        <w:t>í</w:t>
      </w:r>
      <w:r w:rsidR="00157C82" w:rsidRPr="00AD787C">
        <w:rPr>
          <w:rFonts w:cs="Arial"/>
        </w:rPr>
        <w:t xml:space="preserve"> dýchacích cest (běžná nachlazení, záněty horních cest dýchacích apod.). Tato onemocnění </w:t>
      </w:r>
      <w:r w:rsidR="00972F12">
        <w:rPr>
          <w:rFonts w:cs="Arial"/>
        </w:rPr>
        <w:t>začali zaměstnanci ve většině případů</w:t>
      </w:r>
      <w:r w:rsidR="00157C82" w:rsidRPr="00AD787C">
        <w:rPr>
          <w:rFonts w:cs="Arial"/>
        </w:rPr>
        <w:t xml:space="preserve"> </w:t>
      </w:r>
      <w:r w:rsidR="00972F12">
        <w:rPr>
          <w:rFonts w:cs="Arial"/>
        </w:rPr>
        <w:t>řešit</w:t>
      </w:r>
      <w:r w:rsidR="00157C82" w:rsidRPr="00AD787C">
        <w:rPr>
          <w:rFonts w:cs="Arial"/>
        </w:rPr>
        <w:t xml:space="preserve"> jiným způsobem, než návštěvou lékaře a vystavením </w:t>
      </w:r>
      <w:r w:rsidR="001F3AEC">
        <w:rPr>
          <w:rFonts w:cs="Arial"/>
        </w:rPr>
        <w:t>tzv. neschopenky</w:t>
      </w:r>
      <w:r w:rsidR="00157C82" w:rsidRPr="00AD787C">
        <w:rPr>
          <w:rFonts w:cs="Arial"/>
        </w:rPr>
        <w:t>. Vzhledem k tomu,</w:t>
      </w:r>
      <w:r w:rsidR="00157C82" w:rsidRPr="00AD787C">
        <w:rPr>
          <w:rFonts w:cs="Arial"/>
          <w:b/>
        </w:rPr>
        <w:t xml:space="preserve"> </w:t>
      </w:r>
      <w:r w:rsidR="00157C82" w:rsidRPr="00AD787C">
        <w:rPr>
          <w:rFonts w:cs="Arial"/>
        </w:rPr>
        <w:t>že</w:t>
      </w:r>
      <w:r w:rsidR="00157C82" w:rsidRPr="00AD787C">
        <w:rPr>
          <w:rFonts w:cs="Arial"/>
          <w:b/>
        </w:rPr>
        <w:t xml:space="preserve"> </w:t>
      </w:r>
      <w:r w:rsidR="00157C82" w:rsidRPr="00AD787C">
        <w:rPr>
          <w:rFonts w:cs="Arial"/>
        </w:rPr>
        <w:t>od roku 2008</w:t>
      </w:r>
      <w:r w:rsidR="00AD787C">
        <w:rPr>
          <w:rFonts w:cs="Arial"/>
        </w:rPr>
        <w:t xml:space="preserve"> (pouze 1. pololetí roku)</w:t>
      </w:r>
      <w:r w:rsidR="00157C82" w:rsidRPr="00AD787C">
        <w:rPr>
          <w:rFonts w:cs="Arial"/>
        </w:rPr>
        <w:t xml:space="preserve">, resp. </w:t>
      </w:r>
      <w:r w:rsidR="00AD787C">
        <w:rPr>
          <w:rFonts w:cs="Arial"/>
        </w:rPr>
        <w:t xml:space="preserve">od 1. 1. </w:t>
      </w:r>
      <w:r w:rsidR="00157C82" w:rsidRPr="00AD787C">
        <w:rPr>
          <w:rFonts w:cs="Arial"/>
        </w:rPr>
        <w:t>2009,</w:t>
      </w:r>
      <w:r w:rsidR="00157C82" w:rsidRPr="00AD787C">
        <w:rPr>
          <w:rFonts w:cs="Arial"/>
          <w:b/>
        </w:rPr>
        <w:t xml:space="preserve"> </w:t>
      </w:r>
      <w:r w:rsidR="00AD787C" w:rsidRPr="00AD787C">
        <w:rPr>
          <w:rFonts w:cs="Arial"/>
        </w:rPr>
        <w:t>b</w:t>
      </w:r>
      <w:r w:rsidR="001F3AEC">
        <w:rPr>
          <w:rFonts w:cs="Arial"/>
        </w:rPr>
        <w:t>yla zavedena tzv. karenční doba</w:t>
      </w:r>
      <w:r w:rsidR="00AD787C" w:rsidRPr="00AD787C">
        <w:rPr>
          <w:rFonts w:cs="Arial"/>
        </w:rPr>
        <w:t xml:space="preserve"> </w:t>
      </w:r>
      <w:r w:rsidR="001F3AEC">
        <w:rPr>
          <w:rFonts w:cs="Arial"/>
        </w:rPr>
        <w:t>(</w:t>
      </w:r>
      <w:r w:rsidR="00157C82" w:rsidRPr="00AD787C">
        <w:rPr>
          <w:rFonts w:cs="Arial"/>
        </w:rPr>
        <w:t>za první tři dny pracovní neschopnost</w:t>
      </w:r>
      <w:r w:rsidR="001F3AEC">
        <w:rPr>
          <w:rFonts w:cs="Arial"/>
        </w:rPr>
        <w:t>i nepřísluší zaměstnanci náhrada</w:t>
      </w:r>
      <w:r w:rsidR="00157C82" w:rsidRPr="00AD787C">
        <w:rPr>
          <w:rFonts w:cs="Arial"/>
        </w:rPr>
        <w:t xml:space="preserve"> mzdy nebo platu</w:t>
      </w:r>
      <w:r w:rsidR="001F3AEC">
        <w:rPr>
          <w:rFonts w:cs="Arial"/>
        </w:rPr>
        <w:t>)</w:t>
      </w:r>
      <w:r w:rsidR="00157C82" w:rsidRPr="00AD787C">
        <w:rPr>
          <w:rFonts w:cs="Arial"/>
        </w:rPr>
        <w:t xml:space="preserve">, v některých případech lidé raději </w:t>
      </w:r>
      <w:r w:rsidR="00972F12">
        <w:rPr>
          <w:rFonts w:cs="Arial"/>
        </w:rPr>
        <w:t>situaci řeší</w:t>
      </w:r>
      <w:r w:rsidR="00157C82" w:rsidRPr="00AD787C">
        <w:rPr>
          <w:rFonts w:cs="Arial"/>
        </w:rPr>
        <w:t xml:space="preserve"> </w:t>
      </w:r>
      <w:r w:rsidR="00972F12">
        <w:rPr>
          <w:rFonts w:cs="Arial"/>
        </w:rPr>
        <w:t xml:space="preserve">krátkodobou </w:t>
      </w:r>
      <w:r w:rsidR="00157C82" w:rsidRPr="00AD787C">
        <w:rPr>
          <w:rFonts w:cs="Arial"/>
        </w:rPr>
        <w:t>dovolenou</w:t>
      </w:r>
      <w:r w:rsidR="00972F12">
        <w:rPr>
          <w:rFonts w:cs="Arial"/>
        </w:rPr>
        <w:t>, příp.</w:t>
      </w:r>
      <w:r w:rsidR="00157C82" w:rsidRPr="00AD787C">
        <w:rPr>
          <w:rFonts w:cs="Arial"/>
        </w:rPr>
        <w:t xml:space="preserve"> </w:t>
      </w:r>
      <w:r w:rsidR="00972F12">
        <w:rPr>
          <w:rFonts w:cs="Arial"/>
        </w:rPr>
        <w:t xml:space="preserve">pomocí tzv. </w:t>
      </w:r>
      <w:r w:rsidR="00972F12" w:rsidRPr="00AD787C">
        <w:rPr>
          <w:rFonts w:cs="Arial"/>
          <w:lang w:val="en-US"/>
        </w:rPr>
        <w:t>sick days</w:t>
      </w:r>
      <w:r w:rsidR="00386A33">
        <w:rPr>
          <w:rFonts w:cs="Arial"/>
          <w:lang w:val="en-US"/>
        </w:rPr>
        <w:t xml:space="preserve"> </w:t>
      </w:r>
      <w:r>
        <w:rPr>
          <w:rFonts w:cs="Arial"/>
          <w:lang w:val="en-US"/>
        </w:rPr>
        <w:t>(</w:t>
      </w:r>
      <w:proofErr w:type="spellStart"/>
      <w:r>
        <w:rPr>
          <w:rFonts w:cs="Arial"/>
          <w:lang w:val="en-US"/>
        </w:rPr>
        <w:t>nebo</w:t>
      </w:r>
      <w:r w:rsidR="00C730A3">
        <w:rPr>
          <w:rFonts w:cs="Arial"/>
          <w:lang w:val="en-US"/>
        </w:rPr>
        <w:t>li</w:t>
      </w:r>
      <w:proofErr w:type="spellEnd"/>
      <w:r>
        <w:rPr>
          <w:rFonts w:cs="Arial"/>
          <w:lang w:val="en-US"/>
        </w:rPr>
        <w:t xml:space="preserve"> </w:t>
      </w:r>
      <w:proofErr w:type="spellStart"/>
      <w:r>
        <w:rPr>
          <w:rFonts w:cs="Arial"/>
          <w:lang w:val="en-US"/>
        </w:rPr>
        <w:t>indispoziční</w:t>
      </w:r>
      <w:proofErr w:type="spellEnd"/>
      <w:r>
        <w:rPr>
          <w:rFonts w:cs="Arial"/>
          <w:lang w:val="en-US"/>
        </w:rPr>
        <w:t xml:space="preserve"> </w:t>
      </w:r>
      <w:proofErr w:type="spellStart"/>
      <w:r>
        <w:rPr>
          <w:rFonts w:cs="Arial"/>
          <w:lang w:val="en-US"/>
        </w:rPr>
        <w:t>volno</w:t>
      </w:r>
      <w:proofErr w:type="spellEnd"/>
      <w:r>
        <w:rPr>
          <w:rFonts w:cs="Arial"/>
          <w:lang w:val="en-US"/>
        </w:rPr>
        <w:t>)</w:t>
      </w:r>
      <w:r w:rsidR="00942D80">
        <w:rPr>
          <w:rFonts w:cs="Arial"/>
          <w:lang w:val="en-US"/>
        </w:rPr>
        <w:t xml:space="preserve"> </w:t>
      </w:r>
      <w:r w:rsidR="00386A33">
        <w:rPr>
          <w:rFonts w:cs="Arial"/>
          <w:lang w:val="en-US"/>
        </w:rPr>
        <w:t xml:space="preserve">- </w:t>
      </w:r>
      <w:r w:rsidR="00386A33">
        <w:t>krátké placené pracovní volno, které si zaměstnanec může čerpat bez lékařského potvrzení.</w:t>
      </w:r>
      <w:r w:rsidR="00972F12">
        <w:rPr>
          <w:rFonts w:cs="Arial"/>
        </w:rPr>
        <w:t xml:space="preserve"> Tyto placené dny zdravotního volna patří k zaměstnaneckým </w:t>
      </w:r>
      <w:proofErr w:type="spellStart"/>
      <w:r w:rsidR="00972F12">
        <w:rPr>
          <w:rFonts w:cs="Arial"/>
        </w:rPr>
        <w:t>benefitům</w:t>
      </w:r>
      <w:proofErr w:type="spellEnd"/>
      <w:r w:rsidR="00972F12">
        <w:rPr>
          <w:rFonts w:cs="Arial"/>
        </w:rPr>
        <w:t xml:space="preserve"> </w:t>
      </w:r>
      <w:r w:rsidR="00C730A3">
        <w:rPr>
          <w:rFonts w:cs="Arial"/>
        </w:rPr>
        <w:t>u </w:t>
      </w:r>
      <w:r w:rsidR="00972F12">
        <w:rPr>
          <w:rFonts w:cs="Arial"/>
        </w:rPr>
        <w:t>stále většího počtu zaměstnavatelů a objevila se i snaha uzákonit je jako povinné</w:t>
      </w:r>
      <w:r w:rsidR="00157C82" w:rsidRPr="00AD787C">
        <w:rPr>
          <w:rFonts w:cs="Arial"/>
        </w:rPr>
        <w:t>.</w:t>
      </w:r>
      <w:r w:rsidR="007F6998">
        <w:rPr>
          <w:rFonts w:cs="Arial"/>
        </w:rPr>
        <w:t xml:space="preserve"> </w:t>
      </w:r>
      <w:r w:rsidR="00DF6019">
        <w:t xml:space="preserve">V případě </w:t>
      </w:r>
      <w:proofErr w:type="spellStart"/>
      <w:r w:rsidR="00DF6019">
        <w:t>sick</w:t>
      </w:r>
      <w:proofErr w:type="spellEnd"/>
      <w:r w:rsidR="00DF6019">
        <w:t xml:space="preserve"> </w:t>
      </w:r>
      <w:proofErr w:type="spellStart"/>
      <w:r w:rsidR="00DF6019">
        <w:t>days</w:t>
      </w:r>
      <w:proofErr w:type="spellEnd"/>
      <w:r w:rsidR="00DF6019">
        <w:t xml:space="preserve"> záleží na samotném zaměstnavateli, kolik </w:t>
      </w:r>
      <w:proofErr w:type="spellStart"/>
      <w:r w:rsidR="00DF6019">
        <w:t>sick</w:t>
      </w:r>
      <w:proofErr w:type="spellEnd"/>
      <w:r w:rsidR="00DF6019">
        <w:t xml:space="preserve"> </w:t>
      </w:r>
      <w:proofErr w:type="spellStart"/>
      <w:r w:rsidR="00DF6019">
        <w:t>days</w:t>
      </w:r>
      <w:proofErr w:type="spellEnd"/>
      <w:r w:rsidR="00DF6019">
        <w:t xml:space="preserve"> </w:t>
      </w:r>
      <w:r w:rsidR="00C730A3">
        <w:t xml:space="preserve">zaměstnancům </w:t>
      </w:r>
      <w:r w:rsidR="00DF6019">
        <w:t xml:space="preserve">ročně dovolí. V zákoníku práce totiž </w:t>
      </w:r>
      <w:proofErr w:type="spellStart"/>
      <w:r w:rsidR="00DF6019">
        <w:t>sick</w:t>
      </w:r>
      <w:proofErr w:type="spellEnd"/>
      <w:r w:rsidR="00DF6019">
        <w:t xml:space="preserve"> </w:t>
      </w:r>
      <w:proofErr w:type="spellStart"/>
      <w:r w:rsidR="00DF6019">
        <w:t>days</w:t>
      </w:r>
      <w:proofErr w:type="spellEnd"/>
      <w:r w:rsidR="00DF6019">
        <w:t xml:space="preserve"> nejsou nijak popsány. Proto jedna firma může tento </w:t>
      </w:r>
      <w:proofErr w:type="spellStart"/>
      <w:r w:rsidR="00DF6019">
        <w:t>benefit</w:t>
      </w:r>
      <w:proofErr w:type="spellEnd"/>
      <w:r w:rsidR="00DF6019">
        <w:t xml:space="preserve"> běžně nabízet, ale druhá nikoli</w:t>
      </w:r>
      <w:r w:rsidR="00C730A3">
        <w:t>.</w:t>
      </w:r>
      <w:r w:rsidR="00DF6019">
        <w:t xml:space="preserve"> </w:t>
      </w:r>
      <w:r w:rsidR="00C730A3">
        <w:t xml:space="preserve">Zaměstnavatelé </w:t>
      </w:r>
      <w:r w:rsidR="00DF6019">
        <w:t xml:space="preserve">zpravidla nabízí 3-5 </w:t>
      </w:r>
      <w:proofErr w:type="spellStart"/>
      <w:r w:rsidR="00DF6019">
        <w:t>sick</w:t>
      </w:r>
      <w:proofErr w:type="spellEnd"/>
      <w:r w:rsidR="00DF6019">
        <w:t xml:space="preserve"> </w:t>
      </w:r>
      <w:proofErr w:type="spellStart"/>
      <w:r w:rsidR="00DF6019">
        <w:t>days</w:t>
      </w:r>
      <w:proofErr w:type="spellEnd"/>
      <w:r w:rsidR="00DF6019">
        <w:t xml:space="preserve"> ročně. Kratší odpočinek a léčení je výhodnější, než </w:t>
      </w:r>
      <w:r w:rsidR="003366ED">
        <w:t xml:space="preserve">pokus o přecházení nemoci, které má za následek </w:t>
      </w:r>
      <w:r w:rsidR="00DF6019">
        <w:t>dlouhodobé léčení</w:t>
      </w:r>
      <w:r w:rsidR="003366ED">
        <w:t xml:space="preserve"> a případně přenos nemoci na ostatní zaměstnance.</w:t>
      </w:r>
    </w:p>
    <w:p w:rsidR="00020366" w:rsidRDefault="007F6998" w:rsidP="00157C82">
      <w:pPr>
        <w:jc w:val="both"/>
        <w:rPr>
          <w:rFonts w:cs="Arial"/>
        </w:rPr>
      </w:pPr>
      <w:r>
        <w:rPr>
          <w:rFonts w:cs="Arial"/>
        </w:rPr>
        <w:t xml:space="preserve">Vliv uvedených legislativních změn na vývoj pracovní neschopnosti je patrný z grafu 2.2 – </w:t>
      </w:r>
      <w:r w:rsidR="00C63A93">
        <w:rPr>
          <w:rFonts w:cs="Arial"/>
        </w:rPr>
        <w:t xml:space="preserve">kdy </w:t>
      </w:r>
      <w:r w:rsidR="00DD0D6F">
        <w:rPr>
          <w:rFonts w:cs="Arial"/>
        </w:rPr>
        <w:t>už v 1. pololetí roku 2009</w:t>
      </w:r>
      <w:r>
        <w:rPr>
          <w:rFonts w:cs="Arial"/>
        </w:rPr>
        <w:t xml:space="preserve"> došlo k </w:t>
      </w:r>
      <w:r w:rsidR="009B156D">
        <w:rPr>
          <w:rFonts w:cs="Arial"/>
        </w:rPr>
        <w:t>významnému</w:t>
      </w:r>
      <w:r>
        <w:rPr>
          <w:rFonts w:cs="Arial"/>
        </w:rPr>
        <w:t xml:space="preserve"> poklesu počtu </w:t>
      </w:r>
      <w:r w:rsidR="00B47683">
        <w:rPr>
          <w:rFonts w:cs="Arial"/>
        </w:rPr>
        <w:t xml:space="preserve">nově hlášených </w:t>
      </w:r>
      <w:r>
        <w:rPr>
          <w:rFonts w:cs="Arial"/>
        </w:rPr>
        <w:t xml:space="preserve">případů </w:t>
      </w:r>
      <w:r w:rsidR="00366009">
        <w:rPr>
          <w:rFonts w:cs="Arial"/>
        </w:rPr>
        <w:t xml:space="preserve">dočasné </w:t>
      </w:r>
      <w:r>
        <w:rPr>
          <w:rFonts w:cs="Arial"/>
        </w:rPr>
        <w:t>pracovní neschopnosti, který se zastavil až v roce 2013</w:t>
      </w:r>
      <w:r w:rsidR="002B4327">
        <w:rPr>
          <w:rFonts w:cs="Arial"/>
        </w:rPr>
        <w:t>, kdy hodnoty pomalu nabírají vzrůstající tendenc</w:t>
      </w:r>
      <w:r w:rsidR="00020366">
        <w:rPr>
          <w:rFonts w:cs="Arial"/>
        </w:rPr>
        <w:t>i</w:t>
      </w:r>
      <w:r w:rsidR="00EA217A">
        <w:rPr>
          <w:rFonts w:cs="Arial"/>
        </w:rPr>
        <w:t>.</w:t>
      </w:r>
      <w:r w:rsidR="00020366">
        <w:rPr>
          <w:rFonts w:cs="Arial"/>
        </w:rPr>
        <w:t xml:space="preserve"> </w:t>
      </w:r>
      <w:r w:rsidR="00EA217A">
        <w:rPr>
          <w:rFonts w:cs="Arial"/>
        </w:rPr>
        <w:t>P</w:t>
      </w:r>
      <w:r w:rsidR="00020366">
        <w:rPr>
          <w:rFonts w:cs="Arial"/>
        </w:rPr>
        <w:t>očet nově hlášených případů dočasné pracovní neschopnosti v 1.</w:t>
      </w:r>
      <w:r w:rsidR="00B9253D">
        <w:rPr>
          <w:rFonts w:cs="Arial"/>
        </w:rPr>
        <w:t xml:space="preserve"> </w:t>
      </w:r>
      <w:proofErr w:type="spellStart"/>
      <w:r w:rsidR="00020366">
        <w:rPr>
          <w:rFonts w:cs="Arial"/>
        </w:rPr>
        <w:t>pol</w:t>
      </w:r>
      <w:proofErr w:type="spellEnd"/>
      <w:r w:rsidR="00020366">
        <w:rPr>
          <w:rFonts w:cs="Arial"/>
        </w:rPr>
        <w:t>. 2018 meziročně vzrostl o 10 %</w:t>
      </w:r>
      <w:r w:rsidR="00366009">
        <w:rPr>
          <w:rFonts w:cs="Arial"/>
        </w:rPr>
        <w:t xml:space="preserve">, jak již bylo uvedeno výše v textu při hodnocení vývoje tohoto ukazatele. </w:t>
      </w:r>
    </w:p>
    <w:p w:rsidR="00F527BD" w:rsidRDefault="00F527BD" w:rsidP="0042086A">
      <w:pPr>
        <w:jc w:val="both"/>
        <w:rPr>
          <w:b/>
        </w:rPr>
      </w:pPr>
    </w:p>
    <w:p w:rsidR="00B45ED5" w:rsidRDefault="00B45ED5" w:rsidP="0042086A">
      <w:pPr>
        <w:jc w:val="both"/>
        <w:rPr>
          <w:b/>
        </w:rPr>
      </w:pPr>
    </w:p>
    <w:p w:rsidR="0058024B" w:rsidRDefault="0058024B" w:rsidP="0042086A">
      <w:pPr>
        <w:jc w:val="both"/>
        <w:rPr>
          <w:b/>
        </w:rPr>
      </w:pPr>
    </w:p>
    <w:p w:rsidR="00AD74B8" w:rsidRDefault="00F826BA" w:rsidP="0042086A">
      <w:pPr>
        <w:jc w:val="both"/>
        <w:rPr>
          <w:b/>
        </w:rPr>
      </w:pPr>
      <w:r w:rsidRPr="0042086A">
        <w:rPr>
          <w:b/>
        </w:rPr>
        <w:lastRenderedPageBreak/>
        <w:t>Graf 2.2 –</w:t>
      </w:r>
      <w:r w:rsidR="0042086A" w:rsidRPr="0042086A">
        <w:rPr>
          <w:b/>
        </w:rPr>
        <w:t xml:space="preserve"> N</w:t>
      </w:r>
      <w:r w:rsidRPr="0042086A">
        <w:rPr>
          <w:b/>
        </w:rPr>
        <w:t>ově hlášen</w:t>
      </w:r>
      <w:r w:rsidR="0042086A" w:rsidRPr="0042086A">
        <w:rPr>
          <w:b/>
        </w:rPr>
        <w:t>é případy</w:t>
      </w:r>
      <w:r w:rsidRPr="0042086A">
        <w:rPr>
          <w:b/>
        </w:rPr>
        <w:t xml:space="preserve"> </w:t>
      </w:r>
      <w:r w:rsidR="00DD6112" w:rsidRPr="0042086A">
        <w:rPr>
          <w:b/>
        </w:rPr>
        <w:t xml:space="preserve">dočasné </w:t>
      </w:r>
      <w:r w:rsidRPr="0042086A">
        <w:rPr>
          <w:b/>
        </w:rPr>
        <w:t xml:space="preserve">pracovní neschopnosti </w:t>
      </w:r>
      <w:r w:rsidR="00C730A3">
        <w:rPr>
          <w:b/>
        </w:rPr>
        <w:t xml:space="preserve">podle příčiny </w:t>
      </w:r>
      <w:r w:rsidRPr="0042086A">
        <w:rPr>
          <w:b/>
        </w:rPr>
        <w:t xml:space="preserve">a </w:t>
      </w:r>
      <w:r w:rsidR="00E25EE7">
        <w:rPr>
          <w:b/>
        </w:rPr>
        <w:t xml:space="preserve">průměrný </w:t>
      </w:r>
      <w:r w:rsidRPr="0042086A">
        <w:rPr>
          <w:b/>
        </w:rPr>
        <w:t>počet pojištěnců v</w:t>
      </w:r>
      <w:r w:rsidR="00853CAE">
        <w:rPr>
          <w:b/>
        </w:rPr>
        <w:t xml:space="preserve"> období 1. </w:t>
      </w:r>
      <w:proofErr w:type="spellStart"/>
      <w:r w:rsidR="00853CAE">
        <w:rPr>
          <w:b/>
        </w:rPr>
        <w:t>pol</w:t>
      </w:r>
      <w:proofErr w:type="spellEnd"/>
      <w:r w:rsidR="00853CAE">
        <w:rPr>
          <w:b/>
        </w:rPr>
        <w:t xml:space="preserve">. 2007 – 1. </w:t>
      </w:r>
      <w:proofErr w:type="spellStart"/>
      <w:r w:rsidR="00853CAE">
        <w:rPr>
          <w:b/>
        </w:rPr>
        <w:t>pol</w:t>
      </w:r>
      <w:proofErr w:type="spellEnd"/>
      <w:r w:rsidR="00853CAE">
        <w:rPr>
          <w:b/>
        </w:rPr>
        <w:t>. 2018</w:t>
      </w:r>
      <w:r w:rsidRPr="0042086A">
        <w:rPr>
          <w:b/>
        </w:rPr>
        <w:t xml:space="preserve"> (v tis.)</w:t>
      </w:r>
    </w:p>
    <w:p w:rsidR="00D0041C" w:rsidRDefault="00D0041C" w:rsidP="0042086A">
      <w:pPr>
        <w:jc w:val="both"/>
        <w:rPr>
          <w:b/>
        </w:rPr>
      </w:pPr>
      <w:r w:rsidRPr="00D0041C">
        <w:rPr>
          <w:noProof/>
        </w:rPr>
        <w:drawing>
          <wp:inline distT="0" distB="0" distL="0" distR="0">
            <wp:extent cx="6124575" cy="4391025"/>
            <wp:effectExtent l="19050" t="0" r="9525" b="0"/>
            <wp:docPr id="1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120130" cy="4387838"/>
                    </a:xfrm>
                    <a:prstGeom prst="rect">
                      <a:avLst/>
                    </a:prstGeom>
                    <a:noFill/>
                    <a:ln w="9525">
                      <a:noFill/>
                      <a:miter lim="800000"/>
                      <a:headEnd/>
                      <a:tailEnd/>
                    </a:ln>
                  </pic:spPr>
                </pic:pic>
              </a:graphicData>
            </a:graphic>
          </wp:inline>
        </w:drawing>
      </w:r>
    </w:p>
    <w:p w:rsidR="00BC3D45" w:rsidRDefault="00BC3D45" w:rsidP="002737BB">
      <w:pPr>
        <w:jc w:val="center"/>
        <w:rPr>
          <w:b/>
        </w:rPr>
      </w:pPr>
    </w:p>
    <w:p w:rsidR="00DB4336" w:rsidRDefault="006D36FB" w:rsidP="006D36FB">
      <w:pPr>
        <w:jc w:val="both"/>
        <w:rPr>
          <w:rFonts w:cs="Arial"/>
          <w:sz w:val="16"/>
          <w:szCs w:val="16"/>
        </w:rPr>
      </w:pPr>
      <w:r>
        <w:rPr>
          <w:rFonts w:cs="Arial"/>
          <w:sz w:val="16"/>
          <w:szCs w:val="16"/>
        </w:rPr>
        <w:t>Zdroj: ČSÚ</w:t>
      </w:r>
    </w:p>
    <w:p w:rsidR="0028613E" w:rsidRDefault="005A3EC3" w:rsidP="003417FB">
      <w:pPr>
        <w:jc w:val="both"/>
        <w:rPr>
          <w:rFonts w:cs="Arial"/>
        </w:rPr>
      </w:pPr>
      <w:r>
        <w:rPr>
          <w:rFonts w:cs="Arial"/>
        </w:rPr>
        <w:t>N</w:t>
      </w:r>
      <w:r w:rsidR="003417FB">
        <w:rPr>
          <w:rFonts w:cs="Arial"/>
        </w:rPr>
        <w:t>ejvíce nov</w:t>
      </w:r>
      <w:r w:rsidR="0062229D">
        <w:rPr>
          <w:rFonts w:cs="Arial"/>
        </w:rPr>
        <w:t xml:space="preserve">ě hlášených </w:t>
      </w:r>
      <w:r w:rsidR="003417FB">
        <w:rPr>
          <w:rFonts w:cs="Arial"/>
        </w:rPr>
        <w:t xml:space="preserve">případů dočasné pracovní neschopnosti </w:t>
      </w:r>
      <w:r>
        <w:rPr>
          <w:rFonts w:cs="Arial"/>
        </w:rPr>
        <w:t xml:space="preserve">bylo </w:t>
      </w:r>
      <w:r w:rsidR="00AD5262">
        <w:rPr>
          <w:rFonts w:cs="Arial"/>
        </w:rPr>
        <w:t>h</w:t>
      </w:r>
      <w:r w:rsidR="003417FB">
        <w:rPr>
          <w:rFonts w:cs="Arial"/>
        </w:rPr>
        <w:t>lášeno v subjektech s převažující ekonomickou činností spadající dle klasifikace CZ-NACE do</w:t>
      </w:r>
      <w:r w:rsidR="00F52952">
        <w:rPr>
          <w:rFonts w:cs="Arial"/>
        </w:rPr>
        <w:t xml:space="preserve"> </w:t>
      </w:r>
      <w:r w:rsidR="003417FB">
        <w:rPr>
          <w:rFonts w:cs="Arial"/>
        </w:rPr>
        <w:t>odvětvové sekce Zpracovatelský průmysl (</w:t>
      </w:r>
      <w:r w:rsidR="0052542E">
        <w:rPr>
          <w:rFonts w:cs="Arial"/>
        </w:rPr>
        <w:t>357,5</w:t>
      </w:r>
      <w:r w:rsidR="003417FB">
        <w:rPr>
          <w:rFonts w:cs="Arial"/>
        </w:rPr>
        <w:t xml:space="preserve"> tis. případů) a Velkoobchod a mal</w:t>
      </w:r>
      <w:r>
        <w:rPr>
          <w:rFonts w:cs="Arial"/>
        </w:rPr>
        <w:t>oobchod,</w:t>
      </w:r>
      <w:r w:rsidR="003417FB">
        <w:rPr>
          <w:rFonts w:cs="Arial"/>
        </w:rPr>
        <w:t xml:space="preserve"> opravy a údržba morových vozidel (</w:t>
      </w:r>
      <w:r w:rsidR="00E67611">
        <w:rPr>
          <w:rFonts w:cs="Arial"/>
        </w:rPr>
        <w:t xml:space="preserve">131,5 </w:t>
      </w:r>
      <w:r w:rsidR="003417FB">
        <w:rPr>
          <w:rFonts w:cs="Arial"/>
        </w:rPr>
        <w:t>tis. případů), naopak nejmenší absolutní počet byl hlášen u odvětvové sekce Výroba a rozvod elektřiny a jiných energií (</w:t>
      </w:r>
      <w:r w:rsidR="00662FE6">
        <w:rPr>
          <w:rFonts w:cs="Arial"/>
        </w:rPr>
        <w:t>6,1</w:t>
      </w:r>
      <w:r w:rsidR="003417FB">
        <w:rPr>
          <w:rFonts w:cs="Arial"/>
        </w:rPr>
        <w:t> tis. případů) a u Těžby a dobývání (</w:t>
      </w:r>
      <w:r w:rsidR="00662FE6">
        <w:rPr>
          <w:rFonts w:cs="Arial"/>
        </w:rPr>
        <w:t>5,8</w:t>
      </w:r>
      <w:r w:rsidR="003417FB">
        <w:rPr>
          <w:rFonts w:cs="Arial"/>
        </w:rPr>
        <w:t xml:space="preserve"> tis. případů).</w:t>
      </w:r>
      <w:r>
        <w:rPr>
          <w:rFonts w:cs="Arial"/>
        </w:rPr>
        <w:t xml:space="preserve"> </w:t>
      </w:r>
    </w:p>
    <w:p w:rsidR="005A3EC3" w:rsidRDefault="003417FB" w:rsidP="003417FB">
      <w:pPr>
        <w:jc w:val="both"/>
        <w:rPr>
          <w:rFonts w:cs="Arial"/>
        </w:rPr>
      </w:pPr>
      <w:r w:rsidRPr="005F694D">
        <w:rPr>
          <w:rFonts w:cs="Arial"/>
        </w:rPr>
        <w:t>Absolutní údaje o počtu nově hlášených případů je však nutné posuzovat v kontextu zaměstnanosti v daném odvětví</w:t>
      </w:r>
      <w:r w:rsidR="0028613E">
        <w:rPr>
          <w:rFonts w:cs="Arial"/>
        </w:rPr>
        <w:t>,</w:t>
      </w:r>
      <w:r w:rsidRPr="005F694D">
        <w:rPr>
          <w:rFonts w:cs="Arial"/>
        </w:rPr>
        <w:t xml:space="preserve"> </w:t>
      </w:r>
      <w:r w:rsidR="0028613E">
        <w:rPr>
          <w:rFonts w:cs="Arial"/>
        </w:rPr>
        <w:t xml:space="preserve">a </w:t>
      </w:r>
      <w:r w:rsidRPr="005F694D">
        <w:rPr>
          <w:rFonts w:cs="Arial"/>
        </w:rPr>
        <w:t>proto má vyšší vypovídací schopnost ukazatel relativní</w:t>
      </w:r>
      <w:r w:rsidR="0028613E">
        <w:rPr>
          <w:rFonts w:cs="Arial"/>
        </w:rPr>
        <w:t>, např. počet nově hlášených případů dočasné pracovní neschopnosti na 100 pojištěnců</w:t>
      </w:r>
      <w:r w:rsidR="003630F4">
        <w:rPr>
          <w:rFonts w:cs="Arial"/>
        </w:rPr>
        <w:t>.</w:t>
      </w:r>
      <w:r w:rsidR="005A3EC3">
        <w:rPr>
          <w:rFonts w:cs="Arial"/>
        </w:rPr>
        <w:t xml:space="preserve"> </w:t>
      </w:r>
    </w:p>
    <w:p w:rsidR="005A3EC3" w:rsidRPr="00C55B6D" w:rsidRDefault="00E96A41" w:rsidP="005A3EC3">
      <w:pPr>
        <w:jc w:val="both"/>
        <w:rPr>
          <w:rFonts w:cs="Arial"/>
        </w:rPr>
      </w:pPr>
      <w:r>
        <w:rPr>
          <w:rFonts w:cs="Arial"/>
        </w:rPr>
        <w:t xml:space="preserve">Nejvyšší počet případů </w:t>
      </w:r>
      <w:r w:rsidR="005A3EC3" w:rsidRPr="00C55B6D">
        <w:rPr>
          <w:rFonts w:cs="Arial"/>
        </w:rPr>
        <w:t>dočasné pracovní neschopnosti na 100 pojištěnců v</w:t>
      </w:r>
      <w:r>
        <w:rPr>
          <w:rFonts w:cs="Arial"/>
        </w:rPr>
        <w:t xml:space="preserve"> 1. </w:t>
      </w:r>
      <w:proofErr w:type="spellStart"/>
      <w:r>
        <w:rPr>
          <w:rFonts w:cs="Arial"/>
        </w:rPr>
        <w:t>pol</w:t>
      </w:r>
      <w:proofErr w:type="spellEnd"/>
      <w:r>
        <w:rPr>
          <w:rFonts w:cs="Arial"/>
        </w:rPr>
        <w:t>. 2018</w:t>
      </w:r>
      <w:r w:rsidR="005A3EC3" w:rsidRPr="00C55B6D">
        <w:rPr>
          <w:rFonts w:cs="Arial"/>
        </w:rPr>
        <w:t xml:space="preserve"> </w:t>
      </w:r>
      <w:r w:rsidR="00AC74F3">
        <w:rPr>
          <w:rFonts w:cs="Arial"/>
        </w:rPr>
        <w:t>byl</w:t>
      </w:r>
      <w:r w:rsidR="005A3EC3" w:rsidRPr="00C55B6D">
        <w:rPr>
          <w:rFonts w:cs="Arial"/>
        </w:rPr>
        <w:t xml:space="preserve"> evidován v oblasti </w:t>
      </w:r>
      <w:r w:rsidR="00102408" w:rsidRPr="00C55B6D">
        <w:rPr>
          <w:rFonts w:cs="Arial"/>
        </w:rPr>
        <w:t>Zpracovatelsk</w:t>
      </w:r>
      <w:r w:rsidR="002B1452">
        <w:rPr>
          <w:rFonts w:cs="Arial"/>
        </w:rPr>
        <w:t>ého</w:t>
      </w:r>
      <w:r w:rsidR="00102408" w:rsidRPr="00C55B6D">
        <w:rPr>
          <w:rFonts w:cs="Arial"/>
        </w:rPr>
        <w:t xml:space="preserve"> průmysl</w:t>
      </w:r>
      <w:r w:rsidR="002B1452">
        <w:rPr>
          <w:rFonts w:cs="Arial"/>
        </w:rPr>
        <w:t>u</w:t>
      </w:r>
      <w:r w:rsidR="00102408">
        <w:rPr>
          <w:rFonts w:cs="Arial"/>
        </w:rPr>
        <w:t xml:space="preserve"> (28,8),</w:t>
      </w:r>
      <w:r w:rsidR="00102408" w:rsidRPr="00C55B6D">
        <w:rPr>
          <w:rFonts w:cs="Arial"/>
        </w:rPr>
        <w:t xml:space="preserve"> </w:t>
      </w:r>
      <w:r w:rsidR="00102408">
        <w:rPr>
          <w:rFonts w:cs="Arial"/>
        </w:rPr>
        <w:t xml:space="preserve">následovala oblast </w:t>
      </w:r>
      <w:r w:rsidR="005A3EC3" w:rsidRPr="00C55B6D">
        <w:rPr>
          <w:rFonts w:cs="Arial"/>
        </w:rPr>
        <w:t>Administrativní a podpůrné činnosti (</w:t>
      </w:r>
      <w:r>
        <w:rPr>
          <w:rFonts w:cs="Arial"/>
        </w:rPr>
        <w:t>26,</w:t>
      </w:r>
      <w:r w:rsidR="00102408">
        <w:rPr>
          <w:rFonts w:cs="Arial"/>
        </w:rPr>
        <w:t>2</w:t>
      </w:r>
      <w:r w:rsidR="005A3EC3" w:rsidRPr="00C55B6D">
        <w:rPr>
          <w:rFonts w:cs="Arial"/>
        </w:rPr>
        <w:t>) a dále u fyzicky náročných činností v oblasti Těžba a dobývání (</w:t>
      </w:r>
      <w:r w:rsidR="00E7699C">
        <w:rPr>
          <w:rFonts w:cs="Arial"/>
        </w:rPr>
        <w:t>23</w:t>
      </w:r>
      <w:r w:rsidR="005A3EC3" w:rsidRPr="00C55B6D">
        <w:rPr>
          <w:rFonts w:cs="Arial"/>
        </w:rPr>
        <w:t>,</w:t>
      </w:r>
      <w:r w:rsidR="00FA2D8E">
        <w:rPr>
          <w:rFonts w:cs="Arial"/>
        </w:rPr>
        <w:t>4</w:t>
      </w:r>
      <w:r w:rsidR="005A3EC3" w:rsidRPr="00C55B6D">
        <w:rPr>
          <w:rFonts w:cs="Arial"/>
        </w:rPr>
        <w:t>). Nejméně časté případy pracovní neschopnos</w:t>
      </w:r>
      <w:r w:rsidR="005E23AF">
        <w:rPr>
          <w:rFonts w:cs="Arial"/>
        </w:rPr>
        <w:t xml:space="preserve">ti na 100 pojištěnců </w:t>
      </w:r>
      <w:r w:rsidR="00C730A3">
        <w:rPr>
          <w:rFonts w:cs="Arial"/>
        </w:rPr>
        <w:t xml:space="preserve">v 1. </w:t>
      </w:r>
      <w:proofErr w:type="spellStart"/>
      <w:r w:rsidR="00C730A3">
        <w:rPr>
          <w:rFonts w:cs="Arial"/>
        </w:rPr>
        <w:t>pol</w:t>
      </w:r>
      <w:proofErr w:type="spellEnd"/>
      <w:r w:rsidR="00C730A3">
        <w:rPr>
          <w:rFonts w:cs="Arial"/>
        </w:rPr>
        <w:t>. 2018</w:t>
      </w:r>
      <w:r w:rsidR="005A3EC3" w:rsidRPr="00C55B6D">
        <w:rPr>
          <w:rFonts w:cs="Arial"/>
        </w:rPr>
        <w:t xml:space="preserve"> byly evidovány u osob </w:t>
      </w:r>
      <w:r w:rsidR="002B1452">
        <w:rPr>
          <w:rFonts w:cs="Arial"/>
        </w:rPr>
        <w:t xml:space="preserve">pracujících </w:t>
      </w:r>
      <w:r w:rsidR="005A3EC3" w:rsidRPr="00C55B6D">
        <w:rPr>
          <w:rFonts w:cs="Arial"/>
        </w:rPr>
        <w:t>v odvětví Činnost</w:t>
      </w:r>
      <w:r w:rsidR="007E0679">
        <w:rPr>
          <w:rFonts w:cs="Arial"/>
        </w:rPr>
        <w:t>i</w:t>
      </w:r>
      <w:r w:rsidR="005A3EC3" w:rsidRPr="00C55B6D">
        <w:rPr>
          <w:rFonts w:cs="Arial"/>
        </w:rPr>
        <w:t xml:space="preserve"> v oblasti nemovitostí (</w:t>
      </w:r>
      <w:r w:rsidR="00FA2D8E">
        <w:rPr>
          <w:rFonts w:cs="Arial"/>
        </w:rPr>
        <w:t>9</w:t>
      </w:r>
      <w:r w:rsidR="005A3EC3" w:rsidRPr="00C55B6D">
        <w:rPr>
          <w:rFonts w:cs="Arial"/>
        </w:rPr>
        <w:t>,</w:t>
      </w:r>
      <w:r w:rsidR="00FA2D8E">
        <w:rPr>
          <w:rFonts w:cs="Arial"/>
        </w:rPr>
        <w:t>6</w:t>
      </w:r>
      <w:r w:rsidR="005E23AF">
        <w:rPr>
          <w:rFonts w:cs="Arial"/>
        </w:rPr>
        <w:t>)</w:t>
      </w:r>
      <w:r w:rsidR="005A3EC3" w:rsidRPr="00C55B6D">
        <w:rPr>
          <w:rFonts w:cs="Arial"/>
        </w:rPr>
        <w:t xml:space="preserve">. </w:t>
      </w:r>
    </w:p>
    <w:p w:rsidR="00433BEB" w:rsidRDefault="00433BEB" w:rsidP="00E25EE7">
      <w:pPr>
        <w:jc w:val="both"/>
        <w:rPr>
          <w:b/>
        </w:rPr>
      </w:pPr>
    </w:p>
    <w:p w:rsidR="0058024B" w:rsidRDefault="0058024B" w:rsidP="00E25EE7">
      <w:pPr>
        <w:jc w:val="both"/>
        <w:rPr>
          <w:b/>
        </w:rPr>
      </w:pPr>
    </w:p>
    <w:p w:rsidR="0058024B" w:rsidRDefault="0058024B" w:rsidP="00E25EE7">
      <w:pPr>
        <w:jc w:val="both"/>
        <w:rPr>
          <w:b/>
        </w:rPr>
      </w:pPr>
    </w:p>
    <w:p w:rsidR="00401F91" w:rsidRDefault="00401F91" w:rsidP="00E25EE7">
      <w:pPr>
        <w:jc w:val="both"/>
        <w:rPr>
          <w:b/>
        </w:rPr>
      </w:pPr>
      <w:r w:rsidRPr="00087D6A">
        <w:rPr>
          <w:b/>
        </w:rPr>
        <w:t>Graf 2.</w:t>
      </w:r>
      <w:r w:rsidR="002B4327">
        <w:rPr>
          <w:b/>
        </w:rPr>
        <w:t>3</w:t>
      </w:r>
      <w:r w:rsidRPr="00087D6A">
        <w:rPr>
          <w:b/>
        </w:rPr>
        <w:t xml:space="preserve"> – Nově hlášené případy </w:t>
      </w:r>
      <w:r w:rsidR="00DD6112">
        <w:rPr>
          <w:b/>
        </w:rPr>
        <w:t xml:space="preserve">dočasné </w:t>
      </w:r>
      <w:r w:rsidRPr="00087D6A">
        <w:rPr>
          <w:b/>
        </w:rPr>
        <w:t xml:space="preserve">pracovní neschopnosti na 100 pojištěnců dle </w:t>
      </w:r>
      <w:r w:rsidR="00087D6A" w:rsidRPr="00087D6A">
        <w:rPr>
          <w:b/>
        </w:rPr>
        <w:t>odvětví ekonomické činnosti (sekcí CZ-NACE) v</w:t>
      </w:r>
      <w:r w:rsidR="003A01A6">
        <w:rPr>
          <w:b/>
        </w:rPr>
        <w:t xml:space="preserve"> 1. </w:t>
      </w:r>
      <w:proofErr w:type="spellStart"/>
      <w:r w:rsidR="003A01A6">
        <w:rPr>
          <w:b/>
        </w:rPr>
        <w:t>pol</w:t>
      </w:r>
      <w:proofErr w:type="spellEnd"/>
      <w:r w:rsidR="003A01A6">
        <w:rPr>
          <w:b/>
        </w:rPr>
        <w:t>. 2018</w:t>
      </w:r>
    </w:p>
    <w:p w:rsidR="001E36E8" w:rsidRDefault="00433BEB" w:rsidP="00401F91">
      <w:pPr>
        <w:jc w:val="both"/>
        <w:rPr>
          <w:rFonts w:cs="Arial"/>
          <w:sz w:val="16"/>
          <w:szCs w:val="16"/>
        </w:rPr>
      </w:pPr>
      <w:r w:rsidRPr="00433BEB">
        <w:rPr>
          <w:noProof/>
          <w:szCs w:val="16"/>
        </w:rPr>
        <w:drawing>
          <wp:inline distT="0" distB="0" distL="0" distR="0">
            <wp:extent cx="6120130" cy="4139848"/>
            <wp:effectExtent l="19050" t="0" r="0" b="0"/>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120130" cy="4139848"/>
                    </a:xfrm>
                    <a:prstGeom prst="rect">
                      <a:avLst/>
                    </a:prstGeom>
                    <a:noFill/>
                    <a:ln w="9525">
                      <a:noFill/>
                      <a:miter lim="800000"/>
                      <a:headEnd/>
                      <a:tailEnd/>
                    </a:ln>
                  </pic:spPr>
                </pic:pic>
              </a:graphicData>
            </a:graphic>
          </wp:inline>
        </w:drawing>
      </w:r>
    </w:p>
    <w:p w:rsidR="001E36E8" w:rsidRDefault="001E36E8" w:rsidP="001E36E8">
      <w:pPr>
        <w:jc w:val="both"/>
        <w:rPr>
          <w:rFonts w:cs="Arial"/>
          <w:sz w:val="16"/>
          <w:szCs w:val="16"/>
        </w:rPr>
      </w:pPr>
      <w:r>
        <w:rPr>
          <w:rFonts w:cs="Arial"/>
          <w:sz w:val="16"/>
          <w:szCs w:val="16"/>
        </w:rPr>
        <w:t>Zdroj: ČSÚ</w:t>
      </w:r>
    </w:p>
    <w:p w:rsidR="001E36E8" w:rsidRDefault="001E36E8" w:rsidP="00401F91">
      <w:pPr>
        <w:jc w:val="both"/>
        <w:rPr>
          <w:rFonts w:cs="Arial"/>
          <w:sz w:val="16"/>
          <w:szCs w:val="16"/>
        </w:rPr>
      </w:pPr>
    </w:p>
    <w:p w:rsidR="00AC74F3" w:rsidRDefault="00AC74F3" w:rsidP="00AC74F3">
      <w:pPr>
        <w:jc w:val="both"/>
        <w:rPr>
          <w:rFonts w:cs="Arial"/>
        </w:rPr>
      </w:pPr>
      <w:r w:rsidRPr="00C55B6D">
        <w:rPr>
          <w:rFonts w:cs="Arial"/>
        </w:rPr>
        <w:t>Nejvíce případů dočasné pracovní neschopnosti na 100 pojištěnců pro pracovní úraz, což je ukazatel vyjadřující lépe „stupeň rizikovosti“ daného odvětví, bylo hlášeno u oblasti Zemědělství, lesnictví a rybářství (</w:t>
      </w:r>
      <w:r w:rsidR="000A5007">
        <w:rPr>
          <w:rFonts w:cs="Arial"/>
        </w:rPr>
        <w:t>1,</w:t>
      </w:r>
      <w:r w:rsidRPr="00C55B6D">
        <w:rPr>
          <w:rFonts w:cs="Arial"/>
        </w:rPr>
        <w:t>2)</w:t>
      </w:r>
      <w:r w:rsidRPr="00C55B6D">
        <w:rPr>
          <w:rFonts w:cs="Arial"/>
          <w:szCs w:val="20"/>
        </w:rPr>
        <w:t xml:space="preserve">, dále u oblasti </w:t>
      </w:r>
      <w:r w:rsidRPr="00C55B6D">
        <w:rPr>
          <w:rFonts w:cs="Arial"/>
        </w:rPr>
        <w:t>Zásobování vodou, činnosti související s odpadními vodami, odpady a sanacemi (1,</w:t>
      </w:r>
      <w:r w:rsidR="000A5007">
        <w:rPr>
          <w:rFonts w:cs="Arial"/>
        </w:rPr>
        <w:t>0</w:t>
      </w:r>
      <w:r w:rsidRPr="00C55B6D">
        <w:rPr>
          <w:rFonts w:cs="Arial"/>
        </w:rPr>
        <w:t>) a</w:t>
      </w:r>
      <w:r>
        <w:rPr>
          <w:rFonts w:cs="Arial"/>
        </w:rPr>
        <w:t> </w:t>
      </w:r>
      <w:r w:rsidRPr="00C55B6D">
        <w:rPr>
          <w:rFonts w:cs="Arial"/>
        </w:rPr>
        <w:t>v oblas</w:t>
      </w:r>
      <w:r w:rsidR="008868E6">
        <w:rPr>
          <w:rFonts w:cs="Arial"/>
        </w:rPr>
        <w:t>ti Zpracovatelský průmysl (</w:t>
      </w:r>
      <w:r w:rsidR="000A5007">
        <w:rPr>
          <w:rFonts w:cs="Arial"/>
        </w:rPr>
        <w:t>0,8</w:t>
      </w:r>
      <w:r w:rsidR="008868E6">
        <w:rPr>
          <w:rFonts w:cs="Arial"/>
        </w:rPr>
        <w:t>).</w:t>
      </w:r>
      <w:r w:rsidRPr="00C55B6D">
        <w:rPr>
          <w:rFonts w:cs="Arial"/>
        </w:rPr>
        <w:t xml:space="preserve"> Násl</w:t>
      </w:r>
      <w:r w:rsidR="00734018">
        <w:rPr>
          <w:rFonts w:cs="Arial"/>
        </w:rPr>
        <w:t>edovala oblast Těžba</w:t>
      </w:r>
      <w:r w:rsidR="008868E6">
        <w:rPr>
          <w:rFonts w:cs="Arial"/>
        </w:rPr>
        <w:t xml:space="preserve"> a dobývání</w:t>
      </w:r>
      <w:r w:rsidRPr="00C55B6D">
        <w:rPr>
          <w:rFonts w:cs="Arial"/>
        </w:rPr>
        <w:t>, Doprava a sk</w:t>
      </w:r>
      <w:r>
        <w:rPr>
          <w:rFonts w:cs="Arial"/>
        </w:rPr>
        <w:t>ladování (</w:t>
      </w:r>
      <w:r w:rsidR="008868E6">
        <w:rPr>
          <w:rFonts w:cs="Arial"/>
        </w:rPr>
        <w:t xml:space="preserve">shodně </w:t>
      </w:r>
      <w:r w:rsidR="00CF797C">
        <w:rPr>
          <w:rFonts w:cs="Arial"/>
        </w:rPr>
        <w:t xml:space="preserve">u obou oblastí </w:t>
      </w:r>
      <w:r w:rsidR="000A5007">
        <w:rPr>
          <w:rFonts w:cs="Arial"/>
        </w:rPr>
        <w:t>0</w:t>
      </w:r>
      <w:r>
        <w:rPr>
          <w:rFonts w:cs="Arial"/>
        </w:rPr>
        <w:t>,</w:t>
      </w:r>
      <w:r w:rsidR="000A5007">
        <w:rPr>
          <w:rFonts w:cs="Arial"/>
        </w:rPr>
        <w:t>8</w:t>
      </w:r>
      <w:r>
        <w:rPr>
          <w:rFonts w:cs="Arial"/>
        </w:rPr>
        <w:t>) a Stavebnictví (</w:t>
      </w:r>
      <w:r w:rsidR="00CF797C">
        <w:rPr>
          <w:rFonts w:cs="Arial"/>
        </w:rPr>
        <w:t>0</w:t>
      </w:r>
      <w:r>
        <w:rPr>
          <w:rFonts w:cs="Arial"/>
        </w:rPr>
        <w:t>,</w:t>
      </w:r>
      <w:r w:rsidR="00CF797C">
        <w:rPr>
          <w:rFonts w:cs="Arial"/>
        </w:rPr>
        <w:t>6</w:t>
      </w:r>
      <w:r w:rsidRPr="00C55B6D">
        <w:rPr>
          <w:rFonts w:cs="Arial"/>
        </w:rPr>
        <w:t>). Naopak nejméně pracovních úrazů je hlášeno u </w:t>
      </w:r>
      <w:r w:rsidRPr="00C55B6D">
        <w:rPr>
          <w:rFonts w:cs="Arial"/>
          <w:szCs w:val="20"/>
        </w:rPr>
        <w:t>Informa</w:t>
      </w:r>
      <w:r w:rsidR="008868E6">
        <w:rPr>
          <w:rFonts w:cs="Arial"/>
          <w:szCs w:val="20"/>
        </w:rPr>
        <w:t>čních a komunikačních činností</w:t>
      </w:r>
      <w:r w:rsidR="00720547">
        <w:rPr>
          <w:rFonts w:cs="Arial"/>
          <w:szCs w:val="20"/>
        </w:rPr>
        <w:t>,</w:t>
      </w:r>
      <w:r w:rsidRPr="00C55B6D">
        <w:rPr>
          <w:rFonts w:cs="Arial"/>
          <w:szCs w:val="20"/>
        </w:rPr>
        <w:t xml:space="preserve"> </w:t>
      </w:r>
      <w:r w:rsidR="008868E6">
        <w:rPr>
          <w:rFonts w:cs="Arial"/>
        </w:rPr>
        <w:t>Peněžnictví a pojišťovnictví</w:t>
      </w:r>
      <w:r w:rsidR="00720547">
        <w:rPr>
          <w:rFonts w:cs="Arial"/>
        </w:rPr>
        <w:t xml:space="preserve">, </w:t>
      </w:r>
      <w:r w:rsidR="00720547" w:rsidRPr="00720547">
        <w:rPr>
          <w:rFonts w:cs="Arial"/>
        </w:rPr>
        <w:t>Profesní, vědecké a technické činnosti</w:t>
      </w:r>
      <w:r w:rsidR="008868E6">
        <w:rPr>
          <w:rFonts w:cs="Arial"/>
        </w:rPr>
        <w:t xml:space="preserve"> </w:t>
      </w:r>
      <w:r w:rsidRPr="00C55B6D">
        <w:rPr>
          <w:rFonts w:cs="Arial"/>
        </w:rPr>
        <w:t>(</w:t>
      </w:r>
      <w:r w:rsidR="008868E6">
        <w:rPr>
          <w:rFonts w:cs="Arial"/>
        </w:rPr>
        <w:t xml:space="preserve">shodně </w:t>
      </w:r>
      <w:r w:rsidR="00720547">
        <w:rPr>
          <w:rFonts w:cs="Arial"/>
        </w:rPr>
        <w:t xml:space="preserve">u všech tří oblastí </w:t>
      </w:r>
      <w:r w:rsidRPr="00C55B6D">
        <w:rPr>
          <w:rFonts w:cs="Arial"/>
        </w:rPr>
        <w:t xml:space="preserve">0,1). </w:t>
      </w:r>
    </w:p>
    <w:p w:rsidR="008868E6" w:rsidRDefault="008868E6" w:rsidP="00AC74F3">
      <w:pPr>
        <w:jc w:val="both"/>
        <w:rPr>
          <w:rFonts w:cs="Arial"/>
        </w:rPr>
      </w:pPr>
      <w:r>
        <w:rPr>
          <w:rFonts w:cs="Arial"/>
        </w:rPr>
        <w:t xml:space="preserve">Vývoj </w:t>
      </w:r>
      <w:r w:rsidR="00D97D02">
        <w:rPr>
          <w:rFonts w:cs="Arial"/>
        </w:rPr>
        <w:t xml:space="preserve">hodnot </w:t>
      </w:r>
      <w:r>
        <w:rPr>
          <w:rFonts w:cs="Arial"/>
        </w:rPr>
        <w:t>ukazatele počet případů pracovní neschopnosti na 100 pojištěnců v jednotlivých odvětvích je zřejmý z tabulky 2.2</w:t>
      </w:r>
      <w:r w:rsidR="00F23DB0">
        <w:rPr>
          <w:rFonts w:cs="Arial"/>
        </w:rPr>
        <w:t xml:space="preserve"> – nej</w:t>
      </w:r>
      <w:r w:rsidR="00D97D02">
        <w:rPr>
          <w:rFonts w:cs="Arial"/>
        </w:rPr>
        <w:t>vyšší</w:t>
      </w:r>
      <w:r w:rsidR="00F23DB0">
        <w:rPr>
          <w:rFonts w:cs="Arial"/>
        </w:rPr>
        <w:t xml:space="preserve"> nárůst zaznamenáváme v odvětví </w:t>
      </w:r>
      <w:r w:rsidR="0038419F">
        <w:rPr>
          <w:rFonts w:cs="Arial"/>
        </w:rPr>
        <w:t xml:space="preserve">Zpracovatelský průmysl (ze 20,9 případů na 100 pojištěnců v roce 2009 na 28,8 případů v 1. </w:t>
      </w:r>
      <w:proofErr w:type="spellStart"/>
      <w:r w:rsidR="0038419F">
        <w:rPr>
          <w:rFonts w:cs="Arial"/>
        </w:rPr>
        <w:t>pol</w:t>
      </w:r>
      <w:proofErr w:type="spellEnd"/>
      <w:r w:rsidR="0038419F">
        <w:rPr>
          <w:rFonts w:cs="Arial"/>
        </w:rPr>
        <w:t xml:space="preserve">. 2018), a dále v odvětví </w:t>
      </w:r>
      <w:r w:rsidR="00F23DB0">
        <w:rPr>
          <w:rFonts w:cs="Arial"/>
        </w:rPr>
        <w:t xml:space="preserve">Administrativní a podpůrné činnosti (z </w:t>
      </w:r>
      <w:r w:rsidR="0038419F">
        <w:rPr>
          <w:rFonts w:cs="Arial"/>
        </w:rPr>
        <w:t>19</w:t>
      </w:r>
      <w:r w:rsidR="00F23DB0">
        <w:rPr>
          <w:rFonts w:cs="Arial"/>
        </w:rPr>
        <w:t>,</w:t>
      </w:r>
      <w:r w:rsidR="00D84C36">
        <w:rPr>
          <w:rFonts w:cs="Arial"/>
        </w:rPr>
        <w:t xml:space="preserve">7 </w:t>
      </w:r>
      <w:r w:rsidR="00F23DB0">
        <w:rPr>
          <w:rFonts w:cs="Arial"/>
        </w:rPr>
        <w:t xml:space="preserve">případů na 100 pojištěnců v roce 2009 na </w:t>
      </w:r>
      <w:r w:rsidR="0038419F">
        <w:rPr>
          <w:rFonts w:cs="Arial"/>
        </w:rPr>
        <w:t>26,</w:t>
      </w:r>
      <w:r w:rsidR="00D84C36">
        <w:rPr>
          <w:rFonts w:cs="Arial"/>
        </w:rPr>
        <w:t xml:space="preserve">2 </w:t>
      </w:r>
      <w:r w:rsidR="00F23DB0">
        <w:rPr>
          <w:rFonts w:cs="Arial"/>
        </w:rPr>
        <w:t>případů v</w:t>
      </w:r>
      <w:r w:rsidR="0038419F">
        <w:rPr>
          <w:rFonts w:cs="Arial"/>
        </w:rPr>
        <w:t xml:space="preserve"> 1. </w:t>
      </w:r>
      <w:proofErr w:type="spellStart"/>
      <w:r w:rsidR="0038419F">
        <w:rPr>
          <w:rFonts w:cs="Arial"/>
        </w:rPr>
        <w:t>pol</w:t>
      </w:r>
      <w:proofErr w:type="spellEnd"/>
      <w:r w:rsidR="0038419F">
        <w:rPr>
          <w:rFonts w:cs="Arial"/>
        </w:rPr>
        <w:t xml:space="preserve">. v </w:t>
      </w:r>
      <w:r w:rsidR="00F23DB0">
        <w:rPr>
          <w:rFonts w:cs="Arial"/>
        </w:rPr>
        <w:t>roce 201</w:t>
      </w:r>
      <w:r w:rsidR="0038419F">
        <w:rPr>
          <w:rFonts w:cs="Arial"/>
        </w:rPr>
        <w:t>8</w:t>
      </w:r>
      <w:r w:rsidR="00F23DB0">
        <w:rPr>
          <w:rFonts w:cs="Arial"/>
        </w:rPr>
        <w:t xml:space="preserve">) </w:t>
      </w:r>
      <w:r w:rsidR="0098169D">
        <w:rPr>
          <w:rFonts w:cs="Arial"/>
        </w:rPr>
        <w:t xml:space="preserve">naopak největší pokles v odvětví Činnosti v oblasti nemovitostí (z </w:t>
      </w:r>
      <w:r w:rsidR="00D52642">
        <w:rPr>
          <w:rFonts w:cs="Arial"/>
        </w:rPr>
        <w:t>11,7</w:t>
      </w:r>
      <w:r w:rsidR="0098169D">
        <w:rPr>
          <w:rFonts w:cs="Arial"/>
        </w:rPr>
        <w:t xml:space="preserve"> případů na 100 pojištěnců v roce 2009 na </w:t>
      </w:r>
      <w:r w:rsidR="00D52642">
        <w:rPr>
          <w:rFonts w:cs="Arial"/>
        </w:rPr>
        <w:t>9,</w:t>
      </w:r>
      <w:r w:rsidR="0098169D">
        <w:rPr>
          <w:rFonts w:cs="Arial"/>
        </w:rPr>
        <w:t>7 případů v</w:t>
      </w:r>
      <w:r w:rsidR="00DA15A5">
        <w:rPr>
          <w:rFonts w:cs="Arial"/>
        </w:rPr>
        <w:t xml:space="preserve"> 1. </w:t>
      </w:r>
      <w:proofErr w:type="spellStart"/>
      <w:r w:rsidR="00DA15A5">
        <w:rPr>
          <w:rFonts w:cs="Arial"/>
        </w:rPr>
        <w:t>pol</w:t>
      </w:r>
      <w:proofErr w:type="spellEnd"/>
      <w:r w:rsidR="00DA15A5">
        <w:rPr>
          <w:rFonts w:cs="Arial"/>
        </w:rPr>
        <w:t>. 2018</w:t>
      </w:r>
      <w:r w:rsidR="0098169D">
        <w:rPr>
          <w:rFonts w:cs="Arial"/>
        </w:rPr>
        <w:t>), Informační a komunikační činnost</w:t>
      </w:r>
      <w:r w:rsidR="00734018">
        <w:rPr>
          <w:rFonts w:cs="Arial"/>
        </w:rPr>
        <w:t>i</w:t>
      </w:r>
      <w:r w:rsidR="0098169D">
        <w:rPr>
          <w:rFonts w:cs="Arial"/>
        </w:rPr>
        <w:t xml:space="preserve"> (z </w:t>
      </w:r>
      <w:r w:rsidR="00D52642">
        <w:rPr>
          <w:rFonts w:cs="Arial"/>
        </w:rPr>
        <w:t>15,7</w:t>
      </w:r>
      <w:r w:rsidR="0098169D">
        <w:rPr>
          <w:rFonts w:cs="Arial"/>
        </w:rPr>
        <w:t xml:space="preserve"> případů na 100 pojištěnců v roce 2009 na </w:t>
      </w:r>
      <w:r w:rsidR="00D52642">
        <w:rPr>
          <w:rFonts w:cs="Arial"/>
        </w:rPr>
        <w:t>14,4</w:t>
      </w:r>
      <w:r w:rsidR="0098169D">
        <w:rPr>
          <w:rFonts w:cs="Arial"/>
        </w:rPr>
        <w:t xml:space="preserve"> případů v</w:t>
      </w:r>
      <w:r w:rsidR="00DA15A5">
        <w:rPr>
          <w:rFonts w:cs="Arial"/>
        </w:rPr>
        <w:t xml:space="preserve"> 1. </w:t>
      </w:r>
      <w:proofErr w:type="spellStart"/>
      <w:r w:rsidR="00DA15A5">
        <w:rPr>
          <w:rFonts w:cs="Arial"/>
        </w:rPr>
        <w:t>pol</w:t>
      </w:r>
      <w:proofErr w:type="spellEnd"/>
      <w:r w:rsidR="00DA15A5">
        <w:rPr>
          <w:rFonts w:cs="Arial"/>
        </w:rPr>
        <w:t>. 2018)</w:t>
      </w:r>
      <w:r w:rsidR="00D52642">
        <w:rPr>
          <w:rFonts w:cs="Arial"/>
        </w:rPr>
        <w:t xml:space="preserve"> a Peněžnictví a pojišťovnictví (z 17,8 případů na 100 pojištěnců v roce 2009 na 16,4 případů v</w:t>
      </w:r>
      <w:r w:rsidR="00DA15A5">
        <w:rPr>
          <w:rFonts w:cs="Arial"/>
        </w:rPr>
        <w:t xml:space="preserve"> 1. </w:t>
      </w:r>
      <w:proofErr w:type="spellStart"/>
      <w:r w:rsidR="00DA15A5">
        <w:rPr>
          <w:rFonts w:cs="Arial"/>
        </w:rPr>
        <w:t>pol</w:t>
      </w:r>
      <w:proofErr w:type="spellEnd"/>
      <w:r w:rsidR="00DA15A5">
        <w:rPr>
          <w:rFonts w:cs="Arial"/>
        </w:rPr>
        <w:t>. 2018</w:t>
      </w:r>
      <w:r w:rsidR="00D52642">
        <w:rPr>
          <w:rFonts w:cs="Arial"/>
        </w:rPr>
        <w:t>)</w:t>
      </w:r>
      <w:r w:rsidR="00DA15A5">
        <w:rPr>
          <w:rFonts w:cs="Arial"/>
        </w:rPr>
        <w:t>, obdobný vývoj zaznamenáváme i u ročních hodnot</w:t>
      </w:r>
      <w:r w:rsidR="00BD602C">
        <w:rPr>
          <w:rFonts w:cs="Arial"/>
        </w:rPr>
        <w:t xml:space="preserve"> vývoje</w:t>
      </w:r>
      <w:r w:rsidR="00DA15A5">
        <w:rPr>
          <w:rFonts w:cs="Arial"/>
        </w:rPr>
        <w:t xml:space="preserve"> tohoto ukazatele. </w:t>
      </w:r>
    </w:p>
    <w:p w:rsidR="00401F91" w:rsidRDefault="00401F91" w:rsidP="00EE4B1B"/>
    <w:p w:rsidR="00401F91" w:rsidRDefault="00AC74F3" w:rsidP="00E25EE7">
      <w:pPr>
        <w:jc w:val="both"/>
        <w:rPr>
          <w:b/>
        </w:rPr>
      </w:pPr>
      <w:r w:rsidRPr="00AC74F3">
        <w:rPr>
          <w:b/>
        </w:rPr>
        <w:lastRenderedPageBreak/>
        <w:t>Tab. 2.2 –</w:t>
      </w:r>
      <w:r w:rsidR="00E25EE7">
        <w:rPr>
          <w:b/>
        </w:rPr>
        <w:t xml:space="preserve"> N</w:t>
      </w:r>
      <w:r w:rsidRPr="00AC74F3">
        <w:rPr>
          <w:b/>
        </w:rPr>
        <w:t>ově hlášen</w:t>
      </w:r>
      <w:r w:rsidR="00E25EE7">
        <w:rPr>
          <w:b/>
        </w:rPr>
        <w:t>é</w:t>
      </w:r>
      <w:r w:rsidRPr="00AC74F3">
        <w:rPr>
          <w:b/>
        </w:rPr>
        <w:t xml:space="preserve"> případ</w:t>
      </w:r>
      <w:r w:rsidR="00E25EE7">
        <w:rPr>
          <w:b/>
        </w:rPr>
        <w:t>y</w:t>
      </w:r>
      <w:r w:rsidRPr="00AC74F3">
        <w:rPr>
          <w:b/>
        </w:rPr>
        <w:t xml:space="preserve"> dočasné pracovní neschopnosti na 100 pojištěnců dle odvětví ekonomické činnosti v</w:t>
      </w:r>
      <w:r w:rsidR="003A4B26">
        <w:rPr>
          <w:b/>
        </w:rPr>
        <w:t xml:space="preserve"> období 1. </w:t>
      </w:r>
      <w:proofErr w:type="spellStart"/>
      <w:r w:rsidR="003A4B26">
        <w:rPr>
          <w:b/>
        </w:rPr>
        <w:t>pol</w:t>
      </w:r>
      <w:proofErr w:type="spellEnd"/>
      <w:r w:rsidR="003A4B26">
        <w:rPr>
          <w:b/>
        </w:rPr>
        <w:t>.</w:t>
      </w:r>
      <w:r w:rsidRPr="00AC74F3">
        <w:rPr>
          <w:b/>
        </w:rPr>
        <w:t xml:space="preserve"> 2009 –</w:t>
      </w:r>
      <w:r>
        <w:rPr>
          <w:b/>
        </w:rPr>
        <w:t xml:space="preserve"> </w:t>
      </w:r>
      <w:r w:rsidR="003A4B26">
        <w:rPr>
          <w:b/>
        </w:rPr>
        <w:t xml:space="preserve">1. </w:t>
      </w:r>
      <w:proofErr w:type="spellStart"/>
      <w:r w:rsidR="003A4B26">
        <w:rPr>
          <w:b/>
        </w:rPr>
        <w:t>pol</w:t>
      </w:r>
      <w:proofErr w:type="spellEnd"/>
      <w:r w:rsidR="003A4B26">
        <w:rPr>
          <w:b/>
        </w:rPr>
        <w:t>. 2018</w:t>
      </w:r>
    </w:p>
    <w:p w:rsidR="00F6238A" w:rsidRPr="00AC74F3" w:rsidRDefault="001E36E8" w:rsidP="00E25EE7">
      <w:pPr>
        <w:jc w:val="both"/>
        <w:rPr>
          <w:b/>
        </w:rPr>
      </w:pPr>
      <w:r w:rsidRPr="001E36E8">
        <w:rPr>
          <w:noProof/>
        </w:rPr>
        <w:drawing>
          <wp:inline distT="0" distB="0" distL="0" distR="0">
            <wp:extent cx="6084953" cy="4962525"/>
            <wp:effectExtent l="0" t="0" r="0" b="0"/>
            <wp:docPr id="65"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tretch>
                      <a:fillRect/>
                    </a:stretch>
                  </pic:blipFill>
                  <pic:spPr bwMode="auto">
                    <a:xfrm>
                      <a:off x="0" y="0"/>
                      <a:ext cx="6093061" cy="4969137"/>
                    </a:xfrm>
                    <a:prstGeom prst="rect">
                      <a:avLst/>
                    </a:prstGeom>
                    <a:noFill/>
                    <a:ln>
                      <a:noFill/>
                    </a:ln>
                  </pic:spPr>
                </pic:pic>
              </a:graphicData>
            </a:graphic>
          </wp:inline>
        </w:drawing>
      </w:r>
    </w:p>
    <w:p w:rsidR="00AC74F3" w:rsidRDefault="00AC74F3" w:rsidP="00AC74F3">
      <w:pPr>
        <w:jc w:val="both"/>
        <w:rPr>
          <w:rFonts w:cs="Arial"/>
          <w:sz w:val="16"/>
          <w:szCs w:val="16"/>
        </w:rPr>
      </w:pPr>
      <w:r>
        <w:rPr>
          <w:rFonts w:cs="Arial"/>
          <w:sz w:val="16"/>
          <w:szCs w:val="16"/>
        </w:rPr>
        <w:t>Zdroj: ČSÚ</w:t>
      </w:r>
    </w:p>
    <w:p w:rsidR="003528D9" w:rsidRDefault="005A3EC3" w:rsidP="005A3EC3">
      <w:pPr>
        <w:jc w:val="both"/>
        <w:rPr>
          <w:rFonts w:cs="Arial"/>
        </w:rPr>
      </w:pPr>
      <w:r w:rsidRPr="00C55B6D">
        <w:rPr>
          <w:rFonts w:cs="Arial"/>
        </w:rPr>
        <w:t xml:space="preserve">Z pohledu územního členění bylo </w:t>
      </w:r>
      <w:r w:rsidR="003C29AB" w:rsidRPr="00C55B6D">
        <w:rPr>
          <w:rFonts w:cs="Arial"/>
        </w:rPr>
        <w:t>v</w:t>
      </w:r>
      <w:r w:rsidR="00276756">
        <w:rPr>
          <w:rFonts w:cs="Arial"/>
        </w:rPr>
        <w:t xml:space="preserve"> 1. </w:t>
      </w:r>
      <w:proofErr w:type="spellStart"/>
      <w:r w:rsidR="00276756">
        <w:rPr>
          <w:rFonts w:cs="Arial"/>
        </w:rPr>
        <w:t>pol</w:t>
      </w:r>
      <w:proofErr w:type="spellEnd"/>
      <w:r w:rsidR="00276756">
        <w:rPr>
          <w:rFonts w:cs="Arial"/>
        </w:rPr>
        <w:t>. 2018</w:t>
      </w:r>
      <w:r w:rsidR="003C29AB" w:rsidRPr="00C55B6D">
        <w:rPr>
          <w:rFonts w:cs="Arial"/>
        </w:rPr>
        <w:t xml:space="preserve"> </w:t>
      </w:r>
      <w:r w:rsidRPr="00C55B6D">
        <w:rPr>
          <w:rFonts w:cs="Arial"/>
        </w:rPr>
        <w:t>nejvíce případů pracovní neschopnosti na 100 pojištěnců hlášeno v Libereckém kraji (</w:t>
      </w:r>
      <w:r w:rsidR="00276756">
        <w:rPr>
          <w:rFonts w:cs="Arial"/>
        </w:rPr>
        <w:t>27,0</w:t>
      </w:r>
      <w:r w:rsidRPr="00C55B6D">
        <w:rPr>
          <w:rFonts w:cs="Arial"/>
        </w:rPr>
        <w:t>)</w:t>
      </w:r>
      <w:r w:rsidR="00276756">
        <w:rPr>
          <w:rFonts w:cs="Arial"/>
        </w:rPr>
        <w:t xml:space="preserve">, </w:t>
      </w:r>
      <w:r w:rsidRPr="00C55B6D">
        <w:rPr>
          <w:rFonts w:cs="Arial"/>
        </w:rPr>
        <w:t>Plzeňském kraji (</w:t>
      </w:r>
      <w:r w:rsidR="00276756">
        <w:rPr>
          <w:rFonts w:cs="Arial"/>
        </w:rPr>
        <w:t>26,2</w:t>
      </w:r>
      <w:r w:rsidRPr="00C55B6D">
        <w:rPr>
          <w:rFonts w:cs="Arial"/>
        </w:rPr>
        <w:t>)</w:t>
      </w:r>
      <w:r w:rsidR="00276756">
        <w:rPr>
          <w:rFonts w:cs="Arial"/>
        </w:rPr>
        <w:t xml:space="preserve">, </w:t>
      </w:r>
      <w:r w:rsidR="003C29AB">
        <w:rPr>
          <w:rFonts w:cs="Arial"/>
        </w:rPr>
        <w:t xml:space="preserve">Jihočeském </w:t>
      </w:r>
      <w:r w:rsidR="005F554F" w:rsidRPr="00C55B6D">
        <w:rPr>
          <w:rFonts w:cs="Arial"/>
        </w:rPr>
        <w:t>(</w:t>
      </w:r>
      <w:r w:rsidR="00276756">
        <w:rPr>
          <w:rFonts w:cs="Arial"/>
        </w:rPr>
        <w:t>24,8</w:t>
      </w:r>
      <w:r w:rsidR="005F554F" w:rsidRPr="00C55B6D">
        <w:rPr>
          <w:rFonts w:cs="Arial"/>
        </w:rPr>
        <w:t>)</w:t>
      </w:r>
      <w:r w:rsidR="005F554F">
        <w:rPr>
          <w:rFonts w:cs="Arial"/>
        </w:rPr>
        <w:t xml:space="preserve">, </w:t>
      </w:r>
      <w:r w:rsidRPr="00C55B6D">
        <w:rPr>
          <w:rFonts w:cs="Arial"/>
        </w:rPr>
        <w:t>Karlovarském (</w:t>
      </w:r>
      <w:r w:rsidR="00276756">
        <w:rPr>
          <w:rFonts w:cs="Arial"/>
        </w:rPr>
        <w:t>25,4</w:t>
      </w:r>
      <w:r w:rsidRPr="00C55B6D">
        <w:rPr>
          <w:rFonts w:cs="Arial"/>
        </w:rPr>
        <w:t>) a </w:t>
      </w:r>
      <w:r w:rsidR="005F554F">
        <w:rPr>
          <w:rFonts w:cs="Arial"/>
        </w:rPr>
        <w:t>Královéhradeckém kraji (</w:t>
      </w:r>
      <w:r w:rsidR="00276756">
        <w:rPr>
          <w:rFonts w:cs="Arial"/>
        </w:rPr>
        <w:t>25,0</w:t>
      </w:r>
      <w:r w:rsidR="005F554F">
        <w:rPr>
          <w:rFonts w:cs="Arial"/>
        </w:rPr>
        <w:t>)</w:t>
      </w:r>
      <w:r w:rsidR="00A93A05">
        <w:rPr>
          <w:rFonts w:cs="Arial"/>
        </w:rPr>
        <w:t xml:space="preserve">. </w:t>
      </w:r>
      <w:r w:rsidRPr="00C55B6D">
        <w:rPr>
          <w:rFonts w:cs="Arial"/>
        </w:rPr>
        <w:t xml:space="preserve">Nejméně </w:t>
      </w:r>
      <w:r w:rsidR="005F554F">
        <w:rPr>
          <w:rFonts w:cs="Arial"/>
        </w:rPr>
        <w:t xml:space="preserve">případů </w:t>
      </w:r>
      <w:r w:rsidRPr="00C55B6D">
        <w:rPr>
          <w:rFonts w:cs="Arial"/>
        </w:rPr>
        <w:t xml:space="preserve">pak </w:t>
      </w:r>
      <w:r w:rsidR="003C29AB">
        <w:rPr>
          <w:rFonts w:cs="Arial"/>
        </w:rPr>
        <w:t xml:space="preserve">bylo hlášeno </w:t>
      </w:r>
      <w:r w:rsidRPr="00C55B6D">
        <w:rPr>
          <w:rFonts w:cs="Arial"/>
        </w:rPr>
        <w:t>v Hlavním městě Praze (</w:t>
      </w:r>
      <w:r w:rsidR="003D1806">
        <w:rPr>
          <w:rFonts w:cs="Arial"/>
        </w:rPr>
        <w:t>17,8),</w:t>
      </w:r>
      <w:r w:rsidRPr="00C55B6D">
        <w:rPr>
          <w:rFonts w:cs="Arial"/>
        </w:rPr>
        <w:t> Jihomoravském kraji (</w:t>
      </w:r>
      <w:r w:rsidR="003D1806">
        <w:rPr>
          <w:rFonts w:cs="Arial"/>
        </w:rPr>
        <w:t>21,5</w:t>
      </w:r>
      <w:r w:rsidRPr="00C55B6D">
        <w:rPr>
          <w:rFonts w:cs="Arial"/>
        </w:rPr>
        <w:t>)</w:t>
      </w:r>
      <w:r w:rsidR="003D1806">
        <w:rPr>
          <w:rFonts w:cs="Arial"/>
        </w:rPr>
        <w:t xml:space="preserve"> a</w:t>
      </w:r>
      <w:r w:rsidR="003D1806" w:rsidRPr="00C55B6D">
        <w:rPr>
          <w:rFonts w:cs="Arial"/>
        </w:rPr>
        <w:t> Olomouckém kraji (</w:t>
      </w:r>
      <w:r w:rsidR="003D1806">
        <w:rPr>
          <w:rFonts w:cs="Arial"/>
        </w:rPr>
        <w:t>21,4</w:t>
      </w:r>
      <w:r w:rsidR="003D1806" w:rsidRPr="00C55B6D">
        <w:rPr>
          <w:rFonts w:cs="Arial"/>
        </w:rPr>
        <w:t>)</w:t>
      </w:r>
      <w:r w:rsidRPr="00C55B6D">
        <w:rPr>
          <w:rFonts w:cs="Arial"/>
        </w:rPr>
        <w:t>. V</w:t>
      </w:r>
      <w:r w:rsidR="00F9071A">
        <w:rPr>
          <w:rFonts w:cs="Arial"/>
        </w:rPr>
        <w:t xml:space="preserve"> 1. </w:t>
      </w:r>
      <w:proofErr w:type="spellStart"/>
      <w:r w:rsidR="00F9071A">
        <w:rPr>
          <w:rFonts w:cs="Arial"/>
        </w:rPr>
        <w:t>pol</w:t>
      </w:r>
      <w:proofErr w:type="spellEnd"/>
      <w:r w:rsidR="00F9071A">
        <w:rPr>
          <w:rFonts w:cs="Arial"/>
        </w:rPr>
        <w:t xml:space="preserve">. 2018 </w:t>
      </w:r>
      <w:r w:rsidRPr="00C55B6D">
        <w:rPr>
          <w:rFonts w:cs="Arial"/>
        </w:rPr>
        <w:t xml:space="preserve">byl rozdíl mezi kraji s nejvyšším a nejnižším počtem pracovní neschopnosti na 100 pojištěnců </w:t>
      </w:r>
      <w:r w:rsidR="00D84C36">
        <w:rPr>
          <w:rFonts w:cs="Arial"/>
        </w:rPr>
        <w:t>9,2</w:t>
      </w:r>
      <w:r w:rsidR="00D84C36" w:rsidRPr="00C55B6D">
        <w:rPr>
          <w:rFonts w:cs="Arial"/>
        </w:rPr>
        <w:t xml:space="preserve"> </w:t>
      </w:r>
      <w:r w:rsidRPr="00C55B6D">
        <w:rPr>
          <w:rFonts w:cs="Arial"/>
        </w:rPr>
        <w:t xml:space="preserve">případů. </w:t>
      </w:r>
      <w:r w:rsidR="003528D9">
        <w:rPr>
          <w:rFonts w:cs="Arial"/>
        </w:rPr>
        <w:t>Hodnoty tohoto sledovaného ukazatele</w:t>
      </w:r>
      <w:r w:rsidR="004E7CB3">
        <w:rPr>
          <w:rFonts w:cs="Arial"/>
        </w:rPr>
        <w:t xml:space="preserve"> v</w:t>
      </w:r>
      <w:r w:rsidR="00F9071A">
        <w:rPr>
          <w:rFonts w:cs="Arial"/>
        </w:rPr>
        <w:t xml:space="preserve"> 1. </w:t>
      </w:r>
      <w:proofErr w:type="spellStart"/>
      <w:r w:rsidR="00F9071A">
        <w:rPr>
          <w:rFonts w:cs="Arial"/>
        </w:rPr>
        <w:t>pol</w:t>
      </w:r>
      <w:proofErr w:type="spellEnd"/>
      <w:r w:rsidR="00F9071A">
        <w:rPr>
          <w:rFonts w:cs="Arial"/>
        </w:rPr>
        <w:t xml:space="preserve">. 2018 </w:t>
      </w:r>
      <w:r w:rsidR="003528D9">
        <w:rPr>
          <w:rFonts w:cs="Arial"/>
        </w:rPr>
        <w:t xml:space="preserve">meziročně vzrostly ve všech krajích. </w:t>
      </w:r>
    </w:p>
    <w:p w:rsidR="005A3EC3" w:rsidRPr="00DA5EBB" w:rsidRDefault="005A3EC3" w:rsidP="005A3EC3">
      <w:pPr>
        <w:jc w:val="both"/>
        <w:rPr>
          <w:rFonts w:cs="Arial"/>
          <w:b/>
        </w:rPr>
      </w:pPr>
      <w:r w:rsidRPr="00C55B6D">
        <w:rPr>
          <w:rFonts w:cs="Arial"/>
        </w:rPr>
        <w:t>Rozdíly výskytu dočasné pracovní neschopnosti dle územního členění</w:t>
      </w:r>
      <w:r>
        <w:rPr>
          <w:rFonts w:cs="Arial"/>
        </w:rPr>
        <w:t xml:space="preserve"> jsou značně ovlivněny strukturou zaměstnanosti, charakterem převažující ekonomické činnosti a mírou nezaměstnanosti v daném regionu</w:t>
      </w:r>
      <w:r>
        <w:rPr>
          <w:rFonts w:cs="Arial"/>
          <w:b/>
        </w:rPr>
        <w:t xml:space="preserve">. </w:t>
      </w:r>
      <w:r w:rsidRPr="00A356D5">
        <w:rPr>
          <w:rFonts w:cs="Arial"/>
        </w:rPr>
        <w:t xml:space="preserve">Je nutno zohlednit též </w:t>
      </w:r>
      <w:r w:rsidRPr="003C29AB">
        <w:rPr>
          <w:rFonts w:cs="Arial"/>
          <w:b/>
        </w:rPr>
        <w:t>metodiku zpracování dat, kdy r</w:t>
      </w:r>
      <w:r w:rsidRPr="003C29AB">
        <w:rPr>
          <w:rFonts w:cs="Arial"/>
          <w:b/>
          <w:szCs w:val="20"/>
        </w:rPr>
        <w:t>ozlišení dle krajů a okresů vychází z údaje o sídle útvaru</w:t>
      </w:r>
      <w:r>
        <w:rPr>
          <w:rFonts w:cs="Arial"/>
          <w:szCs w:val="20"/>
        </w:rPr>
        <w:t>, který vede evidenci mezd u zaměstnavatele osoby, která je v pracovní neschopnosti.</w:t>
      </w:r>
    </w:p>
    <w:p w:rsidR="001116A9" w:rsidRDefault="001116A9" w:rsidP="00E25EE7">
      <w:pPr>
        <w:jc w:val="both"/>
        <w:rPr>
          <w:b/>
        </w:rPr>
      </w:pPr>
    </w:p>
    <w:p w:rsidR="007B3C22" w:rsidRDefault="007B3C22" w:rsidP="00E25EE7">
      <w:pPr>
        <w:jc w:val="both"/>
        <w:rPr>
          <w:b/>
        </w:rPr>
      </w:pPr>
    </w:p>
    <w:p w:rsidR="007B3C22" w:rsidRDefault="007B3C22" w:rsidP="00E25EE7">
      <w:pPr>
        <w:jc w:val="both"/>
        <w:rPr>
          <w:b/>
        </w:rPr>
      </w:pPr>
    </w:p>
    <w:p w:rsidR="002B4327" w:rsidRPr="00087D6A" w:rsidRDefault="002B4327" w:rsidP="00E25EE7">
      <w:pPr>
        <w:jc w:val="both"/>
        <w:rPr>
          <w:b/>
        </w:rPr>
      </w:pPr>
      <w:r w:rsidRPr="00087D6A">
        <w:rPr>
          <w:b/>
        </w:rPr>
        <w:lastRenderedPageBreak/>
        <w:t>Graf 2.</w:t>
      </w:r>
      <w:r>
        <w:rPr>
          <w:b/>
        </w:rPr>
        <w:t>4</w:t>
      </w:r>
      <w:r w:rsidRPr="00087D6A">
        <w:rPr>
          <w:b/>
        </w:rPr>
        <w:t xml:space="preserve"> – Nově hlášené případy </w:t>
      </w:r>
      <w:r>
        <w:rPr>
          <w:b/>
        </w:rPr>
        <w:t xml:space="preserve">dočasné </w:t>
      </w:r>
      <w:r w:rsidRPr="00087D6A">
        <w:rPr>
          <w:b/>
        </w:rPr>
        <w:t xml:space="preserve">pracovní neschopnosti na 100 pojištěnců </w:t>
      </w:r>
      <w:r>
        <w:rPr>
          <w:b/>
        </w:rPr>
        <w:t>po</w:t>
      </w:r>
      <w:r w:rsidRPr="00087D6A">
        <w:rPr>
          <w:b/>
        </w:rPr>
        <w:t xml:space="preserve">dle </w:t>
      </w:r>
      <w:r>
        <w:rPr>
          <w:b/>
        </w:rPr>
        <w:t>krajů ČR</w:t>
      </w:r>
      <w:r w:rsidRPr="00087D6A">
        <w:rPr>
          <w:b/>
        </w:rPr>
        <w:t xml:space="preserve"> v</w:t>
      </w:r>
      <w:r w:rsidR="00C730A3">
        <w:rPr>
          <w:b/>
        </w:rPr>
        <w:t> </w:t>
      </w:r>
      <w:r w:rsidR="00DF0F74">
        <w:rPr>
          <w:b/>
        </w:rPr>
        <w:t>1</w:t>
      </w:r>
      <w:r w:rsidR="00C730A3">
        <w:rPr>
          <w:b/>
        </w:rPr>
        <w:t>.</w:t>
      </w:r>
      <w:r w:rsidR="00DF0F74">
        <w:rPr>
          <w:b/>
        </w:rPr>
        <w:t xml:space="preserve"> </w:t>
      </w:r>
      <w:proofErr w:type="spellStart"/>
      <w:r w:rsidR="00DF0F74">
        <w:rPr>
          <w:b/>
        </w:rPr>
        <w:t>pol</w:t>
      </w:r>
      <w:proofErr w:type="spellEnd"/>
      <w:r w:rsidR="00DF0F74">
        <w:rPr>
          <w:b/>
        </w:rPr>
        <w:t>. 2018</w:t>
      </w:r>
    </w:p>
    <w:p w:rsidR="002B4327" w:rsidRDefault="00B2326D" w:rsidP="002B4327">
      <w:r w:rsidRPr="00B2326D">
        <w:rPr>
          <w:noProof/>
        </w:rPr>
        <w:drawing>
          <wp:inline distT="0" distB="0" distL="0" distR="0">
            <wp:extent cx="6122755" cy="3808675"/>
            <wp:effectExtent l="19050" t="0" r="0" b="0"/>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6120130" cy="3807042"/>
                    </a:xfrm>
                    <a:prstGeom prst="rect">
                      <a:avLst/>
                    </a:prstGeom>
                    <a:noFill/>
                    <a:ln w="9525">
                      <a:noFill/>
                      <a:miter lim="800000"/>
                      <a:headEnd/>
                      <a:tailEnd/>
                    </a:ln>
                  </pic:spPr>
                </pic:pic>
              </a:graphicData>
            </a:graphic>
          </wp:inline>
        </w:drawing>
      </w:r>
    </w:p>
    <w:p w:rsidR="00D82646" w:rsidRDefault="002B4327" w:rsidP="00E25EE7">
      <w:pPr>
        <w:jc w:val="both"/>
        <w:rPr>
          <w:rFonts w:cs="Arial"/>
          <w:sz w:val="16"/>
          <w:szCs w:val="16"/>
        </w:rPr>
      </w:pPr>
      <w:r>
        <w:rPr>
          <w:rFonts w:cs="Arial"/>
          <w:sz w:val="16"/>
          <w:szCs w:val="16"/>
        </w:rPr>
        <w:t>Zdroj: ČSÚ</w:t>
      </w:r>
    </w:p>
    <w:p w:rsidR="000E1AB0" w:rsidRDefault="000D3D37" w:rsidP="001116A9">
      <w:pPr>
        <w:jc w:val="both"/>
        <w:rPr>
          <w:rFonts w:cs="Arial"/>
          <w:b/>
        </w:rPr>
      </w:pPr>
      <w:r w:rsidRPr="00E5050F">
        <w:rPr>
          <w:rFonts w:cs="Arial"/>
          <w:b/>
        </w:rPr>
        <w:t>Tab. 2.3 –</w:t>
      </w:r>
      <w:r w:rsidR="00E25EE7" w:rsidRPr="00E5050F">
        <w:rPr>
          <w:rFonts w:cs="Arial"/>
          <w:b/>
        </w:rPr>
        <w:t xml:space="preserve"> N</w:t>
      </w:r>
      <w:r w:rsidRPr="00E5050F">
        <w:rPr>
          <w:rFonts w:cs="Arial"/>
          <w:b/>
        </w:rPr>
        <w:t>ově hlášen</w:t>
      </w:r>
      <w:r w:rsidR="00E25EE7" w:rsidRPr="00E5050F">
        <w:rPr>
          <w:rFonts w:cs="Arial"/>
          <w:b/>
        </w:rPr>
        <w:t>é</w:t>
      </w:r>
      <w:r w:rsidRPr="00E5050F">
        <w:rPr>
          <w:rFonts w:cs="Arial"/>
          <w:b/>
        </w:rPr>
        <w:t xml:space="preserve"> případ</w:t>
      </w:r>
      <w:r w:rsidR="00E25EE7" w:rsidRPr="00E5050F">
        <w:rPr>
          <w:rFonts w:cs="Arial"/>
          <w:b/>
        </w:rPr>
        <w:t>y</w:t>
      </w:r>
      <w:r w:rsidRPr="00E5050F">
        <w:rPr>
          <w:rFonts w:cs="Arial"/>
          <w:b/>
        </w:rPr>
        <w:t xml:space="preserve"> dočasné pracovní neschopnosti na 100 pojištěnců podle krajů ČR v</w:t>
      </w:r>
      <w:r w:rsidR="00030C62" w:rsidRPr="00E5050F">
        <w:rPr>
          <w:rFonts w:cs="Arial"/>
          <w:b/>
        </w:rPr>
        <w:t xml:space="preserve"> období 1. </w:t>
      </w:r>
      <w:proofErr w:type="spellStart"/>
      <w:r w:rsidR="00030C62" w:rsidRPr="00E5050F">
        <w:rPr>
          <w:rFonts w:cs="Arial"/>
          <w:b/>
        </w:rPr>
        <w:t>pol</w:t>
      </w:r>
      <w:proofErr w:type="spellEnd"/>
      <w:r w:rsidR="00030C62" w:rsidRPr="00E5050F">
        <w:rPr>
          <w:rFonts w:cs="Arial"/>
          <w:b/>
        </w:rPr>
        <w:t xml:space="preserve">. 2007 – 1. </w:t>
      </w:r>
      <w:proofErr w:type="spellStart"/>
      <w:r w:rsidR="00030C62" w:rsidRPr="00E5050F">
        <w:rPr>
          <w:rFonts w:cs="Arial"/>
          <w:b/>
        </w:rPr>
        <w:t>pol</w:t>
      </w:r>
      <w:proofErr w:type="spellEnd"/>
      <w:r w:rsidR="00030C62" w:rsidRPr="00E5050F">
        <w:rPr>
          <w:rFonts w:cs="Arial"/>
          <w:b/>
        </w:rPr>
        <w:t>. 2018</w:t>
      </w:r>
    </w:p>
    <w:p w:rsidR="002B4327" w:rsidRPr="00E5050F" w:rsidRDefault="00D82646" w:rsidP="001116A9">
      <w:pPr>
        <w:jc w:val="both"/>
        <w:rPr>
          <w:rFonts w:cs="Arial"/>
        </w:rPr>
      </w:pPr>
      <w:r w:rsidRPr="00D82646">
        <w:rPr>
          <w:noProof/>
        </w:rPr>
        <w:drawing>
          <wp:inline distT="0" distB="0" distL="0" distR="0">
            <wp:extent cx="6124575" cy="3457575"/>
            <wp:effectExtent l="19050" t="0" r="9525" b="0"/>
            <wp:docPr id="67"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tretch>
                      <a:fillRect/>
                    </a:stretch>
                  </pic:blipFill>
                  <pic:spPr bwMode="auto">
                    <a:xfrm>
                      <a:off x="0" y="0"/>
                      <a:ext cx="6124575" cy="3457575"/>
                    </a:xfrm>
                    <a:prstGeom prst="rect">
                      <a:avLst/>
                    </a:prstGeom>
                    <a:noFill/>
                    <a:ln>
                      <a:noFill/>
                    </a:ln>
                  </pic:spPr>
                </pic:pic>
              </a:graphicData>
            </a:graphic>
          </wp:inline>
        </w:drawing>
      </w:r>
    </w:p>
    <w:p w:rsidR="000D3D37" w:rsidRPr="00E5050F" w:rsidRDefault="000D3D37" w:rsidP="000D3D37">
      <w:pPr>
        <w:jc w:val="both"/>
        <w:rPr>
          <w:rFonts w:cs="Arial"/>
          <w:sz w:val="16"/>
          <w:szCs w:val="16"/>
        </w:rPr>
      </w:pPr>
      <w:r w:rsidRPr="00E5050F">
        <w:rPr>
          <w:rFonts w:cs="Arial"/>
          <w:sz w:val="16"/>
          <w:szCs w:val="16"/>
        </w:rPr>
        <w:t>Zdroj: ČSÚ</w:t>
      </w:r>
    </w:p>
    <w:p w:rsidR="00B30F55" w:rsidRDefault="00B30F55" w:rsidP="00B30F55">
      <w:pPr>
        <w:jc w:val="both"/>
        <w:rPr>
          <w:rFonts w:cs="Arial"/>
        </w:rPr>
      </w:pPr>
      <w:r>
        <w:rPr>
          <w:rFonts w:cs="Arial"/>
        </w:rPr>
        <w:lastRenderedPageBreak/>
        <w:t>Z pohledu velikosti podniku měli v</w:t>
      </w:r>
      <w:r w:rsidR="00924266">
        <w:rPr>
          <w:rFonts w:cs="Arial"/>
        </w:rPr>
        <w:t xml:space="preserve"> 1. </w:t>
      </w:r>
      <w:proofErr w:type="spellStart"/>
      <w:r w:rsidR="00924266">
        <w:rPr>
          <w:rFonts w:cs="Arial"/>
        </w:rPr>
        <w:t>pol</w:t>
      </w:r>
      <w:proofErr w:type="spellEnd"/>
      <w:r w:rsidR="00924266">
        <w:rPr>
          <w:rFonts w:cs="Arial"/>
        </w:rPr>
        <w:t xml:space="preserve">. 2018 </w:t>
      </w:r>
      <w:r>
        <w:rPr>
          <w:rFonts w:cs="Arial"/>
        </w:rPr>
        <w:t xml:space="preserve">nejvíce nově hlášených případů dočasné pracovní neschopnosti zaměstnavatelé s 500 a více zaměstnanci – </w:t>
      </w:r>
      <w:r w:rsidR="00F6133A">
        <w:rPr>
          <w:rFonts w:cs="Arial"/>
        </w:rPr>
        <w:t>376</w:t>
      </w:r>
      <w:r>
        <w:rPr>
          <w:rFonts w:cs="Arial"/>
        </w:rPr>
        <w:t>,</w:t>
      </w:r>
      <w:r w:rsidR="007E063A">
        <w:rPr>
          <w:rFonts w:cs="Arial"/>
        </w:rPr>
        <w:t>9</w:t>
      </w:r>
      <w:r>
        <w:rPr>
          <w:rFonts w:cs="Arial"/>
        </w:rPr>
        <w:t xml:space="preserve"> tis. případů (</w:t>
      </w:r>
      <w:r w:rsidR="00883D46">
        <w:rPr>
          <w:rFonts w:cs="Arial"/>
        </w:rPr>
        <w:t>36</w:t>
      </w:r>
      <w:r w:rsidR="00985FE8">
        <w:rPr>
          <w:rFonts w:cs="Arial"/>
        </w:rPr>
        <w:t xml:space="preserve">,2 </w:t>
      </w:r>
      <w:r>
        <w:rPr>
          <w:rFonts w:cs="Arial"/>
        </w:rPr>
        <w:t xml:space="preserve">% podíl na republikové hodnotě), následováni zaměstnavateli s 1 – 49 zaměstnanci – </w:t>
      </w:r>
      <w:r w:rsidR="007E063A">
        <w:rPr>
          <w:rFonts w:cs="Arial"/>
        </w:rPr>
        <w:t>265,5</w:t>
      </w:r>
      <w:r>
        <w:rPr>
          <w:rFonts w:cs="Arial"/>
        </w:rPr>
        <w:t xml:space="preserve"> tis. </w:t>
      </w:r>
      <w:r w:rsidR="00D11B8B">
        <w:rPr>
          <w:rFonts w:cs="Arial"/>
        </w:rPr>
        <w:t>případů</w:t>
      </w:r>
      <w:r>
        <w:rPr>
          <w:rFonts w:cs="Arial"/>
        </w:rPr>
        <w:t xml:space="preserve"> (</w:t>
      </w:r>
      <w:r w:rsidR="00985FE8">
        <w:rPr>
          <w:rFonts w:cs="Arial"/>
        </w:rPr>
        <w:t xml:space="preserve">25,5 </w:t>
      </w:r>
      <w:r>
        <w:rPr>
          <w:rFonts w:cs="Arial"/>
        </w:rPr>
        <w:t xml:space="preserve">% podíl). </w:t>
      </w:r>
      <w:r w:rsidR="00C634E0">
        <w:rPr>
          <w:rFonts w:cs="Arial"/>
        </w:rPr>
        <w:t>V případě relativního ukazatele je však situace odlišná – n</w:t>
      </w:r>
      <w:r w:rsidR="00C634E0" w:rsidRPr="00C55B6D">
        <w:rPr>
          <w:rFonts w:cs="Arial"/>
        </w:rPr>
        <w:t>ejvíce případů pracovní neschopnosti na 100 pojištěnců</w:t>
      </w:r>
      <w:r w:rsidR="00C634E0">
        <w:rPr>
          <w:rFonts w:cs="Arial"/>
        </w:rPr>
        <w:t xml:space="preserve"> měly firmy se 100 – 249 zaměstnanci (</w:t>
      </w:r>
      <w:r w:rsidR="007E09FA">
        <w:rPr>
          <w:rFonts w:cs="Arial"/>
        </w:rPr>
        <w:t xml:space="preserve">25,6 </w:t>
      </w:r>
      <w:r w:rsidR="00C634E0">
        <w:rPr>
          <w:rFonts w:cs="Arial"/>
        </w:rPr>
        <w:t>případů), nejméně případů pak zaznamenáváme u osob samostatně výdělečně činných (</w:t>
      </w:r>
      <w:r w:rsidR="007E09FA">
        <w:rPr>
          <w:rFonts w:cs="Arial"/>
        </w:rPr>
        <w:t>7,3</w:t>
      </w:r>
      <w:r w:rsidR="00C634E0">
        <w:rPr>
          <w:rFonts w:cs="Arial"/>
        </w:rPr>
        <w:t xml:space="preserve"> případů).</w:t>
      </w:r>
    </w:p>
    <w:p w:rsidR="0021605D" w:rsidRDefault="0021605D" w:rsidP="00EE4B1B"/>
    <w:p w:rsidR="0047735C" w:rsidRDefault="003C629F" w:rsidP="006701EE">
      <w:pPr>
        <w:pStyle w:val="Nadpis3"/>
        <w:spacing w:after="100"/>
      </w:pPr>
      <w:bookmarkStart w:id="3" w:name="_Toc513101500"/>
      <w:r>
        <w:t>4.2.2. Délka trvání dočasné pracovní neschopnosti</w:t>
      </w:r>
      <w:bookmarkEnd w:id="3"/>
    </w:p>
    <w:p w:rsidR="00FA436A" w:rsidRPr="00FA436A" w:rsidRDefault="00FA436A" w:rsidP="00FA436A">
      <w:pPr>
        <w:jc w:val="both"/>
        <w:rPr>
          <w:bCs/>
        </w:rPr>
      </w:pPr>
      <w:r>
        <w:t xml:space="preserve">Pro posouzení vývoje pracovní neschopnosti je důležité nejen zjištění, </w:t>
      </w:r>
      <w:r w:rsidRPr="00FA436A">
        <w:t xml:space="preserve">jak často </w:t>
      </w:r>
      <w:r>
        <w:t>zaměstnanci</w:t>
      </w:r>
      <w:r w:rsidRPr="00FA436A">
        <w:t xml:space="preserve"> do pracovní neschopnosti nastupují, </w:t>
      </w:r>
      <w:r>
        <w:t xml:space="preserve">ale i to, </w:t>
      </w:r>
      <w:r w:rsidRPr="00FA436A">
        <w:t xml:space="preserve">jak dlouho v pracovní neschopnosti zůstávají. </w:t>
      </w:r>
    </w:p>
    <w:p w:rsidR="00A96047" w:rsidRPr="00A96047" w:rsidRDefault="00A96047" w:rsidP="007508FD">
      <w:pPr>
        <w:pStyle w:val="Box1"/>
        <w:jc w:val="both"/>
        <w:rPr>
          <w:i/>
        </w:rPr>
      </w:pPr>
      <w:r w:rsidRPr="00A96047">
        <w:rPr>
          <w:b/>
          <w:i/>
        </w:rPr>
        <w:t>Počet kalendářních dnů dočasné pracovní neschopnosti</w:t>
      </w:r>
      <w:r w:rsidRPr="00A96047">
        <w:rPr>
          <w:i/>
        </w:rPr>
        <w:t xml:space="preserve"> – ukazatel udává celkový počet kalendářních dnů, po které byli v daném období (</w:t>
      </w:r>
      <w:r w:rsidR="0013134F">
        <w:rPr>
          <w:i/>
        </w:rPr>
        <w:t>pololetí</w:t>
      </w:r>
      <w:r w:rsidRPr="00A96047">
        <w:rPr>
          <w:i/>
        </w:rPr>
        <w:t xml:space="preserve">) </w:t>
      </w:r>
      <w:proofErr w:type="spellStart"/>
      <w:r w:rsidRPr="00A96047">
        <w:rPr>
          <w:i/>
        </w:rPr>
        <w:t>nemocensky</w:t>
      </w:r>
      <w:proofErr w:type="spellEnd"/>
      <w:r w:rsidRPr="00A96047">
        <w:rPr>
          <w:i/>
        </w:rPr>
        <w:t xml:space="preserve">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p>
    <w:p w:rsidR="00A96047" w:rsidRPr="00A96047" w:rsidRDefault="00A96047" w:rsidP="007508FD">
      <w:pPr>
        <w:pStyle w:val="Box1"/>
        <w:jc w:val="both"/>
        <w:rPr>
          <w:i/>
        </w:rPr>
      </w:pPr>
    </w:p>
    <w:p w:rsidR="00A96047" w:rsidRPr="00A96047" w:rsidRDefault="00A96047" w:rsidP="007508FD">
      <w:pPr>
        <w:pStyle w:val="Box1"/>
        <w:jc w:val="both"/>
        <w:rPr>
          <w:i/>
        </w:rPr>
      </w:pPr>
      <w:r w:rsidRPr="00A96047">
        <w:rPr>
          <w:b/>
          <w:i/>
        </w:rPr>
        <w:t>Průměrná délka trvání pracovní neschopnosti ve dnech</w:t>
      </w:r>
      <w:r w:rsidRPr="00A96047">
        <w:rPr>
          <w:i/>
        </w:rPr>
        <w:t xml:space="preserve"> – ukazatel vyjadřuje, kolik kalendářních dnů pracovní neschopnosti v průměru připadá na jeden nově hlášený případ pracovní neschopnosti. </w:t>
      </w:r>
    </w:p>
    <w:p w:rsidR="00A96047" w:rsidRPr="00A96047" w:rsidRDefault="00A96047" w:rsidP="007508FD">
      <w:pPr>
        <w:pStyle w:val="Box1"/>
        <w:jc w:val="both"/>
        <w:rPr>
          <w:i/>
          <w:u w:val="single"/>
        </w:rPr>
      </w:pPr>
      <w:r w:rsidRPr="00A96047">
        <w:rPr>
          <w:i/>
          <w:u w:val="single"/>
        </w:rPr>
        <w:t>Způsob výpočtu:</w:t>
      </w:r>
    </w:p>
    <w:p w:rsidR="003C629F" w:rsidRPr="00A96047" w:rsidRDefault="00A96047" w:rsidP="007508FD">
      <w:pPr>
        <w:pStyle w:val="Box1"/>
        <w:jc w:val="both"/>
        <w:rPr>
          <w:i/>
        </w:rPr>
      </w:pPr>
      <w:r w:rsidRPr="00A96047">
        <w:rPr>
          <w:i/>
        </w:rPr>
        <w:t>Průměrná délka trvání pracovní neschopnosti ve dnech = počet kalendářních dnů dočasné pracovní neschopnosti / počet nově hlášených případů dočasné pracovní neschopnosti</w:t>
      </w:r>
      <w:r w:rsidR="003C629F" w:rsidRPr="00A96047">
        <w:rPr>
          <w:i/>
        </w:rPr>
        <w:t>.</w:t>
      </w:r>
    </w:p>
    <w:p w:rsidR="008E657B" w:rsidRDefault="008E657B" w:rsidP="008E657B">
      <w:pPr>
        <w:jc w:val="both"/>
      </w:pPr>
      <w:r w:rsidRPr="0047002D">
        <w:t>Počet kalendářních dnů dočasné pracovní neschopnosti</w:t>
      </w:r>
      <w:r>
        <w:rPr>
          <w:b/>
        </w:rPr>
        <w:t xml:space="preserve"> </w:t>
      </w:r>
      <w:r w:rsidRPr="00A977AC">
        <w:t xml:space="preserve">je dán součtem dnů, po </w:t>
      </w:r>
      <w:r w:rsidR="00C730A3">
        <w:t>které</w:t>
      </w:r>
      <w:r w:rsidR="00C730A3" w:rsidRPr="00A977AC">
        <w:t xml:space="preserve"> </w:t>
      </w:r>
      <w:r w:rsidRPr="00A977AC">
        <w:t>trvala dočasná pracovní neschopnost všech</w:t>
      </w:r>
      <w:r w:rsidR="0047002D">
        <w:t xml:space="preserve"> nově</w:t>
      </w:r>
      <w:r w:rsidRPr="00A977AC">
        <w:t xml:space="preserve"> hlášených případů. Tento ukazatel</w:t>
      </w:r>
      <w:r>
        <w:rPr>
          <w:b/>
        </w:rPr>
        <w:t xml:space="preserve"> </w:t>
      </w:r>
      <w:r>
        <w:t xml:space="preserve">meziročně vrostl </w:t>
      </w:r>
      <w:proofErr w:type="gramStart"/>
      <w:r>
        <w:t>z</w:t>
      </w:r>
      <w:r w:rsidR="0047002D">
        <w:t>e</w:t>
      </w:r>
      <w:proofErr w:type="gramEnd"/>
      <w:r>
        <w:t> </w:t>
      </w:r>
      <w:r w:rsidR="00CD2CF0">
        <w:t>38</w:t>
      </w:r>
      <w:r w:rsidR="00F02CDA">
        <w:t> </w:t>
      </w:r>
      <w:r w:rsidR="00CD2CF0">
        <w:t>709</w:t>
      </w:r>
      <w:r w:rsidR="0047002D">
        <w:t xml:space="preserve"> </w:t>
      </w:r>
      <w:r>
        <w:t>tis.</w:t>
      </w:r>
      <w:r>
        <w:rPr>
          <w:sz w:val="16"/>
          <w:szCs w:val="16"/>
        </w:rPr>
        <w:t xml:space="preserve"> </w:t>
      </w:r>
      <w:r w:rsidR="0047002D">
        <w:t>prostonaných dnů v</w:t>
      </w:r>
      <w:r w:rsidR="00CD2CF0">
        <w:t xml:space="preserve"> 1. </w:t>
      </w:r>
      <w:proofErr w:type="spellStart"/>
      <w:r w:rsidR="00CD2CF0">
        <w:t>pol</w:t>
      </w:r>
      <w:proofErr w:type="spellEnd"/>
      <w:r w:rsidR="00CD2CF0">
        <w:t>. 2017</w:t>
      </w:r>
      <w:r>
        <w:t xml:space="preserve"> na </w:t>
      </w:r>
      <w:r w:rsidR="00CD2CF0">
        <w:t xml:space="preserve">40 624 </w:t>
      </w:r>
      <w:r>
        <w:t xml:space="preserve">tis. </w:t>
      </w:r>
      <w:r w:rsidRPr="00C55B6D">
        <w:t>dnů v</w:t>
      </w:r>
      <w:r w:rsidR="00E2797D">
        <w:t xml:space="preserve"> 1. </w:t>
      </w:r>
      <w:proofErr w:type="spellStart"/>
      <w:r w:rsidR="00E2797D">
        <w:t>pol</w:t>
      </w:r>
      <w:proofErr w:type="spellEnd"/>
      <w:r w:rsidR="00E2797D">
        <w:t>.</w:t>
      </w:r>
      <w:r w:rsidRPr="00C55B6D">
        <w:t xml:space="preserve"> </w:t>
      </w:r>
      <w:r w:rsidR="00E2797D">
        <w:t xml:space="preserve">2018 </w:t>
      </w:r>
      <w:r w:rsidRPr="00C55B6D">
        <w:t xml:space="preserve">(tj. o </w:t>
      </w:r>
      <w:r w:rsidR="00CA2EB1">
        <w:t>4</w:t>
      </w:r>
      <w:r w:rsidRPr="00C55B6D">
        <w:t>,</w:t>
      </w:r>
      <w:r w:rsidR="00CA2EB1">
        <w:t>9</w:t>
      </w:r>
      <w:r w:rsidRPr="00C55B6D">
        <w:t xml:space="preserve"> %). </w:t>
      </w:r>
      <w:r w:rsidR="00F73A5D">
        <w:t>P</w:t>
      </w:r>
      <w:r w:rsidRPr="00C55B6D">
        <w:t>oč</w:t>
      </w:r>
      <w:r w:rsidR="00F73A5D">
        <w:t>e</w:t>
      </w:r>
      <w:r w:rsidRPr="00C55B6D">
        <w:t xml:space="preserve">t </w:t>
      </w:r>
      <w:r w:rsidR="00F73A5D">
        <w:t xml:space="preserve">prostonaných </w:t>
      </w:r>
      <w:r w:rsidRPr="00C55B6D">
        <w:t>dnů</w:t>
      </w:r>
      <w:r w:rsidR="00F73A5D" w:rsidRPr="00F73A5D">
        <w:t xml:space="preserve"> </w:t>
      </w:r>
      <w:r w:rsidR="00F73A5D" w:rsidRPr="002247CA">
        <w:t>pro nemoc</w:t>
      </w:r>
      <w:r w:rsidRPr="00C55B6D">
        <w:t xml:space="preserve"> </w:t>
      </w:r>
      <w:r w:rsidR="00F73A5D">
        <w:t>činil</w:t>
      </w:r>
      <w:r w:rsidRPr="00C55B6D">
        <w:t xml:space="preserve"> </w:t>
      </w:r>
      <w:r w:rsidR="00CA2EB1">
        <w:t>35</w:t>
      </w:r>
      <w:r w:rsidRPr="00C55B6D">
        <w:t xml:space="preserve"> </w:t>
      </w:r>
      <w:r w:rsidR="002247CA">
        <w:t>1</w:t>
      </w:r>
      <w:r w:rsidR="00CA2EB1">
        <w:t>67</w:t>
      </w:r>
      <w:r w:rsidRPr="00C55B6D">
        <w:t xml:space="preserve"> tis. </w:t>
      </w:r>
      <w:r w:rsidRPr="002247CA">
        <w:t xml:space="preserve">dnů </w:t>
      </w:r>
      <w:r w:rsidR="002247CA" w:rsidRPr="002247CA">
        <w:t>(</w:t>
      </w:r>
      <w:r w:rsidR="00F02CDA" w:rsidRPr="002247CA">
        <w:t>8</w:t>
      </w:r>
      <w:r w:rsidR="00F02CDA">
        <w:t>6</w:t>
      </w:r>
      <w:r w:rsidR="002247CA" w:rsidRPr="002247CA">
        <w:t>,</w:t>
      </w:r>
      <w:r w:rsidR="000C0175">
        <w:t>6</w:t>
      </w:r>
      <w:r w:rsidR="002247CA" w:rsidRPr="002247CA">
        <w:t> %)</w:t>
      </w:r>
      <w:r w:rsidRPr="002247CA">
        <w:t xml:space="preserve">, </w:t>
      </w:r>
      <w:r w:rsidR="00F73A5D" w:rsidRPr="002247CA">
        <w:t>pro pracovní úraz</w:t>
      </w:r>
      <w:r w:rsidR="00F73A5D">
        <w:t xml:space="preserve"> </w:t>
      </w:r>
      <w:r w:rsidR="00CA2EB1">
        <w:t>1</w:t>
      </w:r>
      <w:r w:rsidRPr="002247CA">
        <w:t xml:space="preserve"> </w:t>
      </w:r>
      <w:r w:rsidR="00CA2EB1">
        <w:t>312</w:t>
      </w:r>
      <w:r w:rsidRPr="002247CA">
        <w:t xml:space="preserve"> tis. dnů </w:t>
      </w:r>
      <w:r w:rsidR="002247CA" w:rsidRPr="002247CA">
        <w:t>(3,</w:t>
      </w:r>
      <w:r w:rsidR="000C0175">
        <w:t>2</w:t>
      </w:r>
      <w:r w:rsidR="002247CA" w:rsidRPr="002247CA">
        <w:t xml:space="preserve"> %) </w:t>
      </w:r>
      <w:r w:rsidRPr="002247CA">
        <w:t xml:space="preserve">a </w:t>
      </w:r>
      <w:r w:rsidR="00F73A5D" w:rsidRPr="00C55B6D">
        <w:t>pro ostatní úrazy</w:t>
      </w:r>
      <w:r w:rsidR="00F73A5D" w:rsidRPr="002247CA">
        <w:t xml:space="preserve"> </w:t>
      </w:r>
      <w:r w:rsidR="00CA2EB1">
        <w:t>4 144</w:t>
      </w:r>
      <w:r w:rsidRPr="002247CA">
        <w:t xml:space="preserve"> tis. dnů </w:t>
      </w:r>
      <w:r w:rsidR="002247CA" w:rsidRPr="002247CA">
        <w:t>(</w:t>
      </w:r>
      <w:r w:rsidR="000C0175">
        <w:t>10,2</w:t>
      </w:r>
      <w:r w:rsidR="002247CA" w:rsidRPr="00C55B6D">
        <w:t xml:space="preserve"> %)</w:t>
      </w:r>
      <w:r w:rsidRPr="00C55B6D">
        <w:t xml:space="preserve">. Ženy byly v dočasné pracovní neschopnosti celkem </w:t>
      </w:r>
      <w:r w:rsidR="00C02C16">
        <w:t xml:space="preserve">22 187 </w:t>
      </w:r>
      <w:r w:rsidRPr="00C55B6D">
        <w:t xml:space="preserve">tis. dnů, o </w:t>
      </w:r>
      <w:r w:rsidR="00C02C16">
        <w:t>3 751</w:t>
      </w:r>
      <w:r w:rsidRPr="00C55B6D">
        <w:t xml:space="preserve"> tis. dnů </w:t>
      </w:r>
      <w:r w:rsidR="00A15600">
        <w:t>déle než muži</w:t>
      </w:r>
      <w:r w:rsidRPr="00C55B6D">
        <w:t xml:space="preserve">. </w:t>
      </w:r>
      <w:r w:rsidR="004C35FD" w:rsidRPr="008C5C6B">
        <w:t>Podrobně</w:t>
      </w:r>
      <w:r w:rsidR="004C35FD">
        <w:t xml:space="preserve">jší přehled vývoje </w:t>
      </w:r>
      <w:r w:rsidR="004C35FD" w:rsidRPr="008C5C6B">
        <w:t xml:space="preserve">viz </w:t>
      </w:r>
      <w:r w:rsidR="004C35FD">
        <w:t xml:space="preserve">tab. 2.4 a </w:t>
      </w:r>
      <w:r w:rsidR="004C35FD" w:rsidRPr="008C5C6B">
        <w:t>graf 2.</w:t>
      </w:r>
      <w:r w:rsidR="004C35FD">
        <w:t>5</w:t>
      </w:r>
      <w:r w:rsidR="004C35FD" w:rsidRPr="008C5C6B">
        <w:t>.</w:t>
      </w:r>
    </w:p>
    <w:p w:rsidR="00464A3E" w:rsidRDefault="00464A3E" w:rsidP="00464A3E">
      <w:pPr>
        <w:jc w:val="both"/>
        <w:rPr>
          <w:i/>
          <w:color w:val="7030A0"/>
        </w:rPr>
      </w:pPr>
      <w:r>
        <w:t>Vývoj tohoto absolutního ukazatele v posledních letech má obdobný trend jako vývoj ukazatele počet případů pracovní neschopnosti (viz graf 2.5), opačný vývoj má relativní ukazatel průměrné délky trvání pracovní neschopnosti (viz graf 2.6), který je vhodný pro porovnání intenzity pracovní neschopnosti v jednotlivých regionech, odvětvích či velikostních skupinách podniků.</w:t>
      </w:r>
    </w:p>
    <w:p w:rsidR="00880500" w:rsidRDefault="00D24A11" w:rsidP="00D24A11">
      <w:pPr>
        <w:jc w:val="both"/>
        <w:rPr>
          <w:rFonts w:cs="Arial"/>
        </w:rPr>
      </w:pPr>
      <w:r w:rsidRPr="00D24A11">
        <w:rPr>
          <w:rFonts w:cs="Arial"/>
        </w:rPr>
        <w:t xml:space="preserve">Průměrná délka trvání 1 případu dočasné pracovní neschopnosti </w:t>
      </w:r>
      <w:r w:rsidRPr="00C55B6D">
        <w:rPr>
          <w:rFonts w:cs="Arial"/>
        </w:rPr>
        <w:t xml:space="preserve">meziročně </w:t>
      </w:r>
      <w:r>
        <w:rPr>
          <w:rFonts w:cs="Arial"/>
        </w:rPr>
        <w:t>poklesla</w:t>
      </w:r>
      <w:r w:rsidRPr="00C55B6D">
        <w:rPr>
          <w:rFonts w:cs="Arial"/>
        </w:rPr>
        <w:t xml:space="preserve"> ze </w:t>
      </w:r>
      <w:r w:rsidR="008D27B0">
        <w:rPr>
          <w:rFonts w:cs="Arial"/>
        </w:rPr>
        <w:t>41</w:t>
      </w:r>
      <w:r w:rsidRPr="00C55B6D">
        <w:rPr>
          <w:rFonts w:cs="Arial"/>
        </w:rPr>
        <w:t xml:space="preserve"> dn</w:t>
      </w:r>
      <w:r>
        <w:rPr>
          <w:rFonts w:cs="Arial"/>
        </w:rPr>
        <w:t>ů</w:t>
      </w:r>
      <w:r w:rsidRPr="00C55B6D">
        <w:rPr>
          <w:rFonts w:cs="Arial"/>
        </w:rPr>
        <w:t xml:space="preserve"> v</w:t>
      </w:r>
      <w:r w:rsidR="00E6186A">
        <w:rPr>
          <w:rFonts w:cs="Arial"/>
        </w:rPr>
        <w:t xml:space="preserve"> 1. </w:t>
      </w:r>
      <w:proofErr w:type="spellStart"/>
      <w:r w:rsidR="00E6186A">
        <w:rPr>
          <w:rFonts w:cs="Arial"/>
        </w:rPr>
        <w:t>pol</w:t>
      </w:r>
      <w:proofErr w:type="spellEnd"/>
      <w:r w:rsidR="00E6186A">
        <w:rPr>
          <w:rFonts w:cs="Arial"/>
        </w:rPr>
        <w:t>. 2017</w:t>
      </w:r>
      <w:r>
        <w:rPr>
          <w:rFonts w:cs="Arial"/>
        </w:rPr>
        <w:t xml:space="preserve"> na </w:t>
      </w:r>
      <w:r w:rsidR="008D27B0">
        <w:rPr>
          <w:rFonts w:cs="Arial"/>
        </w:rPr>
        <w:t>39,1</w:t>
      </w:r>
      <w:r w:rsidRPr="00C55B6D">
        <w:rPr>
          <w:rFonts w:cs="Arial"/>
        </w:rPr>
        <w:t xml:space="preserve"> dne v</w:t>
      </w:r>
      <w:r w:rsidR="00E6186A">
        <w:rPr>
          <w:rFonts w:cs="Arial"/>
        </w:rPr>
        <w:t xml:space="preserve"> 1. </w:t>
      </w:r>
      <w:proofErr w:type="spellStart"/>
      <w:r w:rsidR="00E6186A">
        <w:rPr>
          <w:rFonts w:cs="Arial"/>
        </w:rPr>
        <w:t>pol</w:t>
      </w:r>
      <w:proofErr w:type="spellEnd"/>
      <w:r w:rsidR="00E6186A">
        <w:rPr>
          <w:rFonts w:cs="Arial"/>
        </w:rPr>
        <w:t>. 2018</w:t>
      </w:r>
      <w:r w:rsidRPr="00C55B6D">
        <w:rPr>
          <w:bCs/>
        </w:rPr>
        <w:t>.</w:t>
      </w:r>
      <w:r w:rsidRPr="00C55B6D">
        <w:rPr>
          <w:rFonts w:cs="Arial"/>
        </w:rPr>
        <w:t xml:space="preserve"> </w:t>
      </w:r>
      <w:r>
        <w:rPr>
          <w:rFonts w:cs="Arial"/>
        </w:rPr>
        <w:t>Jeden</w:t>
      </w:r>
      <w:r w:rsidRPr="00C55B6D">
        <w:rPr>
          <w:rFonts w:cs="Arial"/>
        </w:rPr>
        <w:t xml:space="preserve"> případ dočasné pracovní neschopn</w:t>
      </w:r>
      <w:r>
        <w:rPr>
          <w:rFonts w:cs="Arial"/>
        </w:rPr>
        <w:t xml:space="preserve">osti z důvodu nemoci průměrně trval </w:t>
      </w:r>
      <w:r w:rsidR="008D27B0">
        <w:rPr>
          <w:rFonts w:cs="Arial"/>
        </w:rPr>
        <w:t>37,5</w:t>
      </w:r>
      <w:r w:rsidRPr="00C55B6D">
        <w:rPr>
          <w:rFonts w:cs="Arial"/>
        </w:rPr>
        <w:t xml:space="preserve"> dne, z důvodu pracovního úrazu 54,</w:t>
      </w:r>
      <w:r w:rsidR="008D27B0">
        <w:rPr>
          <w:rFonts w:cs="Arial"/>
        </w:rPr>
        <w:t>5</w:t>
      </w:r>
      <w:r w:rsidRPr="00C55B6D">
        <w:rPr>
          <w:rFonts w:cs="Arial"/>
        </w:rPr>
        <w:t xml:space="preserve"> dne a z důvodu ostatních úrazů 5</w:t>
      </w:r>
      <w:r w:rsidR="008D27B0">
        <w:rPr>
          <w:rFonts w:cs="Arial"/>
        </w:rPr>
        <w:t>2</w:t>
      </w:r>
      <w:r w:rsidRPr="00C55B6D">
        <w:rPr>
          <w:rFonts w:cs="Arial"/>
        </w:rPr>
        <w:t>,</w:t>
      </w:r>
      <w:r w:rsidR="008D27B0">
        <w:rPr>
          <w:rFonts w:cs="Arial"/>
        </w:rPr>
        <w:t>9</w:t>
      </w:r>
      <w:r w:rsidRPr="00C55B6D">
        <w:rPr>
          <w:rFonts w:cs="Arial"/>
        </w:rPr>
        <w:t xml:space="preserve"> dne. </w:t>
      </w:r>
    </w:p>
    <w:p w:rsidR="00880500" w:rsidRDefault="00D24A11" w:rsidP="00D24A11">
      <w:pPr>
        <w:jc w:val="both"/>
        <w:rPr>
          <w:rFonts w:cs="Arial"/>
        </w:rPr>
      </w:pPr>
      <w:r w:rsidRPr="00C55B6D">
        <w:rPr>
          <w:rFonts w:cs="Arial"/>
        </w:rPr>
        <w:t xml:space="preserve">Průměrná délka trvání 1 případu pracovní neschopnosti žen se meziročně </w:t>
      </w:r>
      <w:r w:rsidR="001D7E19">
        <w:rPr>
          <w:rFonts w:cs="Arial"/>
        </w:rPr>
        <w:t>snížila</w:t>
      </w:r>
      <w:r w:rsidRPr="00C55B6D">
        <w:rPr>
          <w:rFonts w:cs="Arial"/>
        </w:rPr>
        <w:t xml:space="preserve"> ze 4</w:t>
      </w:r>
      <w:r w:rsidR="00880500">
        <w:rPr>
          <w:rFonts w:cs="Arial"/>
        </w:rPr>
        <w:t>2</w:t>
      </w:r>
      <w:r w:rsidRPr="00C55B6D">
        <w:rPr>
          <w:rFonts w:cs="Arial"/>
        </w:rPr>
        <w:t xml:space="preserve">,2 </w:t>
      </w:r>
      <w:r>
        <w:rPr>
          <w:rFonts w:cs="Arial"/>
        </w:rPr>
        <w:t xml:space="preserve">dne </w:t>
      </w:r>
      <w:r w:rsidR="00606BF5" w:rsidRPr="00C55B6D">
        <w:rPr>
          <w:rFonts w:cs="Arial"/>
        </w:rPr>
        <w:t>v</w:t>
      </w:r>
      <w:r w:rsidR="00606BF5">
        <w:rPr>
          <w:rFonts w:cs="Arial"/>
        </w:rPr>
        <w:t xml:space="preserve"> 1. </w:t>
      </w:r>
      <w:proofErr w:type="spellStart"/>
      <w:r w:rsidR="00606BF5">
        <w:rPr>
          <w:rFonts w:cs="Arial"/>
        </w:rPr>
        <w:t>pol</w:t>
      </w:r>
      <w:proofErr w:type="spellEnd"/>
      <w:r w:rsidR="00606BF5">
        <w:rPr>
          <w:rFonts w:cs="Arial"/>
        </w:rPr>
        <w:t>. 2017</w:t>
      </w:r>
      <w:r w:rsidRPr="00C55B6D">
        <w:rPr>
          <w:rFonts w:cs="Arial"/>
        </w:rPr>
        <w:t xml:space="preserve"> na </w:t>
      </w:r>
      <w:r w:rsidR="003E05D3">
        <w:rPr>
          <w:rFonts w:cs="Arial"/>
        </w:rPr>
        <w:t>39</w:t>
      </w:r>
      <w:r w:rsidRPr="00C55B6D">
        <w:rPr>
          <w:rFonts w:cs="Arial"/>
        </w:rPr>
        <w:t>,</w:t>
      </w:r>
      <w:r w:rsidR="003E05D3">
        <w:rPr>
          <w:rFonts w:cs="Arial"/>
        </w:rPr>
        <w:t>9</w:t>
      </w:r>
      <w:r w:rsidRPr="00C55B6D">
        <w:rPr>
          <w:rFonts w:cs="Arial"/>
        </w:rPr>
        <w:t xml:space="preserve"> dne v </w:t>
      </w:r>
      <w:r w:rsidR="00606BF5">
        <w:rPr>
          <w:rFonts w:cs="Arial"/>
        </w:rPr>
        <w:t xml:space="preserve">1. </w:t>
      </w:r>
      <w:proofErr w:type="spellStart"/>
      <w:r w:rsidR="00606BF5">
        <w:rPr>
          <w:rFonts w:cs="Arial"/>
        </w:rPr>
        <w:t>pol</w:t>
      </w:r>
      <w:proofErr w:type="spellEnd"/>
      <w:r w:rsidR="00606BF5">
        <w:rPr>
          <w:rFonts w:cs="Arial"/>
        </w:rPr>
        <w:t>. 2018</w:t>
      </w:r>
      <w:r w:rsidRPr="00C55B6D">
        <w:rPr>
          <w:rFonts w:cs="Arial"/>
        </w:rPr>
        <w:t xml:space="preserve">, v případě </w:t>
      </w:r>
      <w:r w:rsidR="00133F2E">
        <w:rPr>
          <w:rFonts w:cs="Arial"/>
        </w:rPr>
        <w:t xml:space="preserve">mužů se průměrná délka trvání 1 případu meziročně snížila z 39,6 dne v 1. </w:t>
      </w:r>
      <w:proofErr w:type="spellStart"/>
      <w:r w:rsidR="00133F2E">
        <w:rPr>
          <w:rFonts w:cs="Arial"/>
        </w:rPr>
        <w:t>pol</w:t>
      </w:r>
      <w:proofErr w:type="spellEnd"/>
      <w:r w:rsidR="00133F2E">
        <w:rPr>
          <w:rFonts w:cs="Arial"/>
        </w:rPr>
        <w:t xml:space="preserve">. 2017 na </w:t>
      </w:r>
      <w:r w:rsidR="00880500" w:rsidRPr="00133F2E">
        <w:rPr>
          <w:rFonts w:cs="Arial"/>
        </w:rPr>
        <w:t>3</w:t>
      </w:r>
      <w:r w:rsidR="004C7A61" w:rsidRPr="00133F2E">
        <w:rPr>
          <w:rFonts w:cs="Arial"/>
        </w:rPr>
        <w:t>8</w:t>
      </w:r>
      <w:r w:rsidR="00880500" w:rsidRPr="00133F2E">
        <w:rPr>
          <w:rFonts w:cs="Arial"/>
        </w:rPr>
        <w:t>,</w:t>
      </w:r>
      <w:r w:rsidR="004C7A61" w:rsidRPr="00133F2E">
        <w:rPr>
          <w:rFonts w:cs="Arial"/>
        </w:rPr>
        <w:t>1</w:t>
      </w:r>
      <w:r w:rsidR="001D7E19" w:rsidRPr="00133F2E">
        <w:rPr>
          <w:rFonts w:cs="Arial"/>
        </w:rPr>
        <w:t> dne</w:t>
      </w:r>
      <w:r w:rsidR="00133F2E" w:rsidRPr="00133F2E">
        <w:rPr>
          <w:rFonts w:cs="Arial"/>
        </w:rPr>
        <w:t xml:space="preserve"> v</w:t>
      </w:r>
      <w:r w:rsidR="00F02CDA">
        <w:rPr>
          <w:rFonts w:cs="Arial"/>
        </w:rPr>
        <w:t xml:space="preserve"> 1. </w:t>
      </w:r>
      <w:proofErr w:type="spellStart"/>
      <w:r w:rsidR="00133F2E" w:rsidRPr="00133F2E">
        <w:rPr>
          <w:rFonts w:cs="Arial"/>
        </w:rPr>
        <w:t>pol</w:t>
      </w:r>
      <w:proofErr w:type="spellEnd"/>
      <w:r w:rsidR="00133F2E" w:rsidRPr="00133F2E">
        <w:rPr>
          <w:rFonts w:cs="Arial"/>
        </w:rPr>
        <w:t>. 2018.</w:t>
      </w:r>
      <w:r w:rsidR="001D7E19" w:rsidRPr="002B6146">
        <w:rPr>
          <w:rFonts w:cs="Arial"/>
          <w:color w:val="FF0000"/>
        </w:rPr>
        <w:t xml:space="preserve"> </w:t>
      </w:r>
    </w:p>
    <w:p w:rsidR="007B3C22" w:rsidRDefault="007B3C22" w:rsidP="00E25EE7">
      <w:pPr>
        <w:jc w:val="both"/>
        <w:rPr>
          <w:b/>
        </w:rPr>
      </w:pPr>
    </w:p>
    <w:p w:rsidR="007B3C22" w:rsidRDefault="007B3C22" w:rsidP="00E25EE7">
      <w:pPr>
        <w:jc w:val="both"/>
        <w:rPr>
          <w:b/>
        </w:rPr>
      </w:pPr>
    </w:p>
    <w:p w:rsidR="00DE3224" w:rsidRPr="0021605D" w:rsidRDefault="00DE3224" w:rsidP="00E25EE7">
      <w:pPr>
        <w:jc w:val="both"/>
        <w:rPr>
          <w:b/>
        </w:rPr>
      </w:pPr>
      <w:r w:rsidRPr="0021605D">
        <w:rPr>
          <w:b/>
        </w:rPr>
        <w:lastRenderedPageBreak/>
        <w:t>Tab. 2.</w:t>
      </w:r>
      <w:r>
        <w:rPr>
          <w:b/>
        </w:rPr>
        <w:t>4</w:t>
      </w:r>
      <w:r w:rsidRPr="0021605D">
        <w:rPr>
          <w:b/>
        </w:rPr>
        <w:t xml:space="preserve"> –</w:t>
      </w:r>
      <w:r w:rsidR="00E25EE7">
        <w:rPr>
          <w:b/>
        </w:rPr>
        <w:t xml:space="preserve"> Kalendářní dny</w:t>
      </w:r>
      <w:r w:rsidRPr="0021605D">
        <w:rPr>
          <w:b/>
        </w:rPr>
        <w:t xml:space="preserve"> </w:t>
      </w:r>
      <w:r>
        <w:rPr>
          <w:b/>
        </w:rPr>
        <w:t xml:space="preserve">dočasné </w:t>
      </w:r>
      <w:r w:rsidRPr="0021605D">
        <w:rPr>
          <w:b/>
        </w:rPr>
        <w:t xml:space="preserve">pracovní neschopnosti </w:t>
      </w:r>
      <w:r>
        <w:rPr>
          <w:b/>
        </w:rPr>
        <w:t xml:space="preserve">podle příčiny a pohlaví </w:t>
      </w:r>
      <w:r w:rsidRPr="0021605D">
        <w:rPr>
          <w:b/>
        </w:rPr>
        <w:t>v</w:t>
      </w:r>
      <w:r w:rsidR="00687950">
        <w:rPr>
          <w:b/>
        </w:rPr>
        <w:t xml:space="preserve"> období </w:t>
      </w:r>
      <w:r w:rsidR="00EA29E7">
        <w:rPr>
          <w:b/>
        </w:rPr>
        <w:br/>
      </w:r>
      <w:r w:rsidR="00687950">
        <w:rPr>
          <w:b/>
        </w:rPr>
        <w:t xml:space="preserve">1. </w:t>
      </w:r>
      <w:proofErr w:type="spellStart"/>
      <w:r w:rsidR="00687950">
        <w:rPr>
          <w:b/>
        </w:rPr>
        <w:t>pol</w:t>
      </w:r>
      <w:proofErr w:type="spellEnd"/>
      <w:r w:rsidR="00687950">
        <w:rPr>
          <w:b/>
        </w:rPr>
        <w:t xml:space="preserve">. </w:t>
      </w:r>
      <w:r w:rsidRPr="0021605D">
        <w:rPr>
          <w:b/>
        </w:rPr>
        <w:t xml:space="preserve">2007 – </w:t>
      </w:r>
      <w:r w:rsidR="00687950">
        <w:rPr>
          <w:b/>
        </w:rPr>
        <w:t xml:space="preserve">1. </w:t>
      </w:r>
      <w:proofErr w:type="spellStart"/>
      <w:r w:rsidR="00687950">
        <w:rPr>
          <w:b/>
        </w:rPr>
        <w:t>pol</w:t>
      </w:r>
      <w:proofErr w:type="spellEnd"/>
      <w:r w:rsidR="00687950">
        <w:rPr>
          <w:b/>
        </w:rPr>
        <w:t xml:space="preserve">. </w:t>
      </w:r>
      <w:r w:rsidRPr="0021605D">
        <w:rPr>
          <w:b/>
        </w:rPr>
        <w:t>201</w:t>
      </w:r>
      <w:r w:rsidR="00687950">
        <w:rPr>
          <w:b/>
        </w:rPr>
        <w:t>8</w:t>
      </w:r>
      <w:r w:rsidRPr="0021605D">
        <w:rPr>
          <w:b/>
        </w:rPr>
        <w:t xml:space="preserve"> (v tis. </w:t>
      </w:r>
      <w:r>
        <w:rPr>
          <w:b/>
        </w:rPr>
        <w:t>dn</w:t>
      </w:r>
      <w:r w:rsidR="00E25EE7">
        <w:rPr>
          <w:b/>
        </w:rPr>
        <w:t>ů</w:t>
      </w:r>
      <w:r w:rsidRPr="0021605D">
        <w:rPr>
          <w:b/>
        </w:rPr>
        <w:t>)</w:t>
      </w:r>
    </w:p>
    <w:p w:rsidR="00087D6A" w:rsidRDefault="002305E5" w:rsidP="00977F2A">
      <w:pPr>
        <w:rPr>
          <w:b/>
        </w:rPr>
      </w:pPr>
      <w:r w:rsidRPr="002305E5">
        <w:rPr>
          <w:noProof/>
        </w:rPr>
        <w:drawing>
          <wp:inline distT="0" distB="0" distL="0" distR="0">
            <wp:extent cx="6116619" cy="3028950"/>
            <wp:effectExtent l="19050" t="0" r="0"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6120130" cy="3030689"/>
                    </a:xfrm>
                    <a:prstGeom prst="rect">
                      <a:avLst/>
                    </a:prstGeom>
                    <a:noFill/>
                    <a:ln w="9525">
                      <a:noFill/>
                      <a:miter lim="800000"/>
                      <a:headEnd/>
                      <a:tailEnd/>
                    </a:ln>
                  </pic:spPr>
                </pic:pic>
              </a:graphicData>
            </a:graphic>
          </wp:inline>
        </w:drawing>
      </w:r>
    </w:p>
    <w:p w:rsidR="00091548" w:rsidRDefault="00DE3224" w:rsidP="00E25EE7">
      <w:pPr>
        <w:jc w:val="both"/>
        <w:rPr>
          <w:rFonts w:cs="Arial"/>
          <w:sz w:val="16"/>
          <w:szCs w:val="16"/>
        </w:rPr>
      </w:pPr>
      <w:r>
        <w:rPr>
          <w:rFonts w:cs="Arial"/>
          <w:sz w:val="16"/>
          <w:szCs w:val="16"/>
        </w:rPr>
        <w:t>Zdroj: ČSÚ</w:t>
      </w:r>
    </w:p>
    <w:p w:rsidR="007B3C22" w:rsidRDefault="007B3C22" w:rsidP="00E25EE7">
      <w:pPr>
        <w:jc w:val="both"/>
        <w:rPr>
          <w:b/>
        </w:rPr>
      </w:pPr>
    </w:p>
    <w:p w:rsidR="00085DD0" w:rsidRDefault="00085DD0" w:rsidP="00E25EE7">
      <w:pPr>
        <w:jc w:val="both"/>
        <w:rPr>
          <w:b/>
        </w:rPr>
      </w:pPr>
      <w:r>
        <w:rPr>
          <w:b/>
        </w:rPr>
        <w:t>Graf 2.5 – Nově hlášené případy a kalendářní dn</w:t>
      </w:r>
      <w:r w:rsidR="00E25EE7">
        <w:rPr>
          <w:b/>
        </w:rPr>
        <w:t>y</w:t>
      </w:r>
      <w:r>
        <w:rPr>
          <w:b/>
        </w:rPr>
        <w:t xml:space="preserve"> dočasné pracovní neschopnosti </w:t>
      </w:r>
      <w:r w:rsidR="00192C20" w:rsidRPr="0021605D">
        <w:rPr>
          <w:b/>
        </w:rPr>
        <w:t>v</w:t>
      </w:r>
      <w:r w:rsidR="00192C20">
        <w:rPr>
          <w:b/>
        </w:rPr>
        <w:t xml:space="preserve"> období 1. </w:t>
      </w:r>
      <w:proofErr w:type="spellStart"/>
      <w:r w:rsidR="00192C20">
        <w:rPr>
          <w:b/>
        </w:rPr>
        <w:t>pol</w:t>
      </w:r>
      <w:proofErr w:type="spellEnd"/>
      <w:r w:rsidR="00192C20">
        <w:rPr>
          <w:b/>
        </w:rPr>
        <w:t xml:space="preserve">. </w:t>
      </w:r>
      <w:r w:rsidR="00192C20" w:rsidRPr="0021605D">
        <w:rPr>
          <w:b/>
        </w:rPr>
        <w:t xml:space="preserve">2007 – </w:t>
      </w:r>
      <w:r w:rsidR="00192C20">
        <w:rPr>
          <w:b/>
        </w:rPr>
        <w:t xml:space="preserve">1. </w:t>
      </w:r>
      <w:proofErr w:type="spellStart"/>
      <w:r w:rsidR="00192C20">
        <w:rPr>
          <w:b/>
        </w:rPr>
        <w:t>pol</w:t>
      </w:r>
      <w:proofErr w:type="spellEnd"/>
      <w:r w:rsidR="00192C20">
        <w:rPr>
          <w:b/>
        </w:rPr>
        <w:t xml:space="preserve">. </w:t>
      </w:r>
      <w:r w:rsidR="00192C20" w:rsidRPr="0021605D">
        <w:rPr>
          <w:b/>
        </w:rPr>
        <w:t>201</w:t>
      </w:r>
      <w:r w:rsidR="00192C20">
        <w:rPr>
          <w:b/>
        </w:rPr>
        <w:t>8</w:t>
      </w:r>
    </w:p>
    <w:p w:rsidR="003222D9" w:rsidRDefault="00526C04" w:rsidP="00E25EE7">
      <w:pPr>
        <w:jc w:val="both"/>
        <w:rPr>
          <w:b/>
        </w:rPr>
      </w:pPr>
      <w:r w:rsidRPr="00526C04">
        <w:rPr>
          <w:noProof/>
        </w:rPr>
        <w:drawing>
          <wp:inline distT="0" distB="0" distL="0" distR="0">
            <wp:extent cx="6124459" cy="3819525"/>
            <wp:effectExtent l="19050" t="0" r="0" b="0"/>
            <wp:docPr id="2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6120130" cy="3816825"/>
                    </a:xfrm>
                    <a:prstGeom prst="rect">
                      <a:avLst/>
                    </a:prstGeom>
                    <a:noFill/>
                    <a:ln w="9525">
                      <a:noFill/>
                      <a:miter lim="800000"/>
                      <a:headEnd/>
                      <a:tailEnd/>
                    </a:ln>
                  </pic:spPr>
                </pic:pic>
              </a:graphicData>
            </a:graphic>
          </wp:inline>
        </w:drawing>
      </w:r>
    </w:p>
    <w:p w:rsidR="00085DD0" w:rsidRDefault="00085DD0" w:rsidP="00085DD0">
      <w:pPr>
        <w:jc w:val="both"/>
        <w:rPr>
          <w:rFonts w:cs="Arial"/>
          <w:sz w:val="16"/>
          <w:szCs w:val="16"/>
        </w:rPr>
      </w:pPr>
      <w:r>
        <w:rPr>
          <w:rFonts w:cs="Arial"/>
          <w:sz w:val="16"/>
          <w:szCs w:val="16"/>
        </w:rPr>
        <w:t>Zdroj: ČSÚ</w:t>
      </w:r>
    </w:p>
    <w:p w:rsidR="00EA7587" w:rsidRDefault="00087D6A" w:rsidP="00977F2A">
      <w:pPr>
        <w:rPr>
          <w:b/>
        </w:rPr>
      </w:pPr>
      <w:r>
        <w:rPr>
          <w:b/>
        </w:rPr>
        <w:lastRenderedPageBreak/>
        <w:t>Graf 2.</w:t>
      </w:r>
      <w:r w:rsidR="00CD2DB7">
        <w:rPr>
          <w:b/>
        </w:rPr>
        <w:t>6</w:t>
      </w:r>
      <w:r>
        <w:rPr>
          <w:b/>
        </w:rPr>
        <w:t xml:space="preserve"> </w:t>
      </w:r>
      <w:r w:rsidR="00052494">
        <w:rPr>
          <w:b/>
        </w:rPr>
        <w:t>–</w:t>
      </w:r>
      <w:r>
        <w:rPr>
          <w:b/>
        </w:rPr>
        <w:t xml:space="preserve"> </w:t>
      </w:r>
      <w:r w:rsidR="00052494">
        <w:rPr>
          <w:b/>
        </w:rPr>
        <w:t xml:space="preserve">Nově hlášené případy </w:t>
      </w:r>
      <w:r w:rsidR="00DD6112">
        <w:rPr>
          <w:b/>
        </w:rPr>
        <w:t xml:space="preserve">dočasné </w:t>
      </w:r>
      <w:r w:rsidR="00052494">
        <w:rPr>
          <w:b/>
        </w:rPr>
        <w:t xml:space="preserve">pracovní neschopnosti na 100 pojištěnců a průměrná délka jejich trvání </w:t>
      </w:r>
      <w:r w:rsidR="00192C20" w:rsidRPr="0021605D">
        <w:rPr>
          <w:b/>
        </w:rPr>
        <w:t>v</w:t>
      </w:r>
      <w:r w:rsidR="00192C20">
        <w:rPr>
          <w:b/>
        </w:rPr>
        <w:t xml:space="preserve"> období 1. </w:t>
      </w:r>
      <w:proofErr w:type="spellStart"/>
      <w:r w:rsidR="00192C20">
        <w:rPr>
          <w:b/>
        </w:rPr>
        <w:t>pol</w:t>
      </w:r>
      <w:proofErr w:type="spellEnd"/>
      <w:r w:rsidR="00192C20">
        <w:rPr>
          <w:b/>
        </w:rPr>
        <w:t xml:space="preserve">. </w:t>
      </w:r>
      <w:r w:rsidR="00192C20" w:rsidRPr="0021605D">
        <w:rPr>
          <w:b/>
        </w:rPr>
        <w:t xml:space="preserve">2007 – </w:t>
      </w:r>
      <w:r w:rsidR="00192C20">
        <w:rPr>
          <w:b/>
        </w:rPr>
        <w:t xml:space="preserve">1. </w:t>
      </w:r>
      <w:proofErr w:type="spellStart"/>
      <w:r w:rsidR="00192C20">
        <w:rPr>
          <w:b/>
        </w:rPr>
        <w:t>pol</w:t>
      </w:r>
      <w:proofErr w:type="spellEnd"/>
      <w:r w:rsidR="00192C20">
        <w:rPr>
          <w:b/>
        </w:rPr>
        <w:t xml:space="preserve">. </w:t>
      </w:r>
      <w:r w:rsidR="00192C20" w:rsidRPr="0021605D">
        <w:rPr>
          <w:b/>
        </w:rPr>
        <w:t>201</w:t>
      </w:r>
      <w:r w:rsidR="00192C20">
        <w:rPr>
          <w:b/>
        </w:rPr>
        <w:t>8</w:t>
      </w:r>
      <w:r w:rsidR="00052494">
        <w:rPr>
          <w:b/>
        </w:rPr>
        <w:t xml:space="preserve"> </w:t>
      </w:r>
      <w:r w:rsidR="00EA7587" w:rsidRPr="00EA7587">
        <w:rPr>
          <w:noProof/>
        </w:rPr>
        <w:drawing>
          <wp:inline distT="0" distB="0" distL="0" distR="0">
            <wp:extent cx="6115050" cy="3705225"/>
            <wp:effectExtent l="19050" t="0" r="0" b="0"/>
            <wp:docPr id="1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6120130" cy="3708303"/>
                    </a:xfrm>
                    <a:prstGeom prst="rect">
                      <a:avLst/>
                    </a:prstGeom>
                    <a:noFill/>
                    <a:ln w="9525">
                      <a:noFill/>
                      <a:miter lim="800000"/>
                      <a:headEnd/>
                      <a:tailEnd/>
                    </a:ln>
                  </pic:spPr>
                </pic:pic>
              </a:graphicData>
            </a:graphic>
          </wp:inline>
        </w:drawing>
      </w:r>
    </w:p>
    <w:p w:rsidR="00EA7587" w:rsidRDefault="00EA7587" w:rsidP="00EA7587">
      <w:pPr>
        <w:jc w:val="both"/>
        <w:rPr>
          <w:rFonts w:cs="Arial"/>
          <w:sz w:val="16"/>
          <w:szCs w:val="16"/>
        </w:rPr>
      </w:pPr>
      <w:r>
        <w:rPr>
          <w:rFonts w:cs="Arial"/>
          <w:sz w:val="16"/>
          <w:szCs w:val="16"/>
        </w:rPr>
        <w:t>Zdroj: ČSÚ</w:t>
      </w:r>
    </w:p>
    <w:p w:rsidR="00B47D35" w:rsidRDefault="00B47D35" w:rsidP="00891046">
      <w:pPr>
        <w:jc w:val="both"/>
        <w:rPr>
          <w:noProof/>
        </w:rPr>
      </w:pPr>
      <w:r>
        <w:rPr>
          <w:b/>
        </w:rPr>
        <w:t>Graf 2.</w:t>
      </w:r>
      <w:r w:rsidR="00C63197">
        <w:rPr>
          <w:b/>
        </w:rPr>
        <w:t>7</w:t>
      </w:r>
      <w:r w:rsidRPr="00DD6112">
        <w:rPr>
          <w:b/>
        </w:rPr>
        <w:t xml:space="preserve"> – Průměrná délka trvání 1 případu dočasné pracovní neschopnosti </w:t>
      </w:r>
      <w:r w:rsidRPr="00087D6A">
        <w:rPr>
          <w:b/>
        </w:rPr>
        <w:t>dle odvětví ekonomické činnosti (sekcí CZ-NACE</w:t>
      </w:r>
      <w:r>
        <w:rPr>
          <w:b/>
        </w:rPr>
        <w:t xml:space="preserve">) </w:t>
      </w:r>
      <w:r w:rsidRPr="00DD6112">
        <w:rPr>
          <w:b/>
        </w:rPr>
        <w:t>v</w:t>
      </w:r>
      <w:r w:rsidR="00FE1E9C">
        <w:rPr>
          <w:b/>
        </w:rPr>
        <w:t xml:space="preserve"> 1. </w:t>
      </w:r>
      <w:proofErr w:type="spellStart"/>
      <w:r w:rsidR="00FE1E9C">
        <w:rPr>
          <w:b/>
        </w:rPr>
        <w:t>pol</w:t>
      </w:r>
      <w:proofErr w:type="spellEnd"/>
      <w:r w:rsidR="00FE1E9C">
        <w:rPr>
          <w:b/>
        </w:rPr>
        <w:t>. 2018</w:t>
      </w:r>
    </w:p>
    <w:p w:rsidR="00F9151E" w:rsidRDefault="00AA5E0B" w:rsidP="00891046">
      <w:pPr>
        <w:jc w:val="both"/>
      </w:pPr>
      <w:r w:rsidRPr="00AA5E0B">
        <w:rPr>
          <w:noProof/>
        </w:rPr>
        <w:drawing>
          <wp:inline distT="0" distB="0" distL="0" distR="0">
            <wp:extent cx="6120130" cy="3724164"/>
            <wp:effectExtent l="19050" t="0" r="0" b="0"/>
            <wp:docPr id="19"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120130" cy="3724164"/>
                    </a:xfrm>
                    <a:prstGeom prst="rect">
                      <a:avLst/>
                    </a:prstGeom>
                    <a:noFill/>
                    <a:ln w="9525">
                      <a:noFill/>
                      <a:miter lim="800000"/>
                      <a:headEnd/>
                      <a:tailEnd/>
                    </a:ln>
                  </pic:spPr>
                </pic:pic>
              </a:graphicData>
            </a:graphic>
          </wp:inline>
        </w:drawing>
      </w:r>
    </w:p>
    <w:p w:rsidR="00B47D35" w:rsidRPr="001338A0" w:rsidRDefault="00B47D35" w:rsidP="00B47D35">
      <w:pPr>
        <w:jc w:val="both"/>
        <w:rPr>
          <w:rFonts w:cs="Arial"/>
          <w:sz w:val="16"/>
          <w:szCs w:val="16"/>
        </w:rPr>
      </w:pPr>
      <w:r>
        <w:rPr>
          <w:rFonts w:cs="Arial"/>
          <w:sz w:val="16"/>
          <w:szCs w:val="16"/>
        </w:rPr>
        <w:t>Zdroj: ČSÚ</w:t>
      </w:r>
    </w:p>
    <w:p w:rsidR="00B47D35" w:rsidRDefault="00B47D35" w:rsidP="00B47D35">
      <w:pPr>
        <w:jc w:val="both"/>
      </w:pPr>
      <w:r w:rsidRPr="00C55B6D">
        <w:lastRenderedPageBreak/>
        <w:t xml:space="preserve">Nejvíce dnů dočasné pracovní neschopnosti </w:t>
      </w:r>
      <w:r w:rsidR="00191074">
        <w:t xml:space="preserve">v 1. </w:t>
      </w:r>
      <w:proofErr w:type="spellStart"/>
      <w:r w:rsidR="00191074">
        <w:t>pol</w:t>
      </w:r>
      <w:proofErr w:type="spellEnd"/>
      <w:r w:rsidR="00191074">
        <w:t xml:space="preserve">. 2018 </w:t>
      </w:r>
      <w:r w:rsidRPr="00C55B6D">
        <w:t>z celorepublikového počtu bylo v odvětví Zpracovatelský průmysl (</w:t>
      </w:r>
      <w:r w:rsidR="00BC4956">
        <w:t>13 677</w:t>
      </w:r>
      <w:r w:rsidRPr="00C55B6D">
        <w:t xml:space="preserve"> tis.), a to jak celkem, tak v jednotlivých kategoriích – pro nemoc (</w:t>
      </w:r>
      <w:r w:rsidR="00641A57">
        <w:t>11</w:t>
      </w:r>
      <w:r w:rsidRPr="00C55B6D">
        <w:t> </w:t>
      </w:r>
      <w:r w:rsidR="00641A57">
        <w:t>673</w:t>
      </w:r>
      <w:r w:rsidRPr="00C55B6D">
        <w:t> tis.), pro pracovní úrazy (</w:t>
      </w:r>
      <w:r w:rsidR="00641A57">
        <w:t>517</w:t>
      </w:r>
      <w:r w:rsidRPr="00C55B6D">
        <w:t xml:space="preserve"> tis.) a pro ostatní úrazy (</w:t>
      </w:r>
      <w:r w:rsidR="00641A57">
        <w:t>1</w:t>
      </w:r>
      <w:r w:rsidRPr="00C55B6D">
        <w:t xml:space="preserve"> </w:t>
      </w:r>
      <w:r w:rsidR="00641A57">
        <w:t>487</w:t>
      </w:r>
      <w:r w:rsidRPr="00C55B6D">
        <w:t xml:space="preserve"> tis.). Naopak </w:t>
      </w:r>
      <w:r w:rsidR="005506C4">
        <w:t>nejnižší</w:t>
      </w:r>
      <w:r w:rsidRPr="00C55B6D">
        <w:t xml:space="preserve"> počet dnů pracovní neschopnosti byl hlášen v oblasti Výrob</w:t>
      </w:r>
      <w:r w:rsidR="00BC2EE6">
        <w:t>a a</w:t>
      </w:r>
      <w:r w:rsidRPr="00C55B6D">
        <w:t> rozvod elektřiny a jiných energií (</w:t>
      </w:r>
      <w:r w:rsidR="00CA774F">
        <w:t>205</w:t>
      </w:r>
      <w:r w:rsidRPr="00C55B6D">
        <w:t xml:space="preserve"> tis</w:t>
      </w:r>
      <w:r>
        <w:t>.), kde bylo evidováno i nejméně dnů pracovní neschopnosti pro nemoc (</w:t>
      </w:r>
      <w:r w:rsidR="00CA774F">
        <w:t>177</w:t>
      </w:r>
      <w:r>
        <w:t xml:space="preserve"> tis.), pro pracovní úrazy (</w:t>
      </w:r>
      <w:r w:rsidR="00CA774F">
        <w:t>5</w:t>
      </w:r>
      <w:r>
        <w:t xml:space="preserve"> tis.) a pro ostatní úrazy (</w:t>
      </w:r>
      <w:r w:rsidR="00CA774F">
        <w:t>22</w:t>
      </w:r>
      <w:r>
        <w:t> tis.).</w:t>
      </w:r>
    </w:p>
    <w:p w:rsidR="009160BD" w:rsidRPr="000C446B" w:rsidRDefault="009160BD" w:rsidP="00B47D35">
      <w:pPr>
        <w:jc w:val="both"/>
      </w:pPr>
      <w:r w:rsidRPr="008C5C6B">
        <w:t xml:space="preserve">Celorepubliková průměrná délka trvání 1 případu dočasné pracovní neschopnosti byla v 1. </w:t>
      </w:r>
      <w:proofErr w:type="spellStart"/>
      <w:r w:rsidRPr="008C5C6B">
        <w:t>pol</w:t>
      </w:r>
      <w:proofErr w:type="spellEnd"/>
      <w:r w:rsidRPr="008C5C6B">
        <w:t>. 2018 výrazně překročena v odvětví Zemědělství, lesnictví a rybářství (53,4 dne), Stavebnictví (51,8 dne)</w:t>
      </w:r>
      <w:r>
        <w:t>,</w:t>
      </w:r>
      <w:r w:rsidRPr="008C5C6B">
        <w:t xml:space="preserve"> Ubytování, stravování a pohostinství (51,3 dne)</w:t>
      </w:r>
      <w:r>
        <w:t xml:space="preserve">, </w:t>
      </w:r>
      <w:r w:rsidRPr="008C5C6B">
        <w:t>Činnosti v oblasti nemovitostí (47,4 dne)</w:t>
      </w:r>
      <w:r>
        <w:t xml:space="preserve"> a </w:t>
      </w:r>
      <w:r w:rsidRPr="008C5C6B">
        <w:t>v odvětví Těžba a dobývání (45,4 dne)</w:t>
      </w:r>
      <w:r>
        <w:t>.</w:t>
      </w:r>
      <w:r w:rsidRPr="008C5C6B">
        <w:t xml:space="preserve"> Dlouhodobější pracovní neschopností se tedy v převážné míře vyznačují odvětví se sezónní výrobou či odvětví vysoce riziková. Nejkratší průměrné trvání 1 případu pracovní neschopnosti bylo </w:t>
      </w:r>
      <w:r w:rsidR="00405C2F">
        <w:t>v </w:t>
      </w:r>
      <w:r w:rsidRPr="008C5C6B">
        <w:t>1</w:t>
      </w:r>
      <w:r w:rsidR="00405C2F" w:rsidRPr="008C5C6B">
        <w:t>.</w:t>
      </w:r>
      <w:r w:rsidR="00405C2F">
        <w:t> </w:t>
      </w:r>
      <w:proofErr w:type="spellStart"/>
      <w:r w:rsidRPr="008C5C6B">
        <w:t>pol</w:t>
      </w:r>
      <w:proofErr w:type="spellEnd"/>
      <w:r w:rsidR="00405C2F" w:rsidRPr="008C5C6B">
        <w:t>.</w:t>
      </w:r>
      <w:r w:rsidR="00405C2F">
        <w:t> </w:t>
      </w:r>
      <w:r w:rsidRPr="008C5C6B">
        <w:t>2018 evidováno v odvětví Informační a komunikační činnosti (25,5 dne). Dalšími oblastmi ekonomických činností s relativně nízkou průměrnou délkou pracovní neschopnosti byly oblasti Vzdělávání (27,7 dne) a Peněžnictví a pojišťovnictví (30,4 dne). Podrobněji viz graf 2.7</w:t>
      </w:r>
    </w:p>
    <w:p w:rsidR="00F113D5" w:rsidRDefault="00F113D5" w:rsidP="001B64E2">
      <w:pPr>
        <w:jc w:val="both"/>
        <w:rPr>
          <w:b/>
        </w:rPr>
      </w:pPr>
    </w:p>
    <w:p w:rsidR="00D24A11" w:rsidRPr="00AC74F3" w:rsidRDefault="00D24A11" w:rsidP="001B64E2">
      <w:pPr>
        <w:jc w:val="both"/>
        <w:rPr>
          <w:b/>
        </w:rPr>
      </w:pPr>
      <w:r w:rsidRPr="00AC74F3">
        <w:rPr>
          <w:b/>
        </w:rPr>
        <w:t>Tab. 2.</w:t>
      </w:r>
      <w:r>
        <w:rPr>
          <w:b/>
        </w:rPr>
        <w:t>5</w:t>
      </w:r>
      <w:r w:rsidRPr="00AC74F3">
        <w:rPr>
          <w:b/>
        </w:rPr>
        <w:t xml:space="preserve"> – </w:t>
      </w:r>
      <w:r>
        <w:rPr>
          <w:b/>
        </w:rPr>
        <w:t>Průměrná délka trvání 1</w:t>
      </w:r>
      <w:r w:rsidRPr="00AC74F3">
        <w:rPr>
          <w:b/>
        </w:rPr>
        <w:t xml:space="preserve"> případ</w:t>
      </w:r>
      <w:r>
        <w:rPr>
          <w:b/>
        </w:rPr>
        <w:t>u</w:t>
      </w:r>
      <w:r w:rsidRPr="00AC74F3">
        <w:rPr>
          <w:b/>
        </w:rPr>
        <w:t xml:space="preserve"> dočasné pracovní neschopnosti dle odvětví ekonomické činnosti v</w:t>
      </w:r>
      <w:r w:rsidR="00510308">
        <w:rPr>
          <w:b/>
        </w:rPr>
        <w:t xml:space="preserve"> období 1. </w:t>
      </w:r>
      <w:proofErr w:type="spellStart"/>
      <w:r w:rsidR="00510308">
        <w:rPr>
          <w:b/>
        </w:rPr>
        <w:t>pol</w:t>
      </w:r>
      <w:proofErr w:type="spellEnd"/>
      <w:r w:rsidR="00510308">
        <w:rPr>
          <w:b/>
        </w:rPr>
        <w:t>. 2007</w:t>
      </w:r>
      <w:r w:rsidRPr="00AC74F3">
        <w:rPr>
          <w:b/>
        </w:rPr>
        <w:t xml:space="preserve"> –</w:t>
      </w:r>
      <w:r>
        <w:rPr>
          <w:b/>
        </w:rPr>
        <w:t xml:space="preserve"> </w:t>
      </w:r>
      <w:r w:rsidR="00510308">
        <w:rPr>
          <w:b/>
        </w:rPr>
        <w:t xml:space="preserve">1. </w:t>
      </w:r>
      <w:proofErr w:type="spellStart"/>
      <w:r w:rsidR="00510308">
        <w:rPr>
          <w:b/>
        </w:rPr>
        <w:t>pol</w:t>
      </w:r>
      <w:proofErr w:type="spellEnd"/>
      <w:r w:rsidR="00510308">
        <w:rPr>
          <w:b/>
        </w:rPr>
        <w:t xml:space="preserve">. </w:t>
      </w:r>
      <w:r>
        <w:rPr>
          <w:b/>
        </w:rPr>
        <w:t>201</w:t>
      </w:r>
      <w:r w:rsidR="00021D4F">
        <w:rPr>
          <w:b/>
        </w:rPr>
        <w:t>8</w:t>
      </w:r>
    </w:p>
    <w:p w:rsidR="00087D6A" w:rsidRDefault="009D0D51" w:rsidP="00977F2A">
      <w:pPr>
        <w:rPr>
          <w:b/>
        </w:rPr>
      </w:pPr>
      <w:r w:rsidRPr="009D0D51">
        <w:rPr>
          <w:noProof/>
        </w:rPr>
        <w:drawing>
          <wp:inline distT="0" distB="0" distL="0" distR="0">
            <wp:extent cx="6105525" cy="5057775"/>
            <wp:effectExtent l="19050" t="0" r="9525" b="0"/>
            <wp:docPr id="81"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srcRect/>
                    <a:stretch>
                      <a:fillRect/>
                    </a:stretch>
                  </pic:blipFill>
                  <pic:spPr bwMode="auto">
                    <a:xfrm>
                      <a:off x="0" y="0"/>
                      <a:ext cx="6105525" cy="5057775"/>
                    </a:xfrm>
                    <a:prstGeom prst="rect">
                      <a:avLst/>
                    </a:prstGeom>
                    <a:noFill/>
                    <a:ln w="9525">
                      <a:noFill/>
                      <a:miter lim="800000"/>
                      <a:headEnd/>
                      <a:tailEnd/>
                    </a:ln>
                  </pic:spPr>
                </pic:pic>
              </a:graphicData>
            </a:graphic>
          </wp:inline>
        </w:drawing>
      </w:r>
    </w:p>
    <w:p w:rsidR="00B47D35" w:rsidRPr="001338A0" w:rsidRDefault="00B47D35" w:rsidP="00B47D35">
      <w:pPr>
        <w:jc w:val="both"/>
        <w:rPr>
          <w:rFonts w:cs="Arial"/>
          <w:sz w:val="16"/>
          <w:szCs w:val="16"/>
        </w:rPr>
      </w:pPr>
      <w:r>
        <w:rPr>
          <w:rFonts w:cs="Arial"/>
          <w:sz w:val="16"/>
          <w:szCs w:val="16"/>
        </w:rPr>
        <w:t>Zdroj: ČSÚ</w:t>
      </w:r>
    </w:p>
    <w:p w:rsidR="00E835E4" w:rsidRDefault="00E835E4" w:rsidP="00E835E4">
      <w:pPr>
        <w:pStyle w:val="Zkladntextodsazen"/>
        <w:spacing w:after="240" w:line="288" w:lineRule="auto"/>
        <w:ind w:left="0"/>
        <w:jc w:val="both"/>
        <w:rPr>
          <w:rFonts w:cs="Arial"/>
        </w:rPr>
      </w:pPr>
      <w:r>
        <w:rPr>
          <w:rFonts w:cs="Arial"/>
        </w:rPr>
        <w:lastRenderedPageBreak/>
        <w:t xml:space="preserve">Vývoj hodnot ukazatele průměrné délky 1 případu pracovní neschopnosti v jednotlivých odvětvích je zřejmý z tabulky 2.5 – téměř u všech odvětví nejsou meziroční rozdíly příliš významné. </w:t>
      </w:r>
      <w:r w:rsidR="00B30400">
        <w:rPr>
          <w:rFonts w:cs="Arial"/>
        </w:rPr>
        <w:t>Za pozornost stojí zkrácení průměrné délky 1 případu pracovní neschopnosti o 10 dnů v </w:t>
      </w:r>
      <w:r w:rsidR="00C96D3F">
        <w:rPr>
          <w:rFonts w:cs="Arial"/>
        </w:rPr>
        <w:t>odvětví</w:t>
      </w:r>
      <w:r w:rsidR="00B30400">
        <w:rPr>
          <w:rFonts w:cs="Arial"/>
        </w:rPr>
        <w:t xml:space="preserve"> Těžby a dobývání</w:t>
      </w:r>
      <w:r w:rsidR="00C96D3F">
        <w:rPr>
          <w:rFonts w:cs="Arial"/>
        </w:rPr>
        <w:t>.</w:t>
      </w:r>
    </w:p>
    <w:p w:rsidR="007B3C22" w:rsidRDefault="007B3C22" w:rsidP="009328DB">
      <w:pPr>
        <w:spacing w:after="0"/>
        <w:jc w:val="both"/>
        <w:rPr>
          <w:b/>
        </w:rPr>
      </w:pPr>
    </w:p>
    <w:p w:rsidR="00052494" w:rsidRDefault="00DD6112" w:rsidP="009328DB">
      <w:pPr>
        <w:spacing w:after="0"/>
        <w:jc w:val="both"/>
      </w:pPr>
      <w:r w:rsidRPr="00DD6112">
        <w:rPr>
          <w:b/>
        </w:rPr>
        <w:t>Graf 2.</w:t>
      </w:r>
      <w:r w:rsidR="00C63197">
        <w:rPr>
          <w:b/>
        </w:rPr>
        <w:t>8</w:t>
      </w:r>
      <w:r w:rsidRPr="00DD6112">
        <w:rPr>
          <w:b/>
        </w:rPr>
        <w:t xml:space="preserve"> – Průměrná délka trvání 1 případu pracovní neschopnosti podle krajů ČR v</w:t>
      </w:r>
      <w:r w:rsidR="00C61315">
        <w:rPr>
          <w:b/>
        </w:rPr>
        <w:t xml:space="preserve"> 1. </w:t>
      </w:r>
      <w:proofErr w:type="spellStart"/>
      <w:r w:rsidR="00C61315">
        <w:rPr>
          <w:b/>
        </w:rPr>
        <w:t>pol</w:t>
      </w:r>
      <w:proofErr w:type="spellEnd"/>
      <w:r w:rsidR="00C61315">
        <w:rPr>
          <w:b/>
        </w:rPr>
        <w:t>. 2018</w:t>
      </w:r>
      <w:r w:rsidR="0086633B" w:rsidRPr="0086633B">
        <w:rPr>
          <w:b/>
        </w:rPr>
        <w:t xml:space="preserve"> </w:t>
      </w:r>
    </w:p>
    <w:p w:rsidR="009328DB" w:rsidRDefault="009F1425" w:rsidP="009328DB">
      <w:pPr>
        <w:spacing w:after="0"/>
        <w:jc w:val="both"/>
        <w:rPr>
          <w:rFonts w:cs="Arial"/>
          <w:sz w:val="16"/>
          <w:szCs w:val="16"/>
        </w:rPr>
      </w:pPr>
      <w:r w:rsidRPr="009F1425">
        <w:rPr>
          <w:noProof/>
        </w:rPr>
        <w:drawing>
          <wp:inline distT="0" distB="0" distL="0" distR="0">
            <wp:extent cx="5791200" cy="3819525"/>
            <wp:effectExtent l="0" t="0" r="0" b="0"/>
            <wp:docPr id="28"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5791200" cy="3819525"/>
                    </a:xfrm>
                    <a:prstGeom prst="rect">
                      <a:avLst/>
                    </a:prstGeom>
                    <a:noFill/>
                    <a:ln w="9525">
                      <a:noFill/>
                      <a:miter lim="800000"/>
                      <a:headEnd/>
                      <a:tailEnd/>
                    </a:ln>
                  </pic:spPr>
                </pic:pic>
              </a:graphicData>
            </a:graphic>
          </wp:inline>
        </w:drawing>
      </w:r>
    </w:p>
    <w:p w:rsidR="00DD6112" w:rsidRPr="001338A0" w:rsidRDefault="00DD6112" w:rsidP="009328DB">
      <w:pPr>
        <w:jc w:val="both"/>
        <w:rPr>
          <w:rFonts w:cs="Arial"/>
          <w:sz w:val="16"/>
          <w:szCs w:val="16"/>
        </w:rPr>
      </w:pPr>
      <w:r>
        <w:rPr>
          <w:rFonts w:cs="Arial"/>
          <w:sz w:val="16"/>
          <w:szCs w:val="16"/>
        </w:rPr>
        <w:t>Zdroj: ČSÚ</w:t>
      </w:r>
    </w:p>
    <w:p w:rsidR="00AF3FDC" w:rsidRDefault="00AF3FDC" w:rsidP="00B100E6">
      <w:pPr>
        <w:jc w:val="both"/>
      </w:pPr>
      <w:r w:rsidRPr="00AF3FDC">
        <w:t xml:space="preserve">Nejdelší průměrná doba trvání jednoho případu dočasné pracovní neschopnosti v 1. </w:t>
      </w:r>
      <w:proofErr w:type="spellStart"/>
      <w:r w:rsidRPr="00AF3FDC">
        <w:t>pol</w:t>
      </w:r>
      <w:proofErr w:type="spellEnd"/>
      <w:r w:rsidRPr="00AF3FDC">
        <w:t xml:space="preserve">. 2018 byla zaznamenána ve Zlínském kraji (46,1 dne), v Moravskoslezském kraji (44,4 dne) a v Olomouckém kraji (42,7 dne), nejkratší </w:t>
      </w:r>
      <w:r w:rsidR="00C96D3F">
        <w:t> byla v Libereckém kraji</w:t>
      </w:r>
      <w:r w:rsidRPr="00AF3FDC">
        <w:t xml:space="preserve"> (</w:t>
      </w:r>
      <w:r w:rsidR="00C96D3F">
        <w:t>35,2</w:t>
      </w:r>
      <w:r w:rsidRPr="00AF3FDC">
        <w:t xml:space="preserve"> dne). Hodnoty tohoto sledovaného ukazatele v 1. </w:t>
      </w:r>
      <w:proofErr w:type="spellStart"/>
      <w:r w:rsidRPr="00AF3FDC">
        <w:t>pol</w:t>
      </w:r>
      <w:proofErr w:type="spellEnd"/>
      <w:r w:rsidRPr="00AF3FDC">
        <w:t xml:space="preserve">. 2018 meziročně </w:t>
      </w:r>
      <w:r>
        <w:t xml:space="preserve">oproti 1. </w:t>
      </w:r>
      <w:proofErr w:type="spellStart"/>
      <w:r>
        <w:t>pol</w:t>
      </w:r>
      <w:proofErr w:type="spellEnd"/>
      <w:r>
        <w:t xml:space="preserve">. 2017 </w:t>
      </w:r>
      <w:r w:rsidRPr="00AF3FDC">
        <w:t>poklesly ve všech krajích.</w:t>
      </w:r>
    </w:p>
    <w:p w:rsidR="00AF3FDC" w:rsidRPr="006C605D" w:rsidRDefault="006C605D" w:rsidP="001B64E2">
      <w:pPr>
        <w:jc w:val="both"/>
      </w:pPr>
      <w:r w:rsidRPr="006C605D">
        <w:t>Z pohledu detailnějšího územního členění je zřejmý větší rozptyl hodnot tohoto relativního ukazatele. Nejvyšší průměrnou délku jednoho případu má okres Vsetín (51,3 dne) ve Zlínském kraji, který se pohybuje na předních místech mezi okresy s nejdelší pracovní neschopností již několik let</w:t>
      </w:r>
      <w:r w:rsidR="00DF6A22">
        <w:t>, dále Uherské Hradiště (48,9 dne), rovněž ve Zlínském kraji.</w:t>
      </w:r>
      <w:r w:rsidRPr="006C605D">
        <w:t xml:space="preserve"> Následuje </w:t>
      </w:r>
      <w:r w:rsidR="00DF6A22">
        <w:t xml:space="preserve">Blansko v Jihomoravském kraji (48,7 dne), dále pak </w:t>
      </w:r>
      <w:r w:rsidRPr="006C605D">
        <w:t>okres Frýdek – Místek (4</w:t>
      </w:r>
      <w:r w:rsidR="00DF6A22">
        <w:t>7</w:t>
      </w:r>
      <w:r w:rsidRPr="006C605D">
        <w:t>,8 dne) v Moravskoslezském kraji</w:t>
      </w:r>
      <w:r w:rsidR="00687770">
        <w:t xml:space="preserve">, v Jihočeském kraji </w:t>
      </w:r>
      <w:r w:rsidRPr="006C605D">
        <w:t>okres Prachatice (48</w:t>
      </w:r>
      <w:r w:rsidR="00687770">
        <w:t xml:space="preserve"> </w:t>
      </w:r>
      <w:r w:rsidRPr="006C605D">
        <w:t>dne)</w:t>
      </w:r>
      <w:r w:rsidR="00687770">
        <w:t xml:space="preserve"> a okres </w:t>
      </w:r>
      <w:r w:rsidRPr="006C605D">
        <w:t>Strakonice (46,7</w:t>
      </w:r>
      <w:r w:rsidR="00DF6A22">
        <w:t xml:space="preserve"> dne</w:t>
      </w:r>
      <w:r w:rsidRPr="006C605D">
        <w:t xml:space="preserve">). Nejkratší průměrnou dobu trvání pracovní neschopnosti zaznamenáváme u středočeských okresů Mladá Boleslav (30,5 dne) a Praha – západ (35,1 dne), mezi které se zařadil okres </w:t>
      </w:r>
      <w:r w:rsidR="00DF6A22">
        <w:t>Cheb (32,1 dne</w:t>
      </w:r>
      <w:r w:rsidR="007E6990">
        <w:t xml:space="preserve">) z Karlovarského kraje a </w:t>
      </w:r>
      <w:r w:rsidRPr="006C605D">
        <w:t>Rychnov nad Kněžnou (32,1 dnů) z Královéhradeckého kraje.</w:t>
      </w:r>
    </w:p>
    <w:p w:rsidR="00B40073" w:rsidRDefault="00C96D3F" w:rsidP="00A71891">
      <w:pPr>
        <w:jc w:val="both"/>
      </w:pPr>
      <w:r>
        <w:t>O</w:t>
      </w:r>
      <w:r w:rsidR="00B40073">
        <w:t>sob</w:t>
      </w:r>
      <w:r>
        <w:t>y</w:t>
      </w:r>
      <w:r w:rsidR="00B40073">
        <w:t xml:space="preserve"> samostatně výdělečně </w:t>
      </w:r>
      <w:r>
        <w:t xml:space="preserve">činné </w:t>
      </w:r>
      <w:r w:rsidR="00B40073">
        <w:t xml:space="preserve">(OSVČ) do pracovní neschopnosti nastupují méně často než zaměstnanci (7,3 případů na 100 pojištěnců v 1. </w:t>
      </w:r>
      <w:proofErr w:type="spellStart"/>
      <w:r w:rsidR="00B40073">
        <w:t>pol</w:t>
      </w:r>
      <w:proofErr w:type="spellEnd"/>
      <w:r w:rsidR="00B40073">
        <w:t xml:space="preserve">. 2018), ale pokud již onemocní a zahájí pracovní neschopnost, průměrná délka jejich pracovní neschopnosti značně převyšuje ostatní sledované kategorie velikosti podniků (viz graf 2.9). Jejich dočasná pracovní neschopnost trvá průměrně 110,5 dne, zatímco v ostatních kategoriích se pohybuje v rozmezí do </w:t>
      </w:r>
      <w:r>
        <w:t xml:space="preserve">38 </w:t>
      </w:r>
      <w:r w:rsidR="00B40073">
        <w:t xml:space="preserve">dnů, u kategorie podniků s 1 – 49 zaměstnanci pak 43,7 dne. </w:t>
      </w:r>
      <w:r w:rsidR="00B40073" w:rsidRPr="0040332E">
        <w:t>Dokonce doba pracovní neschopnosti OSVČ z důvodu nemoci (</w:t>
      </w:r>
      <w:r w:rsidR="00061150">
        <w:t>112,71</w:t>
      </w:r>
      <w:r w:rsidR="00B40073" w:rsidRPr="0040332E">
        <w:t xml:space="preserve"> dne) převyšuje délku jejich pracovní neschopnosti z důvodu ostatních úrazů, což u ostatních kategorií je přesně naopak.</w:t>
      </w:r>
      <w:r w:rsidR="00B40073">
        <w:t xml:space="preserve"> Delší doba </w:t>
      </w:r>
      <w:r w:rsidR="00061150">
        <w:t xml:space="preserve">průměrného </w:t>
      </w:r>
      <w:r w:rsidR="00B40073">
        <w:t xml:space="preserve">trvání pracovní neschopnosti u OSVČ může souviset se skutečností, že tato skupina pojištěnců </w:t>
      </w:r>
      <w:r w:rsidR="00B40073">
        <w:lastRenderedPageBreak/>
        <w:t>v době prvních 14 dní trvání pracovní neschopnosti není finančně zabezpečena jako ostatní pojištěnci, je jim vypláceno až nemocenské od 15. dne. Vzhledem k tomuto faktu pak krátkodobé případy lehčích forem nemocí neřeší pracovní neschopností, tu si nechají vystavit až při onemocnění vážnější nemocí, která si pak vyžádá dlouhodobější pracovní neschopnost.</w:t>
      </w:r>
    </w:p>
    <w:p w:rsidR="003607F1" w:rsidRDefault="003607F1" w:rsidP="001B64E2">
      <w:pPr>
        <w:jc w:val="both"/>
        <w:rPr>
          <w:b/>
        </w:rPr>
      </w:pPr>
      <w:r w:rsidRPr="00AC74F3">
        <w:rPr>
          <w:b/>
        </w:rPr>
        <w:t>Tab. 2.</w:t>
      </w:r>
      <w:r>
        <w:rPr>
          <w:b/>
        </w:rPr>
        <w:t>6</w:t>
      </w:r>
      <w:r w:rsidRPr="00AC74F3">
        <w:rPr>
          <w:b/>
        </w:rPr>
        <w:t xml:space="preserve"> – </w:t>
      </w:r>
      <w:r>
        <w:rPr>
          <w:b/>
        </w:rPr>
        <w:t>Průměrná délka trvání 1</w:t>
      </w:r>
      <w:r w:rsidRPr="00AC74F3">
        <w:rPr>
          <w:b/>
        </w:rPr>
        <w:t xml:space="preserve"> případ</w:t>
      </w:r>
      <w:r>
        <w:rPr>
          <w:b/>
        </w:rPr>
        <w:t>u</w:t>
      </w:r>
      <w:r w:rsidRPr="00AC74F3">
        <w:rPr>
          <w:b/>
        </w:rPr>
        <w:t xml:space="preserve"> dočasné pracovní neschopnosti </w:t>
      </w:r>
      <w:r>
        <w:rPr>
          <w:b/>
        </w:rPr>
        <w:t xml:space="preserve">podle krajů ČR </w:t>
      </w:r>
      <w:r w:rsidRPr="00AC74F3">
        <w:rPr>
          <w:b/>
        </w:rPr>
        <w:t>v</w:t>
      </w:r>
      <w:r w:rsidR="00C61315">
        <w:rPr>
          <w:b/>
        </w:rPr>
        <w:t xml:space="preserve"> období 1. </w:t>
      </w:r>
      <w:proofErr w:type="spellStart"/>
      <w:r w:rsidR="00C61315">
        <w:rPr>
          <w:b/>
        </w:rPr>
        <w:t>pol</w:t>
      </w:r>
      <w:proofErr w:type="spellEnd"/>
      <w:r w:rsidR="00C61315">
        <w:rPr>
          <w:b/>
        </w:rPr>
        <w:t>. 2007</w:t>
      </w:r>
      <w:r w:rsidRPr="00AC74F3">
        <w:rPr>
          <w:b/>
        </w:rPr>
        <w:t> –</w:t>
      </w:r>
      <w:r>
        <w:rPr>
          <w:b/>
        </w:rPr>
        <w:t xml:space="preserve"> </w:t>
      </w:r>
      <w:r w:rsidR="00C61315">
        <w:rPr>
          <w:b/>
        </w:rPr>
        <w:t xml:space="preserve">1. </w:t>
      </w:r>
      <w:proofErr w:type="spellStart"/>
      <w:r w:rsidR="00C61315">
        <w:rPr>
          <w:b/>
        </w:rPr>
        <w:t>pol</w:t>
      </w:r>
      <w:proofErr w:type="spellEnd"/>
      <w:r w:rsidR="00C61315">
        <w:rPr>
          <w:b/>
        </w:rPr>
        <w:t xml:space="preserve">. </w:t>
      </w:r>
      <w:r>
        <w:rPr>
          <w:b/>
        </w:rPr>
        <w:t>201</w:t>
      </w:r>
      <w:r w:rsidR="00C61315">
        <w:rPr>
          <w:b/>
        </w:rPr>
        <w:t>8</w:t>
      </w:r>
    </w:p>
    <w:p w:rsidR="00C61315" w:rsidRPr="00AC74F3" w:rsidRDefault="00B5452C" w:rsidP="001B64E2">
      <w:pPr>
        <w:jc w:val="both"/>
        <w:rPr>
          <w:b/>
        </w:rPr>
      </w:pPr>
      <w:r w:rsidRPr="002869CD">
        <w:rPr>
          <w:noProof/>
        </w:rPr>
        <w:drawing>
          <wp:inline distT="0" distB="0" distL="0" distR="0">
            <wp:extent cx="6114785" cy="3045350"/>
            <wp:effectExtent l="19050" t="0" r="265" b="0"/>
            <wp:docPr id="2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6120130" cy="3048012"/>
                    </a:xfrm>
                    <a:prstGeom prst="rect">
                      <a:avLst/>
                    </a:prstGeom>
                    <a:noFill/>
                    <a:ln w="9525">
                      <a:noFill/>
                      <a:miter lim="800000"/>
                      <a:headEnd/>
                      <a:tailEnd/>
                    </a:ln>
                  </pic:spPr>
                </pic:pic>
              </a:graphicData>
            </a:graphic>
          </wp:inline>
        </w:drawing>
      </w:r>
    </w:p>
    <w:p w:rsidR="003168AE" w:rsidRDefault="003607F1" w:rsidP="001B64E2">
      <w:pPr>
        <w:jc w:val="both"/>
        <w:rPr>
          <w:b/>
        </w:rPr>
      </w:pPr>
      <w:r>
        <w:rPr>
          <w:rFonts w:cs="Arial"/>
          <w:sz w:val="16"/>
          <w:szCs w:val="16"/>
        </w:rPr>
        <w:t>Zdroj: ČSÚ</w:t>
      </w:r>
    </w:p>
    <w:p w:rsidR="00DD6112" w:rsidRDefault="00DD6112" w:rsidP="001B64E2">
      <w:pPr>
        <w:jc w:val="both"/>
        <w:rPr>
          <w:b/>
        </w:rPr>
      </w:pPr>
      <w:r w:rsidRPr="00DD6112">
        <w:rPr>
          <w:b/>
        </w:rPr>
        <w:t>Graf 2.</w:t>
      </w:r>
      <w:r w:rsidR="00C63197">
        <w:rPr>
          <w:b/>
        </w:rPr>
        <w:t>9</w:t>
      </w:r>
      <w:r w:rsidRPr="00DD6112">
        <w:rPr>
          <w:b/>
        </w:rPr>
        <w:t xml:space="preserve"> – Průměrná délka trvání 1 případu dočasné pracovní neschopnosti </w:t>
      </w:r>
      <w:r w:rsidR="0009434D">
        <w:rPr>
          <w:b/>
        </w:rPr>
        <w:t xml:space="preserve">OSVČ a zaměstnanců </w:t>
      </w:r>
      <w:r w:rsidRPr="00DD6112">
        <w:rPr>
          <w:b/>
        </w:rPr>
        <w:t xml:space="preserve">podle </w:t>
      </w:r>
      <w:r>
        <w:rPr>
          <w:b/>
        </w:rPr>
        <w:t>velikosti podniku</w:t>
      </w:r>
      <w:r w:rsidRPr="00DD6112">
        <w:rPr>
          <w:b/>
        </w:rPr>
        <w:t xml:space="preserve"> </w:t>
      </w:r>
      <w:r w:rsidR="0009434D">
        <w:rPr>
          <w:b/>
        </w:rPr>
        <w:t xml:space="preserve">a podle příčiny </w:t>
      </w:r>
      <w:r w:rsidRPr="00DD6112">
        <w:rPr>
          <w:b/>
        </w:rPr>
        <w:t>v</w:t>
      </w:r>
      <w:r w:rsidR="00477A9C">
        <w:rPr>
          <w:b/>
        </w:rPr>
        <w:t xml:space="preserve"> 1. </w:t>
      </w:r>
      <w:proofErr w:type="spellStart"/>
      <w:r w:rsidR="00477A9C">
        <w:rPr>
          <w:b/>
        </w:rPr>
        <w:t>pol</w:t>
      </w:r>
      <w:proofErr w:type="spellEnd"/>
      <w:r w:rsidR="00477A9C">
        <w:rPr>
          <w:b/>
        </w:rPr>
        <w:t>. 2018</w:t>
      </w:r>
    </w:p>
    <w:p w:rsidR="00393CDA" w:rsidRPr="00DD6112" w:rsidRDefault="00DE1FCF" w:rsidP="001B64E2">
      <w:pPr>
        <w:jc w:val="both"/>
        <w:rPr>
          <w:b/>
        </w:rPr>
      </w:pPr>
      <w:r w:rsidRPr="00DE1FCF">
        <w:rPr>
          <w:noProof/>
        </w:rPr>
        <w:drawing>
          <wp:inline distT="0" distB="0" distL="0" distR="0">
            <wp:extent cx="6004501" cy="3347500"/>
            <wp:effectExtent l="19050" t="0" r="0" b="0"/>
            <wp:docPr id="3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6010275" cy="3350719"/>
                    </a:xfrm>
                    <a:prstGeom prst="rect">
                      <a:avLst/>
                    </a:prstGeom>
                    <a:noFill/>
                    <a:ln w="9525">
                      <a:noFill/>
                      <a:miter lim="800000"/>
                      <a:headEnd/>
                      <a:tailEnd/>
                    </a:ln>
                  </pic:spPr>
                </pic:pic>
              </a:graphicData>
            </a:graphic>
          </wp:inline>
        </w:drawing>
      </w:r>
    </w:p>
    <w:p w:rsidR="00DD6112" w:rsidRPr="001338A0" w:rsidRDefault="00DD6112" w:rsidP="00DD6112">
      <w:pPr>
        <w:jc w:val="both"/>
        <w:rPr>
          <w:rFonts w:cs="Arial"/>
          <w:sz w:val="16"/>
          <w:szCs w:val="16"/>
        </w:rPr>
      </w:pPr>
      <w:r>
        <w:rPr>
          <w:rFonts w:cs="Arial"/>
          <w:sz w:val="16"/>
          <w:szCs w:val="16"/>
        </w:rPr>
        <w:t>Zdroj: ČSÚ</w:t>
      </w:r>
    </w:p>
    <w:p w:rsidR="0047735C" w:rsidRDefault="00977F2A" w:rsidP="006701EE">
      <w:pPr>
        <w:pStyle w:val="Nadpis3"/>
        <w:spacing w:after="100"/>
      </w:pPr>
      <w:bookmarkStart w:id="4" w:name="_Toc513101501"/>
      <w:r>
        <w:lastRenderedPageBreak/>
        <w:t>4.2.3. Průměrné procento dočasné pracovní neschopnosti a průměrný denní stav práce neschopných</w:t>
      </w:r>
      <w:bookmarkEnd w:id="4"/>
    </w:p>
    <w:p w:rsidR="002E0185" w:rsidRPr="002E0185" w:rsidRDefault="002E0185" w:rsidP="002E0185">
      <w:pPr>
        <w:jc w:val="both"/>
      </w:pPr>
      <w:r>
        <w:t>Nejkomplexnějším ukazatelem statistiky pracovní neschopnosti pro nemoc a úraz je průměrné procento dočasné pracovní neschopnosti.</w:t>
      </w:r>
      <w:r w:rsidRPr="002E0185">
        <w:t xml:space="preserve"> </w:t>
      </w:r>
      <w:r w:rsidRPr="00F40DD1">
        <w:t>Zohledňuje jak celkový počet případů pracovní neschopnosti (jak často lidé do pracovní neschopnosti nastupují), tak i průměrné trvání jednoho případu pracovní neschopnosti (jak dlouho v pracovní neschopnosti zůstávají).</w:t>
      </w:r>
      <w:r w:rsidR="00C26C4E">
        <w:t xml:space="preserve"> Statistiky pak doplňuje ještě další relativní ukazatel – průměrný denní stav práce neschopných, který nám říká, kolik průměrně denně chybělo na svém pracovišti osob v důsledku dočasné pracovní neschopnosti pro nemoc a úraz.</w:t>
      </w:r>
    </w:p>
    <w:p w:rsidR="003116A3" w:rsidRPr="003116A3" w:rsidRDefault="003116A3" w:rsidP="003116A3">
      <w:pPr>
        <w:pStyle w:val="Box1"/>
        <w:rPr>
          <w:i/>
        </w:rPr>
      </w:pPr>
      <w:r>
        <w:rPr>
          <w:b/>
          <w:i/>
        </w:rPr>
        <w:t>P</w:t>
      </w:r>
      <w:r w:rsidRPr="003116A3">
        <w:rPr>
          <w:b/>
          <w:i/>
        </w:rPr>
        <w:t xml:space="preserve">růměrné procento </w:t>
      </w:r>
      <w:r>
        <w:rPr>
          <w:b/>
          <w:i/>
        </w:rPr>
        <w:t xml:space="preserve">dočasné </w:t>
      </w:r>
      <w:r w:rsidRPr="003116A3">
        <w:rPr>
          <w:b/>
          <w:i/>
        </w:rPr>
        <w:t xml:space="preserve">pracovní neschopnosti </w:t>
      </w:r>
      <w:r w:rsidR="008701E4" w:rsidRPr="00F46EA8">
        <w:rPr>
          <w:i/>
        </w:rPr>
        <w:t xml:space="preserve">– </w:t>
      </w:r>
      <w:r>
        <w:rPr>
          <w:i/>
        </w:rPr>
        <w:t>u</w:t>
      </w:r>
      <w:r w:rsidRPr="003116A3">
        <w:rPr>
          <w:i/>
        </w:rPr>
        <w:t>kazatel udává, kolik ze 100 pojištěnců je průměrně každý den v pracovní neschopnosti pro nemoc</w:t>
      </w:r>
      <w:r>
        <w:rPr>
          <w:i/>
        </w:rPr>
        <w:t xml:space="preserve"> či úraz. </w:t>
      </w:r>
      <w:r w:rsidRPr="003116A3">
        <w:rPr>
          <w:i/>
        </w:rPr>
        <w:t>Vyjadřuje podíl kalendářních dnů pracovní neschopnosti na celkovém kalendářním fondu pojištěnců ve sledovaném období (</w:t>
      </w:r>
      <w:r w:rsidR="0097701C">
        <w:rPr>
          <w:i/>
        </w:rPr>
        <w:t>pololetí</w:t>
      </w:r>
      <w:r w:rsidRPr="003116A3">
        <w:rPr>
          <w:i/>
        </w:rPr>
        <w:t xml:space="preserve">) vyjádřený v procentech. </w:t>
      </w:r>
    </w:p>
    <w:p w:rsidR="003116A3" w:rsidRPr="003116A3" w:rsidRDefault="003116A3" w:rsidP="003116A3">
      <w:pPr>
        <w:pStyle w:val="Box1"/>
        <w:rPr>
          <w:i/>
          <w:u w:val="single"/>
        </w:rPr>
      </w:pPr>
      <w:r w:rsidRPr="003116A3">
        <w:rPr>
          <w:i/>
          <w:u w:val="single"/>
        </w:rPr>
        <w:t>Způsob výpočtu:</w:t>
      </w:r>
    </w:p>
    <w:p w:rsidR="00764989" w:rsidRDefault="003116A3" w:rsidP="003116A3">
      <w:pPr>
        <w:pStyle w:val="Box1"/>
        <w:rPr>
          <w:i/>
        </w:rPr>
      </w:pPr>
      <w:r w:rsidRPr="003116A3">
        <w:rPr>
          <w:i/>
        </w:rPr>
        <w:t xml:space="preserve">Průměrné procento </w:t>
      </w:r>
      <w:r w:rsidR="00C53647">
        <w:rPr>
          <w:i/>
        </w:rPr>
        <w:t xml:space="preserve">dočasné </w:t>
      </w:r>
      <w:r w:rsidRPr="003116A3">
        <w:rPr>
          <w:i/>
        </w:rPr>
        <w:t>pracovní neschopnosti = počet kalendářních dnů dočasné pracovní neschopnosti x 10</w:t>
      </w:r>
      <w:r w:rsidR="0089159B">
        <w:rPr>
          <w:i/>
        </w:rPr>
        <w:t>0</w:t>
      </w:r>
      <w:r w:rsidRPr="003116A3">
        <w:rPr>
          <w:i/>
        </w:rPr>
        <w:t xml:space="preserve"> / (průměrný počet osob </w:t>
      </w:r>
      <w:proofErr w:type="spellStart"/>
      <w:r w:rsidRPr="003116A3">
        <w:rPr>
          <w:i/>
        </w:rPr>
        <w:t>nemocensky</w:t>
      </w:r>
      <w:proofErr w:type="spellEnd"/>
      <w:r w:rsidRPr="003116A3">
        <w:rPr>
          <w:i/>
        </w:rPr>
        <w:t xml:space="preserve"> pojištěných x počet kalendářních dnů ve sledovaném období</w:t>
      </w:r>
      <w:r w:rsidR="0089159B">
        <w:rPr>
          <w:i/>
        </w:rPr>
        <w:t>)</w:t>
      </w:r>
      <w:r w:rsidR="00764989">
        <w:rPr>
          <w:i/>
        </w:rPr>
        <w:t>.</w:t>
      </w:r>
    </w:p>
    <w:p w:rsidR="00764989" w:rsidRDefault="00764989" w:rsidP="003116A3">
      <w:pPr>
        <w:pStyle w:val="Box1"/>
        <w:rPr>
          <w:i/>
        </w:rPr>
      </w:pPr>
    </w:p>
    <w:p w:rsidR="00764989" w:rsidRPr="0089159B" w:rsidRDefault="00764989" w:rsidP="00764989">
      <w:pPr>
        <w:pStyle w:val="Box1"/>
        <w:rPr>
          <w:i/>
        </w:rPr>
      </w:pPr>
      <w:r w:rsidRPr="0089159B">
        <w:rPr>
          <w:b/>
          <w:i/>
        </w:rPr>
        <w:t>Průměrný denní stav práce neschopných</w:t>
      </w:r>
      <w:r>
        <w:rPr>
          <w:b/>
          <w:i/>
        </w:rPr>
        <w:t xml:space="preserve"> </w:t>
      </w:r>
      <w:r w:rsidRPr="00F46EA8">
        <w:rPr>
          <w:i/>
        </w:rPr>
        <w:t xml:space="preserve">– </w:t>
      </w:r>
      <w:r>
        <w:rPr>
          <w:i/>
        </w:rPr>
        <w:t>u</w:t>
      </w:r>
      <w:r w:rsidRPr="0089159B">
        <w:rPr>
          <w:i/>
        </w:rPr>
        <w:t xml:space="preserve">kazatel </w:t>
      </w:r>
      <w:r>
        <w:rPr>
          <w:i/>
        </w:rPr>
        <w:t>vyjadřuje</w:t>
      </w:r>
      <w:r w:rsidRPr="0089159B">
        <w:rPr>
          <w:i/>
        </w:rPr>
        <w:t xml:space="preserve"> počet </w:t>
      </w:r>
      <w:proofErr w:type="spellStart"/>
      <w:r w:rsidRPr="0089159B">
        <w:rPr>
          <w:i/>
        </w:rPr>
        <w:t>nemocensky</w:t>
      </w:r>
      <w:proofErr w:type="spellEnd"/>
      <w:r w:rsidRPr="0089159B">
        <w:rPr>
          <w:i/>
        </w:rPr>
        <w:t xml:space="preserve"> pojištěných, kteří byli ve sledovaném období (</w:t>
      </w:r>
      <w:r w:rsidR="0097701C">
        <w:rPr>
          <w:i/>
        </w:rPr>
        <w:t>pololetí</w:t>
      </w:r>
      <w:r w:rsidRPr="0089159B">
        <w:rPr>
          <w:i/>
        </w:rPr>
        <w:t xml:space="preserve">) průměrně denně nepřítomni v práci z důvodů pracovní neschopnosti. </w:t>
      </w:r>
    </w:p>
    <w:p w:rsidR="00764989" w:rsidRPr="0089159B" w:rsidRDefault="00764989" w:rsidP="00764989">
      <w:pPr>
        <w:pStyle w:val="Box1"/>
        <w:rPr>
          <w:i/>
          <w:u w:val="single"/>
        </w:rPr>
      </w:pPr>
      <w:r w:rsidRPr="0089159B">
        <w:rPr>
          <w:i/>
          <w:u w:val="single"/>
        </w:rPr>
        <w:t>Způsob výpočtu:</w:t>
      </w:r>
    </w:p>
    <w:p w:rsidR="00764989" w:rsidRPr="00F46EA8" w:rsidRDefault="00764989" w:rsidP="00764989">
      <w:pPr>
        <w:pStyle w:val="Box1"/>
        <w:rPr>
          <w:i/>
        </w:rPr>
      </w:pPr>
      <w:r w:rsidRPr="0089159B">
        <w:rPr>
          <w:i/>
        </w:rPr>
        <w:t>Průměrný denní stav práce neschopných = kalendářní dny dočasné pracovní neschopnosti / počet kalendářních dnů ve sledovaném období</w:t>
      </w:r>
      <w:r>
        <w:rPr>
          <w:i/>
        </w:rPr>
        <w:t>.</w:t>
      </w:r>
    </w:p>
    <w:p w:rsidR="00C02D54" w:rsidRDefault="002E0185" w:rsidP="00C02D54">
      <w:pPr>
        <w:pStyle w:val="Zkladntextodsazen"/>
        <w:spacing w:after="240" w:line="288" w:lineRule="auto"/>
        <w:ind w:left="0"/>
        <w:jc w:val="both"/>
        <w:rPr>
          <w:rFonts w:cs="Arial"/>
          <w:color w:val="9BBB59" w:themeColor="accent3"/>
          <w:szCs w:val="22"/>
        </w:rPr>
      </w:pPr>
      <w:r>
        <w:rPr>
          <w:rFonts w:cs="Arial"/>
        </w:rPr>
        <w:t>Hodnota</w:t>
      </w:r>
      <w:r w:rsidR="00271088">
        <w:rPr>
          <w:rFonts w:cs="Arial"/>
        </w:rPr>
        <w:t xml:space="preserve"> ukazatele</w:t>
      </w:r>
      <w:r>
        <w:rPr>
          <w:rFonts w:cs="Arial"/>
        </w:rPr>
        <w:t xml:space="preserve"> </w:t>
      </w:r>
      <w:r w:rsidR="00271088">
        <w:rPr>
          <w:rFonts w:cs="Arial"/>
          <w:b/>
        </w:rPr>
        <w:t>průměrné</w:t>
      </w:r>
      <w:r w:rsidR="00764989" w:rsidRPr="00271088">
        <w:rPr>
          <w:rFonts w:cs="Arial"/>
          <w:b/>
        </w:rPr>
        <w:t xml:space="preserve"> procent</w:t>
      </w:r>
      <w:r w:rsidR="00271088">
        <w:rPr>
          <w:rFonts w:cs="Arial"/>
          <w:b/>
        </w:rPr>
        <w:t>o</w:t>
      </w:r>
      <w:r w:rsidR="00764989" w:rsidRPr="00271088">
        <w:rPr>
          <w:rFonts w:cs="Arial"/>
          <w:b/>
        </w:rPr>
        <w:t xml:space="preserve"> dočasné pracovní neschopnosti</w:t>
      </w:r>
      <w:r>
        <w:rPr>
          <w:rFonts w:cs="Arial"/>
          <w:b/>
        </w:rPr>
        <w:t xml:space="preserve"> </w:t>
      </w:r>
      <w:r>
        <w:rPr>
          <w:rFonts w:cs="Arial"/>
        </w:rPr>
        <w:t>se na počátku devadesátých let pohybovala okolo 5 %, následně se postupně zvyšovala</w:t>
      </w:r>
      <w:r w:rsidRPr="002E0185">
        <w:rPr>
          <w:rFonts w:cs="Arial"/>
        </w:rPr>
        <w:t xml:space="preserve"> </w:t>
      </w:r>
      <w:r>
        <w:rPr>
          <w:rFonts w:cs="Arial"/>
        </w:rPr>
        <w:t>až do roku 2003, kdy dosáhla svého maxima 6,8 %. V souvislosti s postupnými legislativními změnami zpřísňujícími čerpání nemocenských dávek</w:t>
      </w:r>
      <w:r w:rsidR="00EA0DC0" w:rsidRPr="00EA0DC0">
        <w:rPr>
          <w:rFonts w:cs="Arial"/>
        </w:rPr>
        <w:t xml:space="preserve"> </w:t>
      </w:r>
      <w:r>
        <w:rPr>
          <w:rFonts w:cs="Arial"/>
        </w:rPr>
        <w:t xml:space="preserve">začaly hodnoty ukazatele </w:t>
      </w:r>
      <w:r w:rsidR="00EA0DC0">
        <w:rPr>
          <w:rFonts w:cs="Arial"/>
        </w:rPr>
        <w:t xml:space="preserve">od roku 2004 </w:t>
      </w:r>
      <w:r>
        <w:rPr>
          <w:rFonts w:cs="Arial"/>
        </w:rPr>
        <w:t>postupně klesat téměř až na polovinu jeho výchozí úrovně (na 3,5</w:t>
      </w:r>
      <w:r w:rsidR="00EA0DC0">
        <w:rPr>
          <w:rFonts w:cs="Arial"/>
        </w:rPr>
        <w:t xml:space="preserve"> </w:t>
      </w:r>
      <w:r>
        <w:rPr>
          <w:rFonts w:cs="Arial"/>
        </w:rPr>
        <w:t>% v roce 20</w:t>
      </w:r>
      <w:r w:rsidR="00EA0DC0">
        <w:rPr>
          <w:rFonts w:cs="Arial"/>
        </w:rPr>
        <w:t>12). Počínaje rokem 2013 nastal</w:t>
      </w:r>
      <w:r>
        <w:rPr>
          <w:rFonts w:cs="Arial"/>
        </w:rPr>
        <w:t xml:space="preserve"> </w:t>
      </w:r>
      <w:r w:rsidR="00EA0DC0">
        <w:rPr>
          <w:rFonts w:cs="Arial"/>
        </w:rPr>
        <w:t>obrat</w:t>
      </w:r>
      <w:r>
        <w:rPr>
          <w:rFonts w:cs="Arial"/>
        </w:rPr>
        <w:t xml:space="preserve"> vycházející zřejmě ze skutečnosti, že soubor </w:t>
      </w:r>
      <w:proofErr w:type="spellStart"/>
      <w:r>
        <w:rPr>
          <w:rFonts w:cs="Arial"/>
        </w:rPr>
        <w:t>nemocensky</w:t>
      </w:r>
      <w:proofErr w:type="spellEnd"/>
      <w:r>
        <w:rPr>
          <w:rFonts w:cs="Arial"/>
        </w:rPr>
        <w:t xml:space="preserve"> pojištěných osob přivykl přísnějším legislativním podmínkám čerpání nemocenských dávek a </w:t>
      </w:r>
      <w:r w:rsidR="005739A3">
        <w:rPr>
          <w:rFonts w:cs="Arial"/>
        </w:rPr>
        <w:t xml:space="preserve">hodnota </w:t>
      </w:r>
      <w:r>
        <w:rPr>
          <w:rFonts w:cs="Arial"/>
        </w:rPr>
        <w:t>uvedeného ukazatele začala opět stoupat. V </w:t>
      </w:r>
      <w:r w:rsidRPr="006745A1">
        <w:rPr>
          <w:rFonts w:cs="Arial"/>
        </w:rPr>
        <w:t>roce</w:t>
      </w:r>
      <w:r>
        <w:rPr>
          <w:rFonts w:cs="Arial"/>
        </w:rPr>
        <w:t xml:space="preserve"> 2015 překročila úroveň 4 % a v roce 201</w:t>
      </w:r>
      <w:r w:rsidR="00EA0DC0">
        <w:rPr>
          <w:rFonts w:cs="Arial"/>
        </w:rPr>
        <w:t>7</w:t>
      </w:r>
      <w:r>
        <w:rPr>
          <w:rFonts w:cs="Arial"/>
        </w:rPr>
        <w:t xml:space="preserve"> dosáhla </w:t>
      </w:r>
      <w:r w:rsidRPr="008320A9">
        <w:rPr>
          <w:rFonts w:cs="Arial"/>
        </w:rPr>
        <w:t>4,</w:t>
      </w:r>
      <w:r w:rsidR="00EA0DC0">
        <w:rPr>
          <w:rFonts w:cs="Arial"/>
        </w:rPr>
        <w:t>3</w:t>
      </w:r>
      <w:r w:rsidRPr="008320A9">
        <w:rPr>
          <w:rFonts w:cs="Arial"/>
        </w:rPr>
        <w:t xml:space="preserve"> %</w:t>
      </w:r>
      <w:r>
        <w:rPr>
          <w:rFonts w:cs="Arial"/>
        </w:rPr>
        <w:t xml:space="preserve"> </w:t>
      </w:r>
      <w:r w:rsidRPr="00783F52">
        <w:rPr>
          <w:rFonts w:cs="Arial"/>
        </w:rPr>
        <w:t>(v případě mužů 3,8</w:t>
      </w:r>
      <w:r>
        <w:rPr>
          <w:rFonts w:cs="Arial"/>
        </w:rPr>
        <w:t> </w:t>
      </w:r>
      <w:r w:rsidRPr="00783F52">
        <w:rPr>
          <w:rFonts w:cs="Arial"/>
        </w:rPr>
        <w:t>% a žen 4,7 %</w:t>
      </w:r>
      <w:r w:rsidRPr="00783F52">
        <w:rPr>
          <w:rFonts w:cs="Arial"/>
          <w:szCs w:val="24"/>
        </w:rPr>
        <w:t>).</w:t>
      </w:r>
      <w:r>
        <w:rPr>
          <w:rFonts w:cs="Arial"/>
          <w:szCs w:val="24"/>
        </w:rPr>
        <w:t xml:space="preserve"> </w:t>
      </w:r>
      <w:r w:rsidR="00836A50" w:rsidRPr="00C02D54">
        <w:rPr>
          <w:rFonts w:cs="Arial"/>
        </w:rPr>
        <w:t xml:space="preserve">Z hlediska </w:t>
      </w:r>
      <w:r w:rsidR="00C02D54" w:rsidRPr="00C02D54">
        <w:rPr>
          <w:rFonts w:cs="Arial"/>
        </w:rPr>
        <w:t xml:space="preserve">meziročního vývoje průměrné procento pracovní neschopnosti v 1. </w:t>
      </w:r>
      <w:proofErr w:type="spellStart"/>
      <w:r w:rsidR="00C02D54" w:rsidRPr="00C02D54">
        <w:rPr>
          <w:rFonts w:cs="Arial"/>
        </w:rPr>
        <w:t>pol</w:t>
      </w:r>
      <w:proofErr w:type="spellEnd"/>
      <w:r w:rsidR="00C02D54" w:rsidRPr="00C02D54">
        <w:rPr>
          <w:rFonts w:cs="Arial"/>
        </w:rPr>
        <w:t>. 2018 oproti stejnému období v loňském roce mírně stouplo (o</w:t>
      </w:r>
      <w:r w:rsidR="00263C92">
        <w:rPr>
          <w:rFonts w:cs="Arial"/>
        </w:rPr>
        <w:t xml:space="preserve"> </w:t>
      </w:r>
      <w:r w:rsidR="007A48F9">
        <w:rPr>
          <w:rFonts w:cs="Arial"/>
        </w:rPr>
        <w:t>0,15 p. </w:t>
      </w:r>
      <w:proofErr w:type="spellStart"/>
      <w:r w:rsidR="007A48F9">
        <w:rPr>
          <w:rFonts w:cs="Arial"/>
        </w:rPr>
        <w:t>b</w:t>
      </w:r>
      <w:proofErr w:type="spellEnd"/>
      <w:r w:rsidR="007A48F9">
        <w:rPr>
          <w:rFonts w:cs="Arial"/>
        </w:rPr>
        <w:t>.)</w:t>
      </w:r>
      <w:r w:rsidR="00C02D54" w:rsidRPr="00C02D54">
        <w:rPr>
          <w:rFonts w:cs="Arial"/>
        </w:rPr>
        <w:t>) a jeho úroveň dosáhla na hodnotu 4,8 (v 1. </w:t>
      </w:r>
      <w:proofErr w:type="spellStart"/>
      <w:r w:rsidR="00C02D54" w:rsidRPr="00C02D54">
        <w:rPr>
          <w:rFonts w:cs="Arial"/>
        </w:rPr>
        <w:t>pol</w:t>
      </w:r>
      <w:proofErr w:type="spellEnd"/>
      <w:r w:rsidR="00C02D54" w:rsidRPr="00C02D54">
        <w:rPr>
          <w:rFonts w:cs="Arial"/>
        </w:rPr>
        <w:t>. 2017 činila jeho hodnota 4,7).</w:t>
      </w:r>
      <w:r w:rsidR="00C02D54" w:rsidRPr="00C02D54">
        <w:rPr>
          <w:rFonts w:cs="Arial"/>
          <w:color w:val="9BBB59" w:themeColor="accent3"/>
          <w:szCs w:val="22"/>
        </w:rPr>
        <w:t xml:space="preserve"> </w:t>
      </w:r>
    </w:p>
    <w:p w:rsidR="00847661" w:rsidRDefault="00BD15F7" w:rsidP="00847661">
      <w:pPr>
        <w:pStyle w:val="Zkladntextodsazen"/>
        <w:spacing w:after="240" w:line="288" w:lineRule="auto"/>
        <w:ind w:left="0"/>
        <w:jc w:val="both"/>
        <w:rPr>
          <w:rFonts w:cs="Arial"/>
          <w:color w:val="9BBB59" w:themeColor="accent3"/>
          <w:szCs w:val="22"/>
        </w:rPr>
      </w:pPr>
      <w:r w:rsidRPr="00BD15F7">
        <w:rPr>
          <w:rFonts w:cs="Arial"/>
        </w:rPr>
        <w:t xml:space="preserve">Nejvyšší průměrné procento dočasné pracovní neschopnosti dle odvětví ekonomické činnosti v 1. </w:t>
      </w:r>
      <w:proofErr w:type="spellStart"/>
      <w:r w:rsidRPr="00BD15F7">
        <w:rPr>
          <w:rFonts w:cs="Arial"/>
        </w:rPr>
        <w:t>pol</w:t>
      </w:r>
      <w:proofErr w:type="spellEnd"/>
      <w:r w:rsidRPr="00BD15F7">
        <w:rPr>
          <w:rFonts w:cs="Arial"/>
        </w:rPr>
        <w:t>. 2018 bylo zaznamenáno v odvětví Zpracovatelský průmysl (6,1),</w:t>
      </w:r>
      <w:r w:rsidR="00EA29E7">
        <w:rPr>
          <w:rFonts w:cs="Arial"/>
        </w:rPr>
        <w:t xml:space="preserve"> </w:t>
      </w:r>
      <w:r w:rsidRPr="00BD15F7">
        <w:rPr>
          <w:rFonts w:cs="Arial"/>
        </w:rPr>
        <w:t xml:space="preserve">Těžba a dobývání (5,9), Administrativní a podpůrné činnosti (5,6) a Zemědělství, lesnictví a rybářství (5,8). Nejnižší průměrné procento pracovní neschopnosti pak bylo v odvětví Informační a komunikační činnosti (2,0), Činnosti v oblasti nemovitostí (2,5) a Profesní, vědecké a technické činnosti (2,6). Podrobněji </w:t>
      </w:r>
      <w:r w:rsidR="00F6109F">
        <w:rPr>
          <w:rFonts w:cs="Arial"/>
        </w:rPr>
        <w:t xml:space="preserve">dle odvětví ekonomické činnosti </w:t>
      </w:r>
      <w:r w:rsidRPr="00BD15F7">
        <w:rPr>
          <w:rFonts w:cs="Arial"/>
        </w:rPr>
        <w:t>viz graf 2.10 a tab. 2.7.</w:t>
      </w:r>
      <w:r w:rsidR="00847661">
        <w:rPr>
          <w:rFonts w:cs="Arial"/>
        </w:rPr>
        <w:t xml:space="preserve"> </w:t>
      </w:r>
    </w:p>
    <w:p w:rsidR="00F72B48" w:rsidRDefault="00F72B48" w:rsidP="00F72B48">
      <w:pPr>
        <w:jc w:val="both"/>
        <w:rPr>
          <w:rFonts w:cs="Arial"/>
          <w:szCs w:val="20"/>
        </w:rPr>
      </w:pPr>
    </w:p>
    <w:p w:rsidR="00065F99" w:rsidRDefault="00065F99" w:rsidP="001B64E2">
      <w:pPr>
        <w:jc w:val="both"/>
        <w:rPr>
          <w:b/>
        </w:rPr>
      </w:pPr>
    </w:p>
    <w:p w:rsidR="00065F99" w:rsidRDefault="00065F99" w:rsidP="001B64E2">
      <w:pPr>
        <w:jc w:val="both"/>
        <w:rPr>
          <w:b/>
        </w:rPr>
      </w:pPr>
    </w:p>
    <w:p w:rsidR="00065F99" w:rsidRDefault="00065F99" w:rsidP="001B64E2">
      <w:pPr>
        <w:jc w:val="both"/>
        <w:rPr>
          <w:b/>
        </w:rPr>
      </w:pPr>
    </w:p>
    <w:p w:rsidR="00C3345B" w:rsidRDefault="00C3345B" w:rsidP="001B64E2">
      <w:pPr>
        <w:jc w:val="both"/>
        <w:rPr>
          <w:b/>
        </w:rPr>
      </w:pPr>
      <w:r w:rsidRPr="00AC74F3">
        <w:rPr>
          <w:b/>
        </w:rPr>
        <w:lastRenderedPageBreak/>
        <w:t>Tab. 2.</w:t>
      </w:r>
      <w:r>
        <w:rPr>
          <w:b/>
        </w:rPr>
        <w:t>7</w:t>
      </w:r>
      <w:r w:rsidRPr="00AC74F3">
        <w:rPr>
          <w:b/>
        </w:rPr>
        <w:t xml:space="preserve"> – </w:t>
      </w:r>
      <w:r w:rsidRPr="00DD6112">
        <w:rPr>
          <w:b/>
        </w:rPr>
        <w:t>Průměrn</w:t>
      </w:r>
      <w:r>
        <w:rPr>
          <w:b/>
        </w:rPr>
        <w:t>é</w:t>
      </w:r>
      <w:r w:rsidRPr="00DD6112">
        <w:rPr>
          <w:b/>
        </w:rPr>
        <w:t xml:space="preserve"> </w:t>
      </w:r>
      <w:r>
        <w:rPr>
          <w:b/>
        </w:rPr>
        <w:t>procento</w:t>
      </w:r>
      <w:r w:rsidRPr="00DD6112">
        <w:rPr>
          <w:b/>
        </w:rPr>
        <w:t xml:space="preserve"> </w:t>
      </w:r>
      <w:r w:rsidRPr="00AC74F3">
        <w:rPr>
          <w:b/>
        </w:rPr>
        <w:t>dočasné pracovní neschopnosti dle odvětví ekonomické činnosti v</w:t>
      </w:r>
      <w:r w:rsidR="005C78E2">
        <w:rPr>
          <w:b/>
        </w:rPr>
        <w:t xml:space="preserve"> období 1. </w:t>
      </w:r>
      <w:proofErr w:type="spellStart"/>
      <w:r w:rsidR="005C78E2">
        <w:rPr>
          <w:b/>
        </w:rPr>
        <w:t>pol</w:t>
      </w:r>
      <w:proofErr w:type="spellEnd"/>
      <w:r w:rsidR="005C78E2">
        <w:rPr>
          <w:b/>
        </w:rPr>
        <w:t xml:space="preserve">. </w:t>
      </w:r>
      <w:r w:rsidR="005739A3">
        <w:rPr>
          <w:b/>
        </w:rPr>
        <w:t xml:space="preserve">2009 </w:t>
      </w:r>
      <w:r w:rsidR="005C78E2">
        <w:rPr>
          <w:b/>
        </w:rPr>
        <w:t xml:space="preserve">– 1. </w:t>
      </w:r>
      <w:proofErr w:type="spellStart"/>
      <w:r w:rsidR="005C78E2">
        <w:rPr>
          <w:b/>
        </w:rPr>
        <w:t>pol</w:t>
      </w:r>
      <w:proofErr w:type="spellEnd"/>
      <w:r w:rsidR="005C78E2">
        <w:rPr>
          <w:b/>
        </w:rPr>
        <w:t>. 2018</w:t>
      </w:r>
    </w:p>
    <w:p w:rsidR="00E800A2" w:rsidRPr="00AC74F3" w:rsidRDefault="006C1A0A" w:rsidP="001B64E2">
      <w:pPr>
        <w:jc w:val="both"/>
        <w:rPr>
          <w:b/>
        </w:rPr>
      </w:pPr>
      <w:r w:rsidRPr="006C1A0A">
        <w:rPr>
          <w:noProof/>
        </w:rPr>
        <w:drawing>
          <wp:inline distT="0" distB="0" distL="0" distR="0">
            <wp:extent cx="6117832" cy="5019675"/>
            <wp:effectExtent l="19050" t="0" r="0" b="0"/>
            <wp:docPr id="32"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6120130" cy="5021560"/>
                    </a:xfrm>
                    <a:prstGeom prst="rect">
                      <a:avLst/>
                    </a:prstGeom>
                    <a:noFill/>
                    <a:ln w="9525">
                      <a:noFill/>
                      <a:miter lim="800000"/>
                      <a:headEnd/>
                      <a:tailEnd/>
                    </a:ln>
                  </pic:spPr>
                </pic:pic>
              </a:graphicData>
            </a:graphic>
          </wp:inline>
        </w:drawing>
      </w:r>
    </w:p>
    <w:p w:rsidR="00C3345B" w:rsidRPr="001338A0" w:rsidRDefault="00C3345B" w:rsidP="00C3345B">
      <w:pPr>
        <w:jc w:val="both"/>
        <w:rPr>
          <w:rFonts w:cs="Arial"/>
          <w:sz w:val="16"/>
          <w:szCs w:val="16"/>
        </w:rPr>
      </w:pPr>
      <w:r>
        <w:rPr>
          <w:rFonts w:cs="Arial"/>
          <w:sz w:val="16"/>
          <w:szCs w:val="16"/>
        </w:rPr>
        <w:t>Zdroj: ČSÚ</w:t>
      </w:r>
    </w:p>
    <w:p w:rsidR="0062268C" w:rsidRPr="0062268C" w:rsidRDefault="0062268C" w:rsidP="0062268C">
      <w:pPr>
        <w:jc w:val="both"/>
        <w:rPr>
          <w:rFonts w:cs="Arial"/>
        </w:rPr>
      </w:pPr>
      <w:r w:rsidRPr="0062268C">
        <w:rPr>
          <w:rFonts w:cs="Arial"/>
        </w:rPr>
        <w:t xml:space="preserve">Nejvyšší hodnoty průměrného procenta pracovní neschopnosti byly v 1. </w:t>
      </w:r>
      <w:proofErr w:type="spellStart"/>
      <w:r w:rsidRPr="0062268C">
        <w:rPr>
          <w:rFonts w:cs="Arial"/>
        </w:rPr>
        <w:t>pol</w:t>
      </w:r>
      <w:proofErr w:type="spellEnd"/>
      <w:r w:rsidRPr="0062268C">
        <w:rPr>
          <w:rFonts w:cs="Arial"/>
        </w:rPr>
        <w:t xml:space="preserve">. 2018 zaznamenány v Moravskoslezském (5,7), Zlínském (5,6), a Jihočeském kraji (5,5). V Praze byla v 1. </w:t>
      </w:r>
      <w:proofErr w:type="spellStart"/>
      <w:r w:rsidRPr="0062268C">
        <w:rPr>
          <w:rFonts w:cs="Arial"/>
        </w:rPr>
        <w:t>pol</w:t>
      </w:r>
      <w:proofErr w:type="spellEnd"/>
      <w:r w:rsidRPr="0062268C">
        <w:rPr>
          <w:rFonts w:cs="Arial"/>
        </w:rPr>
        <w:t xml:space="preserve">. 2018 díky relativně nízkému počtu případů pracovní neschopnosti na 100 pojištěnců a krátké průměrné době trvání dočasné pracovní neschopnosti </w:t>
      </w:r>
      <w:r w:rsidR="005739A3">
        <w:rPr>
          <w:rFonts w:cs="Arial"/>
        </w:rPr>
        <w:t xml:space="preserve">evidována </w:t>
      </w:r>
      <w:r w:rsidRPr="0062268C">
        <w:rPr>
          <w:rFonts w:cs="Arial"/>
        </w:rPr>
        <w:t>nejnižší hodnota průměrného procenta pracovní neschopnosti ze všech krajů (3,6). Vývoj tohoto ukazatele v jednotlivých regionech v</w:t>
      </w:r>
      <w:r w:rsidR="005739A3">
        <w:rPr>
          <w:rFonts w:cs="Arial"/>
        </w:rPr>
        <w:t> </w:t>
      </w:r>
      <w:r w:rsidRPr="0062268C">
        <w:rPr>
          <w:rFonts w:cs="Arial"/>
        </w:rPr>
        <w:t>posledních</w:t>
      </w:r>
      <w:r w:rsidR="005739A3">
        <w:rPr>
          <w:rFonts w:cs="Arial"/>
        </w:rPr>
        <w:t xml:space="preserve"> 12 letech</w:t>
      </w:r>
      <w:r w:rsidRPr="0062268C">
        <w:rPr>
          <w:rFonts w:cs="Arial"/>
        </w:rPr>
        <w:t xml:space="preserve"> je patrný z tab. 2.8.</w:t>
      </w:r>
    </w:p>
    <w:p w:rsidR="000B18E1" w:rsidRDefault="0062268C" w:rsidP="0062268C">
      <w:pPr>
        <w:jc w:val="both"/>
        <w:rPr>
          <w:rFonts w:cs="Arial"/>
        </w:rPr>
      </w:pPr>
      <w:r w:rsidRPr="0062268C">
        <w:rPr>
          <w:rFonts w:cs="Arial"/>
        </w:rPr>
        <w:t xml:space="preserve">Dle </w:t>
      </w:r>
      <w:r w:rsidR="005739A3">
        <w:rPr>
          <w:rFonts w:cs="Arial"/>
        </w:rPr>
        <w:t xml:space="preserve">podrobnějšího </w:t>
      </w:r>
      <w:r w:rsidRPr="0062268C">
        <w:rPr>
          <w:rFonts w:cs="Arial"/>
        </w:rPr>
        <w:t>územního členění měly v 1.</w:t>
      </w:r>
      <w:r w:rsidR="009D1069">
        <w:rPr>
          <w:rFonts w:cs="Arial"/>
        </w:rPr>
        <w:t> </w:t>
      </w:r>
      <w:proofErr w:type="spellStart"/>
      <w:r w:rsidRPr="0062268C">
        <w:rPr>
          <w:rFonts w:cs="Arial"/>
        </w:rPr>
        <w:t>pol</w:t>
      </w:r>
      <w:proofErr w:type="spellEnd"/>
      <w:r w:rsidRPr="0062268C">
        <w:rPr>
          <w:rFonts w:cs="Arial"/>
        </w:rPr>
        <w:t>. 2018 nejvyšší průměrné procento dočasné pracovní neschopnosti okresy Prachatice (7,14), Strakonice, Hodonín (shodně 6,6), Žďár nad Sázavou a Rokycany (shodně 6,4), Louny (6,3), Chrudim (6,1). Nejnižší hodnotu průměrného procenta pracovní neschopnosti pak měly okresy Jeseník (2,3) a Brno – město (3,9).</w:t>
      </w:r>
    </w:p>
    <w:p w:rsidR="0062268C" w:rsidRDefault="0062268C" w:rsidP="00AF0E9A">
      <w:pPr>
        <w:jc w:val="both"/>
      </w:pPr>
    </w:p>
    <w:p w:rsidR="000E6D18" w:rsidRDefault="000E6D18" w:rsidP="001B64E2">
      <w:pPr>
        <w:jc w:val="both"/>
        <w:rPr>
          <w:b/>
        </w:rPr>
      </w:pPr>
    </w:p>
    <w:p w:rsidR="00DD07A3" w:rsidRDefault="00DD07A3" w:rsidP="001B64E2">
      <w:pPr>
        <w:jc w:val="both"/>
        <w:rPr>
          <w:b/>
        </w:rPr>
      </w:pPr>
    </w:p>
    <w:p w:rsidR="00DD07A3" w:rsidRDefault="00DD07A3" w:rsidP="001B64E2">
      <w:pPr>
        <w:jc w:val="both"/>
        <w:rPr>
          <w:b/>
        </w:rPr>
      </w:pPr>
    </w:p>
    <w:p w:rsidR="00764989" w:rsidRPr="00DD6112" w:rsidRDefault="00764989" w:rsidP="001B64E2">
      <w:pPr>
        <w:jc w:val="both"/>
        <w:rPr>
          <w:b/>
        </w:rPr>
      </w:pPr>
      <w:r>
        <w:rPr>
          <w:b/>
        </w:rPr>
        <w:lastRenderedPageBreak/>
        <w:t>Graf 2.10</w:t>
      </w:r>
      <w:r w:rsidRPr="00DD6112">
        <w:rPr>
          <w:b/>
        </w:rPr>
        <w:t xml:space="preserve"> – Průměrn</w:t>
      </w:r>
      <w:r>
        <w:rPr>
          <w:b/>
        </w:rPr>
        <w:t>é</w:t>
      </w:r>
      <w:r w:rsidRPr="00DD6112">
        <w:rPr>
          <w:b/>
        </w:rPr>
        <w:t xml:space="preserve"> </w:t>
      </w:r>
      <w:r>
        <w:rPr>
          <w:b/>
        </w:rPr>
        <w:t>procento</w:t>
      </w:r>
      <w:r w:rsidRPr="00DD6112">
        <w:rPr>
          <w:b/>
        </w:rPr>
        <w:t xml:space="preserve"> pracovní neschopnosti </w:t>
      </w:r>
      <w:r w:rsidRPr="00087D6A">
        <w:rPr>
          <w:b/>
        </w:rPr>
        <w:t xml:space="preserve">dle odvětví </w:t>
      </w:r>
      <w:r w:rsidR="002110A0">
        <w:rPr>
          <w:b/>
        </w:rPr>
        <w:t xml:space="preserve">ekonomické činnosti </w:t>
      </w:r>
      <w:r w:rsidRPr="00DD6112">
        <w:rPr>
          <w:b/>
        </w:rPr>
        <w:t>v</w:t>
      </w:r>
      <w:r w:rsidR="000E6D18">
        <w:rPr>
          <w:b/>
        </w:rPr>
        <w:t xml:space="preserve"> 1. </w:t>
      </w:r>
      <w:proofErr w:type="spellStart"/>
      <w:r w:rsidR="000E6D18">
        <w:rPr>
          <w:b/>
        </w:rPr>
        <w:t>pol</w:t>
      </w:r>
      <w:proofErr w:type="spellEnd"/>
      <w:r w:rsidR="000E6D18">
        <w:rPr>
          <w:b/>
        </w:rPr>
        <w:t>. 2018</w:t>
      </w:r>
    </w:p>
    <w:p w:rsidR="00764989" w:rsidRDefault="00CA6CC8" w:rsidP="00764989">
      <w:r w:rsidRPr="00CA6CC8">
        <w:rPr>
          <w:noProof/>
        </w:rPr>
        <w:drawing>
          <wp:inline distT="0" distB="0" distL="0" distR="0">
            <wp:extent cx="6124575" cy="3952875"/>
            <wp:effectExtent l="19050" t="0" r="9525" b="0"/>
            <wp:docPr id="44"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6120130" cy="3950006"/>
                    </a:xfrm>
                    <a:prstGeom prst="rect">
                      <a:avLst/>
                    </a:prstGeom>
                    <a:noFill/>
                    <a:ln w="9525">
                      <a:noFill/>
                      <a:miter lim="800000"/>
                      <a:headEnd/>
                      <a:tailEnd/>
                    </a:ln>
                  </pic:spPr>
                </pic:pic>
              </a:graphicData>
            </a:graphic>
          </wp:inline>
        </w:drawing>
      </w:r>
    </w:p>
    <w:p w:rsidR="00764989" w:rsidRPr="001338A0" w:rsidRDefault="00764989" w:rsidP="00764989">
      <w:pPr>
        <w:jc w:val="both"/>
        <w:rPr>
          <w:rFonts w:cs="Arial"/>
          <w:sz w:val="16"/>
          <w:szCs w:val="16"/>
        </w:rPr>
      </w:pPr>
      <w:r>
        <w:rPr>
          <w:rFonts w:cs="Arial"/>
          <w:sz w:val="16"/>
          <w:szCs w:val="16"/>
        </w:rPr>
        <w:t>Zdroj: ČSÚ</w:t>
      </w:r>
    </w:p>
    <w:p w:rsidR="002110A0" w:rsidRPr="00DD6112" w:rsidRDefault="002110A0" w:rsidP="001B64E2">
      <w:pPr>
        <w:jc w:val="both"/>
        <w:rPr>
          <w:b/>
        </w:rPr>
      </w:pPr>
      <w:r w:rsidRPr="00DD6112">
        <w:rPr>
          <w:b/>
        </w:rPr>
        <w:t>Graf 2.</w:t>
      </w:r>
      <w:r>
        <w:rPr>
          <w:b/>
        </w:rPr>
        <w:t>11</w:t>
      </w:r>
      <w:r w:rsidRPr="00DD6112">
        <w:rPr>
          <w:b/>
        </w:rPr>
        <w:t xml:space="preserve"> – Průměrn</w:t>
      </w:r>
      <w:r>
        <w:rPr>
          <w:b/>
        </w:rPr>
        <w:t>é</w:t>
      </w:r>
      <w:r w:rsidRPr="00DD6112">
        <w:rPr>
          <w:b/>
        </w:rPr>
        <w:t xml:space="preserve"> </w:t>
      </w:r>
      <w:r>
        <w:rPr>
          <w:b/>
        </w:rPr>
        <w:t>procento</w:t>
      </w:r>
      <w:r w:rsidRPr="00DD6112">
        <w:rPr>
          <w:b/>
        </w:rPr>
        <w:t xml:space="preserve"> pracovní neschopnosti podle krajů ČR v</w:t>
      </w:r>
      <w:r w:rsidR="002970C7">
        <w:rPr>
          <w:b/>
        </w:rPr>
        <w:t xml:space="preserve"> 1. </w:t>
      </w:r>
      <w:proofErr w:type="spellStart"/>
      <w:r w:rsidR="002970C7">
        <w:rPr>
          <w:b/>
        </w:rPr>
        <w:t>pol</w:t>
      </w:r>
      <w:proofErr w:type="spellEnd"/>
      <w:r w:rsidR="002970C7">
        <w:rPr>
          <w:b/>
        </w:rPr>
        <w:t>. 2018</w:t>
      </w:r>
    </w:p>
    <w:p w:rsidR="002110A0" w:rsidRDefault="00BA67A0" w:rsidP="002110A0">
      <w:r w:rsidRPr="00BA67A0">
        <w:rPr>
          <w:noProof/>
        </w:rPr>
        <w:drawing>
          <wp:inline distT="0" distB="0" distL="0" distR="0">
            <wp:extent cx="6096000" cy="3600450"/>
            <wp:effectExtent l="0" t="0" r="0" b="0"/>
            <wp:docPr id="41"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6096000" cy="3600450"/>
                    </a:xfrm>
                    <a:prstGeom prst="rect">
                      <a:avLst/>
                    </a:prstGeom>
                    <a:noFill/>
                    <a:ln w="9525">
                      <a:noFill/>
                      <a:miter lim="800000"/>
                      <a:headEnd/>
                      <a:tailEnd/>
                    </a:ln>
                  </pic:spPr>
                </pic:pic>
              </a:graphicData>
            </a:graphic>
          </wp:inline>
        </w:drawing>
      </w:r>
    </w:p>
    <w:p w:rsidR="002110A0" w:rsidRDefault="002110A0" w:rsidP="002110A0">
      <w:pPr>
        <w:jc w:val="both"/>
        <w:rPr>
          <w:rFonts w:cs="Arial"/>
          <w:sz w:val="16"/>
          <w:szCs w:val="16"/>
        </w:rPr>
      </w:pPr>
      <w:r>
        <w:rPr>
          <w:rFonts w:cs="Arial"/>
          <w:sz w:val="16"/>
          <w:szCs w:val="16"/>
        </w:rPr>
        <w:t>Zdroj: ČSÚ</w:t>
      </w:r>
    </w:p>
    <w:p w:rsidR="004852BF" w:rsidRDefault="004852BF" w:rsidP="001B64E2">
      <w:pPr>
        <w:jc w:val="both"/>
        <w:rPr>
          <w:b/>
        </w:rPr>
      </w:pPr>
      <w:r w:rsidRPr="00AC74F3">
        <w:rPr>
          <w:b/>
        </w:rPr>
        <w:lastRenderedPageBreak/>
        <w:t>Tab. 2.</w:t>
      </w:r>
      <w:r>
        <w:rPr>
          <w:b/>
        </w:rPr>
        <w:t>8</w:t>
      </w:r>
      <w:r w:rsidRPr="00AC74F3">
        <w:rPr>
          <w:b/>
        </w:rPr>
        <w:t xml:space="preserve"> – </w:t>
      </w:r>
      <w:r w:rsidRPr="00DD6112">
        <w:rPr>
          <w:b/>
        </w:rPr>
        <w:t>Průměrn</w:t>
      </w:r>
      <w:r>
        <w:rPr>
          <w:b/>
        </w:rPr>
        <w:t>é</w:t>
      </w:r>
      <w:r w:rsidRPr="00DD6112">
        <w:rPr>
          <w:b/>
        </w:rPr>
        <w:t xml:space="preserve"> </w:t>
      </w:r>
      <w:r>
        <w:rPr>
          <w:b/>
        </w:rPr>
        <w:t>procento</w:t>
      </w:r>
      <w:r w:rsidRPr="00DD6112">
        <w:rPr>
          <w:b/>
        </w:rPr>
        <w:t xml:space="preserve"> </w:t>
      </w:r>
      <w:r w:rsidRPr="00AC74F3">
        <w:rPr>
          <w:b/>
        </w:rPr>
        <w:t xml:space="preserve">dočasné pracovní neschopnosti </w:t>
      </w:r>
      <w:r>
        <w:rPr>
          <w:b/>
        </w:rPr>
        <w:t xml:space="preserve">podle krajů ČR </w:t>
      </w:r>
      <w:r w:rsidRPr="00AC74F3">
        <w:rPr>
          <w:b/>
        </w:rPr>
        <w:t>v</w:t>
      </w:r>
      <w:r w:rsidR="00334C4B">
        <w:rPr>
          <w:b/>
        </w:rPr>
        <w:t xml:space="preserve"> období </w:t>
      </w:r>
      <w:r w:rsidR="009D1069">
        <w:rPr>
          <w:b/>
        </w:rPr>
        <w:br/>
      </w:r>
      <w:r w:rsidR="00334C4B">
        <w:rPr>
          <w:b/>
        </w:rPr>
        <w:t xml:space="preserve">1. </w:t>
      </w:r>
      <w:proofErr w:type="spellStart"/>
      <w:r w:rsidR="00334C4B">
        <w:rPr>
          <w:b/>
        </w:rPr>
        <w:t>pol</w:t>
      </w:r>
      <w:proofErr w:type="spellEnd"/>
      <w:r w:rsidR="00334C4B">
        <w:rPr>
          <w:b/>
        </w:rPr>
        <w:t xml:space="preserve">. </w:t>
      </w:r>
      <w:proofErr w:type="gramStart"/>
      <w:r w:rsidR="00334C4B">
        <w:rPr>
          <w:b/>
        </w:rPr>
        <w:t>2007</w:t>
      </w:r>
      <w:r w:rsidRPr="00AC74F3">
        <w:rPr>
          <w:b/>
        </w:rPr>
        <w:t xml:space="preserve">  –</w:t>
      </w:r>
      <w:r>
        <w:rPr>
          <w:b/>
        </w:rPr>
        <w:t xml:space="preserve"> </w:t>
      </w:r>
      <w:r w:rsidR="00334C4B">
        <w:rPr>
          <w:b/>
        </w:rPr>
        <w:t xml:space="preserve">1. </w:t>
      </w:r>
      <w:proofErr w:type="spellStart"/>
      <w:r w:rsidR="00334C4B">
        <w:rPr>
          <w:b/>
        </w:rPr>
        <w:t>pol</w:t>
      </w:r>
      <w:proofErr w:type="spellEnd"/>
      <w:r w:rsidR="00334C4B">
        <w:rPr>
          <w:b/>
        </w:rPr>
        <w:t>.</w:t>
      </w:r>
      <w:proofErr w:type="gramEnd"/>
      <w:r w:rsidR="00334C4B">
        <w:rPr>
          <w:b/>
        </w:rPr>
        <w:t xml:space="preserve"> </w:t>
      </w:r>
      <w:r>
        <w:rPr>
          <w:b/>
        </w:rPr>
        <w:t>201</w:t>
      </w:r>
      <w:r w:rsidR="00334C4B">
        <w:rPr>
          <w:b/>
        </w:rPr>
        <w:t>8</w:t>
      </w:r>
    </w:p>
    <w:p w:rsidR="00462A81" w:rsidRPr="00AC74F3" w:rsidRDefault="0045766E" w:rsidP="001B64E2">
      <w:pPr>
        <w:jc w:val="both"/>
        <w:rPr>
          <w:b/>
        </w:rPr>
      </w:pPr>
      <w:r w:rsidRPr="0045766E">
        <w:rPr>
          <w:noProof/>
        </w:rPr>
        <w:drawing>
          <wp:inline distT="0" distB="0" distL="0" distR="0">
            <wp:extent cx="6124575" cy="2676525"/>
            <wp:effectExtent l="19050" t="0" r="9525" b="0"/>
            <wp:docPr id="46"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6120130" cy="2674582"/>
                    </a:xfrm>
                    <a:prstGeom prst="rect">
                      <a:avLst/>
                    </a:prstGeom>
                    <a:noFill/>
                    <a:ln w="9525">
                      <a:noFill/>
                      <a:miter lim="800000"/>
                      <a:headEnd/>
                      <a:tailEnd/>
                    </a:ln>
                  </pic:spPr>
                </pic:pic>
              </a:graphicData>
            </a:graphic>
          </wp:inline>
        </w:drawing>
      </w:r>
    </w:p>
    <w:p w:rsidR="004852BF" w:rsidRPr="001338A0" w:rsidRDefault="004852BF" w:rsidP="004852BF">
      <w:pPr>
        <w:jc w:val="both"/>
        <w:rPr>
          <w:rFonts w:cs="Arial"/>
          <w:sz w:val="16"/>
          <w:szCs w:val="16"/>
        </w:rPr>
      </w:pPr>
      <w:r>
        <w:rPr>
          <w:rFonts w:cs="Arial"/>
          <w:sz w:val="16"/>
          <w:szCs w:val="16"/>
        </w:rPr>
        <w:t>Zdroj: ČSÚ</w:t>
      </w:r>
    </w:p>
    <w:p w:rsidR="00271088" w:rsidRDefault="00271088" w:rsidP="00271088">
      <w:pPr>
        <w:pStyle w:val="Zkladntextodsazen"/>
        <w:spacing w:after="240" w:line="288" w:lineRule="auto"/>
        <w:ind w:left="0"/>
        <w:jc w:val="both"/>
        <w:rPr>
          <w:rFonts w:cs="Arial"/>
        </w:rPr>
      </w:pPr>
      <w:r w:rsidRPr="006850EA">
        <w:rPr>
          <w:rFonts w:cs="Arial"/>
        </w:rPr>
        <w:t>Ukazatel</w:t>
      </w:r>
      <w:r>
        <w:rPr>
          <w:rFonts w:cs="Arial"/>
          <w:b/>
        </w:rPr>
        <w:t xml:space="preserve"> průměrný denní stav práce dočasně neschopných </w:t>
      </w:r>
      <w:r w:rsidRPr="006850EA">
        <w:rPr>
          <w:rFonts w:cs="Arial"/>
        </w:rPr>
        <w:t xml:space="preserve">představuje počet </w:t>
      </w:r>
      <w:proofErr w:type="spellStart"/>
      <w:r w:rsidRPr="006850EA">
        <w:rPr>
          <w:rFonts w:cs="Arial"/>
        </w:rPr>
        <w:t>nemocensky</w:t>
      </w:r>
      <w:proofErr w:type="spellEnd"/>
      <w:r w:rsidRPr="006850EA">
        <w:rPr>
          <w:rFonts w:cs="Arial"/>
        </w:rPr>
        <w:t xml:space="preserve"> pojištěných</w:t>
      </w:r>
      <w:r>
        <w:rPr>
          <w:rFonts w:cs="Arial"/>
        </w:rPr>
        <w:t xml:space="preserve"> osob, kteří byli ve sledovaném období (</w:t>
      </w:r>
      <w:r w:rsidR="00363275">
        <w:rPr>
          <w:rFonts w:cs="Arial"/>
        </w:rPr>
        <w:t>pololetí</w:t>
      </w:r>
      <w:r>
        <w:rPr>
          <w:rFonts w:cs="Arial"/>
        </w:rPr>
        <w:t xml:space="preserve">) průměrně denně nepřítomni v práci z důvodů pracovní neschopnosti pro nemoc a úraz. </w:t>
      </w:r>
    </w:p>
    <w:p w:rsidR="00271088" w:rsidRDefault="00271088" w:rsidP="00271088">
      <w:pPr>
        <w:jc w:val="both"/>
        <w:rPr>
          <w:rFonts w:cs="Arial"/>
        </w:rPr>
      </w:pPr>
      <w:r>
        <w:rPr>
          <w:rFonts w:cs="Arial"/>
        </w:rPr>
        <w:t>V</w:t>
      </w:r>
      <w:r w:rsidR="00302820">
        <w:rPr>
          <w:rFonts w:cs="Arial"/>
        </w:rPr>
        <w:t xml:space="preserve"> 1. </w:t>
      </w:r>
      <w:proofErr w:type="spellStart"/>
      <w:r w:rsidR="00302820">
        <w:rPr>
          <w:rFonts w:cs="Arial"/>
        </w:rPr>
        <w:t>pol</w:t>
      </w:r>
      <w:proofErr w:type="spellEnd"/>
      <w:r w:rsidR="00302820">
        <w:rPr>
          <w:rFonts w:cs="Arial"/>
        </w:rPr>
        <w:t>. 2018</w:t>
      </w:r>
      <w:r>
        <w:rPr>
          <w:rFonts w:cs="Arial"/>
        </w:rPr>
        <w:t xml:space="preserve"> v České republice v důsledku dočasné pracovní neschopnosti pro nemoc a úraz </w:t>
      </w:r>
      <w:r w:rsidRPr="006850EA">
        <w:rPr>
          <w:rFonts w:cs="Arial"/>
        </w:rPr>
        <w:t xml:space="preserve">denně chybělo na svých pracovištích </w:t>
      </w:r>
      <w:r w:rsidR="00E730E1">
        <w:rPr>
          <w:rFonts w:cs="Arial"/>
        </w:rPr>
        <w:t>224 441</w:t>
      </w:r>
      <w:r w:rsidRPr="006850EA">
        <w:rPr>
          <w:rFonts w:cs="Arial"/>
        </w:rPr>
        <w:t xml:space="preserve"> pojištěnců, což </w:t>
      </w:r>
      <w:r>
        <w:rPr>
          <w:rFonts w:cs="Arial"/>
        </w:rPr>
        <w:t>bylo</w:t>
      </w:r>
      <w:r w:rsidRPr="006850EA">
        <w:rPr>
          <w:rFonts w:cs="Arial"/>
        </w:rPr>
        <w:t xml:space="preserve"> ve srovnání s </w:t>
      </w:r>
      <w:r>
        <w:rPr>
          <w:rFonts w:cs="Arial"/>
        </w:rPr>
        <w:t xml:space="preserve">předchozím </w:t>
      </w:r>
      <w:r w:rsidR="00E730E1">
        <w:rPr>
          <w:rFonts w:cs="Arial"/>
        </w:rPr>
        <w:t xml:space="preserve">obdobím v 1. </w:t>
      </w:r>
      <w:proofErr w:type="spellStart"/>
      <w:r w:rsidR="00E730E1">
        <w:rPr>
          <w:rFonts w:cs="Arial"/>
        </w:rPr>
        <w:t>pol</w:t>
      </w:r>
      <w:proofErr w:type="spellEnd"/>
      <w:r w:rsidR="00E730E1">
        <w:rPr>
          <w:rFonts w:cs="Arial"/>
        </w:rPr>
        <w:t xml:space="preserve">. 2017 </w:t>
      </w:r>
      <w:r>
        <w:rPr>
          <w:rFonts w:cs="Arial"/>
        </w:rPr>
        <w:t>rokem</w:t>
      </w:r>
      <w:r w:rsidRPr="006850EA">
        <w:rPr>
          <w:rFonts w:cs="Arial"/>
        </w:rPr>
        <w:t xml:space="preserve"> (</w:t>
      </w:r>
      <w:r w:rsidR="00E730E1">
        <w:rPr>
          <w:rFonts w:cs="Arial"/>
        </w:rPr>
        <w:t>213</w:t>
      </w:r>
      <w:r>
        <w:rPr>
          <w:rFonts w:cs="Arial"/>
        </w:rPr>
        <w:t xml:space="preserve"> </w:t>
      </w:r>
      <w:r w:rsidR="00E730E1">
        <w:rPr>
          <w:rFonts w:cs="Arial"/>
        </w:rPr>
        <w:t>860</w:t>
      </w:r>
      <w:r w:rsidRPr="006850EA">
        <w:rPr>
          <w:rFonts w:cs="Arial"/>
        </w:rPr>
        <w:t xml:space="preserve"> pojištěnců) o </w:t>
      </w:r>
      <w:r w:rsidR="00E730E1">
        <w:rPr>
          <w:rFonts w:cs="Arial"/>
        </w:rPr>
        <w:t>10 581</w:t>
      </w:r>
      <w:r w:rsidRPr="006850EA">
        <w:rPr>
          <w:rFonts w:cs="Arial"/>
        </w:rPr>
        <w:t xml:space="preserve"> </w:t>
      </w:r>
      <w:r w:rsidR="004952C5">
        <w:rPr>
          <w:rFonts w:cs="Arial"/>
        </w:rPr>
        <w:t>osob</w:t>
      </w:r>
      <w:r w:rsidRPr="006850EA">
        <w:rPr>
          <w:rFonts w:cs="Arial"/>
        </w:rPr>
        <w:t xml:space="preserve"> více</w:t>
      </w:r>
      <w:r w:rsidR="004952C5">
        <w:rPr>
          <w:rFonts w:cs="Arial"/>
        </w:rPr>
        <w:t xml:space="preserve"> </w:t>
      </w:r>
      <w:r w:rsidR="004952C5" w:rsidRPr="006850EA">
        <w:rPr>
          <w:rFonts w:cs="Arial"/>
        </w:rPr>
        <w:t xml:space="preserve">(o </w:t>
      </w:r>
      <w:r w:rsidR="00E730E1">
        <w:rPr>
          <w:rFonts w:cs="Arial"/>
        </w:rPr>
        <w:t>4,9</w:t>
      </w:r>
      <w:r w:rsidR="004952C5" w:rsidRPr="006850EA">
        <w:rPr>
          <w:rFonts w:cs="Arial"/>
        </w:rPr>
        <w:t xml:space="preserve"> </w:t>
      </w:r>
      <w:r w:rsidR="004952C5" w:rsidRPr="006850EA">
        <w:rPr>
          <w:rFonts w:cs="Arial"/>
          <w:lang w:val="en-US"/>
        </w:rPr>
        <w:t>%</w:t>
      </w:r>
      <w:r w:rsidR="004952C5" w:rsidRPr="006850EA">
        <w:rPr>
          <w:rFonts w:cs="Arial"/>
        </w:rPr>
        <w:t>)</w:t>
      </w:r>
      <w:r w:rsidRPr="006850EA">
        <w:rPr>
          <w:rFonts w:cs="Arial"/>
        </w:rPr>
        <w:t xml:space="preserve">. Z celkového počtu chybělo na pracovištích </w:t>
      </w:r>
      <w:r w:rsidR="00A333B8">
        <w:rPr>
          <w:rFonts w:cs="Arial"/>
        </w:rPr>
        <w:t>194 295</w:t>
      </w:r>
      <w:r w:rsidRPr="006850EA">
        <w:rPr>
          <w:rFonts w:cs="Arial"/>
        </w:rPr>
        <w:t xml:space="preserve"> pojištěnců pro nemoc, 7 </w:t>
      </w:r>
      <w:r w:rsidR="00A333B8">
        <w:rPr>
          <w:rFonts w:cs="Arial"/>
        </w:rPr>
        <w:t>251</w:t>
      </w:r>
      <w:r w:rsidRPr="006850EA">
        <w:rPr>
          <w:rFonts w:cs="Arial"/>
        </w:rPr>
        <w:t xml:space="preserve"> pojištěnců pro pracovní úraz a </w:t>
      </w:r>
      <w:r w:rsidR="004952C5">
        <w:rPr>
          <w:rFonts w:cs="Arial"/>
        </w:rPr>
        <w:t>2</w:t>
      </w:r>
      <w:r w:rsidR="00A333B8">
        <w:rPr>
          <w:rFonts w:cs="Arial"/>
        </w:rPr>
        <w:t>2</w:t>
      </w:r>
      <w:r w:rsidR="004952C5">
        <w:rPr>
          <w:rFonts w:cs="Arial"/>
        </w:rPr>
        <w:t xml:space="preserve"> 8</w:t>
      </w:r>
      <w:r w:rsidR="00A333B8">
        <w:rPr>
          <w:rFonts w:cs="Arial"/>
        </w:rPr>
        <w:t>98</w:t>
      </w:r>
      <w:r w:rsidRPr="006850EA">
        <w:rPr>
          <w:rFonts w:cs="Arial"/>
        </w:rPr>
        <w:t xml:space="preserve"> pojištěnců pro ostatní úraz. Nejvíce pojištěnců z </w:t>
      </w:r>
      <w:r w:rsidR="004952C5">
        <w:rPr>
          <w:rFonts w:cs="Arial"/>
        </w:rPr>
        <w:t xml:space="preserve">celorepublikového úhrnu chybělo </w:t>
      </w:r>
      <w:r w:rsidRPr="006850EA">
        <w:rPr>
          <w:rFonts w:cs="Arial"/>
        </w:rPr>
        <w:t>v</w:t>
      </w:r>
      <w:r w:rsidR="00F80A26">
        <w:rPr>
          <w:rFonts w:cs="Arial"/>
        </w:rPr>
        <w:t>e</w:t>
      </w:r>
      <w:r w:rsidRPr="006850EA">
        <w:rPr>
          <w:rFonts w:cs="Arial"/>
        </w:rPr>
        <w:t xml:space="preserve"> Zpracovatelsk</w:t>
      </w:r>
      <w:r w:rsidR="00F80A26">
        <w:rPr>
          <w:rFonts w:cs="Arial"/>
        </w:rPr>
        <w:t xml:space="preserve">ém </w:t>
      </w:r>
      <w:r w:rsidR="004952C5">
        <w:rPr>
          <w:rFonts w:cs="Arial"/>
        </w:rPr>
        <w:t>průmysl</w:t>
      </w:r>
      <w:r w:rsidR="00F80A26">
        <w:rPr>
          <w:rFonts w:cs="Arial"/>
        </w:rPr>
        <w:t>u</w:t>
      </w:r>
      <w:r w:rsidR="004952C5">
        <w:rPr>
          <w:rFonts w:cs="Arial"/>
        </w:rPr>
        <w:t xml:space="preserve"> (68 100 osob</w:t>
      </w:r>
      <w:r>
        <w:rPr>
          <w:rFonts w:cs="Arial"/>
        </w:rPr>
        <w:t xml:space="preserve">), </w:t>
      </w:r>
      <w:r w:rsidR="00F80A26">
        <w:rPr>
          <w:rFonts w:cs="Arial"/>
        </w:rPr>
        <w:t>dále pak v odvětví Velkoobchod</w:t>
      </w:r>
      <w:r w:rsidR="004952C5">
        <w:rPr>
          <w:rFonts w:cs="Arial"/>
        </w:rPr>
        <w:t xml:space="preserve"> a maloobchod, oprav</w:t>
      </w:r>
      <w:r w:rsidR="00F80A26">
        <w:rPr>
          <w:rFonts w:cs="Arial"/>
        </w:rPr>
        <w:t>y a údržba</w:t>
      </w:r>
      <w:r w:rsidR="004952C5">
        <w:rPr>
          <w:rFonts w:cs="Arial"/>
        </w:rPr>
        <w:t xml:space="preserve"> motorových vozidel (26 642 osob); </w:t>
      </w:r>
      <w:r>
        <w:rPr>
          <w:rFonts w:cs="Arial"/>
        </w:rPr>
        <w:t>naopak nejméně pojištěnců v oblasti Výrob</w:t>
      </w:r>
      <w:r w:rsidR="00F80A26">
        <w:rPr>
          <w:rFonts w:cs="Arial"/>
        </w:rPr>
        <w:t>a a rozvod</w:t>
      </w:r>
      <w:r>
        <w:rPr>
          <w:rFonts w:cs="Arial"/>
        </w:rPr>
        <w:t xml:space="preserve"> elektřiny a jiných energií (</w:t>
      </w:r>
      <w:r w:rsidR="004952C5">
        <w:rPr>
          <w:rFonts w:cs="Arial"/>
        </w:rPr>
        <w:t>969 osob</w:t>
      </w:r>
      <w:r>
        <w:rPr>
          <w:rFonts w:cs="Arial"/>
        </w:rPr>
        <w:t xml:space="preserve">). </w:t>
      </w:r>
    </w:p>
    <w:p w:rsidR="004952C5" w:rsidRDefault="004952C5" w:rsidP="00271088">
      <w:pPr>
        <w:jc w:val="both"/>
        <w:rPr>
          <w:rFonts w:cs="Arial"/>
        </w:rPr>
      </w:pPr>
      <w:r>
        <w:rPr>
          <w:rFonts w:cs="Arial"/>
        </w:rPr>
        <w:t xml:space="preserve">Vývoj hodnot </w:t>
      </w:r>
      <w:r w:rsidR="00BD64F6">
        <w:rPr>
          <w:rFonts w:cs="Arial"/>
        </w:rPr>
        <w:t xml:space="preserve">ukazatele </w:t>
      </w:r>
      <w:r w:rsidR="00363275">
        <w:rPr>
          <w:rFonts w:cs="Arial"/>
        </w:rPr>
        <w:t>průměrný denní stav práce dočasně neschopných</w:t>
      </w:r>
      <w:r w:rsidR="00BD64F6">
        <w:rPr>
          <w:rFonts w:cs="Arial"/>
        </w:rPr>
        <w:t xml:space="preserve"> </w:t>
      </w:r>
      <w:r>
        <w:rPr>
          <w:rFonts w:cs="Arial"/>
        </w:rPr>
        <w:t>je zřejmý z</w:t>
      </w:r>
      <w:r w:rsidR="00DD07A3">
        <w:rPr>
          <w:rFonts w:cs="Arial"/>
        </w:rPr>
        <w:t> </w:t>
      </w:r>
      <w:r>
        <w:rPr>
          <w:rFonts w:cs="Arial"/>
        </w:rPr>
        <w:t>tab</w:t>
      </w:r>
      <w:r w:rsidR="00DD07A3">
        <w:rPr>
          <w:rFonts w:cs="Arial"/>
        </w:rPr>
        <w:t>.</w:t>
      </w:r>
      <w:r>
        <w:rPr>
          <w:rFonts w:cs="Arial"/>
        </w:rPr>
        <w:t xml:space="preserve"> 2.9</w:t>
      </w:r>
      <w:r w:rsidR="00BD64F6">
        <w:rPr>
          <w:rFonts w:cs="Arial"/>
        </w:rPr>
        <w:t xml:space="preserve">, </w:t>
      </w:r>
      <w:r w:rsidR="00AC1857">
        <w:rPr>
          <w:rFonts w:cs="Arial"/>
        </w:rPr>
        <w:t xml:space="preserve">vývoj je obdobný jako počet </w:t>
      </w:r>
      <w:r w:rsidR="00C20048" w:rsidRPr="001D7E19">
        <w:t xml:space="preserve">případů </w:t>
      </w:r>
      <w:r w:rsidR="00BD64F6">
        <w:t xml:space="preserve">dočasné </w:t>
      </w:r>
      <w:r w:rsidR="00C20048" w:rsidRPr="001D7E19">
        <w:t>pracovní neschopnosti</w:t>
      </w:r>
      <w:r>
        <w:rPr>
          <w:rFonts w:cs="Arial"/>
        </w:rPr>
        <w:t>.</w:t>
      </w: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140D94" w:rsidRDefault="00140D94" w:rsidP="001B64E2">
      <w:pPr>
        <w:jc w:val="both"/>
        <w:rPr>
          <w:b/>
        </w:rPr>
      </w:pPr>
    </w:p>
    <w:p w:rsidR="00CD573A" w:rsidRDefault="00CD573A" w:rsidP="001B64E2">
      <w:pPr>
        <w:jc w:val="both"/>
        <w:rPr>
          <w:b/>
        </w:rPr>
      </w:pPr>
    </w:p>
    <w:p w:rsidR="00991128" w:rsidRDefault="00271088" w:rsidP="00A92BED">
      <w:pPr>
        <w:jc w:val="both"/>
        <w:rPr>
          <w:b/>
        </w:rPr>
      </w:pPr>
      <w:r w:rsidRPr="00AC74F3">
        <w:rPr>
          <w:b/>
        </w:rPr>
        <w:lastRenderedPageBreak/>
        <w:t>Tab. 2.</w:t>
      </w:r>
      <w:r>
        <w:rPr>
          <w:b/>
        </w:rPr>
        <w:t>9</w:t>
      </w:r>
      <w:r w:rsidRPr="00AC74F3">
        <w:rPr>
          <w:b/>
        </w:rPr>
        <w:t xml:space="preserve"> – </w:t>
      </w:r>
      <w:r w:rsidRPr="00DD6112">
        <w:rPr>
          <w:b/>
        </w:rPr>
        <w:t>P</w:t>
      </w:r>
      <w:r w:rsidR="007E21AC">
        <w:rPr>
          <w:b/>
        </w:rPr>
        <w:t>r</w:t>
      </w:r>
      <w:r w:rsidRPr="00DD6112">
        <w:rPr>
          <w:b/>
        </w:rPr>
        <w:t>ůměrn</w:t>
      </w:r>
      <w:r>
        <w:rPr>
          <w:b/>
        </w:rPr>
        <w:t>ý</w:t>
      </w:r>
      <w:r w:rsidRPr="00DD6112">
        <w:rPr>
          <w:b/>
        </w:rPr>
        <w:t xml:space="preserve"> </w:t>
      </w:r>
      <w:r>
        <w:rPr>
          <w:b/>
        </w:rPr>
        <w:t>denní stav</w:t>
      </w:r>
      <w:r w:rsidRPr="00DD6112">
        <w:rPr>
          <w:b/>
        </w:rPr>
        <w:t xml:space="preserve"> </w:t>
      </w:r>
      <w:r w:rsidRPr="00AC74F3">
        <w:rPr>
          <w:b/>
        </w:rPr>
        <w:t>dočasn</w:t>
      </w:r>
      <w:r>
        <w:rPr>
          <w:b/>
        </w:rPr>
        <w:t>ě</w:t>
      </w:r>
      <w:r w:rsidRPr="00AC74F3">
        <w:rPr>
          <w:b/>
        </w:rPr>
        <w:t xml:space="preserve"> </w:t>
      </w:r>
      <w:r>
        <w:rPr>
          <w:b/>
        </w:rPr>
        <w:t xml:space="preserve">práce neschopných </w:t>
      </w:r>
      <w:r w:rsidRPr="00AC74F3">
        <w:rPr>
          <w:b/>
        </w:rPr>
        <w:t>v</w:t>
      </w:r>
      <w:r w:rsidR="0068544B">
        <w:rPr>
          <w:b/>
        </w:rPr>
        <w:t xml:space="preserve"> období </w:t>
      </w:r>
      <w:r w:rsidR="0086773F">
        <w:rPr>
          <w:b/>
        </w:rPr>
        <w:t xml:space="preserve">podle příčiny a pohlaví </w:t>
      </w:r>
      <w:r w:rsidR="009D1069">
        <w:rPr>
          <w:b/>
        </w:rPr>
        <w:br/>
      </w:r>
      <w:r w:rsidR="008D40FC">
        <w:rPr>
          <w:b/>
        </w:rPr>
        <w:t xml:space="preserve">1. </w:t>
      </w:r>
      <w:proofErr w:type="spellStart"/>
      <w:r w:rsidR="008D40FC">
        <w:rPr>
          <w:b/>
        </w:rPr>
        <w:t>pol</w:t>
      </w:r>
      <w:proofErr w:type="spellEnd"/>
      <w:r w:rsidR="008D40FC">
        <w:rPr>
          <w:b/>
        </w:rPr>
        <w:t>.</w:t>
      </w:r>
      <w:r w:rsidRPr="00AC74F3">
        <w:rPr>
          <w:b/>
        </w:rPr>
        <w:t xml:space="preserve"> 200</w:t>
      </w:r>
      <w:r>
        <w:rPr>
          <w:b/>
        </w:rPr>
        <w:t>7</w:t>
      </w:r>
      <w:r w:rsidRPr="00AC74F3">
        <w:rPr>
          <w:b/>
        </w:rPr>
        <w:t xml:space="preserve"> –</w:t>
      </w:r>
      <w:r w:rsidR="008D40FC">
        <w:rPr>
          <w:b/>
        </w:rPr>
        <w:t xml:space="preserve"> 1. </w:t>
      </w:r>
      <w:proofErr w:type="spellStart"/>
      <w:r w:rsidR="008D40FC">
        <w:rPr>
          <w:b/>
        </w:rPr>
        <w:t>pol</w:t>
      </w:r>
      <w:proofErr w:type="spellEnd"/>
      <w:r w:rsidR="008D40FC">
        <w:rPr>
          <w:b/>
        </w:rPr>
        <w:t>. 2018</w:t>
      </w:r>
      <w:r>
        <w:rPr>
          <w:b/>
        </w:rPr>
        <w:t xml:space="preserve"> (v tis. osobách)</w:t>
      </w:r>
      <w:r w:rsidR="00991128" w:rsidRPr="00AC74F3" w:rsidDel="00991128">
        <w:rPr>
          <w:b/>
        </w:rPr>
        <w:t xml:space="preserve"> </w:t>
      </w:r>
    </w:p>
    <w:p w:rsidR="00271088" w:rsidRDefault="00CC659A" w:rsidP="00A92BED">
      <w:pPr>
        <w:jc w:val="both"/>
      </w:pPr>
      <w:r w:rsidRPr="00CC659A">
        <w:rPr>
          <w:noProof/>
        </w:rPr>
        <w:drawing>
          <wp:inline distT="0" distB="0" distL="0" distR="0">
            <wp:extent cx="6015990" cy="2923347"/>
            <wp:effectExtent l="1905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6016750" cy="2923716"/>
                    </a:xfrm>
                    <a:prstGeom prst="rect">
                      <a:avLst/>
                    </a:prstGeom>
                    <a:noFill/>
                    <a:ln w="9525">
                      <a:noFill/>
                      <a:miter lim="800000"/>
                      <a:headEnd/>
                      <a:tailEnd/>
                    </a:ln>
                  </pic:spPr>
                </pic:pic>
              </a:graphicData>
            </a:graphic>
          </wp:inline>
        </w:drawing>
      </w:r>
    </w:p>
    <w:p w:rsidR="00271088" w:rsidRPr="001338A0" w:rsidRDefault="00271088" w:rsidP="00271088">
      <w:pPr>
        <w:jc w:val="both"/>
        <w:rPr>
          <w:rFonts w:cs="Arial"/>
          <w:sz w:val="16"/>
          <w:szCs w:val="16"/>
        </w:rPr>
      </w:pPr>
      <w:r>
        <w:rPr>
          <w:rFonts w:cs="Arial"/>
          <w:sz w:val="16"/>
          <w:szCs w:val="16"/>
        </w:rPr>
        <w:t>Zdroj: ČSÚ</w:t>
      </w:r>
    </w:p>
    <w:sectPr w:rsidR="00271088" w:rsidRPr="001338A0" w:rsidSect="006F5416">
      <w:headerReference w:type="even" r:id="rId30"/>
      <w:headerReference w:type="default" r:id="rId31"/>
      <w:footerReference w:type="even" r:id="rId32"/>
      <w:footerReference w:type="default" r:id="rId33"/>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E1" w:rsidRDefault="00343FE1" w:rsidP="00E71A58">
      <w:r>
        <w:separator/>
      </w:r>
    </w:p>
  </w:endnote>
  <w:endnote w:type="continuationSeparator" w:id="0">
    <w:p w:rsidR="00343FE1" w:rsidRDefault="00343FE1"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4B" w:rsidRDefault="009D1069"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p>
  <w:p w:rsidR="009D1069" w:rsidRPr="00932443" w:rsidRDefault="009D1069" w:rsidP="00A418BC">
    <w:pPr>
      <w:pStyle w:val="Zpat"/>
      <w:rPr>
        <w:szCs w:val="16"/>
      </w:rPr>
    </w:pPr>
    <w:r w:rsidRPr="00932443">
      <w:rPr>
        <w:szCs w:val="16"/>
      </w:rPr>
      <w:tab/>
    </w:r>
    <w:r>
      <w:rPr>
        <w:szCs w:val="16"/>
      </w:rPr>
      <w:t>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Default="009D1069"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2018</w:t>
    </w:r>
    <w:r w:rsidRPr="00932443">
      <w:rPr>
        <w:szCs w:val="16"/>
      </w:rPr>
      <w:tab/>
    </w:r>
  </w:p>
  <w:p w:rsidR="007B3C22" w:rsidRPr="00932443" w:rsidRDefault="007B3C22" w:rsidP="00A418BC">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E1" w:rsidRDefault="00343FE1" w:rsidP="00E71A58">
      <w:r>
        <w:separator/>
      </w:r>
    </w:p>
  </w:footnote>
  <w:footnote w:type="continuationSeparator" w:id="0">
    <w:p w:rsidR="00343FE1" w:rsidRDefault="00343FE1"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Pr="00C62BD6" w:rsidRDefault="009D1069" w:rsidP="00C62BD6">
    <w:pPr>
      <w:pStyle w:val="Zhlav"/>
    </w:pPr>
    <w:r>
      <w:t>Pracovní neschopnost pro nemoc a úraz v České republice za 1. pololetí 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69" w:rsidRPr="00C62BD6" w:rsidRDefault="009D1069" w:rsidP="00C62BD6">
    <w:pPr>
      <w:pStyle w:val="Zhlav"/>
    </w:pPr>
    <w:r>
      <w:t>Pracovní neschopnost pro nemoc a úraz v České republice za 1. pololetí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21F7F59"/>
    <w:multiLevelType w:val="hybridMultilevel"/>
    <w:tmpl w:val="9EACCE2C"/>
    <w:lvl w:ilvl="0" w:tplc="04050001">
      <w:start w:val="1"/>
      <w:numFmt w:val="bullet"/>
      <w:lvlText w:val=""/>
      <w:lvlJc w:val="left"/>
      <w:pPr>
        <w:ind w:left="720" w:hanging="360"/>
      </w:pPr>
      <w:rPr>
        <w:rFonts w:ascii="Symbol" w:hAnsi="Symbol" w:hint="default"/>
      </w:rPr>
    </w:lvl>
    <w:lvl w:ilvl="1" w:tplc="04050009">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92469A9"/>
    <w:multiLevelType w:val="hybridMultilevel"/>
    <w:tmpl w:val="6E42498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A133F17"/>
    <w:multiLevelType w:val="hybridMultilevel"/>
    <w:tmpl w:val="1D3A9A2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1603038"/>
    <w:multiLevelType w:val="multilevel"/>
    <w:tmpl w:val="33D0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723F40"/>
    <w:multiLevelType w:val="hybridMultilevel"/>
    <w:tmpl w:val="65E8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46B787E"/>
    <w:multiLevelType w:val="hybridMultilevel"/>
    <w:tmpl w:val="A4A8645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86F1BCF"/>
    <w:multiLevelType w:val="multilevel"/>
    <w:tmpl w:val="0CFA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0772BC2"/>
    <w:multiLevelType w:val="multilevel"/>
    <w:tmpl w:val="B6E2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C14F36"/>
    <w:multiLevelType w:val="multilevel"/>
    <w:tmpl w:val="1A9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99855A7"/>
    <w:multiLevelType w:val="hybridMultilevel"/>
    <w:tmpl w:val="5E740A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DFE13AA"/>
    <w:multiLevelType w:val="hybridMultilevel"/>
    <w:tmpl w:val="3B3005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23435D6"/>
    <w:multiLevelType w:val="hybridMultilevel"/>
    <w:tmpl w:val="299CC6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2757E69"/>
    <w:multiLevelType w:val="hybridMultilevel"/>
    <w:tmpl w:val="923CA67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0">
    <w:nsid w:val="42BA0E59"/>
    <w:multiLevelType w:val="hybridMultilevel"/>
    <w:tmpl w:val="3F88B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6375EA9"/>
    <w:multiLevelType w:val="multilevel"/>
    <w:tmpl w:val="8E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901B91"/>
    <w:multiLevelType w:val="hybridMultilevel"/>
    <w:tmpl w:val="EA86977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3F873C3"/>
    <w:multiLevelType w:val="hybridMultilevel"/>
    <w:tmpl w:val="B83418D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nsid w:val="686C4312"/>
    <w:multiLevelType w:val="multilevel"/>
    <w:tmpl w:val="A54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874A64"/>
    <w:multiLevelType w:val="hybridMultilevel"/>
    <w:tmpl w:val="35CA03B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2159D4"/>
    <w:multiLevelType w:val="hybridMultilevel"/>
    <w:tmpl w:val="A4D2B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2E1767"/>
    <w:multiLevelType w:val="hybridMultilevel"/>
    <w:tmpl w:val="20A0152A"/>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34"/>
  </w:num>
  <w:num w:numId="14">
    <w:abstractNumId w:val="17"/>
  </w:num>
  <w:num w:numId="15">
    <w:abstractNumId w:val="27"/>
  </w:num>
  <w:num w:numId="16">
    <w:abstractNumId w:val="10"/>
  </w:num>
  <w:num w:numId="17">
    <w:abstractNumId w:val="40"/>
  </w:num>
  <w:num w:numId="18">
    <w:abstractNumId w:val="22"/>
  </w:num>
  <w:num w:numId="19">
    <w:abstractNumId w:val="36"/>
  </w:num>
  <w:num w:numId="20">
    <w:abstractNumId w:val="25"/>
  </w:num>
  <w:num w:numId="21">
    <w:abstractNumId w:val="32"/>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14"/>
  </w:num>
  <w:num w:numId="26">
    <w:abstractNumId w:val="38"/>
  </w:num>
  <w:num w:numId="27">
    <w:abstractNumId w:val="11"/>
  </w:num>
  <w:num w:numId="28">
    <w:abstractNumId w:val="12"/>
  </w:num>
  <w:num w:numId="29">
    <w:abstractNumId w:val="13"/>
  </w:num>
  <w:num w:numId="30">
    <w:abstractNumId w:val="28"/>
  </w:num>
  <w:num w:numId="31">
    <w:abstractNumId w:val="24"/>
  </w:num>
  <w:num w:numId="32">
    <w:abstractNumId w:val="16"/>
  </w:num>
  <w:num w:numId="33">
    <w:abstractNumId w:val="30"/>
  </w:num>
  <w:num w:numId="34">
    <w:abstractNumId w:val="41"/>
  </w:num>
  <w:num w:numId="35">
    <w:abstractNumId w:val="20"/>
  </w:num>
  <w:num w:numId="36">
    <w:abstractNumId w:val="21"/>
  </w:num>
  <w:num w:numId="37">
    <w:abstractNumId w:val="39"/>
  </w:num>
  <w:num w:numId="38">
    <w:abstractNumId w:val="26"/>
  </w:num>
  <w:num w:numId="39">
    <w:abstractNumId w:val="37"/>
  </w:num>
  <w:num w:numId="40">
    <w:abstractNumId w:val="29"/>
  </w:num>
  <w:num w:numId="41">
    <w:abstractNumId w:val="18"/>
  </w:num>
  <w:num w:numId="42">
    <w:abstractNumId w:val="31"/>
  </w:num>
  <w:num w:numId="43">
    <w:abstractNumId w:val="15"/>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7170">
      <o:colormru v:ext="edit" colors="#ecf4dd,#eaecee,#fcec0a,#fcecdb,#f1daf5"/>
    </o:shapedefaults>
  </w:hdrShapeDefaults>
  <w:footnotePr>
    <w:footnote w:id="-1"/>
    <w:footnote w:id="0"/>
  </w:footnotePr>
  <w:endnotePr>
    <w:endnote w:id="-1"/>
    <w:endnote w:id="0"/>
  </w:endnotePr>
  <w:compat/>
  <w:rsids>
    <w:rsidRoot w:val="003C629F"/>
    <w:rsid w:val="00000F9E"/>
    <w:rsid w:val="0000209D"/>
    <w:rsid w:val="00004D5A"/>
    <w:rsid w:val="000056AC"/>
    <w:rsid w:val="000056D5"/>
    <w:rsid w:val="00006E59"/>
    <w:rsid w:val="00006FF8"/>
    <w:rsid w:val="000073B0"/>
    <w:rsid w:val="0000767A"/>
    <w:rsid w:val="00010702"/>
    <w:rsid w:val="00012AAA"/>
    <w:rsid w:val="00012D4C"/>
    <w:rsid w:val="000138D2"/>
    <w:rsid w:val="00014CB4"/>
    <w:rsid w:val="0001541D"/>
    <w:rsid w:val="00016992"/>
    <w:rsid w:val="00020366"/>
    <w:rsid w:val="00020F5B"/>
    <w:rsid w:val="00021D4F"/>
    <w:rsid w:val="000220A7"/>
    <w:rsid w:val="00022CC3"/>
    <w:rsid w:val="000234D6"/>
    <w:rsid w:val="00023752"/>
    <w:rsid w:val="00023D29"/>
    <w:rsid w:val="00025962"/>
    <w:rsid w:val="00026389"/>
    <w:rsid w:val="00030C62"/>
    <w:rsid w:val="000318FA"/>
    <w:rsid w:val="00031AE0"/>
    <w:rsid w:val="000322EF"/>
    <w:rsid w:val="00033FCD"/>
    <w:rsid w:val="00035D43"/>
    <w:rsid w:val="00036D75"/>
    <w:rsid w:val="0003700D"/>
    <w:rsid w:val="00037892"/>
    <w:rsid w:val="00040E2B"/>
    <w:rsid w:val="00041CD3"/>
    <w:rsid w:val="00041CEC"/>
    <w:rsid w:val="000422D6"/>
    <w:rsid w:val="00042338"/>
    <w:rsid w:val="00043077"/>
    <w:rsid w:val="000439E1"/>
    <w:rsid w:val="000441B2"/>
    <w:rsid w:val="000456B5"/>
    <w:rsid w:val="0004580B"/>
    <w:rsid w:val="00045DE5"/>
    <w:rsid w:val="00046914"/>
    <w:rsid w:val="0004694F"/>
    <w:rsid w:val="00047203"/>
    <w:rsid w:val="00052266"/>
    <w:rsid w:val="000522E4"/>
    <w:rsid w:val="00052494"/>
    <w:rsid w:val="00055BD9"/>
    <w:rsid w:val="000610E1"/>
    <w:rsid w:val="00061150"/>
    <w:rsid w:val="00061AF0"/>
    <w:rsid w:val="00062AE9"/>
    <w:rsid w:val="00062EC5"/>
    <w:rsid w:val="00062F22"/>
    <w:rsid w:val="000637B9"/>
    <w:rsid w:val="00063B7E"/>
    <w:rsid w:val="00063EF6"/>
    <w:rsid w:val="00065F99"/>
    <w:rsid w:val="00066244"/>
    <w:rsid w:val="00067CC5"/>
    <w:rsid w:val="00070698"/>
    <w:rsid w:val="000712B3"/>
    <w:rsid w:val="0007305F"/>
    <w:rsid w:val="00074B9E"/>
    <w:rsid w:val="00074D94"/>
    <w:rsid w:val="00075921"/>
    <w:rsid w:val="00076895"/>
    <w:rsid w:val="0008263E"/>
    <w:rsid w:val="00082C19"/>
    <w:rsid w:val="00085056"/>
    <w:rsid w:val="000850A2"/>
    <w:rsid w:val="00085395"/>
    <w:rsid w:val="00085DD0"/>
    <w:rsid w:val="00085EA1"/>
    <w:rsid w:val="000860AB"/>
    <w:rsid w:val="000860E7"/>
    <w:rsid w:val="00086E51"/>
    <w:rsid w:val="00087634"/>
    <w:rsid w:val="00087B0B"/>
    <w:rsid w:val="00087D6A"/>
    <w:rsid w:val="00087F2B"/>
    <w:rsid w:val="0009095C"/>
    <w:rsid w:val="00090DF3"/>
    <w:rsid w:val="00091189"/>
    <w:rsid w:val="00091548"/>
    <w:rsid w:val="00092DFE"/>
    <w:rsid w:val="0009305D"/>
    <w:rsid w:val="0009434D"/>
    <w:rsid w:val="00096738"/>
    <w:rsid w:val="00096A2D"/>
    <w:rsid w:val="000974D1"/>
    <w:rsid w:val="0009799E"/>
    <w:rsid w:val="00097C3A"/>
    <w:rsid w:val="000A0EDF"/>
    <w:rsid w:val="000A1183"/>
    <w:rsid w:val="000A1A53"/>
    <w:rsid w:val="000A1DDF"/>
    <w:rsid w:val="000A256D"/>
    <w:rsid w:val="000A34A2"/>
    <w:rsid w:val="000A376E"/>
    <w:rsid w:val="000A3A2C"/>
    <w:rsid w:val="000A3A51"/>
    <w:rsid w:val="000A5007"/>
    <w:rsid w:val="000A5190"/>
    <w:rsid w:val="000A5801"/>
    <w:rsid w:val="000A73A7"/>
    <w:rsid w:val="000A7FAF"/>
    <w:rsid w:val="000B046F"/>
    <w:rsid w:val="000B0F71"/>
    <w:rsid w:val="000B1299"/>
    <w:rsid w:val="000B18E1"/>
    <w:rsid w:val="000B30FA"/>
    <w:rsid w:val="000B3152"/>
    <w:rsid w:val="000B3416"/>
    <w:rsid w:val="000B3EF7"/>
    <w:rsid w:val="000B4F3F"/>
    <w:rsid w:val="000B5AB0"/>
    <w:rsid w:val="000B78F7"/>
    <w:rsid w:val="000C0175"/>
    <w:rsid w:val="000C3408"/>
    <w:rsid w:val="000C3871"/>
    <w:rsid w:val="000C4868"/>
    <w:rsid w:val="000C6AFD"/>
    <w:rsid w:val="000D0984"/>
    <w:rsid w:val="000D0B70"/>
    <w:rsid w:val="000D1857"/>
    <w:rsid w:val="000D2467"/>
    <w:rsid w:val="000D2B7A"/>
    <w:rsid w:val="000D3D37"/>
    <w:rsid w:val="000D4A30"/>
    <w:rsid w:val="000D5637"/>
    <w:rsid w:val="000D5763"/>
    <w:rsid w:val="000D6E68"/>
    <w:rsid w:val="000E1AB0"/>
    <w:rsid w:val="000E2F1E"/>
    <w:rsid w:val="000E3A0E"/>
    <w:rsid w:val="000E3A9C"/>
    <w:rsid w:val="000E43F6"/>
    <w:rsid w:val="000E525F"/>
    <w:rsid w:val="000E5B2D"/>
    <w:rsid w:val="000E6D18"/>
    <w:rsid w:val="000E6FBD"/>
    <w:rsid w:val="000E70A2"/>
    <w:rsid w:val="000F1056"/>
    <w:rsid w:val="000F1FE8"/>
    <w:rsid w:val="000F2C27"/>
    <w:rsid w:val="000F2DDC"/>
    <w:rsid w:val="000F5618"/>
    <w:rsid w:val="000F5FE0"/>
    <w:rsid w:val="000F64E8"/>
    <w:rsid w:val="000F68B6"/>
    <w:rsid w:val="00100C17"/>
    <w:rsid w:val="00100F5C"/>
    <w:rsid w:val="00102149"/>
    <w:rsid w:val="00102408"/>
    <w:rsid w:val="001030DF"/>
    <w:rsid w:val="0010437D"/>
    <w:rsid w:val="00104C4C"/>
    <w:rsid w:val="0010665F"/>
    <w:rsid w:val="00106C1B"/>
    <w:rsid w:val="00106E17"/>
    <w:rsid w:val="001077C2"/>
    <w:rsid w:val="0011072F"/>
    <w:rsid w:val="001116A9"/>
    <w:rsid w:val="001122E0"/>
    <w:rsid w:val="0011447F"/>
    <w:rsid w:val="0012192F"/>
    <w:rsid w:val="00121BBA"/>
    <w:rsid w:val="00125175"/>
    <w:rsid w:val="001253F3"/>
    <w:rsid w:val="00125D69"/>
    <w:rsid w:val="00125F56"/>
    <w:rsid w:val="00126448"/>
    <w:rsid w:val="00130594"/>
    <w:rsid w:val="00130A21"/>
    <w:rsid w:val="0013134F"/>
    <w:rsid w:val="001316B8"/>
    <w:rsid w:val="0013313C"/>
    <w:rsid w:val="001338A0"/>
    <w:rsid w:val="00133F2E"/>
    <w:rsid w:val="0013471F"/>
    <w:rsid w:val="0013513B"/>
    <w:rsid w:val="00135C05"/>
    <w:rsid w:val="001405FA"/>
    <w:rsid w:val="00140D94"/>
    <w:rsid w:val="00141374"/>
    <w:rsid w:val="001425C3"/>
    <w:rsid w:val="0014311C"/>
    <w:rsid w:val="001436FE"/>
    <w:rsid w:val="00144CD5"/>
    <w:rsid w:val="001451B7"/>
    <w:rsid w:val="001458CD"/>
    <w:rsid w:val="00150CBE"/>
    <w:rsid w:val="001555A9"/>
    <w:rsid w:val="001558A1"/>
    <w:rsid w:val="00155E6E"/>
    <w:rsid w:val="00156FA0"/>
    <w:rsid w:val="001572B6"/>
    <w:rsid w:val="00157C4E"/>
    <w:rsid w:val="00157C82"/>
    <w:rsid w:val="00157F4D"/>
    <w:rsid w:val="00157FF8"/>
    <w:rsid w:val="00160704"/>
    <w:rsid w:val="00161A21"/>
    <w:rsid w:val="00162142"/>
    <w:rsid w:val="0016224B"/>
    <w:rsid w:val="0016256B"/>
    <w:rsid w:val="00162967"/>
    <w:rsid w:val="00162C96"/>
    <w:rsid w:val="00162CEB"/>
    <w:rsid w:val="00163793"/>
    <w:rsid w:val="00165721"/>
    <w:rsid w:val="001670A7"/>
    <w:rsid w:val="0017027A"/>
    <w:rsid w:val="001706D6"/>
    <w:rsid w:val="00170C5F"/>
    <w:rsid w:val="001714F2"/>
    <w:rsid w:val="001722C1"/>
    <w:rsid w:val="00172DAA"/>
    <w:rsid w:val="00172F7F"/>
    <w:rsid w:val="001730B3"/>
    <w:rsid w:val="00173D29"/>
    <w:rsid w:val="00174FF2"/>
    <w:rsid w:val="00175140"/>
    <w:rsid w:val="001757D7"/>
    <w:rsid w:val="00176686"/>
    <w:rsid w:val="001771A3"/>
    <w:rsid w:val="00177AF9"/>
    <w:rsid w:val="00184B08"/>
    <w:rsid w:val="00185010"/>
    <w:rsid w:val="001906E1"/>
    <w:rsid w:val="00191074"/>
    <w:rsid w:val="00191B90"/>
    <w:rsid w:val="00192C20"/>
    <w:rsid w:val="00193CBE"/>
    <w:rsid w:val="00194E14"/>
    <w:rsid w:val="00194FAA"/>
    <w:rsid w:val="00196668"/>
    <w:rsid w:val="0019672E"/>
    <w:rsid w:val="00196D71"/>
    <w:rsid w:val="00196DFF"/>
    <w:rsid w:val="0019752B"/>
    <w:rsid w:val="0019771A"/>
    <w:rsid w:val="001A0FEE"/>
    <w:rsid w:val="001A1661"/>
    <w:rsid w:val="001A552F"/>
    <w:rsid w:val="001A620D"/>
    <w:rsid w:val="001A6B70"/>
    <w:rsid w:val="001A73CD"/>
    <w:rsid w:val="001B2CA9"/>
    <w:rsid w:val="001B2E27"/>
    <w:rsid w:val="001B3110"/>
    <w:rsid w:val="001B46BC"/>
    <w:rsid w:val="001B4729"/>
    <w:rsid w:val="001B5429"/>
    <w:rsid w:val="001B64E2"/>
    <w:rsid w:val="001B6683"/>
    <w:rsid w:val="001B6C09"/>
    <w:rsid w:val="001C05CD"/>
    <w:rsid w:val="001C1006"/>
    <w:rsid w:val="001C1467"/>
    <w:rsid w:val="001C180F"/>
    <w:rsid w:val="001C2FEB"/>
    <w:rsid w:val="001C3015"/>
    <w:rsid w:val="001C4847"/>
    <w:rsid w:val="001C4A15"/>
    <w:rsid w:val="001C691D"/>
    <w:rsid w:val="001C69CD"/>
    <w:rsid w:val="001C77B0"/>
    <w:rsid w:val="001D3447"/>
    <w:rsid w:val="001D4179"/>
    <w:rsid w:val="001D4D07"/>
    <w:rsid w:val="001D520B"/>
    <w:rsid w:val="001D5F5C"/>
    <w:rsid w:val="001D68B2"/>
    <w:rsid w:val="001D7E19"/>
    <w:rsid w:val="001D7F96"/>
    <w:rsid w:val="001E0887"/>
    <w:rsid w:val="001E1882"/>
    <w:rsid w:val="001E36E8"/>
    <w:rsid w:val="001E5798"/>
    <w:rsid w:val="001F07BD"/>
    <w:rsid w:val="001F1AF6"/>
    <w:rsid w:val="001F3AEC"/>
    <w:rsid w:val="001F4597"/>
    <w:rsid w:val="001F4CD7"/>
    <w:rsid w:val="001F6B79"/>
    <w:rsid w:val="00200470"/>
    <w:rsid w:val="002011C2"/>
    <w:rsid w:val="002033D2"/>
    <w:rsid w:val="00204A73"/>
    <w:rsid w:val="00204F00"/>
    <w:rsid w:val="0020632C"/>
    <w:rsid w:val="00206C9F"/>
    <w:rsid w:val="00210FC4"/>
    <w:rsid w:val="002110A0"/>
    <w:rsid w:val="0021141B"/>
    <w:rsid w:val="00211604"/>
    <w:rsid w:val="002118B9"/>
    <w:rsid w:val="0021219D"/>
    <w:rsid w:val="00215605"/>
    <w:rsid w:val="00215904"/>
    <w:rsid w:val="0021605D"/>
    <w:rsid w:val="00217163"/>
    <w:rsid w:val="00217C5B"/>
    <w:rsid w:val="00217DDE"/>
    <w:rsid w:val="00220202"/>
    <w:rsid w:val="00220A25"/>
    <w:rsid w:val="0022139E"/>
    <w:rsid w:val="00223EE6"/>
    <w:rsid w:val="00224078"/>
    <w:rsid w:val="002247CA"/>
    <w:rsid w:val="002252E0"/>
    <w:rsid w:val="002255F6"/>
    <w:rsid w:val="00225CCC"/>
    <w:rsid w:val="00225D02"/>
    <w:rsid w:val="00225ECD"/>
    <w:rsid w:val="00225F24"/>
    <w:rsid w:val="00227850"/>
    <w:rsid w:val="00227A53"/>
    <w:rsid w:val="00227ADD"/>
    <w:rsid w:val="002305E5"/>
    <w:rsid w:val="00230C6E"/>
    <w:rsid w:val="00230D01"/>
    <w:rsid w:val="002321F2"/>
    <w:rsid w:val="0023272F"/>
    <w:rsid w:val="002329E4"/>
    <w:rsid w:val="002332C5"/>
    <w:rsid w:val="002339CB"/>
    <w:rsid w:val="00233ECF"/>
    <w:rsid w:val="002345D2"/>
    <w:rsid w:val="00235C79"/>
    <w:rsid w:val="00236443"/>
    <w:rsid w:val="00236769"/>
    <w:rsid w:val="00240D82"/>
    <w:rsid w:val="00241BC0"/>
    <w:rsid w:val="002436BA"/>
    <w:rsid w:val="0024398E"/>
    <w:rsid w:val="00244A15"/>
    <w:rsid w:val="00247319"/>
    <w:rsid w:val="0024793B"/>
    <w:rsid w:val="0024799E"/>
    <w:rsid w:val="00253914"/>
    <w:rsid w:val="00253C0F"/>
    <w:rsid w:val="0025512D"/>
    <w:rsid w:val="0025728D"/>
    <w:rsid w:val="00263C28"/>
    <w:rsid w:val="00263C92"/>
    <w:rsid w:val="002646DA"/>
    <w:rsid w:val="0026618C"/>
    <w:rsid w:val="002665F3"/>
    <w:rsid w:val="0026772B"/>
    <w:rsid w:val="00267A3A"/>
    <w:rsid w:val="00270A73"/>
    <w:rsid w:val="00271088"/>
    <w:rsid w:val="002710B1"/>
    <w:rsid w:val="00271465"/>
    <w:rsid w:val="00272934"/>
    <w:rsid w:val="002737BB"/>
    <w:rsid w:val="00273D70"/>
    <w:rsid w:val="00276756"/>
    <w:rsid w:val="002770B9"/>
    <w:rsid w:val="00277F1A"/>
    <w:rsid w:val="0028194C"/>
    <w:rsid w:val="00282919"/>
    <w:rsid w:val="00284606"/>
    <w:rsid w:val="00284C89"/>
    <w:rsid w:val="00285412"/>
    <w:rsid w:val="00285599"/>
    <w:rsid w:val="0028613E"/>
    <w:rsid w:val="00292C38"/>
    <w:rsid w:val="00292EA8"/>
    <w:rsid w:val="002936BC"/>
    <w:rsid w:val="002970C7"/>
    <w:rsid w:val="00297EB5"/>
    <w:rsid w:val="002A00BE"/>
    <w:rsid w:val="002A16D4"/>
    <w:rsid w:val="002A2003"/>
    <w:rsid w:val="002A230C"/>
    <w:rsid w:val="002A5602"/>
    <w:rsid w:val="002A6DD0"/>
    <w:rsid w:val="002B03C8"/>
    <w:rsid w:val="002B1452"/>
    <w:rsid w:val="002B1C15"/>
    <w:rsid w:val="002B234B"/>
    <w:rsid w:val="002B2842"/>
    <w:rsid w:val="002B2E2F"/>
    <w:rsid w:val="002B3776"/>
    <w:rsid w:val="002B3C69"/>
    <w:rsid w:val="002B4327"/>
    <w:rsid w:val="002B58CA"/>
    <w:rsid w:val="002B6146"/>
    <w:rsid w:val="002B7597"/>
    <w:rsid w:val="002C0154"/>
    <w:rsid w:val="002C23FB"/>
    <w:rsid w:val="002C394F"/>
    <w:rsid w:val="002C43BD"/>
    <w:rsid w:val="002C44D3"/>
    <w:rsid w:val="002C47E9"/>
    <w:rsid w:val="002C4C21"/>
    <w:rsid w:val="002C55B2"/>
    <w:rsid w:val="002C63D7"/>
    <w:rsid w:val="002C7AE2"/>
    <w:rsid w:val="002C7B67"/>
    <w:rsid w:val="002C7FE0"/>
    <w:rsid w:val="002D0E59"/>
    <w:rsid w:val="002D2EC8"/>
    <w:rsid w:val="002D548C"/>
    <w:rsid w:val="002D55A7"/>
    <w:rsid w:val="002E0185"/>
    <w:rsid w:val="002E02A1"/>
    <w:rsid w:val="002E1012"/>
    <w:rsid w:val="002E1172"/>
    <w:rsid w:val="002E165B"/>
    <w:rsid w:val="002E246B"/>
    <w:rsid w:val="002E3A00"/>
    <w:rsid w:val="002E3A71"/>
    <w:rsid w:val="002E4E4C"/>
    <w:rsid w:val="002E575B"/>
    <w:rsid w:val="002E72B0"/>
    <w:rsid w:val="002F1459"/>
    <w:rsid w:val="002F1BB4"/>
    <w:rsid w:val="002F2413"/>
    <w:rsid w:val="002F3B4C"/>
    <w:rsid w:val="002F5215"/>
    <w:rsid w:val="002F5756"/>
    <w:rsid w:val="003007A7"/>
    <w:rsid w:val="0030154A"/>
    <w:rsid w:val="00302799"/>
    <w:rsid w:val="00302820"/>
    <w:rsid w:val="00304771"/>
    <w:rsid w:val="003052D4"/>
    <w:rsid w:val="0030568C"/>
    <w:rsid w:val="0030594B"/>
    <w:rsid w:val="00306C5B"/>
    <w:rsid w:val="003116A3"/>
    <w:rsid w:val="00312502"/>
    <w:rsid w:val="003125C1"/>
    <w:rsid w:val="00312E21"/>
    <w:rsid w:val="0031360D"/>
    <w:rsid w:val="00315540"/>
    <w:rsid w:val="003168AE"/>
    <w:rsid w:val="00316B01"/>
    <w:rsid w:val="00320302"/>
    <w:rsid w:val="003209D6"/>
    <w:rsid w:val="00321924"/>
    <w:rsid w:val="003221C3"/>
    <w:rsid w:val="003222D9"/>
    <w:rsid w:val="00323C27"/>
    <w:rsid w:val="0032656E"/>
    <w:rsid w:val="00326B09"/>
    <w:rsid w:val="00330AC3"/>
    <w:rsid w:val="00332190"/>
    <w:rsid w:val="00334C1B"/>
    <w:rsid w:val="00334C4B"/>
    <w:rsid w:val="00335F3A"/>
    <w:rsid w:val="003366ED"/>
    <w:rsid w:val="0033734D"/>
    <w:rsid w:val="003417AC"/>
    <w:rsid w:val="003417FB"/>
    <w:rsid w:val="0034383F"/>
    <w:rsid w:val="00343FE1"/>
    <w:rsid w:val="00344668"/>
    <w:rsid w:val="00344BAE"/>
    <w:rsid w:val="00344EF8"/>
    <w:rsid w:val="003462D9"/>
    <w:rsid w:val="00346FDD"/>
    <w:rsid w:val="00347869"/>
    <w:rsid w:val="003507B0"/>
    <w:rsid w:val="00350ACD"/>
    <w:rsid w:val="00350C58"/>
    <w:rsid w:val="00350CCA"/>
    <w:rsid w:val="00350E50"/>
    <w:rsid w:val="003528D9"/>
    <w:rsid w:val="00352D01"/>
    <w:rsid w:val="00357586"/>
    <w:rsid w:val="0036061D"/>
    <w:rsid w:val="003607F1"/>
    <w:rsid w:val="00360C86"/>
    <w:rsid w:val="00361483"/>
    <w:rsid w:val="0036240E"/>
    <w:rsid w:val="00362679"/>
    <w:rsid w:val="003630F4"/>
    <w:rsid w:val="00363275"/>
    <w:rsid w:val="0036354F"/>
    <w:rsid w:val="00364662"/>
    <w:rsid w:val="00364D94"/>
    <w:rsid w:val="003657F3"/>
    <w:rsid w:val="00365CBF"/>
    <w:rsid w:val="00366009"/>
    <w:rsid w:val="003705BC"/>
    <w:rsid w:val="003738AC"/>
    <w:rsid w:val="00374DBC"/>
    <w:rsid w:val="0037575F"/>
    <w:rsid w:val="003759C4"/>
    <w:rsid w:val="00377D0A"/>
    <w:rsid w:val="00377F6C"/>
    <w:rsid w:val="00380598"/>
    <w:rsid w:val="003818DC"/>
    <w:rsid w:val="0038419F"/>
    <w:rsid w:val="00384327"/>
    <w:rsid w:val="003847A9"/>
    <w:rsid w:val="003847CF"/>
    <w:rsid w:val="00385D98"/>
    <w:rsid w:val="00385E35"/>
    <w:rsid w:val="00386032"/>
    <w:rsid w:val="00386A33"/>
    <w:rsid w:val="00387E51"/>
    <w:rsid w:val="00390861"/>
    <w:rsid w:val="0039169F"/>
    <w:rsid w:val="003927A5"/>
    <w:rsid w:val="00393054"/>
    <w:rsid w:val="00393A3A"/>
    <w:rsid w:val="00393CDA"/>
    <w:rsid w:val="00393E1C"/>
    <w:rsid w:val="00395632"/>
    <w:rsid w:val="00395D6A"/>
    <w:rsid w:val="00395E54"/>
    <w:rsid w:val="00397E88"/>
    <w:rsid w:val="00397F8B"/>
    <w:rsid w:val="003A01A6"/>
    <w:rsid w:val="003A1230"/>
    <w:rsid w:val="003A1C4E"/>
    <w:rsid w:val="003A2B4D"/>
    <w:rsid w:val="003A2E6F"/>
    <w:rsid w:val="003A478C"/>
    <w:rsid w:val="003A4B26"/>
    <w:rsid w:val="003A5525"/>
    <w:rsid w:val="003A586C"/>
    <w:rsid w:val="003A60D7"/>
    <w:rsid w:val="003A66F7"/>
    <w:rsid w:val="003A6B38"/>
    <w:rsid w:val="003A6C48"/>
    <w:rsid w:val="003B161F"/>
    <w:rsid w:val="003B2E45"/>
    <w:rsid w:val="003B305D"/>
    <w:rsid w:val="003B33EE"/>
    <w:rsid w:val="003B4380"/>
    <w:rsid w:val="003B43F6"/>
    <w:rsid w:val="003B49FF"/>
    <w:rsid w:val="003B51A0"/>
    <w:rsid w:val="003B5A32"/>
    <w:rsid w:val="003B5EEE"/>
    <w:rsid w:val="003C08B4"/>
    <w:rsid w:val="003C0FB0"/>
    <w:rsid w:val="003C1083"/>
    <w:rsid w:val="003C29AB"/>
    <w:rsid w:val="003C3490"/>
    <w:rsid w:val="003C434D"/>
    <w:rsid w:val="003C629F"/>
    <w:rsid w:val="003C6D7F"/>
    <w:rsid w:val="003D106E"/>
    <w:rsid w:val="003D1806"/>
    <w:rsid w:val="003D2E88"/>
    <w:rsid w:val="003D3FC2"/>
    <w:rsid w:val="003D679F"/>
    <w:rsid w:val="003D6920"/>
    <w:rsid w:val="003D6F1D"/>
    <w:rsid w:val="003E05D3"/>
    <w:rsid w:val="003E0A23"/>
    <w:rsid w:val="003E12C3"/>
    <w:rsid w:val="003E2845"/>
    <w:rsid w:val="003E2CA0"/>
    <w:rsid w:val="003E4049"/>
    <w:rsid w:val="003E466E"/>
    <w:rsid w:val="003E4C91"/>
    <w:rsid w:val="003E7488"/>
    <w:rsid w:val="003E7697"/>
    <w:rsid w:val="003F1703"/>
    <w:rsid w:val="003F17C5"/>
    <w:rsid w:val="003F2678"/>
    <w:rsid w:val="003F2FB6"/>
    <w:rsid w:val="003F313C"/>
    <w:rsid w:val="003F3A8B"/>
    <w:rsid w:val="003F4B2C"/>
    <w:rsid w:val="003F551C"/>
    <w:rsid w:val="003F647B"/>
    <w:rsid w:val="003F65C2"/>
    <w:rsid w:val="003F7D23"/>
    <w:rsid w:val="00401585"/>
    <w:rsid w:val="0040166C"/>
    <w:rsid w:val="00401F91"/>
    <w:rsid w:val="00402E84"/>
    <w:rsid w:val="0040332E"/>
    <w:rsid w:val="00404192"/>
    <w:rsid w:val="0040419B"/>
    <w:rsid w:val="004054C2"/>
    <w:rsid w:val="00405801"/>
    <w:rsid w:val="00405C2F"/>
    <w:rsid w:val="00406205"/>
    <w:rsid w:val="00406CE0"/>
    <w:rsid w:val="0040736D"/>
    <w:rsid w:val="00407422"/>
    <w:rsid w:val="004078CE"/>
    <w:rsid w:val="00407C13"/>
    <w:rsid w:val="00407DB7"/>
    <w:rsid w:val="00410638"/>
    <w:rsid w:val="0041080A"/>
    <w:rsid w:val="00411214"/>
    <w:rsid w:val="0041543D"/>
    <w:rsid w:val="00415A3C"/>
    <w:rsid w:val="00415BF4"/>
    <w:rsid w:val="00416B7F"/>
    <w:rsid w:val="00417C49"/>
    <w:rsid w:val="0042086A"/>
    <w:rsid w:val="004231CF"/>
    <w:rsid w:val="0042374E"/>
    <w:rsid w:val="0042447C"/>
    <w:rsid w:val="004247C0"/>
    <w:rsid w:val="004261ED"/>
    <w:rsid w:val="00427AB2"/>
    <w:rsid w:val="004309B2"/>
    <w:rsid w:val="00432A58"/>
    <w:rsid w:val="004338EA"/>
    <w:rsid w:val="00433BEB"/>
    <w:rsid w:val="00434617"/>
    <w:rsid w:val="00436034"/>
    <w:rsid w:val="00440900"/>
    <w:rsid w:val="00442489"/>
    <w:rsid w:val="00443D15"/>
    <w:rsid w:val="004441A0"/>
    <w:rsid w:val="00446E1A"/>
    <w:rsid w:val="00451B1D"/>
    <w:rsid w:val="004522CC"/>
    <w:rsid w:val="004529E3"/>
    <w:rsid w:val="00452AB0"/>
    <w:rsid w:val="00456A66"/>
    <w:rsid w:val="0045766E"/>
    <w:rsid w:val="00460FB3"/>
    <w:rsid w:val="00462A81"/>
    <w:rsid w:val="004638C2"/>
    <w:rsid w:val="00464A3E"/>
    <w:rsid w:val="0046583C"/>
    <w:rsid w:val="004659D3"/>
    <w:rsid w:val="00466E03"/>
    <w:rsid w:val="00467C9A"/>
    <w:rsid w:val="0047002D"/>
    <w:rsid w:val="0047042F"/>
    <w:rsid w:val="00470704"/>
    <w:rsid w:val="00472BF3"/>
    <w:rsid w:val="004757D5"/>
    <w:rsid w:val="0047619A"/>
    <w:rsid w:val="00476240"/>
    <w:rsid w:val="00476439"/>
    <w:rsid w:val="0047735C"/>
    <w:rsid w:val="004776BC"/>
    <w:rsid w:val="00477A9C"/>
    <w:rsid w:val="0048139F"/>
    <w:rsid w:val="004818DE"/>
    <w:rsid w:val="00481E40"/>
    <w:rsid w:val="00484180"/>
    <w:rsid w:val="0048469C"/>
    <w:rsid w:val="00484ECE"/>
    <w:rsid w:val="004852BF"/>
    <w:rsid w:val="00486193"/>
    <w:rsid w:val="004900FF"/>
    <w:rsid w:val="004911FA"/>
    <w:rsid w:val="004915CB"/>
    <w:rsid w:val="004924DC"/>
    <w:rsid w:val="00492702"/>
    <w:rsid w:val="00492ADF"/>
    <w:rsid w:val="004937C8"/>
    <w:rsid w:val="004949FA"/>
    <w:rsid w:val="00494C69"/>
    <w:rsid w:val="00494E37"/>
    <w:rsid w:val="004952C5"/>
    <w:rsid w:val="00495B22"/>
    <w:rsid w:val="00496B5E"/>
    <w:rsid w:val="00496D9B"/>
    <w:rsid w:val="004974FE"/>
    <w:rsid w:val="004A14E4"/>
    <w:rsid w:val="004A199B"/>
    <w:rsid w:val="004A2CC4"/>
    <w:rsid w:val="004A3212"/>
    <w:rsid w:val="004A4A16"/>
    <w:rsid w:val="004A4B7A"/>
    <w:rsid w:val="004A50E3"/>
    <w:rsid w:val="004A5E6C"/>
    <w:rsid w:val="004A61C5"/>
    <w:rsid w:val="004A77DF"/>
    <w:rsid w:val="004B12B7"/>
    <w:rsid w:val="004B1417"/>
    <w:rsid w:val="004B17A6"/>
    <w:rsid w:val="004B1E06"/>
    <w:rsid w:val="004B2E40"/>
    <w:rsid w:val="004B4122"/>
    <w:rsid w:val="004B4654"/>
    <w:rsid w:val="004B5465"/>
    <w:rsid w:val="004B55B7"/>
    <w:rsid w:val="004B5EA6"/>
    <w:rsid w:val="004B6468"/>
    <w:rsid w:val="004C2339"/>
    <w:rsid w:val="004C35FD"/>
    <w:rsid w:val="004C37A4"/>
    <w:rsid w:val="004C384C"/>
    <w:rsid w:val="004C3867"/>
    <w:rsid w:val="004C4CD0"/>
    <w:rsid w:val="004C7031"/>
    <w:rsid w:val="004C70DC"/>
    <w:rsid w:val="004C73DA"/>
    <w:rsid w:val="004C7A61"/>
    <w:rsid w:val="004C7F91"/>
    <w:rsid w:val="004D0211"/>
    <w:rsid w:val="004D043B"/>
    <w:rsid w:val="004D0794"/>
    <w:rsid w:val="004D3282"/>
    <w:rsid w:val="004D334E"/>
    <w:rsid w:val="004D341B"/>
    <w:rsid w:val="004D6204"/>
    <w:rsid w:val="004D6588"/>
    <w:rsid w:val="004D7A0C"/>
    <w:rsid w:val="004E2877"/>
    <w:rsid w:val="004E364D"/>
    <w:rsid w:val="004E46B4"/>
    <w:rsid w:val="004E62A5"/>
    <w:rsid w:val="004E6D7F"/>
    <w:rsid w:val="004E6FD3"/>
    <w:rsid w:val="004E7C48"/>
    <w:rsid w:val="004E7CB3"/>
    <w:rsid w:val="004E7F92"/>
    <w:rsid w:val="004F06F5"/>
    <w:rsid w:val="004F0D45"/>
    <w:rsid w:val="004F0F17"/>
    <w:rsid w:val="004F1EC1"/>
    <w:rsid w:val="004F29EC"/>
    <w:rsid w:val="004F2E80"/>
    <w:rsid w:val="004F33A0"/>
    <w:rsid w:val="004F45A7"/>
    <w:rsid w:val="004F4624"/>
    <w:rsid w:val="004F6CFB"/>
    <w:rsid w:val="004F7787"/>
    <w:rsid w:val="004F7964"/>
    <w:rsid w:val="00500A8A"/>
    <w:rsid w:val="00501105"/>
    <w:rsid w:val="0050262D"/>
    <w:rsid w:val="00502729"/>
    <w:rsid w:val="00502782"/>
    <w:rsid w:val="00503FBC"/>
    <w:rsid w:val="005059D5"/>
    <w:rsid w:val="00506326"/>
    <w:rsid w:val="00510308"/>
    <w:rsid w:val="005108C0"/>
    <w:rsid w:val="0051143F"/>
    <w:rsid w:val="00511873"/>
    <w:rsid w:val="005129CB"/>
    <w:rsid w:val="00512A2F"/>
    <w:rsid w:val="00513B7E"/>
    <w:rsid w:val="00514420"/>
    <w:rsid w:val="00515C74"/>
    <w:rsid w:val="005164AE"/>
    <w:rsid w:val="00516DC4"/>
    <w:rsid w:val="00517816"/>
    <w:rsid w:val="0052007E"/>
    <w:rsid w:val="00520FF1"/>
    <w:rsid w:val="005229A8"/>
    <w:rsid w:val="0052337A"/>
    <w:rsid w:val="00524184"/>
    <w:rsid w:val="00525137"/>
    <w:rsid w:val="005251DD"/>
    <w:rsid w:val="0052542E"/>
    <w:rsid w:val="00526C04"/>
    <w:rsid w:val="00526EBF"/>
    <w:rsid w:val="00532CE7"/>
    <w:rsid w:val="00532E6C"/>
    <w:rsid w:val="0053324C"/>
    <w:rsid w:val="00534A28"/>
    <w:rsid w:val="00534A75"/>
    <w:rsid w:val="00535648"/>
    <w:rsid w:val="00536482"/>
    <w:rsid w:val="00540B61"/>
    <w:rsid w:val="00541508"/>
    <w:rsid w:val="00541AE1"/>
    <w:rsid w:val="00542C0A"/>
    <w:rsid w:val="00544075"/>
    <w:rsid w:val="00544095"/>
    <w:rsid w:val="00545321"/>
    <w:rsid w:val="005454FC"/>
    <w:rsid w:val="00546FB5"/>
    <w:rsid w:val="005475EC"/>
    <w:rsid w:val="005506C4"/>
    <w:rsid w:val="00551034"/>
    <w:rsid w:val="0055182B"/>
    <w:rsid w:val="00552895"/>
    <w:rsid w:val="0055378A"/>
    <w:rsid w:val="00553870"/>
    <w:rsid w:val="00553F56"/>
    <w:rsid w:val="0055461C"/>
    <w:rsid w:val="00554F88"/>
    <w:rsid w:val="00555319"/>
    <w:rsid w:val="0055576C"/>
    <w:rsid w:val="0055599F"/>
    <w:rsid w:val="00556D68"/>
    <w:rsid w:val="00556FA9"/>
    <w:rsid w:val="00557423"/>
    <w:rsid w:val="00563D96"/>
    <w:rsid w:val="00563FC7"/>
    <w:rsid w:val="005642EA"/>
    <w:rsid w:val="005647BF"/>
    <w:rsid w:val="005677FF"/>
    <w:rsid w:val="00570106"/>
    <w:rsid w:val="005701A4"/>
    <w:rsid w:val="005706B1"/>
    <w:rsid w:val="00570BDC"/>
    <w:rsid w:val="00572EBF"/>
    <w:rsid w:val="00573578"/>
    <w:rsid w:val="0057364B"/>
    <w:rsid w:val="005739A3"/>
    <w:rsid w:val="00573B0B"/>
    <w:rsid w:val="00573D06"/>
    <w:rsid w:val="00574773"/>
    <w:rsid w:val="00574C7C"/>
    <w:rsid w:val="00575802"/>
    <w:rsid w:val="00577646"/>
    <w:rsid w:val="0057789D"/>
    <w:rsid w:val="00577B80"/>
    <w:rsid w:val="0058024B"/>
    <w:rsid w:val="00580A58"/>
    <w:rsid w:val="005827D5"/>
    <w:rsid w:val="00583F66"/>
    <w:rsid w:val="00583FFD"/>
    <w:rsid w:val="00584874"/>
    <w:rsid w:val="00587ABB"/>
    <w:rsid w:val="00587E8A"/>
    <w:rsid w:val="0059012E"/>
    <w:rsid w:val="005911BE"/>
    <w:rsid w:val="00592F94"/>
    <w:rsid w:val="00593152"/>
    <w:rsid w:val="0059552B"/>
    <w:rsid w:val="00597555"/>
    <w:rsid w:val="00597CC3"/>
    <w:rsid w:val="005A10F2"/>
    <w:rsid w:val="005A1B31"/>
    <w:rsid w:val="005A1D3A"/>
    <w:rsid w:val="005A1DBB"/>
    <w:rsid w:val="005A21E0"/>
    <w:rsid w:val="005A267D"/>
    <w:rsid w:val="005A28FF"/>
    <w:rsid w:val="005A2A92"/>
    <w:rsid w:val="005A3DF8"/>
    <w:rsid w:val="005A3EC3"/>
    <w:rsid w:val="005A4E90"/>
    <w:rsid w:val="005A5549"/>
    <w:rsid w:val="005A7888"/>
    <w:rsid w:val="005B0EB6"/>
    <w:rsid w:val="005B121D"/>
    <w:rsid w:val="005B1FE4"/>
    <w:rsid w:val="005B270C"/>
    <w:rsid w:val="005B2A74"/>
    <w:rsid w:val="005B3A2E"/>
    <w:rsid w:val="005B4D90"/>
    <w:rsid w:val="005B52C1"/>
    <w:rsid w:val="005B5837"/>
    <w:rsid w:val="005B720A"/>
    <w:rsid w:val="005B7285"/>
    <w:rsid w:val="005C06ED"/>
    <w:rsid w:val="005C0CBD"/>
    <w:rsid w:val="005C2F72"/>
    <w:rsid w:val="005C3AFB"/>
    <w:rsid w:val="005C52B4"/>
    <w:rsid w:val="005C568A"/>
    <w:rsid w:val="005C78E2"/>
    <w:rsid w:val="005D5802"/>
    <w:rsid w:val="005D6703"/>
    <w:rsid w:val="005D7890"/>
    <w:rsid w:val="005E0948"/>
    <w:rsid w:val="005E2092"/>
    <w:rsid w:val="005E23AF"/>
    <w:rsid w:val="005E408D"/>
    <w:rsid w:val="005E4739"/>
    <w:rsid w:val="005E5347"/>
    <w:rsid w:val="005E5DFC"/>
    <w:rsid w:val="005E7112"/>
    <w:rsid w:val="005E72F8"/>
    <w:rsid w:val="005E79D6"/>
    <w:rsid w:val="005E7C78"/>
    <w:rsid w:val="005F2E14"/>
    <w:rsid w:val="005F348E"/>
    <w:rsid w:val="005F3EB1"/>
    <w:rsid w:val="005F4843"/>
    <w:rsid w:val="005F5469"/>
    <w:rsid w:val="005F554F"/>
    <w:rsid w:val="005F745C"/>
    <w:rsid w:val="006006C5"/>
    <w:rsid w:val="00602D0B"/>
    <w:rsid w:val="00603EB8"/>
    <w:rsid w:val="00604307"/>
    <w:rsid w:val="0060487F"/>
    <w:rsid w:val="00604EAD"/>
    <w:rsid w:val="00606BF5"/>
    <w:rsid w:val="006074F9"/>
    <w:rsid w:val="006104FB"/>
    <w:rsid w:val="00611E58"/>
    <w:rsid w:val="006124AE"/>
    <w:rsid w:val="00612A2F"/>
    <w:rsid w:val="00612FF2"/>
    <w:rsid w:val="00614B4C"/>
    <w:rsid w:val="00614BF6"/>
    <w:rsid w:val="006157D3"/>
    <w:rsid w:val="00616E05"/>
    <w:rsid w:val="00621BD0"/>
    <w:rsid w:val="0062229D"/>
    <w:rsid w:val="0062262E"/>
    <w:rsid w:val="0062268C"/>
    <w:rsid w:val="00622CCE"/>
    <w:rsid w:val="00624093"/>
    <w:rsid w:val="006257DA"/>
    <w:rsid w:val="00627926"/>
    <w:rsid w:val="00627DC4"/>
    <w:rsid w:val="006301B8"/>
    <w:rsid w:val="00630BF7"/>
    <w:rsid w:val="00631642"/>
    <w:rsid w:val="0063168C"/>
    <w:rsid w:val="00633FEB"/>
    <w:rsid w:val="006355CC"/>
    <w:rsid w:val="00635B3F"/>
    <w:rsid w:val="00637484"/>
    <w:rsid w:val="006404A7"/>
    <w:rsid w:val="00640CD1"/>
    <w:rsid w:val="00641A57"/>
    <w:rsid w:val="00641E00"/>
    <w:rsid w:val="00642E80"/>
    <w:rsid w:val="006437C1"/>
    <w:rsid w:val="00644488"/>
    <w:rsid w:val="00644534"/>
    <w:rsid w:val="006451E4"/>
    <w:rsid w:val="006452AE"/>
    <w:rsid w:val="00645B33"/>
    <w:rsid w:val="0065097C"/>
    <w:rsid w:val="00651553"/>
    <w:rsid w:val="006516CB"/>
    <w:rsid w:val="00655193"/>
    <w:rsid w:val="00655BD5"/>
    <w:rsid w:val="006574B7"/>
    <w:rsid w:val="00657E87"/>
    <w:rsid w:val="00660123"/>
    <w:rsid w:val="006601C5"/>
    <w:rsid w:val="0066149B"/>
    <w:rsid w:val="00661B65"/>
    <w:rsid w:val="00662E7C"/>
    <w:rsid w:val="00662FE6"/>
    <w:rsid w:val="00664803"/>
    <w:rsid w:val="00665A65"/>
    <w:rsid w:val="00665BA4"/>
    <w:rsid w:val="006661B0"/>
    <w:rsid w:val="00666A89"/>
    <w:rsid w:val="00667AF2"/>
    <w:rsid w:val="00667F20"/>
    <w:rsid w:val="006701EE"/>
    <w:rsid w:val="0067037C"/>
    <w:rsid w:val="006710C9"/>
    <w:rsid w:val="0067418E"/>
    <w:rsid w:val="006743FC"/>
    <w:rsid w:val="00674D89"/>
    <w:rsid w:val="00675E37"/>
    <w:rsid w:val="00676F1E"/>
    <w:rsid w:val="00677B7D"/>
    <w:rsid w:val="0068174E"/>
    <w:rsid w:val="00681DCE"/>
    <w:rsid w:val="0068260E"/>
    <w:rsid w:val="00685013"/>
    <w:rsid w:val="0068544B"/>
    <w:rsid w:val="00685594"/>
    <w:rsid w:val="00687770"/>
    <w:rsid w:val="00687950"/>
    <w:rsid w:val="006916AF"/>
    <w:rsid w:val="00691796"/>
    <w:rsid w:val="00692196"/>
    <w:rsid w:val="00695851"/>
    <w:rsid w:val="00695BEF"/>
    <w:rsid w:val="00695EF9"/>
    <w:rsid w:val="006970CA"/>
    <w:rsid w:val="006977F6"/>
    <w:rsid w:val="00697A13"/>
    <w:rsid w:val="00697D62"/>
    <w:rsid w:val="006A109C"/>
    <w:rsid w:val="006A184B"/>
    <w:rsid w:val="006A1AA1"/>
    <w:rsid w:val="006A1B07"/>
    <w:rsid w:val="006A1F35"/>
    <w:rsid w:val="006A3987"/>
    <w:rsid w:val="006B0111"/>
    <w:rsid w:val="006B0338"/>
    <w:rsid w:val="006B18F1"/>
    <w:rsid w:val="006B24F7"/>
    <w:rsid w:val="006B344A"/>
    <w:rsid w:val="006B3F46"/>
    <w:rsid w:val="006B4327"/>
    <w:rsid w:val="006B4468"/>
    <w:rsid w:val="006B78D8"/>
    <w:rsid w:val="006B78EE"/>
    <w:rsid w:val="006C113F"/>
    <w:rsid w:val="006C123E"/>
    <w:rsid w:val="006C15F7"/>
    <w:rsid w:val="006C1A0A"/>
    <w:rsid w:val="006C438F"/>
    <w:rsid w:val="006C52A1"/>
    <w:rsid w:val="006C56D4"/>
    <w:rsid w:val="006C605D"/>
    <w:rsid w:val="006C6924"/>
    <w:rsid w:val="006C6B94"/>
    <w:rsid w:val="006C7CA6"/>
    <w:rsid w:val="006D03D8"/>
    <w:rsid w:val="006D3527"/>
    <w:rsid w:val="006D36FB"/>
    <w:rsid w:val="006D389B"/>
    <w:rsid w:val="006D3E8A"/>
    <w:rsid w:val="006D4AB9"/>
    <w:rsid w:val="006D61F6"/>
    <w:rsid w:val="006E1860"/>
    <w:rsid w:val="006E279A"/>
    <w:rsid w:val="006E313B"/>
    <w:rsid w:val="006E3675"/>
    <w:rsid w:val="006E4470"/>
    <w:rsid w:val="006E49D7"/>
    <w:rsid w:val="006E6496"/>
    <w:rsid w:val="006E7B95"/>
    <w:rsid w:val="006E7F28"/>
    <w:rsid w:val="006F04E1"/>
    <w:rsid w:val="006F0A07"/>
    <w:rsid w:val="006F21AC"/>
    <w:rsid w:val="006F27A7"/>
    <w:rsid w:val="006F290A"/>
    <w:rsid w:val="006F4F97"/>
    <w:rsid w:val="006F5416"/>
    <w:rsid w:val="006F5655"/>
    <w:rsid w:val="006F61FF"/>
    <w:rsid w:val="006F7068"/>
    <w:rsid w:val="006F7137"/>
    <w:rsid w:val="00700B12"/>
    <w:rsid w:val="00701B58"/>
    <w:rsid w:val="00702DFC"/>
    <w:rsid w:val="00704BE9"/>
    <w:rsid w:val="007060E6"/>
    <w:rsid w:val="00706AD4"/>
    <w:rsid w:val="00710388"/>
    <w:rsid w:val="00710926"/>
    <w:rsid w:val="00712A15"/>
    <w:rsid w:val="007140BC"/>
    <w:rsid w:val="007140BE"/>
    <w:rsid w:val="00714A5B"/>
    <w:rsid w:val="00715DF2"/>
    <w:rsid w:val="00717416"/>
    <w:rsid w:val="00717B13"/>
    <w:rsid w:val="00720547"/>
    <w:rsid w:val="00721096"/>
    <w:rsid w:val="007211F5"/>
    <w:rsid w:val="00722C20"/>
    <w:rsid w:val="00724433"/>
    <w:rsid w:val="00724A1D"/>
    <w:rsid w:val="00724D2B"/>
    <w:rsid w:val="00725BB5"/>
    <w:rsid w:val="00727506"/>
    <w:rsid w:val="00730AE8"/>
    <w:rsid w:val="00730FC0"/>
    <w:rsid w:val="007315D5"/>
    <w:rsid w:val="00731955"/>
    <w:rsid w:val="00731FC9"/>
    <w:rsid w:val="00732F2A"/>
    <w:rsid w:val="00733A55"/>
    <w:rsid w:val="00734018"/>
    <w:rsid w:val="00735A37"/>
    <w:rsid w:val="00736537"/>
    <w:rsid w:val="0074069C"/>
    <w:rsid w:val="00741493"/>
    <w:rsid w:val="00742B33"/>
    <w:rsid w:val="007441F5"/>
    <w:rsid w:val="007445BF"/>
    <w:rsid w:val="00745E8A"/>
    <w:rsid w:val="007508FD"/>
    <w:rsid w:val="00752180"/>
    <w:rsid w:val="007544B5"/>
    <w:rsid w:val="00755202"/>
    <w:rsid w:val="007558F5"/>
    <w:rsid w:val="00755D3A"/>
    <w:rsid w:val="007565E1"/>
    <w:rsid w:val="007568DD"/>
    <w:rsid w:val="007578D3"/>
    <w:rsid w:val="0076054D"/>
    <w:rsid w:val="007609C6"/>
    <w:rsid w:val="00760B64"/>
    <w:rsid w:val="0076173C"/>
    <w:rsid w:val="0076175D"/>
    <w:rsid w:val="007647FA"/>
    <w:rsid w:val="00764989"/>
    <w:rsid w:val="00764EDB"/>
    <w:rsid w:val="0076521E"/>
    <w:rsid w:val="007661E9"/>
    <w:rsid w:val="00766569"/>
    <w:rsid w:val="00772F7E"/>
    <w:rsid w:val="0077355B"/>
    <w:rsid w:val="00773F41"/>
    <w:rsid w:val="0077609F"/>
    <w:rsid w:val="00776169"/>
    <w:rsid w:val="007761A6"/>
    <w:rsid w:val="00776527"/>
    <w:rsid w:val="00780C67"/>
    <w:rsid w:val="00780CDB"/>
    <w:rsid w:val="00780EF1"/>
    <w:rsid w:val="0078196B"/>
    <w:rsid w:val="00782A3A"/>
    <w:rsid w:val="00783112"/>
    <w:rsid w:val="00783E45"/>
    <w:rsid w:val="0078584A"/>
    <w:rsid w:val="00786257"/>
    <w:rsid w:val="0078678E"/>
    <w:rsid w:val="00786B8F"/>
    <w:rsid w:val="00790764"/>
    <w:rsid w:val="00793E89"/>
    <w:rsid w:val="0079453C"/>
    <w:rsid w:val="007945FC"/>
    <w:rsid w:val="00794677"/>
    <w:rsid w:val="0079652D"/>
    <w:rsid w:val="007965D2"/>
    <w:rsid w:val="00796E73"/>
    <w:rsid w:val="007A0E7D"/>
    <w:rsid w:val="007A19CD"/>
    <w:rsid w:val="007A266B"/>
    <w:rsid w:val="007A30B2"/>
    <w:rsid w:val="007A32F7"/>
    <w:rsid w:val="007A48F9"/>
    <w:rsid w:val="007A5A82"/>
    <w:rsid w:val="007A600D"/>
    <w:rsid w:val="007A7C65"/>
    <w:rsid w:val="007B17CC"/>
    <w:rsid w:val="007B2702"/>
    <w:rsid w:val="007B2D45"/>
    <w:rsid w:val="007B3C22"/>
    <w:rsid w:val="007B4579"/>
    <w:rsid w:val="007B573F"/>
    <w:rsid w:val="007B6689"/>
    <w:rsid w:val="007B7979"/>
    <w:rsid w:val="007C0204"/>
    <w:rsid w:val="007C1650"/>
    <w:rsid w:val="007C1E57"/>
    <w:rsid w:val="007C21CE"/>
    <w:rsid w:val="007C48B2"/>
    <w:rsid w:val="007C51D7"/>
    <w:rsid w:val="007C540D"/>
    <w:rsid w:val="007C5A37"/>
    <w:rsid w:val="007C66C6"/>
    <w:rsid w:val="007D1522"/>
    <w:rsid w:val="007D290E"/>
    <w:rsid w:val="007D2DE0"/>
    <w:rsid w:val="007D40DF"/>
    <w:rsid w:val="007D4160"/>
    <w:rsid w:val="007D54E1"/>
    <w:rsid w:val="007D5731"/>
    <w:rsid w:val="007E063A"/>
    <w:rsid w:val="007E0679"/>
    <w:rsid w:val="007E09FA"/>
    <w:rsid w:val="007E14DB"/>
    <w:rsid w:val="007E1BCE"/>
    <w:rsid w:val="007E21AC"/>
    <w:rsid w:val="007E34D5"/>
    <w:rsid w:val="007E3D00"/>
    <w:rsid w:val="007E3F3A"/>
    <w:rsid w:val="007E46E2"/>
    <w:rsid w:val="007E6165"/>
    <w:rsid w:val="007E6990"/>
    <w:rsid w:val="007E6BAD"/>
    <w:rsid w:val="007E7E61"/>
    <w:rsid w:val="007E7FDD"/>
    <w:rsid w:val="007F0845"/>
    <w:rsid w:val="007F1D5D"/>
    <w:rsid w:val="007F1EBD"/>
    <w:rsid w:val="007F39CF"/>
    <w:rsid w:val="007F6998"/>
    <w:rsid w:val="007F799E"/>
    <w:rsid w:val="008021F7"/>
    <w:rsid w:val="008057CB"/>
    <w:rsid w:val="00805BF2"/>
    <w:rsid w:val="00807123"/>
    <w:rsid w:val="00807C82"/>
    <w:rsid w:val="00807F51"/>
    <w:rsid w:val="0081010C"/>
    <w:rsid w:val="008112F3"/>
    <w:rsid w:val="00811819"/>
    <w:rsid w:val="00813687"/>
    <w:rsid w:val="00814C52"/>
    <w:rsid w:val="00816905"/>
    <w:rsid w:val="008176E8"/>
    <w:rsid w:val="008202D1"/>
    <w:rsid w:val="00821FF6"/>
    <w:rsid w:val="00822BA7"/>
    <w:rsid w:val="0082321A"/>
    <w:rsid w:val="00825C4D"/>
    <w:rsid w:val="008300B8"/>
    <w:rsid w:val="008301EE"/>
    <w:rsid w:val="008305CB"/>
    <w:rsid w:val="0083066F"/>
    <w:rsid w:val="008310A4"/>
    <w:rsid w:val="0083143E"/>
    <w:rsid w:val="00831CDE"/>
    <w:rsid w:val="00832655"/>
    <w:rsid w:val="008330E8"/>
    <w:rsid w:val="00834298"/>
    <w:rsid w:val="00834304"/>
    <w:rsid w:val="00834FAA"/>
    <w:rsid w:val="0083606E"/>
    <w:rsid w:val="00836086"/>
    <w:rsid w:val="00836A50"/>
    <w:rsid w:val="00836EE4"/>
    <w:rsid w:val="0083748E"/>
    <w:rsid w:val="00840858"/>
    <w:rsid w:val="0084299E"/>
    <w:rsid w:val="00844F6D"/>
    <w:rsid w:val="0084708F"/>
    <w:rsid w:val="00847661"/>
    <w:rsid w:val="008477C8"/>
    <w:rsid w:val="00847FF3"/>
    <w:rsid w:val="008507D8"/>
    <w:rsid w:val="0085091B"/>
    <w:rsid w:val="00850977"/>
    <w:rsid w:val="0085114D"/>
    <w:rsid w:val="00852115"/>
    <w:rsid w:val="00852217"/>
    <w:rsid w:val="0085318E"/>
    <w:rsid w:val="00853CAE"/>
    <w:rsid w:val="00854334"/>
    <w:rsid w:val="00855408"/>
    <w:rsid w:val="008557F6"/>
    <w:rsid w:val="00856213"/>
    <w:rsid w:val="008562DF"/>
    <w:rsid w:val="00856D65"/>
    <w:rsid w:val="0085764A"/>
    <w:rsid w:val="00861B41"/>
    <w:rsid w:val="00861C33"/>
    <w:rsid w:val="008629F8"/>
    <w:rsid w:val="00863434"/>
    <w:rsid w:val="00864F31"/>
    <w:rsid w:val="00865807"/>
    <w:rsid w:val="00865E4C"/>
    <w:rsid w:val="0086633B"/>
    <w:rsid w:val="00866779"/>
    <w:rsid w:val="00866F6A"/>
    <w:rsid w:val="0086773F"/>
    <w:rsid w:val="008701E4"/>
    <w:rsid w:val="00870D8A"/>
    <w:rsid w:val="00872FA0"/>
    <w:rsid w:val="00875A32"/>
    <w:rsid w:val="00876086"/>
    <w:rsid w:val="008777C8"/>
    <w:rsid w:val="008803BD"/>
    <w:rsid w:val="00880500"/>
    <w:rsid w:val="00882C6E"/>
    <w:rsid w:val="00883D46"/>
    <w:rsid w:val="008849C2"/>
    <w:rsid w:val="0088572C"/>
    <w:rsid w:val="008868E6"/>
    <w:rsid w:val="008873D4"/>
    <w:rsid w:val="00887509"/>
    <w:rsid w:val="00891046"/>
    <w:rsid w:val="0089159B"/>
    <w:rsid w:val="00891FEA"/>
    <w:rsid w:val="00892950"/>
    <w:rsid w:val="00893D9C"/>
    <w:rsid w:val="00893E85"/>
    <w:rsid w:val="00894031"/>
    <w:rsid w:val="0089447D"/>
    <w:rsid w:val="008947FE"/>
    <w:rsid w:val="0089601F"/>
    <w:rsid w:val="008961BE"/>
    <w:rsid w:val="0089762D"/>
    <w:rsid w:val="008A1753"/>
    <w:rsid w:val="008A1E01"/>
    <w:rsid w:val="008A1E63"/>
    <w:rsid w:val="008A324F"/>
    <w:rsid w:val="008B1014"/>
    <w:rsid w:val="008B111A"/>
    <w:rsid w:val="008B31A0"/>
    <w:rsid w:val="008B3DA5"/>
    <w:rsid w:val="008B4FEF"/>
    <w:rsid w:val="008B7776"/>
    <w:rsid w:val="008B7C02"/>
    <w:rsid w:val="008B7D2B"/>
    <w:rsid w:val="008C0049"/>
    <w:rsid w:val="008C0A80"/>
    <w:rsid w:val="008C0B00"/>
    <w:rsid w:val="008C0E38"/>
    <w:rsid w:val="008C0E88"/>
    <w:rsid w:val="008C2DFB"/>
    <w:rsid w:val="008C5C6B"/>
    <w:rsid w:val="008C6565"/>
    <w:rsid w:val="008C667A"/>
    <w:rsid w:val="008C73B1"/>
    <w:rsid w:val="008D1E6A"/>
    <w:rsid w:val="008D25F1"/>
    <w:rsid w:val="008D267F"/>
    <w:rsid w:val="008D27B0"/>
    <w:rsid w:val="008D2A16"/>
    <w:rsid w:val="008D3268"/>
    <w:rsid w:val="008D3293"/>
    <w:rsid w:val="008D40B9"/>
    <w:rsid w:val="008D40FC"/>
    <w:rsid w:val="008D451C"/>
    <w:rsid w:val="008D4AB7"/>
    <w:rsid w:val="008D52F8"/>
    <w:rsid w:val="008D5B84"/>
    <w:rsid w:val="008D7208"/>
    <w:rsid w:val="008E048A"/>
    <w:rsid w:val="008E1BD2"/>
    <w:rsid w:val="008E1DD6"/>
    <w:rsid w:val="008E2B76"/>
    <w:rsid w:val="008E2C57"/>
    <w:rsid w:val="008E31FF"/>
    <w:rsid w:val="008E657B"/>
    <w:rsid w:val="008E664F"/>
    <w:rsid w:val="008E687A"/>
    <w:rsid w:val="008E6F06"/>
    <w:rsid w:val="008E74A6"/>
    <w:rsid w:val="008F029B"/>
    <w:rsid w:val="008F1070"/>
    <w:rsid w:val="008F165D"/>
    <w:rsid w:val="008F1850"/>
    <w:rsid w:val="008F26A0"/>
    <w:rsid w:val="008F3FC9"/>
    <w:rsid w:val="008F46F1"/>
    <w:rsid w:val="008F585B"/>
    <w:rsid w:val="008F5D0E"/>
    <w:rsid w:val="008F7E19"/>
    <w:rsid w:val="009003A8"/>
    <w:rsid w:val="00902500"/>
    <w:rsid w:val="00902BE2"/>
    <w:rsid w:val="00902CC1"/>
    <w:rsid w:val="00902EFF"/>
    <w:rsid w:val="009033BC"/>
    <w:rsid w:val="0090394F"/>
    <w:rsid w:val="00904E83"/>
    <w:rsid w:val="00906401"/>
    <w:rsid w:val="009064D8"/>
    <w:rsid w:val="0091006C"/>
    <w:rsid w:val="0091019B"/>
    <w:rsid w:val="0091155E"/>
    <w:rsid w:val="009123DA"/>
    <w:rsid w:val="009124AB"/>
    <w:rsid w:val="00912A92"/>
    <w:rsid w:val="0091377A"/>
    <w:rsid w:val="009141DD"/>
    <w:rsid w:val="009159A2"/>
    <w:rsid w:val="00915A24"/>
    <w:rsid w:val="00915A26"/>
    <w:rsid w:val="00915BA2"/>
    <w:rsid w:val="009160BD"/>
    <w:rsid w:val="0091689F"/>
    <w:rsid w:val="00916B54"/>
    <w:rsid w:val="0091728D"/>
    <w:rsid w:val="00920A7F"/>
    <w:rsid w:val="00921332"/>
    <w:rsid w:val="0092180B"/>
    <w:rsid w:val="00921F14"/>
    <w:rsid w:val="00924266"/>
    <w:rsid w:val="00924AC8"/>
    <w:rsid w:val="00925344"/>
    <w:rsid w:val="0092597A"/>
    <w:rsid w:val="00926386"/>
    <w:rsid w:val="00926E5D"/>
    <w:rsid w:val="00927F23"/>
    <w:rsid w:val="009301D7"/>
    <w:rsid w:val="00932443"/>
    <w:rsid w:val="00932746"/>
    <w:rsid w:val="009328DB"/>
    <w:rsid w:val="00933B68"/>
    <w:rsid w:val="00933C5B"/>
    <w:rsid w:val="009340AD"/>
    <w:rsid w:val="0093420B"/>
    <w:rsid w:val="009354B5"/>
    <w:rsid w:val="00937AE2"/>
    <w:rsid w:val="00937F97"/>
    <w:rsid w:val="00942578"/>
    <w:rsid w:val="00942832"/>
    <w:rsid w:val="00942D80"/>
    <w:rsid w:val="0094357D"/>
    <w:rsid w:val="009439D1"/>
    <w:rsid w:val="009440E0"/>
    <w:rsid w:val="0094427A"/>
    <w:rsid w:val="00944344"/>
    <w:rsid w:val="00945187"/>
    <w:rsid w:val="00950169"/>
    <w:rsid w:val="00951456"/>
    <w:rsid w:val="00953759"/>
    <w:rsid w:val="00954EB4"/>
    <w:rsid w:val="009557DA"/>
    <w:rsid w:val="00956122"/>
    <w:rsid w:val="00956159"/>
    <w:rsid w:val="00956D26"/>
    <w:rsid w:val="0096136C"/>
    <w:rsid w:val="00962306"/>
    <w:rsid w:val="0096445E"/>
    <w:rsid w:val="009674BF"/>
    <w:rsid w:val="00972D12"/>
    <w:rsid w:val="00972F12"/>
    <w:rsid w:val="00973496"/>
    <w:rsid w:val="009738D3"/>
    <w:rsid w:val="0097481B"/>
    <w:rsid w:val="00974923"/>
    <w:rsid w:val="0097701C"/>
    <w:rsid w:val="00977F2A"/>
    <w:rsid w:val="00980D3D"/>
    <w:rsid w:val="0098101A"/>
    <w:rsid w:val="0098169D"/>
    <w:rsid w:val="0098336C"/>
    <w:rsid w:val="00984415"/>
    <w:rsid w:val="00985C98"/>
    <w:rsid w:val="00985FE8"/>
    <w:rsid w:val="009870BD"/>
    <w:rsid w:val="00987526"/>
    <w:rsid w:val="00987A30"/>
    <w:rsid w:val="00991128"/>
    <w:rsid w:val="00992BE9"/>
    <w:rsid w:val="00992CF3"/>
    <w:rsid w:val="00992D07"/>
    <w:rsid w:val="009968D6"/>
    <w:rsid w:val="009A187B"/>
    <w:rsid w:val="009A1CAB"/>
    <w:rsid w:val="009A2ADD"/>
    <w:rsid w:val="009A3455"/>
    <w:rsid w:val="009A3A03"/>
    <w:rsid w:val="009A55F5"/>
    <w:rsid w:val="009A60D1"/>
    <w:rsid w:val="009A6833"/>
    <w:rsid w:val="009A7F9C"/>
    <w:rsid w:val="009B0236"/>
    <w:rsid w:val="009B1329"/>
    <w:rsid w:val="009B13DF"/>
    <w:rsid w:val="009B156D"/>
    <w:rsid w:val="009B2883"/>
    <w:rsid w:val="009B2BB2"/>
    <w:rsid w:val="009B5FF0"/>
    <w:rsid w:val="009B6961"/>
    <w:rsid w:val="009B6FD3"/>
    <w:rsid w:val="009C1750"/>
    <w:rsid w:val="009C2E29"/>
    <w:rsid w:val="009C3A9A"/>
    <w:rsid w:val="009C554B"/>
    <w:rsid w:val="009C5D8C"/>
    <w:rsid w:val="009C6BC5"/>
    <w:rsid w:val="009C719E"/>
    <w:rsid w:val="009D0D51"/>
    <w:rsid w:val="009D1069"/>
    <w:rsid w:val="009D1642"/>
    <w:rsid w:val="009D39DC"/>
    <w:rsid w:val="009D3ACD"/>
    <w:rsid w:val="009D44C6"/>
    <w:rsid w:val="009D6320"/>
    <w:rsid w:val="009D6623"/>
    <w:rsid w:val="009E046D"/>
    <w:rsid w:val="009E14BE"/>
    <w:rsid w:val="009E22F5"/>
    <w:rsid w:val="009E2434"/>
    <w:rsid w:val="009E4456"/>
    <w:rsid w:val="009E468E"/>
    <w:rsid w:val="009E4D91"/>
    <w:rsid w:val="009E5273"/>
    <w:rsid w:val="009E5330"/>
    <w:rsid w:val="009E5DDB"/>
    <w:rsid w:val="009F0FB7"/>
    <w:rsid w:val="009F1425"/>
    <w:rsid w:val="009F22E0"/>
    <w:rsid w:val="009F436B"/>
    <w:rsid w:val="009F4CA7"/>
    <w:rsid w:val="009F55A2"/>
    <w:rsid w:val="009F57D7"/>
    <w:rsid w:val="00A00C73"/>
    <w:rsid w:val="00A00D45"/>
    <w:rsid w:val="00A02A9E"/>
    <w:rsid w:val="00A0398B"/>
    <w:rsid w:val="00A03E8E"/>
    <w:rsid w:val="00A0534B"/>
    <w:rsid w:val="00A05546"/>
    <w:rsid w:val="00A062F4"/>
    <w:rsid w:val="00A07544"/>
    <w:rsid w:val="00A10D66"/>
    <w:rsid w:val="00A11191"/>
    <w:rsid w:val="00A117BA"/>
    <w:rsid w:val="00A136D6"/>
    <w:rsid w:val="00A13B06"/>
    <w:rsid w:val="00A13E30"/>
    <w:rsid w:val="00A14114"/>
    <w:rsid w:val="00A14163"/>
    <w:rsid w:val="00A15600"/>
    <w:rsid w:val="00A16413"/>
    <w:rsid w:val="00A2028E"/>
    <w:rsid w:val="00A2036D"/>
    <w:rsid w:val="00A209E5"/>
    <w:rsid w:val="00A20AA1"/>
    <w:rsid w:val="00A21FDD"/>
    <w:rsid w:val="00A22C2E"/>
    <w:rsid w:val="00A239B9"/>
    <w:rsid w:val="00A23E43"/>
    <w:rsid w:val="00A24164"/>
    <w:rsid w:val="00A247BC"/>
    <w:rsid w:val="00A25054"/>
    <w:rsid w:val="00A26069"/>
    <w:rsid w:val="00A2673E"/>
    <w:rsid w:val="00A26EB2"/>
    <w:rsid w:val="00A26F00"/>
    <w:rsid w:val="00A279C8"/>
    <w:rsid w:val="00A30773"/>
    <w:rsid w:val="00A30F65"/>
    <w:rsid w:val="00A317E0"/>
    <w:rsid w:val="00A31E19"/>
    <w:rsid w:val="00A322CE"/>
    <w:rsid w:val="00A32678"/>
    <w:rsid w:val="00A32AC3"/>
    <w:rsid w:val="00A332FB"/>
    <w:rsid w:val="00A333B8"/>
    <w:rsid w:val="00A33D88"/>
    <w:rsid w:val="00A34C92"/>
    <w:rsid w:val="00A34D72"/>
    <w:rsid w:val="00A35FA0"/>
    <w:rsid w:val="00A3716F"/>
    <w:rsid w:val="00A37C85"/>
    <w:rsid w:val="00A418BC"/>
    <w:rsid w:val="00A421A3"/>
    <w:rsid w:val="00A45784"/>
    <w:rsid w:val="00A46DE0"/>
    <w:rsid w:val="00A50D73"/>
    <w:rsid w:val="00A50DA1"/>
    <w:rsid w:val="00A5168E"/>
    <w:rsid w:val="00A51FE6"/>
    <w:rsid w:val="00A52BBE"/>
    <w:rsid w:val="00A52CAD"/>
    <w:rsid w:val="00A53336"/>
    <w:rsid w:val="00A53E07"/>
    <w:rsid w:val="00A53FC7"/>
    <w:rsid w:val="00A54C8E"/>
    <w:rsid w:val="00A557D4"/>
    <w:rsid w:val="00A567C7"/>
    <w:rsid w:val="00A623F0"/>
    <w:rsid w:val="00A62CE1"/>
    <w:rsid w:val="00A63EEE"/>
    <w:rsid w:val="00A64C37"/>
    <w:rsid w:val="00A6579E"/>
    <w:rsid w:val="00A6741E"/>
    <w:rsid w:val="00A67D11"/>
    <w:rsid w:val="00A70CE0"/>
    <w:rsid w:val="00A71891"/>
    <w:rsid w:val="00A735F6"/>
    <w:rsid w:val="00A73B75"/>
    <w:rsid w:val="00A743C7"/>
    <w:rsid w:val="00A75E40"/>
    <w:rsid w:val="00A77D1D"/>
    <w:rsid w:val="00A829BF"/>
    <w:rsid w:val="00A82D93"/>
    <w:rsid w:val="00A857C0"/>
    <w:rsid w:val="00A85F44"/>
    <w:rsid w:val="00A86013"/>
    <w:rsid w:val="00A868DC"/>
    <w:rsid w:val="00A8730D"/>
    <w:rsid w:val="00A87EC2"/>
    <w:rsid w:val="00A92BED"/>
    <w:rsid w:val="00A93A05"/>
    <w:rsid w:val="00A94F86"/>
    <w:rsid w:val="00A95DFC"/>
    <w:rsid w:val="00A96047"/>
    <w:rsid w:val="00A96828"/>
    <w:rsid w:val="00AA1C10"/>
    <w:rsid w:val="00AA2996"/>
    <w:rsid w:val="00AA2EA0"/>
    <w:rsid w:val="00AA3579"/>
    <w:rsid w:val="00AA3EC3"/>
    <w:rsid w:val="00AA4AFF"/>
    <w:rsid w:val="00AA52BF"/>
    <w:rsid w:val="00AA559A"/>
    <w:rsid w:val="00AA58EB"/>
    <w:rsid w:val="00AA5E0B"/>
    <w:rsid w:val="00AA5FC4"/>
    <w:rsid w:val="00AA7252"/>
    <w:rsid w:val="00AA7C9D"/>
    <w:rsid w:val="00AB26F9"/>
    <w:rsid w:val="00AB2800"/>
    <w:rsid w:val="00AB2A28"/>
    <w:rsid w:val="00AB2AF1"/>
    <w:rsid w:val="00AB3FBB"/>
    <w:rsid w:val="00AB570B"/>
    <w:rsid w:val="00AB5EF4"/>
    <w:rsid w:val="00AB63F2"/>
    <w:rsid w:val="00AB6CE1"/>
    <w:rsid w:val="00AB7239"/>
    <w:rsid w:val="00AC0812"/>
    <w:rsid w:val="00AC09DD"/>
    <w:rsid w:val="00AC1857"/>
    <w:rsid w:val="00AC5C2A"/>
    <w:rsid w:val="00AC74F3"/>
    <w:rsid w:val="00AD306C"/>
    <w:rsid w:val="00AD32E7"/>
    <w:rsid w:val="00AD3B2C"/>
    <w:rsid w:val="00AD3FEE"/>
    <w:rsid w:val="00AD43E3"/>
    <w:rsid w:val="00AD5262"/>
    <w:rsid w:val="00AD5376"/>
    <w:rsid w:val="00AD6583"/>
    <w:rsid w:val="00AD74B8"/>
    <w:rsid w:val="00AD787C"/>
    <w:rsid w:val="00AE09B3"/>
    <w:rsid w:val="00AE0DBE"/>
    <w:rsid w:val="00AE1A83"/>
    <w:rsid w:val="00AE1E1F"/>
    <w:rsid w:val="00AE2563"/>
    <w:rsid w:val="00AE3ACD"/>
    <w:rsid w:val="00AE5059"/>
    <w:rsid w:val="00AE6162"/>
    <w:rsid w:val="00AE6232"/>
    <w:rsid w:val="00AF0E9A"/>
    <w:rsid w:val="00AF2E89"/>
    <w:rsid w:val="00AF3D61"/>
    <w:rsid w:val="00AF3FDC"/>
    <w:rsid w:val="00AF4854"/>
    <w:rsid w:val="00AF6409"/>
    <w:rsid w:val="00AF7A82"/>
    <w:rsid w:val="00B00135"/>
    <w:rsid w:val="00B00913"/>
    <w:rsid w:val="00B00F39"/>
    <w:rsid w:val="00B01593"/>
    <w:rsid w:val="00B052F7"/>
    <w:rsid w:val="00B0599A"/>
    <w:rsid w:val="00B07D89"/>
    <w:rsid w:val="00B100E6"/>
    <w:rsid w:val="00B10A4D"/>
    <w:rsid w:val="00B10DD3"/>
    <w:rsid w:val="00B1157F"/>
    <w:rsid w:val="00B11FC0"/>
    <w:rsid w:val="00B1279D"/>
    <w:rsid w:val="00B13C76"/>
    <w:rsid w:val="00B17D34"/>
    <w:rsid w:val="00B17E71"/>
    <w:rsid w:val="00B17FDE"/>
    <w:rsid w:val="00B21FF6"/>
    <w:rsid w:val="00B2281D"/>
    <w:rsid w:val="00B22A87"/>
    <w:rsid w:val="00B2326D"/>
    <w:rsid w:val="00B2379C"/>
    <w:rsid w:val="00B240C9"/>
    <w:rsid w:val="00B2687D"/>
    <w:rsid w:val="00B30390"/>
    <w:rsid w:val="00B30400"/>
    <w:rsid w:val="00B30F55"/>
    <w:rsid w:val="00B3235F"/>
    <w:rsid w:val="00B3240A"/>
    <w:rsid w:val="00B3274A"/>
    <w:rsid w:val="00B32CA3"/>
    <w:rsid w:val="00B32DDB"/>
    <w:rsid w:val="00B334D9"/>
    <w:rsid w:val="00B34528"/>
    <w:rsid w:val="00B353F9"/>
    <w:rsid w:val="00B40073"/>
    <w:rsid w:val="00B40241"/>
    <w:rsid w:val="00B402FC"/>
    <w:rsid w:val="00B408F0"/>
    <w:rsid w:val="00B40EA9"/>
    <w:rsid w:val="00B44012"/>
    <w:rsid w:val="00B44599"/>
    <w:rsid w:val="00B445C5"/>
    <w:rsid w:val="00B45399"/>
    <w:rsid w:val="00B45ED5"/>
    <w:rsid w:val="00B46604"/>
    <w:rsid w:val="00B466E5"/>
    <w:rsid w:val="00B467EC"/>
    <w:rsid w:val="00B46E78"/>
    <w:rsid w:val="00B47683"/>
    <w:rsid w:val="00B47694"/>
    <w:rsid w:val="00B47D35"/>
    <w:rsid w:val="00B50BF2"/>
    <w:rsid w:val="00B520C9"/>
    <w:rsid w:val="00B530CD"/>
    <w:rsid w:val="00B5452C"/>
    <w:rsid w:val="00B54761"/>
    <w:rsid w:val="00B554C7"/>
    <w:rsid w:val="00B55638"/>
    <w:rsid w:val="00B55F4A"/>
    <w:rsid w:val="00B55F5E"/>
    <w:rsid w:val="00B5752E"/>
    <w:rsid w:val="00B57734"/>
    <w:rsid w:val="00B57A37"/>
    <w:rsid w:val="00B57DBA"/>
    <w:rsid w:val="00B57FA0"/>
    <w:rsid w:val="00B630A8"/>
    <w:rsid w:val="00B63A11"/>
    <w:rsid w:val="00B63E16"/>
    <w:rsid w:val="00B64C24"/>
    <w:rsid w:val="00B6608F"/>
    <w:rsid w:val="00B679FB"/>
    <w:rsid w:val="00B67E5F"/>
    <w:rsid w:val="00B71AD2"/>
    <w:rsid w:val="00B72CBF"/>
    <w:rsid w:val="00B732D9"/>
    <w:rsid w:val="00B73B84"/>
    <w:rsid w:val="00B73F80"/>
    <w:rsid w:val="00B74FBC"/>
    <w:rsid w:val="00B7550F"/>
    <w:rsid w:val="00B757BC"/>
    <w:rsid w:val="00B7631B"/>
    <w:rsid w:val="00B76D1E"/>
    <w:rsid w:val="00B80EC6"/>
    <w:rsid w:val="00B817E5"/>
    <w:rsid w:val="00B81CC4"/>
    <w:rsid w:val="00B8355D"/>
    <w:rsid w:val="00B83E6D"/>
    <w:rsid w:val="00B84FF9"/>
    <w:rsid w:val="00B86A37"/>
    <w:rsid w:val="00B86D45"/>
    <w:rsid w:val="00B9253D"/>
    <w:rsid w:val="00B92D1D"/>
    <w:rsid w:val="00B938C5"/>
    <w:rsid w:val="00B95940"/>
    <w:rsid w:val="00B96AE1"/>
    <w:rsid w:val="00B97385"/>
    <w:rsid w:val="00BA1760"/>
    <w:rsid w:val="00BA2808"/>
    <w:rsid w:val="00BA3AFA"/>
    <w:rsid w:val="00BA3CED"/>
    <w:rsid w:val="00BA5248"/>
    <w:rsid w:val="00BA52AC"/>
    <w:rsid w:val="00BA5ABB"/>
    <w:rsid w:val="00BA67A0"/>
    <w:rsid w:val="00BB2C19"/>
    <w:rsid w:val="00BB46F3"/>
    <w:rsid w:val="00BB4CB1"/>
    <w:rsid w:val="00BB4F98"/>
    <w:rsid w:val="00BB5DB3"/>
    <w:rsid w:val="00BB70FA"/>
    <w:rsid w:val="00BC21EC"/>
    <w:rsid w:val="00BC2D19"/>
    <w:rsid w:val="00BC2E08"/>
    <w:rsid w:val="00BC2EE6"/>
    <w:rsid w:val="00BC3D45"/>
    <w:rsid w:val="00BC4956"/>
    <w:rsid w:val="00BC7154"/>
    <w:rsid w:val="00BD0745"/>
    <w:rsid w:val="00BD15F7"/>
    <w:rsid w:val="00BD30CC"/>
    <w:rsid w:val="00BD35B7"/>
    <w:rsid w:val="00BD366B"/>
    <w:rsid w:val="00BD49E8"/>
    <w:rsid w:val="00BD5AA2"/>
    <w:rsid w:val="00BD602C"/>
    <w:rsid w:val="00BD64F6"/>
    <w:rsid w:val="00BD664B"/>
    <w:rsid w:val="00BD6D50"/>
    <w:rsid w:val="00BE18B9"/>
    <w:rsid w:val="00BE2495"/>
    <w:rsid w:val="00BE2E55"/>
    <w:rsid w:val="00BE52D6"/>
    <w:rsid w:val="00BE61AB"/>
    <w:rsid w:val="00BE7F0A"/>
    <w:rsid w:val="00BF0D77"/>
    <w:rsid w:val="00BF1410"/>
    <w:rsid w:val="00BF1578"/>
    <w:rsid w:val="00BF576A"/>
    <w:rsid w:val="00BF62BF"/>
    <w:rsid w:val="00BF7EA5"/>
    <w:rsid w:val="00C02411"/>
    <w:rsid w:val="00C02C16"/>
    <w:rsid w:val="00C02D54"/>
    <w:rsid w:val="00C03339"/>
    <w:rsid w:val="00C03857"/>
    <w:rsid w:val="00C048C9"/>
    <w:rsid w:val="00C05003"/>
    <w:rsid w:val="00C065FE"/>
    <w:rsid w:val="00C07704"/>
    <w:rsid w:val="00C07A76"/>
    <w:rsid w:val="00C11750"/>
    <w:rsid w:val="00C11B22"/>
    <w:rsid w:val="00C11C0A"/>
    <w:rsid w:val="00C132AF"/>
    <w:rsid w:val="00C1393C"/>
    <w:rsid w:val="00C16508"/>
    <w:rsid w:val="00C20048"/>
    <w:rsid w:val="00C21F94"/>
    <w:rsid w:val="00C24890"/>
    <w:rsid w:val="00C25900"/>
    <w:rsid w:val="00C25AC8"/>
    <w:rsid w:val="00C26854"/>
    <w:rsid w:val="00C26C4E"/>
    <w:rsid w:val="00C2757F"/>
    <w:rsid w:val="00C27913"/>
    <w:rsid w:val="00C27980"/>
    <w:rsid w:val="00C27A21"/>
    <w:rsid w:val="00C27ECC"/>
    <w:rsid w:val="00C31081"/>
    <w:rsid w:val="00C314A0"/>
    <w:rsid w:val="00C31DB6"/>
    <w:rsid w:val="00C3345B"/>
    <w:rsid w:val="00C33B68"/>
    <w:rsid w:val="00C348D6"/>
    <w:rsid w:val="00C35505"/>
    <w:rsid w:val="00C35701"/>
    <w:rsid w:val="00C36A31"/>
    <w:rsid w:val="00C36A79"/>
    <w:rsid w:val="00C372E9"/>
    <w:rsid w:val="00C37668"/>
    <w:rsid w:val="00C3789E"/>
    <w:rsid w:val="00C37FBC"/>
    <w:rsid w:val="00C405D4"/>
    <w:rsid w:val="00C41518"/>
    <w:rsid w:val="00C42146"/>
    <w:rsid w:val="00C43E7A"/>
    <w:rsid w:val="00C447C1"/>
    <w:rsid w:val="00C4513B"/>
    <w:rsid w:val="00C454F9"/>
    <w:rsid w:val="00C45D78"/>
    <w:rsid w:val="00C46A1C"/>
    <w:rsid w:val="00C47E8D"/>
    <w:rsid w:val="00C52B60"/>
    <w:rsid w:val="00C52DD1"/>
    <w:rsid w:val="00C53647"/>
    <w:rsid w:val="00C53D42"/>
    <w:rsid w:val="00C54697"/>
    <w:rsid w:val="00C54F66"/>
    <w:rsid w:val="00C55D3F"/>
    <w:rsid w:val="00C579C4"/>
    <w:rsid w:val="00C60EAA"/>
    <w:rsid w:val="00C61315"/>
    <w:rsid w:val="00C613C3"/>
    <w:rsid w:val="00C62BD6"/>
    <w:rsid w:val="00C63197"/>
    <w:rsid w:val="00C634E0"/>
    <w:rsid w:val="00C6382E"/>
    <w:rsid w:val="00C63A93"/>
    <w:rsid w:val="00C63D29"/>
    <w:rsid w:val="00C642C9"/>
    <w:rsid w:val="00C65507"/>
    <w:rsid w:val="00C6673D"/>
    <w:rsid w:val="00C700FC"/>
    <w:rsid w:val="00C730A3"/>
    <w:rsid w:val="00C73885"/>
    <w:rsid w:val="00C747B1"/>
    <w:rsid w:val="00C82191"/>
    <w:rsid w:val="00C84E58"/>
    <w:rsid w:val="00C86A96"/>
    <w:rsid w:val="00C878E6"/>
    <w:rsid w:val="00C904CE"/>
    <w:rsid w:val="00C90CF4"/>
    <w:rsid w:val="00C91D7E"/>
    <w:rsid w:val="00C92EB6"/>
    <w:rsid w:val="00C93194"/>
    <w:rsid w:val="00C93389"/>
    <w:rsid w:val="00C93504"/>
    <w:rsid w:val="00C9485A"/>
    <w:rsid w:val="00C952AE"/>
    <w:rsid w:val="00C95C73"/>
    <w:rsid w:val="00C96D3F"/>
    <w:rsid w:val="00CA04F2"/>
    <w:rsid w:val="00CA17EB"/>
    <w:rsid w:val="00CA25B2"/>
    <w:rsid w:val="00CA271C"/>
    <w:rsid w:val="00CA2EB1"/>
    <w:rsid w:val="00CA48A2"/>
    <w:rsid w:val="00CA50DA"/>
    <w:rsid w:val="00CA57C9"/>
    <w:rsid w:val="00CA60C2"/>
    <w:rsid w:val="00CA6CC8"/>
    <w:rsid w:val="00CA774F"/>
    <w:rsid w:val="00CA79AC"/>
    <w:rsid w:val="00CB0A23"/>
    <w:rsid w:val="00CB0B1F"/>
    <w:rsid w:val="00CB4930"/>
    <w:rsid w:val="00CB59BB"/>
    <w:rsid w:val="00CB5CFB"/>
    <w:rsid w:val="00CB71CA"/>
    <w:rsid w:val="00CB73DA"/>
    <w:rsid w:val="00CC07C7"/>
    <w:rsid w:val="00CC088A"/>
    <w:rsid w:val="00CC28E0"/>
    <w:rsid w:val="00CC2E7D"/>
    <w:rsid w:val="00CC4392"/>
    <w:rsid w:val="00CC457C"/>
    <w:rsid w:val="00CC5C8B"/>
    <w:rsid w:val="00CC659A"/>
    <w:rsid w:val="00CC6E4B"/>
    <w:rsid w:val="00CC7F6A"/>
    <w:rsid w:val="00CD10A5"/>
    <w:rsid w:val="00CD2076"/>
    <w:rsid w:val="00CD2783"/>
    <w:rsid w:val="00CD2CF0"/>
    <w:rsid w:val="00CD2DB7"/>
    <w:rsid w:val="00CD3C81"/>
    <w:rsid w:val="00CD3EEE"/>
    <w:rsid w:val="00CD4300"/>
    <w:rsid w:val="00CD5722"/>
    <w:rsid w:val="00CD573A"/>
    <w:rsid w:val="00CD66CE"/>
    <w:rsid w:val="00CD7F0B"/>
    <w:rsid w:val="00CE53B8"/>
    <w:rsid w:val="00CE5647"/>
    <w:rsid w:val="00CE670B"/>
    <w:rsid w:val="00CE702A"/>
    <w:rsid w:val="00CF2CEE"/>
    <w:rsid w:val="00CF40B5"/>
    <w:rsid w:val="00CF51EC"/>
    <w:rsid w:val="00CF73AE"/>
    <w:rsid w:val="00CF75B1"/>
    <w:rsid w:val="00CF797C"/>
    <w:rsid w:val="00D0041C"/>
    <w:rsid w:val="00D02FB3"/>
    <w:rsid w:val="00D040DD"/>
    <w:rsid w:val="00D04EC2"/>
    <w:rsid w:val="00D0614E"/>
    <w:rsid w:val="00D06983"/>
    <w:rsid w:val="00D06F01"/>
    <w:rsid w:val="00D11B8B"/>
    <w:rsid w:val="00D13986"/>
    <w:rsid w:val="00D15AAE"/>
    <w:rsid w:val="00D17A90"/>
    <w:rsid w:val="00D20CD3"/>
    <w:rsid w:val="00D2121A"/>
    <w:rsid w:val="00D21E88"/>
    <w:rsid w:val="00D235B7"/>
    <w:rsid w:val="00D2462F"/>
    <w:rsid w:val="00D24A11"/>
    <w:rsid w:val="00D251E2"/>
    <w:rsid w:val="00D25F28"/>
    <w:rsid w:val="00D27973"/>
    <w:rsid w:val="00D27E2C"/>
    <w:rsid w:val="00D303A2"/>
    <w:rsid w:val="00D30E0E"/>
    <w:rsid w:val="00D326DC"/>
    <w:rsid w:val="00D338CD"/>
    <w:rsid w:val="00D348CD"/>
    <w:rsid w:val="00D371DA"/>
    <w:rsid w:val="00D3720A"/>
    <w:rsid w:val="00D378EB"/>
    <w:rsid w:val="00D420A5"/>
    <w:rsid w:val="00D4237F"/>
    <w:rsid w:val="00D4240E"/>
    <w:rsid w:val="00D43819"/>
    <w:rsid w:val="00D44D76"/>
    <w:rsid w:val="00D44D86"/>
    <w:rsid w:val="00D46337"/>
    <w:rsid w:val="00D47982"/>
    <w:rsid w:val="00D50F46"/>
    <w:rsid w:val="00D52642"/>
    <w:rsid w:val="00D53D17"/>
    <w:rsid w:val="00D567E1"/>
    <w:rsid w:val="00D606E9"/>
    <w:rsid w:val="00D60C8B"/>
    <w:rsid w:val="00D62C76"/>
    <w:rsid w:val="00D6448B"/>
    <w:rsid w:val="00D64773"/>
    <w:rsid w:val="00D647AC"/>
    <w:rsid w:val="00D650FC"/>
    <w:rsid w:val="00D65482"/>
    <w:rsid w:val="00D6573C"/>
    <w:rsid w:val="00D65865"/>
    <w:rsid w:val="00D66223"/>
    <w:rsid w:val="00D664F9"/>
    <w:rsid w:val="00D7051B"/>
    <w:rsid w:val="00D708DB"/>
    <w:rsid w:val="00D72304"/>
    <w:rsid w:val="00D74C16"/>
    <w:rsid w:val="00D76139"/>
    <w:rsid w:val="00D770CA"/>
    <w:rsid w:val="00D8084C"/>
    <w:rsid w:val="00D80917"/>
    <w:rsid w:val="00D82646"/>
    <w:rsid w:val="00D82821"/>
    <w:rsid w:val="00D833BA"/>
    <w:rsid w:val="00D84C36"/>
    <w:rsid w:val="00D86F84"/>
    <w:rsid w:val="00D8720A"/>
    <w:rsid w:val="00D92443"/>
    <w:rsid w:val="00D951D5"/>
    <w:rsid w:val="00D95AD4"/>
    <w:rsid w:val="00D963CC"/>
    <w:rsid w:val="00D97380"/>
    <w:rsid w:val="00D9745B"/>
    <w:rsid w:val="00D97D02"/>
    <w:rsid w:val="00D97F77"/>
    <w:rsid w:val="00DA0A68"/>
    <w:rsid w:val="00DA0DF0"/>
    <w:rsid w:val="00DA15A5"/>
    <w:rsid w:val="00DA2071"/>
    <w:rsid w:val="00DA3391"/>
    <w:rsid w:val="00DA3FFE"/>
    <w:rsid w:val="00DA5612"/>
    <w:rsid w:val="00DA7B0A"/>
    <w:rsid w:val="00DA7C0C"/>
    <w:rsid w:val="00DB1B98"/>
    <w:rsid w:val="00DB2EC8"/>
    <w:rsid w:val="00DB4336"/>
    <w:rsid w:val="00DB4496"/>
    <w:rsid w:val="00DB44CC"/>
    <w:rsid w:val="00DB5444"/>
    <w:rsid w:val="00DB6726"/>
    <w:rsid w:val="00DB67FD"/>
    <w:rsid w:val="00DC159D"/>
    <w:rsid w:val="00DC235B"/>
    <w:rsid w:val="00DC4F91"/>
    <w:rsid w:val="00DC5A5F"/>
    <w:rsid w:val="00DC5B3B"/>
    <w:rsid w:val="00DC6DD3"/>
    <w:rsid w:val="00DD04C2"/>
    <w:rsid w:val="00DD07A3"/>
    <w:rsid w:val="00DD0D6F"/>
    <w:rsid w:val="00DD129F"/>
    <w:rsid w:val="00DD3730"/>
    <w:rsid w:val="00DD6112"/>
    <w:rsid w:val="00DD72DE"/>
    <w:rsid w:val="00DD7AA0"/>
    <w:rsid w:val="00DE096E"/>
    <w:rsid w:val="00DE1FCF"/>
    <w:rsid w:val="00DE244A"/>
    <w:rsid w:val="00DE28AE"/>
    <w:rsid w:val="00DE2A88"/>
    <w:rsid w:val="00DE2D5D"/>
    <w:rsid w:val="00DE3224"/>
    <w:rsid w:val="00DE3A0F"/>
    <w:rsid w:val="00DE4294"/>
    <w:rsid w:val="00DE4B39"/>
    <w:rsid w:val="00DE5B4C"/>
    <w:rsid w:val="00DE5D47"/>
    <w:rsid w:val="00DE6447"/>
    <w:rsid w:val="00DE6702"/>
    <w:rsid w:val="00DE701E"/>
    <w:rsid w:val="00DF07F3"/>
    <w:rsid w:val="00DF08CD"/>
    <w:rsid w:val="00DF0F74"/>
    <w:rsid w:val="00DF24E1"/>
    <w:rsid w:val="00DF42FF"/>
    <w:rsid w:val="00DF4A21"/>
    <w:rsid w:val="00DF5B85"/>
    <w:rsid w:val="00DF5FAC"/>
    <w:rsid w:val="00DF6019"/>
    <w:rsid w:val="00DF6103"/>
    <w:rsid w:val="00DF6A22"/>
    <w:rsid w:val="00E00C80"/>
    <w:rsid w:val="00E01C0E"/>
    <w:rsid w:val="00E02B4A"/>
    <w:rsid w:val="00E03F9A"/>
    <w:rsid w:val="00E0424E"/>
    <w:rsid w:val="00E04694"/>
    <w:rsid w:val="00E04833"/>
    <w:rsid w:val="00E065C6"/>
    <w:rsid w:val="00E06DE4"/>
    <w:rsid w:val="00E06E04"/>
    <w:rsid w:val="00E119FC"/>
    <w:rsid w:val="00E12B1E"/>
    <w:rsid w:val="00E17262"/>
    <w:rsid w:val="00E20908"/>
    <w:rsid w:val="00E2338D"/>
    <w:rsid w:val="00E2346D"/>
    <w:rsid w:val="00E23DF6"/>
    <w:rsid w:val="00E2420F"/>
    <w:rsid w:val="00E253A2"/>
    <w:rsid w:val="00E25DC1"/>
    <w:rsid w:val="00E25EE7"/>
    <w:rsid w:val="00E2797D"/>
    <w:rsid w:val="00E304B8"/>
    <w:rsid w:val="00E3162B"/>
    <w:rsid w:val="00E31A21"/>
    <w:rsid w:val="00E3309D"/>
    <w:rsid w:val="00E347B9"/>
    <w:rsid w:val="00E34C83"/>
    <w:rsid w:val="00E35DB6"/>
    <w:rsid w:val="00E365EF"/>
    <w:rsid w:val="00E3682C"/>
    <w:rsid w:val="00E37668"/>
    <w:rsid w:val="00E377DA"/>
    <w:rsid w:val="00E4543C"/>
    <w:rsid w:val="00E460E2"/>
    <w:rsid w:val="00E476DF"/>
    <w:rsid w:val="00E50156"/>
    <w:rsid w:val="00E5050F"/>
    <w:rsid w:val="00E50B5D"/>
    <w:rsid w:val="00E51B4F"/>
    <w:rsid w:val="00E53470"/>
    <w:rsid w:val="00E539F6"/>
    <w:rsid w:val="00E53F32"/>
    <w:rsid w:val="00E543DC"/>
    <w:rsid w:val="00E54519"/>
    <w:rsid w:val="00E54C98"/>
    <w:rsid w:val="00E555EA"/>
    <w:rsid w:val="00E57EBE"/>
    <w:rsid w:val="00E61425"/>
    <w:rsid w:val="00E6186A"/>
    <w:rsid w:val="00E62416"/>
    <w:rsid w:val="00E63F61"/>
    <w:rsid w:val="00E63F94"/>
    <w:rsid w:val="00E6403A"/>
    <w:rsid w:val="00E6519D"/>
    <w:rsid w:val="00E655F4"/>
    <w:rsid w:val="00E65730"/>
    <w:rsid w:val="00E67611"/>
    <w:rsid w:val="00E67696"/>
    <w:rsid w:val="00E679B0"/>
    <w:rsid w:val="00E704B3"/>
    <w:rsid w:val="00E7195D"/>
    <w:rsid w:val="00E71A58"/>
    <w:rsid w:val="00E7263C"/>
    <w:rsid w:val="00E72A7A"/>
    <w:rsid w:val="00E730E1"/>
    <w:rsid w:val="00E73E6C"/>
    <w:rsid w:val="00E745AE"/>
    <w:rsid w:val="00E7552F"/>
    <w:rsid w:val="00E75C94"/>
    <w:rsid w:val="00E7699C"/>
    <w:rsid w:val="00E76D7A"/>
    <w:rsid w:val="00E77EE7"/>
    <w:rsid w:val="00E800A2"/>
    <w:rsid w:val="00E806B8"/>
    <w:rsid w:val="00E814CF"/>
    <w:rsid w:val="00E835E4"/>
    <w:rsid w:val="00E8731A"/>
    <w:rsid w:val="00E87F02"/>
    <w:rsid w:val="00E9007A"/>
    <w:rsid w:val="00E91461"/>
    <w:rsid w:val="00E91BAF"/>
    <w:rsid w:val="00E92827"/>
    <w:rsid w:val="00E93820"/>
    <w:rsid w:val="00E948CC"/>
    <w:rsid w:val="00E95883"/>
    <w:rsid w:val="00E9671F"/>
    <w:rsid w:val="00E96A41"/>
    <w:rsid w:val="00EA09A4"/>
    <w:rsid w:val="00EA0C68"/>
    <w:rsid w:val="00EA0DC0"/>
    <w:rsid w:val="00EA0F16"/>
    <w:rsid w:val="00EA1AC5"/>
    <w:rsid w:val="00EA217A"/>
    <w:rsid w:val="00EA29E7"/>
    <w:rsid w:val="00EA32BC"/>
    <w:rsid w:val="00EA35D8"/>
    <w:rsid w:val="00EA3B4C"/>
    <w:rsid w:val="00EA53EA"/>
    <w:rsid w:val="00EA7587"/>
    <w:rsid w:val="00EB32B8"/>
    <w:rsid w:val="00EB35FF"/>
    <w:rsid w:val="00EB4511"/>
    <w:rsid w:val="00EB4A1C"/>
    <w:rsid w:val="00EB4E1E"/>
    <w:rsid w:val="00EB515A"/>
    <w:rsid w:val="00EC03D7"/>
    <w:rsid w:val="00EC1220"/>
    <w:rsid w:val="00EC14DF"/>
    <w:rsid w:val="00EC277B"/>
    <w:rsid w:val="00EC4E6F"/>
    <w:rsid w:val="00EC666B"/>
    <w:rsid w:val="00ED2C99"/>
    <w:rsid w:val="00ED62C6"/>
    <w:rsid w:val="00ED64C1"/>
    <w:rsid w:val="00ED6D0C"/>
    <w:rsid w:val="00ED79AF"/>
    <w:rsid w:val="00EE09C9"/>
    <w:rsid w:val="00EE22A4"/>
    <w:rsid w:val="00EE32DC"/>
    <w:rsid w:val="00EE3446"/>
    <w:rsid w:val="00EE3E78"/>
    <w:rsid w:val="00EE4B1B"/>
    <w:rsid w:val="00EE6CB8"/>
    <w:rsid w:val="00EF1455"/>
    <w:rsid w:val="00EF150D"/>
    <w:rsid w:val="00EF1F5A"/>
    <w:rsid w:val="00EF38A1"/>
    <w:rsid w:val="00EF47BF"/>
    <w:rsid w:val="00EF49FE"/>
    <w:rsid w:val="00EF56F0"/>
    <w:rsid w:val="00EF5F06"/>
    <w:rsid w:val="00EF6746"/>
    <w:rsid w:val="00EF6CC6"/>
    <w:rsid w:val="00F00C8A"/>
    <w:rsid w:val="00F018FD"/>
    <w:rsid w:val="00F01ECB"/>
    <w:rsid w:val="00F0211D"/>
    <w:rsid w:val="00F02CDA"/>
    <w:rsid w:val="00F02CF5"/>
    <w:rsid w:val="00F03713"/>
    <w:rsid w:val="00F04285"/>
    <w:rsid w:val="00F04811"/>
    <w:rsid w:val="00F0488C"/>
    <w:rsid w:val="00F05F5E"/>
    <w:rsid w:val="00F06F3B"/>
    <w:rsid w:val="00F07CCC"/>
    <w:rsid w:val="00F1053F"/>
    <w:rsid w:val="00F10F11"/>
    <w:rsid w:val="00F113D5"/>
    <w:rsid w:val="00F11480"/>
    <w:rsid w:val="00F12F00"/>
    <w:rsid w:val="00F14D4C"/>
    <w:rsid w:val="00F156BE"/>
    <w:rsid w:val="00F15AAA"/>
    <w:rsid w:val="00F15BEF"/>
    <w:rsid w:val="00F17588"/>
    <w:rsid w:val="00F176F7"/>
    <w:rsid w:val="00F20251"/>
    <w:rsid w:val="00F20986"/>
    <w:rsid w:val="00F23DB0"/>
    <w:rsid w:val="00F24407"/>
    <w:rsid w:val="00F24FAA"/>
    <w:rsid w:val="00F25D37"/>
    <w:rsid w:val="00F269BC"/>
    <w:rsid w:val="00F273D0"/>
    <w:rsid w:val="00F311A7"/>
    <w:rsid w:val="00F323A3"/>
    <w:rsid w:val="00F327AA"/>
    <w:rsid w:val="00F32DE9"/>
    <w:rsid w:val="00F3364D"/>
    <w:rsid w:val="00F35DBA"/>
    <w:rsid w:val="00F362B9"/>
    <w:rsid w:val="00F368B6"/>
    <w:rsid w:val="00F40594"/>
    <w:rsid w:val="00F40DD1"/>
    <w:rsid w:val="00F41279"/>
    <w:rsid w:val="00F42E31"/>
    <w:rsid w:val="00F4325A"/>
    <w:rsid w:val="00F4341D"/>
    <w:rsid w:val="00F437CC"/>
    <w:rsid w:val="00F449CD"/>
    <w:rsid w:val="00F45472"/>
    <w:rsid w:val="00F45C1D"/>
    <w:rsid w:val="00F46792"/>
    <w:rsid w:val="00F46EA8"/>
    <w:rsid w:val="00F47067"/>
    <w:rsid w:val="00F5018B"/>
    <w:rsid w:val="00F501A6"/>
    <w:rsid w:val="00F515CB"/>
    <w:rsid w:val="00F516B1"/>
    <w:rsid w:val="00F51EC0"/>
    <w:rsid w:val="00F5251A"/>
    <w:rsid w:val="00F525EB"/>
    <w:rsid w:val="00F527BD"/>
    <w:rsid w:val="00F52952"/>
    <w:rsid w:val="00F53BD9"/>
    <w:rsid w:val="00F540C6"/>
    <w:rsid w:val="00F5640A"/>
    <w:rsid w:val="00F56A79"/>
    <w:rsid w:val="00F5749E"/>
    <w:rsid w:val="00F57A27"/>
    <w:rsid w:val="00F60985"/>
    <w:rsid w:val="00F6109F"/>
    <w:rsid w:val="00F6133A"/>
    <w:rsid w:val="00F61DF1"/>
    <w:rsid w:val="00F6238A"/>
    <w:rsid w:val="00F62AD8"/>
    <w:rsid w:val="00F63DDE"/>
    <w:rsid w:val="00F63FB7"/>
    <w:rsid w:val="00F649B5"/>
    <w:rsid w:val="00F649D2"/>
    <w:rsid w:val="00F64B87"/>
    <w:rsid w:val="00F64E97"/>
    <w:rsid w:val="00F6505B"/>
    <w:rsid w:val="00F65853"/>
    <w:rsid w:val="00F659EB"/>
    <w:rsid w:val="00F65F09"/>
    <w:rsid w:val="00F6602B"/>
    <w:rsid w:val="00F7045B"/>
    <w:rsid w:val="00F715BF"/>
    <w:rsid w:val="00F7260E"/>
    <w:rsid w:val="00F72B45"/>
    <w:rsid w:val="00F72B48"/>
    <w:rsid w:val="00F737C3"/>
    <w:rsid w:val="00F739D7"/>
    <w:rsid w:val="00F73A0C"/>
    <w:rsid w:val="00F73A5D"/>
    <w:rsid w:val="00F74551"/>
    <w:rsid w:val="00F748EF"/>
    <w:rsid w:val="00F756DB"/>
    <w:rsid w:val="00F77E3B"/>
    <w:rsid w:val="00F80A26"/>
    <w:rsid w:val="00F81888"/>
    <w:rsid w:val="00F826BA"/>
    <w:rsid w:val="00F8293A"/>
    <w:rsid w:val="00F8297C"/>
    <w:rsid w:val="00F85066"/>
    <w:rsid w:val="00F8597B"/>
    <w:rsid w:val="00F878C2"/>
    <w:rsid w:val="00F87D7B"/>
    <w:rsid w:val="00F906E8"/>
    <w:rsid w:val="00F9071A"/>
    <w:rsid w:val="00F90B23"/>
    <w:rsid w:val="00F9151E"/>
    <w:rsid w:val="00F92269"/>
    <w:rsid w:val="00F94398"/>
    <w:rsid w:val="00F94436"/>
    <w:rsid w:val="00F95781"/>
    <w:rsid w:val="00F96D4A"/>
    <w:rsid w:val="00F97D0B"/>
    <w:rsid w:val="00F97FFB"/>
    <w:rsid w:val="00FA0878"/>
    <w:rsid w:val="00FA1ACA"/>
    <w:rsid w:val="00FA1E74"/>
    <w:rsid w:val="00FA2642"/>
    <w:rsid w:val="00FA2D8E"/>
    <w:rsid w:val="00FA436A"/>
    <w:rsid w:val="00FA5D4D"/>
    <w:rsid w:val="00FA6210"/>
    <w:rsid w:val="00FA6C3F"/>
    <w:rsid w:val="00FA7982"/>
    <w:rsid w:val="00FB09FE"/>
    <w:rsid w:val="00FB0EE2"/>
    <w:rsid w:val="00FB33B0"/>
    <w:rsid w:val="00FB4E48"/>
    <w:rsid w:val="00FB542E"/>
    <w:rsid w:val="00FB5965"/>
    <w:rsid w:val="00FB7EE1"/>
    <w:rsid w:val="00FC09CD"/>
    <w:rsid w:val="00FC0E5F"/>
    <w:rsid w:val="00FC1A95"/>
    <w:rsid w:val="00FC2D9F"/>
    <w:rsid w:val="00FC358D"/>
    <w:rsid w:val="00FC494B"/>
    <w:rsid w:val="00FC4C80"/>
    <w:rsid w:val="00FC56DE"/>
    <w:rsid w:val="00FC684B"/>
    <w:rsid w:val="00FC6D8D"/>
    <w:rsid w:val="00FC7652"/>
    <w:rsid w:val="00FD1136"/>
    <w:rsid w:val="00FD23A9"/>
    <w:rsid w:val="00FD3265"/>
    <w:rsid w:val="00FD3E96"/>
    <w:rsid w:val="00FD6DDD"/>
    <w:rsid w:val="00FD7AEC"/>
    <w:rsid w:val="00FE049D"/>
    <w:rsid w:val="00FE0CF2"/>
    <w:rsid w:val="00FE13BF"/>
    <w:rsid w:val="00FE1E9C"/>
    <w:rsid w:val="00FE2407"/>
    <w:rsid w:val="00FE247E"/>
    <w:rsid w:val="00FE251F"/>
    <w:rsid w:val="00FE26A1"/>
    <w:rsid w:val="00FE2F78"/>
    <w:rsid w:val="00FE31A5"/>
    <w:rsid w:val="00FE3526"/>
    <w:rsid w:val="00FE3BCF"/>
    <w:rsid w:val="00FE4C49"/>
    <w:rsid w:val="00FE5AE6"/>
    <w:rsid w:val="00FF00AC"/>
    <w:rsid w:val="00FF0634"/>
    <w:rsid w:val="00FF1661"/>
    <w:rsid w:val="00FF1901"/>
    <w:rsid w:val="00FF2BDB"/>
    <w:rsid w:val="00FF308E"/>
    <w:rsid w:val="00FF3B8F"/>
    <w:rsid w:val="00FF53D3"/>
    <w:rsid w:val="00FF5E69"/>
    <w:rsid w:val="00FF6F77"/>
    <w:rsid w:val="00FF7B96"/>
    <w:rsid w:val="00FF7F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9328DB"/>
    <w:pPr>
      <w:ind w:left="142"/>
    </w:pPr>
  </w:style>
  <w:style w:type="paragraph" w:styleId="Obsah3">
    <w:name w:val="toc 3"/>
    <w:basedOn w:val="Obsahpoloky"/>
    <w:next w:val="Obsahpoloky"/>
    <w:autoRedefine/>
    <w:uiPriority w:val="39"/>
    <w:unhideWhenUsed/>
    <w:rsid w:val="009328DB"/>
    <w:pPr>
      <w:ind w:left="284"/>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 w:type="paragraph" w:styleId="Normlnweb">
    <w:name w:val="Normal (Web)"/>
    <w:basedOn w:val="Normln"/>
    <w:uiPriority w:val="99"/>
    <w:unhideWhenUsed/>
    <w:rsid w:val="003E2CA0"/>
    <w:pPr>
      <w:spacing w:before="100" w:beforeAutospacing="1" w:after="100" w:afterAutospacing="1" w:line="240" w:lineRule="auto"/>
    </w:pPr>
    <w:rPr>
      <w:rFonts w:ascii="Times New Roman" w:hAnsi="Times New Roman"/>
      <w:sz w:val="24"/>
    </w:rPr>
  </w:style>
  <w:style w:type="character" w:customStyle="1" w:styleId="input-std">
    <w:name w:val="input-std"/>
    <w:basedOn w:val="Standardnpsmoodstavce"/>
    <w:rsid w:val="002F3B4C"/>
  </w:style>
  <w:style w:type="paragraph" w:customStyle="1" w:styleId="Default">
    <w:name w:val="Default"/>
    <w:rsid w:val="001C3015"/>
    <w:pPr>
      <w:autoSpaceDE w:val="0"/>
      <w:autoSpaceDN w:val="0"/>
      <w:adjustRightInd w:val="0"/>
    </w:pPr>
    <w:rPr>
      <w:rFonts w:ascii="Arial" w:hAnsi="Arial" w:cs="Arial"/>
      <w:color w:val="000000"/>
      <w:sz w:val="24"/>
      <w:szCs w:val="24"/>
    </w:rPr>
  </w:style>
  <w:style w:type="paragraph" w:styleId="Revize">
    <w:name w:val="Revision"/>
    <w:hidden/>
    <w:uiPriority w:val="99"/>
    <w:semiHidden/>
    <w:rsid w:val="007E6990"/>
    <w:rPr>
      <w:rFonts w:ascii="Arial" w:eastAsia="Times New Roman" w:hAnsi="Arial"/>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314992">
      <w:bodyDiv w:val="1"/>
      <w:marLeft w:val="0"/>
      <w:marRight w:val="0"/>
      <w:marTop w:val="0"/>
      <w:marBottom w:val="0"/>
      <w:divBdr>
        <w:top w:val="none" w:sz="0" w:space="0" w:color="auto"/>
        <w:left w:val="none" w:sz="0" w:space="0" w:color="auto"/>
        <w:bottom w:val="none" w:sz="0" w:space="0" w:color="auto"/>
        <w:right w:val="none" w:sz="0" w:space="0" w:color="auto"/>
      </w:divBdr>
    </w:div>
    <w:div w:id="44918586">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95562307">
      <w:bodyDiv w:val="1"/>
      <w:marLeft w:val="0"/>
      <w:marRight w:val="0"/>
      <w:marTop w:val="0"/>
      <w:marBottom w:val="0"/>
      <w:divBdr>
        <w:top w:val="none" w:sz="0" w:space="0" w:color="auto"/>
        <w:left w:val="none" w:sz="0" w:space="0" w:color="auto"/>
        <w:bottom w:val="none" w:sz="0" w:space="0" w:color="auto"/>
        <w:right w:val="none" w:sz="0" w:space="0" w:color="auto"/>
      </w:divBdr>
      <w:divsChild>
        <w:div w:id="863444442">
          <w:marLeft w:val="0"/>
          <w:marRight w:val="0"/>
          <w:marTop w:val="0"/>
          <w:marBottom w:val="0"/>
          <w:divBdr>
            <w:top w:val="none" w:sz="0" w:space="0" w:color="auto"/>
            <w:left w:val="none" w:sz="0" w:space="0" w:color="auto"/>
            <w:bottom w:val="none" w:sz="0" w:space="0" w:color="auto"/>
            <w:right w:val="none" w:sz="0" w:space="0" w:color="auto"/>
          </w:divBdr>
        </w:div>
        <w:div w:id="1098452719">
          <w:marLeft w:val="0"/>
          <w:marRight w:val="0"/>
          <w:marTop w:val="0"/>
          <w:marBottom w:val="0"/>
          <w:divBdr>
            <w:top w:val="none" w:sz="0" w:space="0" w:color="auto"/>
            <w:left w:val="none" w:sz="0" w:space="0" w:color="auto"/>
            <w:bottom w:val="none" w:sz="0" w:space="0" w:color="auto"/>
            <w:right w:val="none" w:sz="0" w:space="0" w:color="auto"/>
          </w:divBdr>
        </w:div>
        <w:div w:id="2076663688">
          <w:marLeft w:val="0"/>
          <w:marRight w:val="0"/>
          <w:marTop w:val="0"/>
          <w:marBottom w:val="0"/>
          <w:divBdr>
            <w:top w:val="none" w:sz="0" w:space="0" w:color="auto"/>
            <w:left w:val="none" w:sz="0" w:space="0" w:color="auto"/>
            <w:bottom w:val="none" w:sz="0" w:space="0" w:color="auto"/>
            <w:right w:val="none" w:sz="0" w:space="0" w:color="auto"/>
          </w:divBdr>
        </w:div>
        <w:div w:id="228157269">
          <w:marLeft w:val="0"/>
          <w:marRight w:val="0"/>
          <w:marTop w:val="0"/>
          <w:marBottom w:val="0"/>
          <w:divBdr>
            <w:top w:val="none" w:sz="0" w:space="0" w:color="auto"/>
            <w:left w:val="none" w:sz="0" w:space="0" w:color="auto"/>
            <w:bottom w:val="none" w:sz="0" w:space="0" w:color="auto"/>
            <w:right w:val="none" w:sz="0" w:space="0" w:color="auto"/>
          </w:divBdr>
        </w:div>
        <w:div w:id="1002973247">
          <w:marLeft w:val="0"/>
          <w:marRight w:val="0"/>
          <w:marTop w:val="0"/>
          <w:marBottom w:val="0"/>
          <w:divBdr>
            <w:top w:val="none" w:sz="0" w:space="0" w:color="auto"/>
            <w:left w:val="none" w:sz="0" w:space="0" w:color="auto"/>
            <w:bottom w:val="none" w:sz="0" w:space="0" w:color="auto"/>
            <w:right w:val="none" w:sz="0" w:space="0" w:color="auto"/>
          </w:divBdr>
        </w:div>
        <w:div w:id="492377890">
          <w:marLeft w:val="0"/>
          <w:marRight w:val="0"/>
          <w:marTop w:val="0"/>
          <w:marBottom w:val="0"/>
          <w:divBdr>
            <w:top w:val="none" w:sz="0" w:space="0" w:color="auto"/>
            <w:left w:val="none" w:sz="0" w:space="0" w:color="auto"/>
            <w:bottom w:val="none" w:sz="0" w:space="0" w:color="auto"/>
            <w:right w:val="none" w:sz="0" w:space="0" w:color="auto"/>
          </w:divBdr>
        </w:div>
        <w:div w:id="175119462">
          <w:marLeft w:val="0"/>
          <w:marRight w:val="0"/>
          <w:marTop w:val="0"/>
          <w:marBottom w:val="0"/>
          <w:divBdr>
            <w:top w:val="none" w:sz="0" w:space="0" w:color="auto"/>
            <w:left w:val="none" w:sz="0" w:space="0" w:color="auto"/>
            <w:bottom w:val="none" w:sz="0" w:space="0" w:color="auto"/>
            <w:right w:val="none" w:sz="0" w:space="0" w:color="auto"/>
          </w:divBdr>
        </w:div>
      </w:divsChild>
    </w:div>
    <w:div w:id="161551492">
      <w:bodyDiv w:val="1"/>
      <w:marLeft w:val="0"/>
      <w:marRight w:val="0"/>
      <w:marTop w:val="0"/>
      <w:marBottom w:val="0"/>
      <w:divBdr>
        <w:top w:val="none" w:sz="0" w:space="0" w:color="auto"/>
        <w:left w:val="none" w:sz="0" w:space="0" w:color="auto"/>
        <w:bottom w:val="none" w:sz="0" w:space="0" w:color="auto"/>
        <w:right w:val="none" w:sz="0" w:space="0" w:color="auto"/>
      </w:divBdr>
    </w:div>
    <w:div w:id="170950127">
      <w:bodyDiv w:val="1"/>
      <w:marLeft w:val="0"/>
      <w:marRight w:val="0"/>
      <w:marTop w:val="0"/>
      <w:marBottom w:val="0"/>
      <w:divBdr>
        <w:top w:val="none" w:sz="0" w:space="0" w:color="auto"/>
        <w:left w:val="none" w:sz="0" w:space="0" w:color="auto"/>
        <w:bottom w:val="none" w:sz="0" w:space="0" w:color="auto"/>
        <w:right w:val="none" w:sz="0" w:space="0" w:color="auto"/>
      </w:divBdr>
    </w:div>
    <w:div w:id="23914523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07327012">
      <w:bodyDiv w:val="1"/>
      <w:marLeft w:val="0"/>
      <w:marRight w:val="0"/>
      <w:marTop w:val="0"/>
      <w:marBottom w:val="0"/>
      <w:divBdr>
        <w:top w:val="none" w:sz="0" w:space="0" w:color="auto"/>
        <w:left w:val="none" w:sz="0" w:space="0" w:color="auto"/>
        <w:bottom w:val="none" w:sz="0" w:space="0" w:color="auto"/>
        <w:right w:val="none" w:sz="0" w:space="0" w:color="auto"/>
      </w:divBdr>
    </w:div>
    <w:div w:id="315959004">
      <w:bodyDiv w:val="1"/>
      <w:marLeft w:val="0"/>
      <w:marRight w:val="0"/>
      <w:marTop w:val="0"/>
      <w:marBottom w:val="0"/>
      <w:divBdr>
        <w:top w:val="none" w:sz="0" w:space="0" w:color="auto"/>
        <w:left w:val="none" w:sz="0" w:space="0" w:color="auto"/>
        <w:bottom w:val="none" w:sz="0" w:space="0" w:color="auto"/>
        <w:right w:val="none" w:sz="0" w:space="0" w:color="auto"/>
      </w:divBdr>
    </w:div>
    <w:div w:id="337922816">
      <w:bodyDiv w:val="1"/>
      <w:marLeft w:val="0"/>
      <w:marRight w:val="0"/>
      <w:marTop w:val="0"/>
      <w:marBottom w:val="0"/>
      <w:divBdr>
        <w:top w:val="none" w:sz="0" w:space="0" w:color="auto"/>
        <w:left w:val="none" w:sz="0" w:space="0" w:color="auto"/>
        <w:bottom w:val="none" w:sz="0" w:space="0" w:color="auto"/>
        <w:right w:val="none" w:sz="0" w:space="0" w:color="auto"/>
      </w:divBdr>
      <w:divsChild>
        <w:div w:id="1510213356">
          <w:marLeft w:val="0"/>
          <w:marRight w:val="0"/>
          <w:marTop w:val="0"/>
          <w:marBottom w:val="0"/>
          <w:divBdr>
            <w:top w:val="none" w:sz="0" w:space="0" w:color="auto"/>
            <w:left w:val="none" w:sz="0" w:space="0" w:color="auto"/>
            <w:bottom w:val="none" w:sz="0" w:space="0" w:color="auto"/>
            <w:right w:val="none" w:sz="0" w:space="0" w:color="auto"/>
          </w:divBdr>
        </w:div>
        <w:div w:id="603268121">
          <w:marLeft w:val="0"/>
          <w:marRight w:val="0"/>
          <w:marTop w:val="0"/>
          <w:marBottom w:val="0"/>
          <w:divBdr>
            <w:top w:val="none" w:sz="0" w:space="0" w:color="auto"/>
            <w:left w:val="none" w:sz="0" w:space="0" w:color="auto"/>
            <w:bottom w:val="none" w:sz="0" w:space="0" w:color="auto"/>
            <w:right w:val="none" w:sz="0" w:space="0" w:color="auto"/>
          </w:divBdr>
        </w:div>
        <w:div w:id="1617173120">
          <w:marLeft w:val="0"/>
          <w:marRight w:val="0"/>
          <w:marTop w:val="0"/>
          <w:marBottom w:val="0"/>
          <w:divBdr>
            <w:top w:val="none" w:sz="0" w:space="0" w:color="auto"/>
            <w:left w:val="none" w:sz="0" w:space="0" w:color="auto"/>
            <w:bottom w:val="none" w:sz="0" w:space="0" w:color="auto"/>
            <w:right w:val="none" w:sz="0" w:space="0" w:color="auto"/>
          </w:divBdr>
        </w:div>
        <w:div w:id="651101726">
          <w:marLeft w:val="0"/>
          <w:marRight w:val="0"/>
          <w:marTop w:val="0"/>
          <w:marBottom w:val="0"/>
          <w:divBdr>
            <w:top w:val="none" w:sz="0" w:space="0" w:color="auto"/>
            <w:left w:val="none" w:sz="0" w:space="0" w:color="auto"/>
            <w:bottom w:val="none" w:sz="0" w:space="0" w:color="auto"/>
            <w:right w:val="none" w:sz="0" w:space="0" w:color="auto"/>
          </w:divBdr>
        </w:div>
        <w:div w:id="1013528657">
          <w:marLeft w:val="0"/>
          <w:marRight w:val="0"/>
          <w:marTop w:val="0"/>
          <w:marBottom w:val="0"/>
          <w:divBdr>
            <w:top w:val="none" w:sz="0" w:space="0" w:color="auto"/>
            <w:left w:val="none" w:sz="0" w:space="0" w:color="auto"/>
            <w:bottom w:val="none" w:sz="0" w:space="0" w:color="auto"/>
            <w:right w:val="none" w:sz="0" w:space="0" w:color="auto"/>
          </w:divBdr>
        </w:div>
        <w:div w:id="459305170">
          <w:marLeft w:val="0"/>
          <w:marRight w:val="0"/>
          <w:marTop w:val="0"/>
          <w:marBottom w:val="0"/>
          <w:divBdr>
            <w:top w:val="none" w:sz="0" w:space="0" w:color="auto"/>
            <w:left w:val="none" w:sz="0" w:space="0" w:color="auto"/>
            <w:bottom w:val="none" w:sz="0" w:space="0" w:color="auto"/>
            <w:right w:val="none" w:sz="0" w:space="0" w:color="auto"/>
          </w:divBdr>
        </w:div>
        <w:div w:id="1274435138">
          <w:marLeft w:val="0"/>
          <w:marRight w:val="0"/>
          <w:marTop w:val="0"/>
          <w:marBottom w:val="0"/>
          <w:divBdr>
            <w:top w:val="none" w:sz="0" w:space="0" w:color="auto"/>
            <w:left w:val="none" w:sz="0" w:space="0" w:color="auto"/>
            <w:bottom w:val="none" w:sz="0" w:space="0" w:color="auto"/>
            <w:right w:val="none" w:sz="0" w:space="0" w:color="auto"/>
          </w:divBdr>
        </w:div>
        <w:div w:id="1235355156">
          <w:marLeft w:val="0"/>
          <w:marRight w:val="0"/>
          <w:marTop w:val="0"/>
          <w:marBottom w:val="0"/>
          <w:divBdr>
            <w:top w:val="none" w:sz="0" w:space="0" w:color="auto"/>
            <w:left w:val="none" w:sz="0" w:space="0" w:color="auto"/>
            <w:bottom w:val="none" w:sz="0" w:space="0" w:color="auto"/>
            <w:right w:val="none" w:sz="0" w:space="0" w:color="auto"/>
          </w:divBdr>
        </w:div>
        <w:div w:id="922639230">
          <w:marLeft w:val="0"/>
          <w:marRight w:val="0"/>
          <w:marTop w:val="0"/>
          <w:marBottom w:val="0"/>
          <w:divBdr>
            <w:top w:val="none" w:sz="0" w:space="0" w:color="auto"/>
            <w:left w:val="none" w:sz="0" w:space="0" w:color="auto"/>
            <w:bottom w:val="none" w:sz="0" w:space="0" w:color="auto"/>
            <w:right w:val="none" w:sz="0" w:space="0" w:color="auto"/>
          </w:divBdr>
        </w:div>
        <w:div w:id="494154961">
          <w:marLeft w:val="0"/>
          <w:marRight w:val="0"/>
          <w:marTop w:val="0"/>
          <w:marBottom w:val="0"/>
          <w:divBdr>
            <w:top w:val="none" w:sz="0" w:space="0" w:color="auto"/>
            <w:left w:val="none" w:sz="0" w:space="0" w:color="auto"/>
            <w:bottom w:val="none" w:sz="0" w:space="0" w:color="auto"/>
            <w:right w:val="none" w:sz="0" w:space="0" w:color="auto"/>
          </w:divBdr>
        </w:div>
        <w:div w:id="1180436136">
          <w:marLeft w:val="0"/>
          <w:marRight w:val="0"/>
          <w:marTop w:val="0"/>
          <w:marBottom w:val="0"/>
          <w:divBdr>
            <w:top w:val="none" w:sz="0" w:space="0" w:color="auto"/>
            <w:left w:val="none" w:sz="0" w:space="0" w:color="auto"/>
            <w:bottom w:val="none" w:sz="0" w:space="0" w:color="auto"/>
            <w:right w:val="none" w:sz="0" w:space="0" w:color="auto"/>
          </w:divBdr>
        </w:div>
        <w:div w:id="1913662701">
          <w:marLeft w:val="0"/>
          <w:marRight w:val="0"/>
          <w:marTop w:val="0"/>
          <w:marBottom w:val="0"/>
          <w:divBdr>
            <w:top w:val="none" w:sz="0" w:space="0" w:color="auto"/>
            <w:left w:val="none" w:sz="0" w:space="0" w:color="auto"/>
            <w:bottom w:val="none" w:sz="0" w:space="0" w:color="auto"/>
            <w:right w:val="none" w:sz="0" w:space="0" w:color="auto"/>
          </w:divBdr>
        </w:div>
        <w:div w:id="336277801">
          <w:marLeft w:val="0"/>
          <w:marRight w:val="0"/>
          <w:marTop w:val="0"/>
          <w:marBottom w:val="0"/>
          <w:divBdr>
            <w:top w:val="none" w:sz="0" w:space="0" w:color="auto"/>
            <w:left w:val="none" w:sz="0" w:space="0" w:color="auto"/>
            <w:bottom w:val="none" w:sz="0" w:space="0" w:color="auto"/>
            <w:right w:val="none" w:sz="0" w:space="0" w:color="auto"/>
          </w:divBdr>
        </w:div>
        <w:div w:id="193808912">
          <w:marLeft w:val="0"/>
          <w:marRight w:val="0"/>
          <w:marTop w:val="0"/>
          <w:marBottom w:val="0"/>
          <w:divBdr>
            <w:top w:val="none" w:sz="0" w:space="0" w:color="auto"/>
            <w:left w:val="none" w:sz="0" w:space="0" w:color="auto"/>
            <w:bottom w:val="none" w:sz="0" w:space="0" w:color="auto"/>
            <w:right w:val="none" w:sz="0" w:space="0" w:color="auto"/>
          </w:divBdr>
        </w:div>
        <w:div w:id="1419130565">
          <w:marLeft w:val="0"/>
          <w:marRight w:val="0"/>
          <w:marTop w:val="0"/>
          <w:marBottom w:val="0"/>
          <w:divBdr>
            <w:top w:val="none" w:sz="0" w:space="0" w:color="auto"/>
            <w:left w:val="none" w:sz="0" w:space="0" w:color="auto"/>
            <w:bottom w:val="none" w:sz="0" w:space="0" w:color="auto"/>
            <w:right w:val="none" w:sz="0" w:space="0" w:color="auto"/>
          </w:divBdr>
        </w:div>
        <w:div w:id="1089624056">
          <w:marLeft w:val="0"/>
          <w:marRight w:val="0"/>
          <w:marTop w:val="0"/>
          <w:marBottom w:val="0"/>
          <w:divBdr>
            <w:top w:val="none" w:sz="0" w:space="0" w:color="auto"/>
            <w:left w:val="none" w:sz="0" w:space="0" w:color="auto"/>
            <w:bottom w:val="none" w:sz="0" w:space="0" w:color="auto"/>
            <w:right w:val="none" w:sz="0" w:space="0" w:color="auto"/>
          </w:divBdr>
        </w:div>
        <w:div w:id="1841460128">
          <w:marLeft w:val="0"/>
          <w:marRight w:val="0"/>
          <w:marTop w:val="0"/>
          <w:marBottom w:val="0"/>
          <w:divBdr>
            <w:top w:val="none" w:sz="0" w:space="0" w:color="auto"/>
            <w:left w:val="none" w:sz="0" w:space="0" w:color="auto"/>
            <w:bottom w:val="none" w:sz="0" w:space="0" w:color="auto"/>
            <w:right w:val="none" w:sz="0" w:space="0" w:color="auto"/>
          </w:divBdr>
        </w:div>
        <w:div w:id="1701004991">
          <w:marLeft w:val="0"/>
          <w:marRight w:val="0"/>
          <w:marTop w:val="0"/>
          <w:marBottom w:val="0"/>
          <w:divBdr>
            <w:top w:val="none" w:sz="0" w:space="0" w:color="auto"/>
            <w:left w:val="none" w:sz="0" w:space="0" w:color="auto"/>
            <w:bottom w:val="none" w:sz="0" w:space="0" w:color="auto"/>
            <w:right w:val="none" w:sz="0" w:space="0" w:color="auto"/>
          </w:divBdr>
        </w:div>
        <w:div w:id="397633789">
          <w:marLeft w:val="0"/>
          <w:marRight w:val="0"/>
          <w:marTop w:val="0"/>
          <w:marBottom w:val="0"/>
          <w:divBdr>
            <w:top w:val="none" w:sz="0" w:space="0" w:color="auto"/>
            <w:left w:val="none" w:sz="0" w:space="0" w:color="auto"/>
            <w:bottom w:val="none" w:sz="0" w:space="0" w:color="auto"/>
            <w:right w:val="none" w:sz="0" w:space="0" w:color="auto"/>
          </w:divBdr>
        </w:div>
        <w:div w:id="1736512755">
          <w:marLeft w:val="0"/>
          <w:marRight w:val="0"/>
          <w:marTop w:val="0"/>
          <w:marBottom w:val="0"/>
          <w:divBdr>
            <w:top w:val="none" w:sz="0" w:space="0" w:color="auto"/>
            <w:left w:val="none" w:sz="0" w:space="0" w:color="auto"/>
            <w:bottom w:val="none" w:sz="0" w:space="0" w:color="auto"/>
            <w:right w:val="none" w:sz="0" w:space="0" w:color="auto"/>
          </w:divBdr>
        </w:div>
        <w:div w:id="740257467">
          <w:marLeft w:val="0"/>
          <w:marRight w:val="0"/>
          <w:marTop w:val="0"/>
          <w:marBottom w:val="0"/>
          <w:divBdr>
            <w:top w:val="none" w:sz="0" w:space="0" w:color="auto"/>
            <w:left w:val="none" w:sz="0" w:space="0" w:color="auto"/>
            <w:bottom w:val="none" w:sz="0" w:space="0" w:color="auto"/>
            <w:right w:val="none" w:sz="0" w:space="0" w:color="auto"/>
          </w:divBdr>
        </w:div>
        <w:div w:id="859514466">
          <w:marLeft w:val="0"/>
          <w:marRight w:val="0"/>
          <w:marTop w:val="0"/>
          <w:marBottom w:val="0"/>
          <w:divBdr>
            <w:top w:val="none" w:sz="0" w:space="0" w:color="auto"/>
            <w:left w:val="none" w:sz="0" w:space="0" w:color="auto"/>
            <w:bottom w:val="none" w:sz="0" w:space="0" w:color="auto"/>
            <w:right w:val="none" w:sz="0" w:space="0" w:color="auto"/>
          </w:divBdr>
        </w:div>
        <w:div w:id="282151775">
          <w:marLeft w:val="0"/>
          <w:marRight w:val="0"/>
          <w:marTop w:val="0"/>
          <w:marBottom w:val="0"/>
          <w:divBdr>
            <w:top w:val="none" w:sz="0" w:space="0" w:color="auto"/>
            <w:left w:val="none" w:sz="0" w:space="0" w:color="auto"/>
            <w:bottom w:val="none" w:sz="0" w:space="0" w:color="auto"/>
            <w:right w:val="none" w:sz="0" w:space="0" w:color="auto"/>
          </w:divBdr>
        </w:div>
      </w:divsChild>
    </w:div>
    <w:div w:id="353964847">
      <w:bodyDiv w:val="1"/>
      <w:marLeft w:val="0"/>
      <w:marRight w:val="0"/>
      <w:marTop w:val="0"/>
      <w:marBottom w:val="0"/>
      <w:divBdr>
        <w:top w:val="none" w:sz="0" w:space="0" w:color="auto"/>
        <w:left w:val="none" w:sz="0" w:space="0" w:color="auto"/>
        <w:bottom w:val="none" w:sz="0" w:space="0" w:color="auto"/>
        <w:right w:val="none" w:sz="0" w:space="0" w:color="auto"/>
      </w:divBdr>
    </w:div>
    <w:div w:id="48054224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773494">
      <w:bodyDiv w:val="1"/>
      <w:marLeft w:val="0"/>
      <w:marRight w:val="0"/>
      <w:marTop w:val="0"/>
      <w:marBottom w:val="0"/>
      <w:divBdr>
        <w:top w:val="none" w:sz="0" w:space="0" w:color="auto"/>
        <w:left w:val="none" w:sz="0" w:space="0" w:color="auto"/>
        <w:bottom w:val="none" w:sz="0" w:space="0" w:color="auto"/>
        <w:right w:val="none" w:sz="0" w:space="0" w:color="auto"/>
      </w:divBdr>
    </w:div>
    <w:div w:id="67568872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7344916">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743064053">
      <w:bodyDiv w:val="1"/>
      <w:marLeft w:val="0"/>
      <w:marRight w:val="0"/>
      <w:marTop w:val="0"/>
      <w:marBottom w:val="0"/>
      <w:divBdr>
        <w:top w:val="none" w:sz="0" w:space="0" w:color="auto"/>
        <w:left w:val="none" w:sz="0" w:space="0" w:color="auto"/>
        <w:bottom w:val="none" w:sz="0" w:space="0" w:color="auto"/>
        <w:right w:val="none" w:sz="0" w:space="0" w:color="auto"/>
      </w:divBdr>
    </w:div>
    <w:div w:id="756484825">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820344037">
      <w:bodyDiv w:val="1"/>
      <w:marLeft w:val="0"/>
      <w:marRight w:val="0"/>
      <w:marTop w:val="0"/>
      <w:marBottom w:val="0"/>
      <w:divBdr>
        <w:top w:val="none" w:sz="0" w:space="0" w:color="auto"/>
        <w:left w:val="none" w:sz="0" w:space="0" w:color="auto"/>
        <w:bottom w:val="none" w:sz="0" w:space="0" w:color="auto"/>
        <w:right w:val="none" w:sz="0" w:space="0" w:color="auto"/>
      </w:divBdr>
    </w:div>
    <w:div w:id="849687133">
      <w:bodyDiv w:val="1"/>
      <w:marLeft w:val="0"/>
      <w:marRight w:val="0"/>
      <w:marTop w:val="0"/>
      <w:marBottom w:val="0"/>
      <w:divBdr>
        <w:top w:val="none" w:sz="0" w:space="0" w:color="auto"/>
        <w:left w:val="none" w:sz="0" w:space="0" w:color="auto"/>
        <w:bottom w:val="none" w:sz="0" w:space="0" w:color="auto"/>
        <w:right w:val="none" w:sz="0" w:space="0" w:color="auto"/>
      </w:divBdr>
    </w:div>
    <w:div w:id="928925745">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1087772334">
      <w:bodyDiv w:val="1"/>
      <w:marLeft w:val="0"/>
      <w:marRight w:val="0"/>
      <w:marTop w:val="0"/>
      <w:marBottom w:val="0"/>
      <w:divBdr>
        <w:top w:val="none" w:sz="0" w:space="0" w:color="auto"/>
        <w:left w:val="none" w:sz="0" w:space="0" w:color="auto"/>
        <w:bottom w:val="none" w:sz="0" w:space="0" w:color="auto"/>
        <w:right w:val="none" w:sz="0" w:space="0" w:color="auto"/>
      </w:divBdr>
    </w:div>
    <w:div w:id="1150555817">
      <w:bodyDiv w:val="1"/>
      <w:marLeft w:val="0"/>
      <w:marRight w:val="0"/>
      <w:marTop w:val="0"/>
      <w:marBottom w:val="0"/>
      <w:divBdr>
        <w:top w:val="none" w:sz="0" w:space="0" w:color="auto"/>
        <w:left w:val="none" w:sz="0" w:space="0" w:color="auto"/>
        <w:bottom w:val="none" w:sz="0" w:space="0" w:color="auto"/>
        <w:right w:val="none" w:sz="0" w:space="0" w:color="auto"/>
      </w:divBdr>
    </w:div>
    <w:div w:id="118597185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64457586">
      <w:bodyDiv w:val="1"/>
      <w:marLeft w:val="0"/>
      <w:marRight w:val="0"/>
      <w:marTop w:val="0"/>
      <w:marBottom w:val="0"/>
      <w:divBdr>
        <w:top w:val="none" w:sz="0" w:space="0" w:color="auto"/>
        <w:left w:val="none" w:sz="0" w:space="0" w:color="auto"/>
        <w:bottom w:val="none" w:sz="0" w:space="0" w:color="auto"/>
        <w:right w:val="none" w:sz="0" w:space="0" w:color="auto"/>
      </w:divBdr>
    </w:div>
    <w:div w:id="1305354354">
      <w:bodyDiv w:val="1"/>
      <w:marLeft w:val="0"/>
      <w:marRight w:val="0"/>
      <w:marTop w:val="0"/>
      <w:marBottom w:val="0"/>
      <w:divBdr>
        <w:top w:val="none" w:sz="0" w:space="0" w:color="auto"/>
        <w:left w:val="none" w:sz="0" w:space="0" w:color="auto"/>
        <w:bottom w:val="none" w:sz="0" w:space="0" w:color="auto"/>
        <w:right w:val="none" w:sz="0" w:space="0" w:color="auto"/>
      </w:divBdr>
    </w:div>
    <w:div w:id="1329362183">
      <w:bodyDiv w:val="1"/>
      <w:marLeft w:val="0"/>
      <w:marRight w:val="0"/>
      <w:marTop w:val="0"/>
      <w:marBottom w:val="0"/>
      <w:divBdr>
        <w:top w:val="none" w:sz="0" w:space="0" w:color="auto"/>
        <w:left w:val="none" w:sz="0" w:space="0" w:color="auto"/>
        <w:bottom w:val="none" w:sz="0" w:space="0" w:color="auto"/>
        <w:right w:val="none" w:sz="0" w:space="0" w:color="auto"/>
      </w:divBdr>
    </w:div>
    <w:div w:id="1348756887">
      <w:bodyDiv w:val="1"/>
      <w:marLeft w:val="0"/>
      <w:marRight w:val="0"/>
      <w:marTop w:val="0"/>
      <w:marBottom w:val="0"/>
      <w:divBdr>
        <w:top w:val="none" w:sz="0" w:space="0" w:color="auto"/>
        <w:left w:val="none" w:sz="0" w:space="0" w:color="auto"/>
        <w:bottom w:val="none" w:sz="0" w:space="0" w:color="auto"/>
        <w:right w:val="none" w:sz="0" w:space="0" w:color="auto"/>
      </w:divBdr>
    </w:div>
    <w:div w:id="137214756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53477984">
      <w:bodyDiv w:val="1"/>
      <w:marLeft w:val="0"/>
      <w:marRight w:val="0"/>
      <w:marTop w:val="0"/>
      <w:marBottom w:val="0"/>
      <w:divBdr>
        <w:top w:val="none" w:sz="0" w:space="0" w:color="auto"/>
        <w:left w:val="none" w:sz="0" w:space="0" w:color="auto"/>
        <w:bottom w:val="none" w:sz="0" w:space="0" w:color="auto"/>
        <w:right w:val="none" w:sz="0" w:space="0" w:color="auto"/>
      </w:divBdr>
    </w:div>
    <w:div w:id="1453665743">
      <w:bodyDiv w:val="1"/>
      <w:marLeft w:val="0"/>
      <w:marRight w:val="0"/>
      <w:marTop w:val="0"/>
      <w:marBottom w:val="0"/>
      <w:divBdr>
        <w:top w:val="none" w:sz="0" w:space="0" w:color="auto"/>
        <w:left w:val="none" w:sz="0" w:space="0" w:color="auto"/>
        <w:bottom w:val="none" w:sz="0" w:space="0" w:color="auto"/>
        <w:right w:val="none" w:sz="0" w:space="0" w:color="auto"/>
      </w:divBdr>
    </w:div>
    <w:div w:id="1467700967">
      <w:bodyDiv w:val="1"/>
      <w:marLeft w:val="0"/>
      <w:marRight w:val="0"/>
      <w:marTop w:val="0"/>
      <w:marBottom w:val="0"/>
      <w:divBdr>
        <w:top w:val="none" w:sz="0" w:space="0" w:color="auto"/>
        <w:left w:val="none" w:sz="0" w:space="0" w:color="auto"/>
        <w:bottom w:val="none" w:sz="0" w:space="0" w:color="auto"/>
        <w:right w:val="none" w:sz="0" w:space="0" w:color="auto"/>
      </w:divBdr>
    </w:div>
    <w:div w:id="1485969670">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686140">
      <w:bodyDiv w:val="1"/>
      <w:marLeft w:val="0"/>
      <w:marRight w:val="0"/>
      <w:marTop w:val="0"/>
      <w:marBottom w:val="0"/>
      <w:divBdr>
        <w:top w:val="none" w:sz="0" w:space="0" w:color="auto"/>
        <w:left w:val="none" w:sz="0" w:space="0" w:color="auto"/>
        <w:bottom w:val="none" w:sz="0" w:space="0" w:color="auto"/>
        <w:right w:val="none" w:sz="0" w:space="0" w:color="auto"/>
      </w:divBdr>
    </w:div>
    <w:div w:id="1521699564">
      <w:bodyDiv w:val="1"/>
      <w:marLeft w:val="0"/>
      <w:marRight w:val="0"/>
      <w:marTop w:val="0"/>
      <w:marBottom w:val="0"/>
      <w:divBdr>
        <w:top w:val="none" w:sz="0" w:space="0" w:color="auto"/>
        <w:left w:val="none" w:sz="0" w:space="0" w:color="auto"/>
        <w:bottom w:val="none" w:sz="0" w:space="0" w:color="auto"/>
        <w:right w:val="none" w:sz="0" w:space="0" w:color="auto"/>
      </w:divBdr>
    </w:div>
    <w:div w:id="1554778138">
      <w:bodyDiv w:val="1"/>
      <w:marLeft w:val="0"/>
      <w:marRight w:val="0"/>
      <w:marTop w:val="0"/>
      <w:marBottom w:val="0"/>
      <w:divBdr>
        <w:top w:val="none" w:sz="0" w:space="0" w:color="auto"/>
        <w:left w:val="none" w:sz="0" w:space="0" w:color="auto"/>
        <w:bottom w:val="none" w:sz="0" w:space="0" w:color="auto"/>
        <w:right w:val="none" w:sz="0" w:space="0" w:color="auto"/>
      </w:divBdr>
    </w:div>
    <w:div w:id="1562322362">
      <w:bodyDiv w:val="1"/>
      <w:marLeft w:val="0"/>
      <w:marRight w:val="0"/>
      <w:marTop w:val="0"/>
      <w:marBottom w:val="0"/>
      <w:divBdr>
        <w:top w:val="none" w:sz="0" w:space="0" w:color="auto"/>
        <w:left w:val="none" w:sz="0" w:space="0" w:color="auto"/>
        <w:bottom w:val="none" w:sz="0" w:space="0" w:color="auto"/>
        <w:right w:val="none" w:sz="0" w:space="0" w:color="auto"/>
      </w:divBdr>
    </w:div>
    <w:div w:id="1607929412">
      <w:bodyDiv w:val="1"/>
      <w:marLeft w:val="0"/>
      <w:marRight w:val="0"/>
      <w:marTop w:val="0"/>
      <w:marBottom w:val="0"/>
      <w:divBdr>
        <w:top w:val="none" w:sz="0" w:space="0" w:color="auto"/>
        <w:left w:val="none" w:sz="0" w:space="0" w:color="auto"/>
        <w:bottom w:val="none" w:sz="0" w:space="0" w:color="auto"/>
        <w:right w:val="none" w:sz="0" w:space="0" w:color="auto"/>
      </w:divBdr>
    </w:div>
    <w:div w:id="1614285093">
      <w:bodyDiv w:val="1"/>
      <w:marLeft w:val="0"/>
      <w:marRight w:val="0"/>
      <w:marTop w:val="0"/>
      <w:marBottom w:val="0"/>
      <w:divBdr>
        <w:top w:val="none" w:sz="0" w:space="0" w:color="auto"/>
        <w:left w:val="none" w:sz="0" w:space="0" w:color="auto"/>
        <w:bottom w:val="none" w:sz="0" w:space="0" w:color="auto"/>
        <w:right w:val="none" w:sz="0" w:space="0" w:color="auto"/>
      </w:divBdr>
    </w:div>
    <w:div w:id="1649245364">
      <w:bodyDiv w:val="1"/>
      <w:marLeft w:val="0"/>
      <w:marRight w:val="0"/>
      <w:marTop w:val="0"/>
      <w:marBottom w:val="0"/>
      <w:divBdr>
        <w:top w:val="none" w:sz="0" w:space="0" w:color="auto"/>
        <w:left w:val="none" w:sz="0" w:space="0" w:color="auto"/>
        <w:bottom w:val="none" w:sz="0" w:space="0" w:color="auto"/>
        <w:right w:val="none" w:sz="0" w:space="0" w:color="auto"/>
      </w:divBdr>
    </w:div>
    <w:div w:id="1709838590">
      <w:bodyDiv w:val="1"/>
      <w:marLeft w:val="0"/>
      <w:marRight w:val="0"/>
      <w:marTop w:val="0"/>
      <w:marBottom w:val="0"/>
      <w:divBdr>
        <w:top w:val="none" w:sz="0" w:space="0" w:color="auto"/>
        <w:left w:val="none" w:sz="0" w:space="0" w:color="auto"/>
        <w:bottom w:val="none" w:sz="0" w:space="0" w:color="auto"/>
        <w:right w:val="none" w:sz="0" w:space="0" w:color="auto"/>
      </w:divBdr>
    </w:div>
    <w:div w:id="1763260647">
      <w:bodyDiv w:val="1"/>
      <w:marLeft w:val="0"/>
      <w:marRight w:val="0"/>
      <w:marTop w:val="0"/>
      <w:marBottom w:val="0"/>
      <w:divBdr>
        <w:top w:val="none" w:sz="0" w:space="0" w:color="auto"/>
        <w:left w:val="none" w:sz="0" w:space="0" w:color="auto"/>
        <w:bottom w:val="none" w:sz="0" w:space="0" w:color="auto"/>
        <w:right w:val="none" w:sz="0" w:space="0" w:color="auto"/>
      </w:divBdr>
    </w:div>
    <w:div w:id="1876964214">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53437670">
      <w:bodyDiv w:val="1"/>
      <w:marLeft w:val="0"/>
      <w:marRight w:val="0"/>
      <w:marTop w:val="0"/>
      <w:marBottom w:val="0"/>
      <w:divBdr>
        <w:top w:val="none" w:sz="0" w:space="0" w:color="auto"/>
        <w:left w:val="none" w:sz="0" w:space="0" w:color="auto"/>
        <w:bottom w:val="none" w:sz="0" w:space="0" w:color="auto"/>
        <w:right w:val="none" w:sz="0" w:space="0" w:color="auto"/>
      </w:divBdr>
      <w:divsChild>
        <w:div w:id="873805513">
          <w:marLeft w:val="0"/>
          <w:marRight w:val="0"/>
          <w:marTop w:val="0"/>
          <w:marBottom w:val="0"/>
          <w:divBdr>
            <w:top w:val="none" w:sz="0" w:space="0" w:color="auto"/>
            <w:left w:val="none" w:sz="0" w:space="0" w:color="auto"/>
            <w:bottom w:val="none" w:sz="0" w:space="0" w:color="auto"/>
            <w:right w:val="none" w:sz="0" w:space="0" w:color="auto"/>
          </w:divBdr>
        </w:div>
        <w:div w:id="1213230712">
          <w:marLeft w:val="0"/>
          <w:marRight w:val="0"/>
          <w:marTop w:val="0"/>
          <w:marBottom w:val="0"/>
          <w:divBdr>
            <w:top w:val="none" w:sz="0" w:space="0" w:color="auto"/>
            <w:left w:val="none" w:sz="0" w:space="0" w:color="auto"/>
            <w:bottom w:val="none" w:sz="0" w:space="0" w:color="auto"/>
            <w:right w:val="none" w:sz="0" w:space="0" w:color="auto"/>
          </w:divBdr>
        </w:div>
        <w:div w:id="335960360">
          <w:marLeft w:val="0"/>
          <w:marRight w:val="0"/>
          <w:marTop w:val="0"/>
          <w:marBottom w:val="0"/>
          <w:divBdr>
            <w:top w:val="none" w:sz="0" w:space="0" w:color="auto"/>
            <w:left w:val="none" w:sz="0" w:space="0" w:color="auto"/>
            <w:bottom w:val="none" w:sz="0" w:space="0" w:color="auto"/>
            <w:right w:val="none" w:sz="0" w:space="0" w:color="auto"/>
          </w:divBdr>
        </w:div>
        <w:div w:id="1894808074">
          <w:marLeft w:val="0"/>
          <w:marRight w:val="0"/>
          <w:marTop w:val="0"/>
          <w:marBottom w:val="0"/>
          <w:divBdr>
            <w:top w:val="none" w:sz="0" w:space="0" w:color="auto"/>
            <w:left w:val="none" w:sz="0" w:space="0" w:color="auto"/>
            <w:bottom w:val="none" w:sz="0" w:space="0" w:color="auto"/>
            <w:right w:val="none" w:sz="0" w:space="0" w:color="auto"/>
          </w:divBdr>
        </w:div>
      </w:divsChild>
    </w:div>
    <w:div w:id="1970819806">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38432787">
      <w:bodyDiv w:val="1"/>
      <w:marLeft w:val="0"/>
      <w:marRight w:val="0"/>
      <w:marTop w:val="0"/>
      <w:marBottom w:val="0"/>
      <w:divBdr>
        <w:top w:val="none" w:sz="0" w:space="0" w:color="auto"/>
        <w:left w:val="none" w:sz="0" w:space="0" w:color="auto"/>
        <w:bottom w:val="none" w:sz="0" w:space="0" w:color="auto"/>
        <w:right w:val="none" w:sz="0" w:space="0" w:color="auto"/>
      </w:divBdr>
    </w:div>
    <w:div w:id="2071994726">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2433870">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jpeg"/><Relationship Id="rId19" Type="http://schemas.openxmlformats.org/officeDocument/2006/relationships/image" Target="media/image13.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s>
</file>

<file path=word/_rels/footer2.xml.rels><?xml version="1.0" encoding="UTF-8" standalone="yes"?>
<Relationships xmlns="http://schemas.openxmlformats.org/package/2006/relationships"><Relationship Id="rId1" Type="http://schemas.openxmlformats.org/officeDocument/2006/relationships/image" Target="media/image2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3169-1850-4D1B-AB94-5C1899D1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6</TotalTime>
  <Pages>1</Pages>
  <Words>3835</Words>
  <Characters>22633</Characters>
  <Application>Microsoft Office Word</Application>
  <DocSecurity>0</DocSecurity>
  <Lines>188</Lines>
  <Paragraphs>52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26416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Hrivíková</dc:creator>
  <cp:lastModifiedBy>hrivikova2924</cp:lastModifiedBy>
  <cp:revision>4</cp:revision>
  <cp:lastPrinted>2018-11-02T09:15:00Z</cp:lastPrinted>
  <dcterms:created xsi:type="dcterms:W3CDTF">2018-11-14T14:50:00Z</dcterms:created>
  <dcterms:modified xsi:type="dcterms:W3CDTF">2018-11-14T14:54:00Z</dcterms:modified>
</cp:coreProperties>
</file>