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AB9AF" w14:textId="0190A9A3" w:rsidR="005152D9" w:rsidRPr="00184E20" w:rsidRDefault="00D95218" w:rsidP="005152D9">
      <w:pPr>
        <w:pStyle w:val="Nadpis1"/>
      </w:pPr>
      <w:bookmarkStart w:id="0" w:name="_Toc16089243"/>
      <w:r>
        <w:rPr>
          <w:lang w:eastAsia="en-US"/>
        </w:rPr>
        <w:t>8</w:t>
      </w:r>
      <w:r w:rsidR="00141782" w:rsidRPr="00360DE3">
        <w:rPr>
          <w:lang w:eastAsia="en-US"/>
        </w:rPr>
        <w:t xml:space="preserve">. </w:t>
      </w:r>
      <w:r w:rsidR="005152D9" w:rsidRPr="00184E20">
        <w:t>Domácnosti</w:t>
      </w:r>
      <w:bookmarkEnd w:id="0"/>
    </w:p>
    <w:p w14:paraId="5E023A40" w14:textId="56CB49E0" w:rsidR="005152D9" w:rsidRDefault="00D95218" w:rsidP="005152D9">
      <w:pPr>
        <w:pStyle w:val="Nadpis2"/>
      </w:pPr>
      <w:bookmarkStart w:id="1" w:name="_Toc16089244"/>
      <w:r>
        <w:t>8</w:t>
      </w:r>
      <w:r w:rsidR="005152D9">
        <w:t>.1 Příjmy domácností</w:t>
      </w:r>
      <w:bookmarkEnd w:id="1"/>
    </w:p>
    <w:tbl>
      <w:tblPr>
        <w:tblW w:w="9644" w:type="dxa"/>
        <w:tblInd w:w="-15" w:type="dxa"/>
        <w:tblLayout w:type="fixed"/>
        <w:tblCellMar>
          <w:left w:w="0" w:type="dxa"/>
          <w:right w:w="0" w:type="dxa"/>
        </w:tblCellMar>
        <w:tblLook w:val="00A0" w:firstRow="1" w:lastRow="0" w:firstColumn="1" w:lastColumn="0" w:noHBand="0" w:noVBand="0"/>
      </w:tblPr>
      <w:tblGrid>
        <w:gridCol w:w="1976"/>
        <w:gridCol w:w="277"/>
        <w:gridCol w:w="7391"/>
      </w:tblGrid>
      <w:tr w:rsidR="005152D9" w:rsidRPr="00157A87" w14:paraId="18D51280" w14:textId="77777777" w:rsidTr="00A54250">
        <w:trPr>
          <w:trHeight w:val="145"/>
        </w:trPr>
        <w:tc>
          <w:tcPr>
            <w:tcW w:w="1976" w:type="dxa"/>
          </w:tcPr>
          <w:p w14:paraId="168194A0" w14:textId="77777777" w:rsidR="005152D9" w:rsidRPr="00157A87" w:rsidRDefault="005152D9" w:rsidP="00A54250">
            <w:pPr>
              <w:pStyle w:val="Marginlie"/>
            </w:pPr>
            <w:r>
              <w:t>Hrubý disponibilní příjem domácností v loňském roce mimořádně silně vzrostl.</w:t>
            </w:r>
          </w:p>
        </w:tc>
        <w:tc>
          <w:tcPr>
            <w:tcW w:w="277" w:type="dxa"/>
          </w:tcPr>
          <w:p w14:paraId="042F7CC5" w14:textId="77777777" w:rsidR="005152D9" w:rsidRPr="00157A87" w:rsidRDefault="005152D9" w:rsidP="00A54250">
            <w:pPr>
              <w:pStyle w:val="Textpoznpodarou"/>
              <w:jc w:val="both"/>
              <w:rPr>
                <w:spacing w:val="-4"/>
              </w:rPr>
            </w:pPr>
          </w:p>
        </w:tc>
        <w:tc>
          <w:tcPr>
            <w:tcW w:w="7391" w:type="dxa"/>
          </w:tcPr>
          <w:p w14:paraId="2CD23F59" w14:textId="27960C49" w:rsidR="005152D9" w:rsidRPr="00157A87" w:rsidRDefault="005152D9" w:rsidP="00A54250">
            <w:r>
              <w:t>Hrubý disponibilní důchod (HDD) domácností v roce 2018 dosáhl 2 762,7</w:t>
            </w:r>
            <w:r w:rsidR="001F138C">
              <w:t> mld.</w:t>
            </w:r>
            <w:r>
              <w:t xml:space="preserve"> korun a meziročně se zvýšil o 186,8 mld</w:t>
            </w:r>
            <w:r>
              <w:rPr>
                <w:rStyle w:val="Znakapoznpodarou"/>
              </w:rPr>
              <w:footnoteReference w:id="1"/>
            </w:r>
            <w:r>
              <w:t>. Reálný přírůstek HDD loni činil 4,9</w:t>
            </w:r>
            <w:r w:rsidR="001D51EB">
              <w:t> %</w:t>
            </w:r>
            <w:r w:rsidRPr="009B00A5">
              <w:rPr>
                <w:rStyle w:val="Znakapoznpodarou"/>
              </w:rPr>
              <w:footnoteReference w:id="2"/>
            </w:r>
            <w:r>
              <w:t xml:space="preserve"> a</w:t>
            </w:r>
            <w:r w:rsidR="00376C3B">
              <w:t> </w:t>
            </w:r>
            <w:r>
              <w:t>byl druhý nejvyšší v časové řadě (překonal jej rok 2006). Rozdíl mezi nominálním a</w:t>
            </w:r>
            <w:r w:rsidR="00376C3B">
              <w:t> </w:t>
            </w:r>
            <w:r>
              <w:t>reálným přírůstkem loni činil 2,4 p.</w:t>
            </w:r>
            <w:r w:rsidR="00376C3B">
              <w:t> </w:t>
            </w:r>
            <w:r>
              <w:t>b. a byl stejný jako v předchozím roce. Struktura HDD ukazuje, že domácnosti čerpaly zejména z pnutí na trhu práce a</w:t>
            </w:r>
            <w:r w:rsidR="00376C3B">
              <w:t> </w:t>
            </w:r>
            <w:r>
              <w:t>souvisejícího</w:t>
            </w:r>
            <w:r w:rsidR="00376C3B">
              <w:t xml:space="preserve"> </w:t>
            </w:r>
            <w:r>
              <w:t>nárůstu mzdových příjmů. Mimořádně silně se zvýšil rovněž hrubý provozní přebytek a hrubý smíšený důchod. Nezanedbatelná byla hodnota zboží a</w:t>
            </w:r>
            <w:r w:rsidR="00376C3B">
              <w:t> </w:t>
            </w:r>
            <w:r>
              <w:t>služeb, které domácnosti obdržely ve formě naturálních sociálních transferů</w:t>
            </w:r>
            <w:r>
              <w:rPr>
                <w:rStyle w:val="Znakapoznpodarou"/>
              </w:rPr>
              <w:footnoteReference w:id="3"/>
            </w:r>
            <w:r>
              <w:t xml:space="preserve"> (599,0</w:t>
            </w:r>
            <w:r w:rsidR="001F138C">
              <w:t> mld.</w:t>
            </w:r>
            <w:r>
              <w:t xml:space="preserve"> korun). Ty tvořily 17,8</w:t>
            </w:r>
            <w:r w:rsidR="001D51EB">
              <w:t> %</w:t>
            </w:r>
            <w:r>
              <w:t xml:space="preserve"> z hrubého upraveného disponibilního důchodu, který vzniká jejich přičtením k HDD a loni dosahoval 3 361,7</w:t>
            </w:r>
            <w:r w:rsidR="001F138C">
              <w:t> mld.</w:t>
            </w:r>
            <w:r>
              <w:t xml:space="preserve"> korun. Meziroční přírůstek naturálních sociálních transferů činil 51,5</w:t>
            </w:r>
            <w:r w:rsidR="001F138C">
              <w:t> mld.</w:t>
            </w:r>
            <w:r>
              <w:t xml:space="preserve"> korun. Dynamika tak i</w:t>
            </w:r>
            <w:r w:rsidR="00376C3B">
              <w:t> </w:t>
            </w:r>
            <w:r>
              <w:t>v porovnání s velmi silným rokem 2017 zrychlila. Zesílil totiž vliv rostoucích mzdových nákladů v odvětvích s dominancí vládního sektoru, který služby obyvatelům poskytuje.</w:t>
            </w:r>
          </w:p>
        </w:tc>
      </w:tr>
      <w:tr w:rsidR="005152D9" w:rsidRPr="00894C66" w14:paraId="00D81761" w14:textId="77777777" w:rsidTr="00A54250">
        <w:tc>
          <w:tcPr>
            <w:tcW w:w="1976" w:type="dxa"/>
            <w:vMerge w:val="restart"/>
          </w:tcPr>
          <w:p w14:paraId="413371D2" w14:textId="77777777" w:rsidR="005152D9" w:rsidRDefault="005152D9" w:rsidP="00A54250">
            <w:pPr>
              <w:pStyle w:val="Marginlie"/>
            </w:pPr>
          </w:p>
        </w:tc>
        <w:tc>
          <w:tcPr>
            <w:tcW w:w="277" w:type="dxa"/>
            <w:vMerge w:val="restart"/>
          </w:tcPr>
          <w:p w14:paraId="6DA25D67" w14:textId="77777777" w:rsidR="005152D9" w:rsidRPr="005E4483" w:rsidRDefault="005152D9" w:rsidP="00A54250">
            <w:pPr>
              <w:pStyle w:val="Textpoznpodarou"/>
              <w:jc w:val="both"/>
              <w:rPr>
                <w:spacing w:val="-4"/>
              </w:rPr>
            </w:pPr>
          </w:p>
        </w:tc>
        <w:tc>
          <w:tcPr>
            <w:tcW w:w="7391" w:type="dxa"/>
          </w:tcPr>
          <w:p w14:paraId="08E629A3" w14:textId="3BC4ED7C" w:rsidR="005152D9" w:rsidRPr="004454DC" w:rsidRDefault="005152D9" w:rsidP="002A7679">
            <w:pPr>
              <w:spacing w:after="0"/>
              <w:rPr>
                <w:b/>
              </w:rPr>
            </w:pPr>
            <w:r>
              <w:rPr>
                <w:b/>
              </w:rPr>
              <w:t xml:space="preserve">Graf č. </w:t>
            </w:r>
            <w:r w:rsidR="00884A6F">
              <w:rPr>
                <w:b/>
              </w:rPr>
              <w:t>1</w:t>
            </w:r>
            <w:r w:rsidR="002A7679">
              <w:rPr>
                <w:b/>
              </w:rPr>
              <w:t>2</w:t>
            </w:r>
            <w:r>
              <w:rPr>
                <w:b/>
              </w:rPr>
              <w:t xml:space="preserve">  Hrubý disponibilní důchod a mzdy a platy </w:t>
            </w:r>
            <w:r w:rsidRPr="002B50CB">
              <w:t>(meziroční růst v</w:t>
            </w:r>
            <w:r w:rsidR="001D51EB">
              <w:t> %</w:t>
            </w:r>
            <w:r w:rsidRPr="002B50CB">
              <w:t>)</w:t>
            </w:r>
          </w:p>
        </w:tc>
      </w:tr>
      <w:tr w:rsidR="005152D9" w:rsidRPr="00894C66" w14:paraId="7F9F423C" w14:textId="77777777" w:rsidTr="00A54250">
        <w:tblPrEx>
          <w:tblCellMar>
            <w:left w:w="70" w:type="dxa"/>
            <w:right w:w="70" w:type="dxa"/>
          </w:tblCellMar>
        </w:tblPrEx>
        <w:trPr>
          <w:trHeight w:val="170"/>
        </w:trPr>
        <w:tc>
          <w:tcPr>
            <w:tcW w:w="1976" w:type="dxa"/>
            <w:vMerge/>
          </w:tcPr>
          <w:p w14:paraId="7D058A73" w14:textId="77777777" w:rsidR="005152D9" w:rsidRDefault="005152D9" w:rsidP="00A54250">
            <w:pPr>
              <w:pStyle w:val="Marginlie"/>
            </w:pPr>
          </w:p>
        </w:tc>
        <w:tc>
          <w:tcPr>
            <w:tcW w:w="277" w:type="dxa"/>
            <w:vMerge/>
          </w:tcPr>
          <w:p w14:paraId="589D500B" w14:textId="77777777" w:rsidR="005152D9" w:rsidRPr="005E4483" w:rsidRDefault="005152D9" w:rsidP="00A54250">
            <w:pPr>
              <w:pStyle w:val="Textpoznpodarou"/>
              <w:jc w:val="both"/>
              <w:rPr>
                <w:spacing w:val="-4"/>
              </w:rPr>
            </w:pPr>
          </w:p>
        </w:tc>
        <w:tc>
          <w:tcPr>
            <w:tcW w:w="7391" w:type="dxa"/>
          </w:tcPr>
          <w:p w14:paraId="26149B87" w14:textId="77777777" w:rsidR="005152D9" w:rsidRDefault="005152D9" w:rsidP="00A54250">
            <w:pPr>
              <w:spacing w:after="0"/>
            </w:pPr>
            <w:r>
              <w:rPr>
                <w:noProof/>
              </w:rPr>
              <w:drawing>
                <wp:inline distT="0" distB="0" distL="0" distR="0" wp14:anchorId="35E6209F" wp14:editId="587E5637">
                  <wp:extent cx="4686935" cy="3514725"/>
                  <wp:effectExtent l="0" t="0" r="0" b="0"/>
                  <wp:docPr id="120" name="Graf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5152D9" w:rsidRPr="00894C66" w14:paraId="5E11756A" w14:textId="77777777" w:rsidTr="00A54250">
        <w:trPr>
          <w:trHeight w:val="170"/>
        </w:trPr>
        <w:tc>
          <w:tcPr>
            <w:tcW w:w="1976" w:type="dxa"/>
            <w:vMerge/>
          </w:tcPr>
          <w:p w14:paraId="1BBD00D8" w14:textId="77777777" w:rsidR="005152D9" w:rsidRDefault="005152D9" w:rsidP="00A54250">
            <w:pPr>
              <w:pStyle w:val="Marginlie"/>
            </w:pPr>
          </w:p>
        </w:tc>
        <w:tc>
          <w:tcPr>
            <w:tcW w:w="277" w:type="dxa"/>
            <w:vMerge/>
          </w:tcPr>
          <w:p w14:paraId="3CD61A7D" w14:textId="77777777" w:rsidR="005152D9" w:rsidRPr="005E4483" w:rsidRDefault="005152D9" w:rsidP="00A54250">
            <w:pPr>
              <w:pStyle w:val="Textpoznpodarou"/>
              <w:jc w:val="both"/>
              <w:rPr>
                <w:spacing w:val="-4"/>
              </w:rPr>
            </w:pPr>
          </w:p>
        </w:tc>
        <w:tc>
          <w:tcPr>
            <w:tcW w:w="7391" w:type="dxa"/>
          </w:tcPr>
          <w:p w14:paraId="7CC2F3D7" w14:textId="485E2080" w:rsidR="005152D9" w:rsidRPr="00A1151F" w:rsidRDefault="005152D9" w:rsidP="00A54250">
            <w:pPr>
              <w:rPr>
                <w:sz w:val="14"/>
                <w:szCs w:val="14"/>
              </w:rPr>
            </w:pPr>
            <w:r>
              <w:rPr>
                <w:sz w:val="14"/>
                <w:szCs w:val="14"/>
              </w:rPr>
              <w:t xml:space="preserve">Zdroj: </w:t>
            </w:r>
            <w:r w:rsidR="00376C3B">
              <w:rPr>
                <w:sz w:val="14"/>
                <w:szCs w:val="14"/>
              </w:rPr>
              <w:t>Č</w:t>
            </w:r>
            <w:r>
              <w:rPr>
                <w:sz w:val="14"/>
                <w:szCs w:val="14"/>
              </w:rPr>
              <w:t>SÚ</w:t>
            </w:r>
          </w:p>
        </w:tc>
      </w:tr>
      <w:tr w:rsidR="005152D9" w:rsidRPr="00894C66" w14:paraId="16A8D122" w14:textId="77777777" w:rsidTr="00A54250">
        <w:trPr>
          <w:trHeight w:val="145"/>
        </w:trPr>
        <w:tc>
          <w:tcPr>
            <w:tcW w:w="1976" w:type="dxa"/>
          </w:tcPr>
          <w:p w14:paraId="5ED25C84" w14:textId="5E11B8E6" w:rsidR="005152D9" w:rsidRDefault="005152D9" w:rsidP="00A54250">
            <w:pPr>
              <w:pStyle w:val="Marginlie"/>
            </w:pPr>
            <w:r>
              <w:t>Hlavní úlohu v tom měly příjmy domácností ze zaměstnání.</w:t>
            </w:r>
          </w:p>
          <w:p w14:paraId="47341B34" w14:textId="77777777" w:rsidR="005152D9" w:rsidRDefault="005152D9" w:rsidP="00A54250">
            <w:pPr>
              <w:pStyle w:val="Marginlie"/>
            </w:pPr>
          </w:p>
          <w:p w14:paraId="35047F45" w14:textId="77777777" w:rsidR="005152D9" w:rsidRDefault="005152D9" w:rsidP="00A54250">
            <w:pPr>
              <w:pStyle w:val="Marginlie"/>
            </w:pPr>
          </w:p>
          <w:p w14:paraId="08934AB1" w14:textId="77777777" w:rsidR="005152D9" w:rsidRDefault="005152D9" w:rsidP="00A54250">
            <w:pPr>
              <w:pStyle w:val="Marginlie"/>
            </w:pPr>
          </w:p>
          <w:p w14:paraId="15A52CDD" w14:textId="77777777" w:rsidR="005152D9" w:rsidRDefault="005152D9" w:rsidP="00A54250">
            <w:pPr>
              <w:pStyle w:val="Marginlie"/>
            </w:pPr>
          </w:p>
          <w:p w14:paraId="7CB6D57A" w14:textId="77777777" w:rsidR="005152D9" w:rsidRDefault="005152D9" w:rsidP="00A54250">
            <w:pPr>
              <w:pStyle w:val="Marginlie"/>
            </w:pPr>
          </w:p>
          <w:p w14:paraId="0D289632" w14:textId="77777777" w:rsidR="005152D9" w:rsidRDefault="005152D9" w:rsidP="00A54250">
            <w:pPr>
              <w:pStyle w:val="Marginlie"/>
            </w:pPr>
          </w:p>
          <w:p w14:paraId="6916ACCA" w14:textId="77777777" w:rsidR="005152D9" w:rsidRDefault="005152D9" w:rsidP="00A54250">
            <w:pPr>
              <w:pStyle w:val="Marginlie"/>
            </w:pPr>
          </w:p>
          <w:p w14:paraId="25EFBD2B" w14:textId="77777777" w:rsidR="005152D9" w:rsidRDefault="005152D9" w:rsidP="00A54250">
            <w:pPr>
              <w:pStyle w:val="Marginlie"/>
            </w:pPr>
          </w:p>
          <w:p w14:paraId="7938D0CB" w14:textId="18942290" w:rsidR="005152D9" w:rsidRDefault="005152D9" w:rsidP="00A54250">
            <w:pPr>
              <w:pStyle w:val="Marginlie"/>
            </w:pPr>
            <w:r>
              <w:t>Výrazně se ale navýšil i</w:t>
            </w:r>
            <w:r w:rsidR="00376C3B">
              <w:t> </w:t>
            </w:r>
            <w:r>
              <w:t>hrubý smíšený důchod.</w:t>
            </w:r>
          </w:p>
        </w:tc>
        <w:tc>
          <w:tcPr>
            <w:tcW w:w="277" w:type="dxa"/>
          </w:tcPr>
          <w:p w14:paraId="13AEE21A" w14:textId="77777777" w:rsidR="005152D9" w:rsidRPr="005E4483" w:rsidRDefault="005152D9" w:rsidP="00A54250">
            <w:pPr>
              <w:pStyle w:val="Textpoznpodarou"/>
              <w:jc w:val="both"/>
              <w:rPr>
                <w:spacing w:val="-4"/>
              </w:rPr>
            </w:pPr>
          </w:p>
        </w:tc>
        <w:tc>
          <w:tcPr>
            <w:tcW w:w="7391" w:type="dxa"/>
          </w:tcPr>
          <w:p w14:paraId="3724B7B8" w14:textId="4A9EEDC8" w:rsidR="005152D9" w:rsidRPr="007834C9" w:rsidRDefault="005152D9" w:rsidP="00A54250">
            <w:r>
              <w:t>Náhrady zaměstnancům jsou největší částí disponibilního důchodu českých domácností a loni vzrostly o 194,7</w:t>
            </w:r>
            <w:r w:rsidR="001F138C">
              <w:t> mld.</w:t>
            </w:r>
            <w:r>
              <w:t xml:space="preserve"> korun a vyšplhaly na 2 321,6</w:t>
            </w:r>
            <w:r w:rsidR="001F138C">
              <w:t> mld.</w:t>
            </w:r>
            <w:r>
              <w:t xml:space="preserve"> Náhrady jsou tvořeny samotnými mzdami a platy a dále sociálními příspěvky zaměstnavatelů. Objem mezd a platů loni dosáhl 1 760,5</w:t>
            </w:r>
            <w:r w:rsidR="001F138C">
              <w:t> mld.</w:t>
            </w:r>
            <w:r>
              <w:t xml:space="preserve"> korun a nominálně se zvýšil o 144,8</w:t>
            </w:r>
            <w:r w:rsidR="001F138C">
              <w:t> mld.</w:t>
            </w:r>
            <w:r>
              <w:t xml:space="preserve"> (9,0</w:t>
            </w:r>
            <w:r w:rsidR="001D51EB">
              <w:t> %</w:t>
            </w:r>
            <w:r>
              <w:t>). Tvoří tak naprostou většinu z celkového nárůstu HDD. Reálně se mzdové příjmy domácností zvýšily o 6,6</w:t>
            </w:r>
            <w:r w:rsidR="001D51EB">
              <w:t> %</w:t>
            </w:r>
            <w:r>
              <w:t xml:space="preserve">. Díky kombinaci výjimečně silného nominálního navýšení, ale rovněž </w:t>
            </w:r>
            <w:r w:rsidR="00260FC5">
              <w:t xml:space="preserve">mírnějšího </w:t>
            </w:r>
            <w:r>
              <w:t xml:space="preserve">růstu cenové </w:t>
            </w:r>
            <w:r>
              <w:lastRenderedPageBreak/>
              <w:t>hladiny než v poslední konjunktuře v období 2007</w:t>
            </w:r>
            <w:r w:rsidR="001F138C">
              <w:t>–</w:t>
            </w:r>
            <w:r>
              <w:t>2008 jde o rekordní nárůst (nejvyšší v dostupné časové řadě). Výraznou část vysokého meziročního nárůstu HDD tvořilo i mimořádné navýšení hrubého smíšeného důchodu</w:t>
            </w:r>
            <w:r>
              <w:rPr>
                <w:rStyle w:val="Znakapoznpodarou"/>
              </w:rPr>
              <w:footnoteReference w:id="4"/>
            </w:r>
            <w:r>
              <w:t>. To dosáhlo 48,2 mld. korun, nejvíce v dostupné řadě. Částečně se na tom projevil i</w:t>
            </w:r>
            <w:r w:rsidR="00376C3B">
              <w:t> </w:t>
            </w:r>
            <w:r>
              <w:t>nárůst počtu osob samostatně výdělečně činných (o</w:t>
            </w:r>
            <w:r w:rsidR="00376C3B">
              <w:t> </w:t>
            </w:r>
            <w:r>
              <w:t>2,5</w:t>
            </w:r>
            <w:r w:rsidR="00376C3B">
              <w:t> </w:t>
            </w:r>
            <w:r>
              <w:t>tisíce). Hrubý provozní přebytek</w:t>
            </w:r>
            <w:r>
              <w:rPr>
                <w:rStyle w:val="Znakapoznpodarou"/>
              </w:rPr>
              <w:footnoteReference w:id="5"/>
            </w:r>
            <w:r>
              <w:t xml:space="preserve"> rovněž narostl nejvíce v dostupné řadě (o</w:t>
            </w:r>
            <w:r w:rsidR="00376C3B">
              <w:t> </w:t>
            </w:r>
            <w:r>
              <w:t>22,3</w:t>
            </w:r>
            <w:r w:rsidR="001F138C">
              <w:t> mld.</w:t>
            </w:r>
            <w:r>
              <w:t xml:space="preserve"> korun).</w:t>
            </w:r>
          </w:p>
        </w:tc>
      </w:tr>
      <w:tr w:rsidR="005152D9" w:rsidRPr="00894C66" w14:paraId="7FB3A393" w14:textId="77777777" w:rsidTr="00A54250">
        <w:trPr>
          <w:trHeight w:val="145"/>
        </w:trPr>
        <w:tc>
          <w:tcPr>
            <w:tcW w:w="1976" w:type="dxa"/>
          </w:tcPr>
          <w:p w14:paraId="656BBD2C" w14:textId="77777777" w:rsidR="005152D9" w:rsidRDefault="00B23055" w:rsidP="00A54250">
            <w:pPr>
              <w:pStyle w:val="Marginlie"/>
            </w:pPr>
            <w:r>
              <w:t>Saldo důchodů z vlastnictví k růstu HDD nepřispělo.</w:t>
            </w:r>
          </w:p>
        </w:tc>
        <w:tc>
          <w:tcPr>
            <w:tcW w:w="277" w:type="dxa"/>
          </w:tcPr>
          <w:p w14:paraId="7145272F" w14:textId="77777777" w:rsidR="005152D9" w:rsidRPr="005E4483" w:rsidRDefault="005152D9" w:rsidP="00A54250">
            <w:pPr>
              <w:pStyle w:val="Textpoznpodarou"/>
              <w:jc w:val="both"/>
              <w:rPr>
                <w:spacing w:val="-4"/>
              </w:rPr>
            </w:pPr>
          </w:p>
        </w:tc>
        <w:tc>
          <w:tcPr>
            <w:tcW w:w="7391" w:type="dxa"/>
          </w:tcPr>
          <w:p w14:paraId="04FD2CFD" w14:textId="77777777" w:rsidR="005152D9" w:rsidRPr="007834C9" w:rsidRDefault="005152D9" w:rsidP="00B23055">
            <w:r>
              <w:t>Saldo důchodů z vlastnictví loni ke změně hrubého disponibilního důchodu domácností téměř nepřispělo. Meziročně se snížilo o 0,5</w:t>
            </w:r>
            <w:r w:rsidR="001F138C">
              <w:t> mld.</w:t>
            </w:r>
            <w:r>
              <w:t xml:space="preserve"> korun a dosáhlo 148,9</w:t>
            </w:r>
            <w:r w:rsidR="001F138C">
              <w:t> mld.</w:t>
            </w:r>
            <w:r>
              <w:t xml:space="preserve"> Důchody z vlastnictví nejsou v českém prostředí významným zdrojem příjmů domácností a v situaci přetrvávajících nízkých úrokových sazeb posledních let se jejich role dále redukovala. Důchody domácností z vlastnictví loni dosáhly 171,5 mld. korun a meziročně se zvýšily o 6,5</w:t>
            </w:r>
            <w:r w:rsidR="001F138C">
              <w:t> mld.</w:t>
            </w:r>
            <w:r>
              <w:t xml:space="preserve"> </w:t>
            </w:r>
            <w:r w:rsidR="00B23055">
              <w:t>U</w:t>
            </w:r>
            <w:r>
              <w:t xml:space="preserve"> pasiv došlo rovněž k výraznému navýšení placených úroků (6,8</w:t>
            </w:r>
            <w:r w:rsidR="001F138C">
              <w:t> mld.</w:t>
            </w:r>
            <w:r>
              <w:t xml:space="preserve"> korun).</w:t>
            </w:r>
          </w:p>
        </w:tc>
      </w:tr>
      <w:tr w:rsidR="005152D9" w:rsidRPr="00894C66" w14:paraId="2C8A9B7D" w14:textId="77777777" w:rsidTr="00A54250">
        <w:trPr>
          <w:trHeight w:val="145"/>
        </w:trPr>
        <w:tc>
          <w:tcPr>
            <w:tcW w:w="1976" w:type="dxa"/>
          </w:tcPr>
          <w:p w14:paraId="29972B0D" w14:textId="54BA0F50" w:rsidR="005152D9" w:rsidRDefault="005152D9" w:rsidP="00A54250">
            <w:pPr>
              <w:pStyle w:val="Marginlie"/>
            </w:pPr>
            <w:r>
              <w:t>Mimořádný růst mezd navýšil výběr daní i</w:t>
            </w:r>
            <w:r w:rsidR="00807674">
              <w:t> </w:t>
            </w:r>
            <w:r>
              <w:t>sociálních příspěvků</w:t>
            </w:r>
            <w:r w:rsidR="00807674">
              <w:t>,</w:t>
            </w:r>
            <w:r>
              <w:t xml:space="preserve"> a</w:t>
            </w:r>
            <w:r w:rsidR="00807674">
              <w:t> </w:t>
            </w:r>
            <w:r>
              <w:t>saldo druhotného rozdělení tak kleslo.</w:t>
            </w:r>
          </w:p>
        </w:tc>
        <w:tc>
          <w:tcPr>
            <w:tcW w:w="277" w:type="dxa"/>
          </w:tcPr>
          <w:p w14:paraId="275B53E3" w14:textId="77777777" w:rsidR="005152D9" w:rsidRPr="005E4483" w:rsidRDefault="005152D9" w:rsidP="00A54250">
            <w:pPr>
              <w:pStyle w:val="Textpoznpodarou"/>
              <w:jc w:val="both"/>
              <w:rPr>
                <w:spacing w:val="-4"/>
              </w:rPr>
            </w:pPr>
          </w:p>
        </w:tc>
        <w:tc>
          <w:tcPr>
            <w:tcW w:w="7391" w:type="dxa"/>
          </w:tcPr>
          <w:p w14:paraId="75ADEDD9" w14:textId="1A9A30D2" w:rsidR="005152D9" w:rsidRPr="007834C9" w:rsidRDefault="005152D9" w:rsidP="00425F45">
            <w:r>
              <w:t xml:space="preserve">Saldo druhotného rozdělení i v roce 2018 zůstalo kladné, ale šest let v řadě klesalo, což vedlo k tomu, že jeho hodnota </w:t>
            </w:r>
            <w:r w:rsidR="00425F45">
              <w:t>46,8</w:t>
            </w:r>
            <w:r w:rsidR="001F138C">
              <w:t> mld.</w:t>
            </w:r>
            <w:r>
              <w:t xml:space="preserve"> korun byla nejnižší od roku 200</w:t>
            </w:r>
            <w:r w:rsidR="00425F45">
              <w:t>5</w:t>
            </w:r>
            <w:r>
              <w:t xml:space="preserve">. </w:t>
            </w:r>
            <w:r w:rsidR="00425F45">
              <w:t>Meziroční pokles loni činil 28,8</w:t>
            </w:r>
            <w:r w:rsidR="001F138C">
              <w:t> mld.</w:t>
            </w:r>
            <w:r>
              <w:t xml:space="preserve"> korun. Na straně zdrojů vzrostl objem vyplacených sociálních příspěvků a dávek o 31,5</w:t>
            </w:r>
            <w:r w:rsidR="001F138C">
              <w:t> mld.</w:t>
            </w:r>
            <w:r>
              <w:t xml:space="preserve"> korun a ostatní běžné transfery o 35,7</w:t>
            </w:r>
            <w:r w:rsidR="001F138C">
              <w:t> mld.</w:t>
            </w:r>
            <w:r>
              <w:t xml:space="preserve"> Pozitivní ekonomický vývoj a prudký růst mezd ale způsobil</w:t>
            </w:r>
            <w:r w:rsidR="00807674">
              <w:t>y</w:t>
            </w:r>
            <w:r>
              <w:t xml:space="preserve"> mnohem větší navýšení objemu prostředků na straně užití. Výše odvedených běžných daní rostla o 32,4</w:t>
            </w:r>
            <w:r w:rsidR="001F138C">
              <w:t> mld.</w:t>
            </w:r>
            <w:r>
              <w:t xml:space="preserve"> korun, odvedené sociální příspěvky a dávky se navýšily o 74,4</w:t>
            </w:r>
            <w:r w:rsidR="001F138C">
              <w:t> mld.</w:t>
            </w:r>
            <w:r>
              <w:t xml:space="preserve"> Ostatní běžné transfery ze strany domácností rostly o</w:t>
            </w:r>
            <w:r w:rsidR="00807674">
              <w:t> </w:t>
            </w:r>
            <w:r>
              <w:t>38,3</w:t>
            </w:r>
            <w:r w:rsidR="00B23055">
              <w:t> </w:t>
            </w:r>
            <w:r>
              <w:t>mld. korun.</w:t>
            </w:r>
          </w:p>
        </w:tc>
      </w:tr>
      <w:tr w:rsidR="005152D9" w:rsidRPr="00894C66" w14:paraId="02A4A8B5" w14:textId="77777777" w:rsidTr="00A54250">
        <w:trPr>
          <w:trHeight w:val="170"/>
        </w:trPr>
        <w:tc>
          <w:tcPr>
            <w:tcW w:w="1976" w:type="dxa"/>
            <w:vMerge w:val="restart"/>
          </w:tcPr>
          <w:p w14:paraId="5C7BD569" w14:textId="77777777" w:rsidR="005152D9" w:rsidRDefault="005152D9" w:rsidP="00A54250">
            <w:pPr>
              <w:pStyle w:val="Marginlie"/>
            </w:pPr>
          </w:p>
        </w:tc>
        <w:tc>
          <w:tcPr>
            <w:tcW w:w="277" w:type="dxa"/>
            <w:vMerge w:val="restart"/>
          </w:tcPr>
          <w:p w14:paraId="15B71688" w14:textId="77777777" w:rsidR="005152D9" w:rsidRPr="005E4483" w:rsidRDefault="005152D9" w:rsidP="00A54250">
            <w:pPr>
              <w:pStyle w:val="Textpoznpodarou"/>
              <w:jc w:val="both"/>
              <w:rPr>
                <w:spacing w:val="-4"/>
              </w:rPr>
            </w:pPr>
          </w:p>
        </w:tc>
        <w:tc>
          <w:tcPr>
            <w:tcW w:w="7391" w:type="dxa"/>
          </w:tcPr>
          <w:p w14:paraId="2BE81CC6" w14:textId="5C5E1D80" w:rsidR="005152D9" w:rsidRPr="00D25CDB" w:rsidRDefault="005152D9" w:rsidP="00884A6F">
            <w:pPr>
              <w:spacing w:after="0"/>
              <w:rPr>
                <w:b/>
              </w:rPr>
            </w:pPr>
            <w:r>
              <w:rPr>
                <w:b/>
              </w:rPr>
              <w:t xml:space="preserve">Graf č. </w:t>
            </w:r>
            <w:r w:rsidR="002A7679">
              <w:rPr>
                <w:b/>
              </w:rPr>
              <w:t>13</w:t>
            </w:r>
            <w:r>
              <w:rPr>
                <w:b/>
              </w:rPr>
              <w:t xml:space="preserve">  </w:t>
            </w:r>
            <w:r w:rsidRPr="009B00A5">
              <w:rPr>
                <w:b/>
              </w:rPr>
              <w:t>Hrubý disponibilní důchod domácností</w:t>
            </w:r>
            <w:r w:rsidRPr="009B00A5">
              <w:t xml:space="preserve"> (meziroční změna v mld. korun)</w:t>
            </w:r>
          </w:p>
        </w:tc>
      </w:tr>
      <w:tr w:rsidR="005152D9" w:rsidRPr="00894C66" w14:paraId="00DC322D" w14:textId="77777777" w:rsidTr="00B23055">
        <w:tblPrEx>
          <w:tblCellMar>
            <w:left w:w="70" w:type="dxa"/>
            <w:right w:w="70" w:type="dxa"/>
          </w:tblCellMar>
        </w:tblPrEx>
        <w:trPr>
          <w:trHeight w:val="170"/>
        </w:trPr>
        <w:tc>
          <w:tcPr>
            <w:tcW w:w="1976" w:type="dxa"/>
            <w:vMerge/>
          </w:tcPr>
          <w:p w14:paraId="01E8D3E4" w14:textId="77777777" w:rsidR="005152D9" w:rsidRDefault="005152D9" w:rsidP="00A54250">
            <w:pPr>
              <w:pStyle w:val="Marginlie"/>
            </w:pPr>
          </w:p>
        </w:tc>
        <w:tc>
          <w:tcPr>
            <w:tcW w:w="277" w:type="dxa"/>
            <w:vMerge/>
          </w:tcPr>
          <w:p w14:paraId="5C1584C8" w14:textId="77777777" w:rsidR="005152D9" w:rsidRPr="005E4483" w:rsidRDefault="005152D9" w:rsidP="00A54250">
            <w:pPr>
              <w:pStyle w:val="Textpoznpodarou"/>
              <w:jc w:val="both"/>
              <w:rPr>
                <w:spacing w:val="-4"/>
              </w:rPr>
            </w:pPr>
          </w:p>
        </w:tc>
        <w:tc>
          <w:tcPr>
            <w:tcW w:w="7391" w:type="dxa"/>
          </w:tcPr>
          <w:p w14:paraId="4093CAE9" w14:textId="77777777" w:rsidR="005152D9" w:rsidRDefault="00B23055" w:rsidP="00A54250">
            <w:pPr>
              <w:spacing w:after="0"/>
            </w:pPr>
            <w:r>
              <w:rPr>
                <w:noProof/>
              </w:rPr>
              <w:drawing>
                <wp:inline distT="0" distB="0" distL="0" distR="0" wp14:anchorId="01BE6FC0" wp14:editId="01D1BE38">
                  <wp:extent cx="4604385" cy="36830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5152D9" w:rsidRPr="00894C66" w14:paraId="20C8179C" w14:textId="77777777" w:rsidTr="00A54250">
        <w:trPr>
          <w:trHeight w:val="170"/>
        </w:trPr>
        <w:tc>
          <w:tcPr>
            <w:tcW w:w="1976" w:type="dxa"/>
            <w:vMerge/>
          </w:tcPr>
          <w:p w14:paraId="1A7DA08C" w14:textId="77777777" w:rsidR="005152D9" w:rsidRDefault="005152D9" w:rsidP="00A54250">
            <w:pPr>
              <w:pStyle w:val="Marginlie"/>
            </w:pPr>
          </w:p>
        </w:tc>
        <w:tc>
          <w:tcPr>
            <w:tcW w:w="277" w:type="dxa"/>
            <w:vMerge/>
          </w:tcPr>
          <w:p w14:paraId="6084D72D" w14:textId="77777777" w:rsidR="005152D9" w:rsidRPr="005E4483" w:rsidRDefault="005152D9" w:rsidP="00A54250">
            <w:pPr>
              <w:pStyle w:val="Textpoznpodarou"/>
              <w:jc w:val="both"/>
              <w:rPr>
                <w:spacing w:val="-4"/>
              </w:rPr>
            </w:pPr>
          </w:p>
        </w:tc>
        <w:tc>
          <w:tcPr>
            <w:tcW w:w="7391" w:type="dxa"/>
          </w:tcPr>
          <w:p w14:paraId="633FC727" w14:textId="77777777" w:rsidR="005152D9" w:rsidRPr="00D25CDB" w:rsidRDefault="005152D9" w:rsidP="00A54250">
            <w:pPr>
              <w:rPr>
                <w:sz w:val="14"/>
                <w:szCs w:val="14"/>
              </w:rPr>
            </w:pPr>
            <w:r>
              <w:rPr>
                <w:sz w:val="14"/>
                <w:szCs w:val="14"/>
              </w:rPr>
              <w:t>Zdroj: ČSÚ</w:t>
            </w:r>
          </w:p>
        </w:tc>
      </w:tr>
    </w:tbl>
    <w:p w14:paraId="373E797D" w14:textId="42E4416E" w:rsidR="005152D9" w:rsidRDefault="00D95218" w:rsidP="005152D9">
      <w:pPr>
        <w:pStyle w:val="Nadpis2"/>
      </w:pPr>
      <w:bookmarkStart w:id="2" w:name="_Toc16089245"/>
      <w:r>
        <w:lastRenderedPageBreak/>
        <w:t>8</w:t>
      </w:r>
      <w:bookmarkStart w:id="3" w:name="_GoBack"/>
      <w:bookmarkEnd w:id="3"/>
      <w:r w:rsidR="005152D9">
        <w:t>.2 Výdaje domácností</w:t>
      </w:r>
      <w:bookmarkEnd w:id="2"/>
    </w:p>
    <w:tbl>
      <w:tblPr>
        <w:tblW w:w="9644" w:type="dxa"/>
        <w:tblInd w:w="-15" w:type="dxa"/>
        <w:tblLayout w:type="fixed"/>
        <w:tblCellMar>
          <w:left w:w="0" w:type="dxa"/>
          <w:right w:w="0" w:type="dxa"/>
        </w:tblCellMar>
        <w:tblLook w:val="00A0" w:firstRow="1" w:lastRow="0" w:firstColumn="1" w:lastColumn="0" w:noHBand="0" w:noVBand="0"/>
      </w:tblPr>
      <w:tblGrid>
        <w:gridCol w:w="1976"/>
        <w:gridCol w:w="277"/>
        <w:gridCol w:w="7391"/>
      </w:tblGrid>
      <w:tr w:rsidR="005152D9" w:rsidRPr="00157A87" w14:paraId="737C4F96" w14:textId="77777777" w:rsidTr="00884A6F">
        <w:trPr>
          <w:trHeight w:val="145"/>
        </w:trPr>
        <w:tc>
          <w:tcPr>
            <w:tcW w:w="1976" w:type="dxa"/>
          </w:tcPr>
          <w:p w14:paraId="72C784A0" w14:textId="77777777" w:rsidR="005152D9" w:rsidRPr="00157A87" w:rsidRDefault="005152D9" w:rsidP="00A54250">
            <w:pPr>
              <w:pStyle w:val="Marginlie"/>
            </w:pPr>
            <w:r>
              <w:t>Výdaje domácností na konečnou spotřebu se výrazně nominálně zvýšily. Reálný růst mírně zpomalil.</w:t>
            </w:r>
          </w:p>
        </w:tc>
        <w:tc>
          <w:tcPr>
            <w:tcW w:w="277" w:type="dxa"/>
          </w:tcPr>
          <w:p w14:paraId="6B37F49E" w14:textId="77777777" w:rsidR="005152D9" w:rsidRPr="00157A87" w:rsidRDefault="005152D9" w:rsidP="00A54250">
            <w:pPr>
              <w:pStyle w:val="Textpoznpodarou"/>
              <w:jc w:val="both"/>
              <w:rPr>
                <w:spacing w:val="-4"/>
              </w:rPr>
            </w:pPr>
          </w:p>
        </w:tc>
        <w:tc>
          <w:tcPr>
            <w:tcW w:w="7391" w:type="dxa"/>
          </w:tcPr>
          <w:p w14:paraId="5CB05366" w14:textId="7E8EEAC6" w:rsidR="005152D9" w:rsidRPr="00157A87" w:rsidRDefault="005152D9" w:rsidP="00A54250">
            <w:r>
              <w:t>Výdaje na konečnou spotřebu domácností v běžných cenách v roce 2018 dosáhly 2 495,0</w:t>
            </w:r>
            <w:r w:rsidR="001F138C">
              <w:t> mld.</w:t>
            </w:r>
            <w:r>
              <w:t xml:space="preserve"> korun a meziročně se zvýšily o 133,7</w:t>
            </w:r>
            <w:r w:rsidR="001F138C">
              <w:t> mld.</w:t>
            </w:r>
            <w:r>
              <w:t xml:space="preserve"> Meziroční přírůstek byl mírně nižší než v předchozím roce, byl však druhý nejvyšší za posledních 10</w:t>
            </w:r>
            <w:r w:rsidR="005A5D45">
              <w:t> </w:t>
            </w:r>
            <w:r>
              <w:t>let. Reálný nárůst spotřeby domácností loni činil 3,3</w:t>
            </w:r>
            <w:r w:rsidR="001D51EB">
              <w:t> %</w:t>
            </w:r>
            <w:r>
              <w:t>. Kromě statků, na které domácnosti přímo vydávaly peněžní prostředky, loni domácnosti přijaly služby a</w:t>
            </w:r>
            <w:r w:rsidR="005A5D45">
              <w:t> </w:t>
            </w:r>
            <w:r>
              <w:t>zboží v podobě naturálních sociálních transferů ve výši 599,0</w:t>
            </w:r>
            <w:r w:rsidR="001F138C">
              <w:t> mld.</w:t>
            </w:r>
            <w:r>
              <w:t xml:space="preserve"> korun. Tato částka se meziročně zvýšila o 51,5</w:t>
            </w:r>
            <w:r w:rsidR="001F138C">
              <w:t> mld.</w:t>
            </w:r>
            <w:r>
              <w:t>, což je nejvíce v celém období od roku 1999, odkdy jsou dostupné časové řady sektorových účtů. Nárůst byl způsoben mzdovým vývojem, který se promítl do nárůstu cen takto poskytovaných služeb. Mírně zesílil podíl netržní produkce vládních institucí a neziskových institucí sloužících domácnostem (NISD) na 72,6</w:t>
            </w:r>
            <w:r w:rsidR="001D51EB">
              <w:t> %</w:t>
            </w:r>
            <w:r>
              <w:t xml:space="preserve"> oproti tržní produkci nakoupené vládními institucemi a NISD (27,4</w:t>
            </w:r>
            <w:r w:rsidR="001D51EB">
              <w:t> %</w:t>
            </w:r>
            <w:r>
              <w:t>). Vzhledem k silnějšímu nárůstu hrubého disponibilního důchodu při současném zmírnění růstu spotřeby došlo také k navýšení míry úspor</w:t>
            </w:r>
            <w:r>
              <w:rPr>
                <w:rStyle w:val="Znakapoznpodarou"/>
              </w:rPr>
              <w:footnoteReference w:id="6"/>
            </w:r>
            <w:r>
              <w:t>. Ta v roce 2017 spadla na mimořádně nízkou hodnotu 9,5</w:t>
            </w:r>
            <w:r w:rsidR="001D51EB">
              <w:t> %</w:t>
            </w:r>
            <w:r>
              <w:t xml:space="preserve"> a loni se zvedla na 10,8 %. I tak ukazatel zaostává za dlouhodobou úrovní, která se pohybuje nad</w:t>
            </w:r>
            <w:r w:rsidR="005A5D45">
              <w:t> </w:t>
            </w:r>
            <w:r>
              <w:t>11 %.</w:t>
            </w:r>
          </w:p>
        </w:tc>
      </w:tr>
      <w:tr w:rsidR="005152D9" w:rsidRPr="00894C66" w14:paraId="65F4A07B" w14:textId="77777777" w:rsidTr="00884A6F">
        <w:tc>
          <w:tcPr>
            <w:tcW w:w="1976" w:type="dxa"/>
            <w:vMerge w:val="restart"/>
          </w:tcPr>
          <w:p w14:paraId="03061E0A" w14:textId="77777777" w:rsidR="005152D9" w:rsidRDefault="005152D9" w:rsidP="00A54250">
            <w:pPr>
              <w:pStyle w:val="Marginlie"/>
            </w:pPr>
          </w:p>
        </w:tc>
        <w:tc>
          <w:tcPr>
            <w:tcW w:w="277" w:type="dxa"/>
            <w:vMerge w:val="restart"/>
          </w:tcPr>
          <w:p w14:paraId="1CBB1284" w14:textId="77777777" w:rsidR="005152D9" w:rsidRPr="005E4483" w:rsidRDefault="005152D9" w:rsidP="00A54250">
            <w:pPr>
              <w:pStyle w:val="Textpoznpodarou"/>
              <w:jc w:val="both"/>
              <w:rPr>
                <w:spacing w:val="-4"/>
              </w:rPr>
            </w:pPr>
          </w:p>
        </w:tc>
        <w:tc>
          <w:tcPr>
            <w:tcW w:w="7391" w:type="dxa"/>
          </w:tcPr>
          <w:p w14:paraId="4FC2243A" w14:textId="7C3FF57D" w:rsidR="005152D9" w:rsidRPr="004454DC" w:rsidRDefault="005152D9" w:rsidP="002A7679">
            <w:pPr>
              <w:spacing w:after="0"/>
              <w:rPr>
                <w:b/>
              </w:rPr>
            </w:pPr>
            <w:r>
              <w:rPr>
                <w:b/>
              </w:rPr>
              <w:t xml:space="preserve">Graf </w:t>
            </w:r>
            <w:r w:rsidR="00884A6F">
              <w:rPr>
                <w:b/>
              </w:rPr>
              <w:t>1</w:t>
            </w:r>
            <w:r w:rsidR="002A7679">
              <w:rPr>
                <w:b/>
              </w:rPr>
              <w:t>4</w:t>
            </w:r>
            <w:r>
              <w:rPr>
                <w:b/>
              </w:rPr>
              <w:t xml:space="preserve"> </w:t>
            </w:r>
            <w:r w:rsidR="004F6EDC">
              <w:rPr>
                <w:b/>
              </w:rPr>
              <w:t xml:space="preserve"> </w:t>
            </w:r>
            <w:r>
              <w:rPr>
                <w:b/>
              </w:rPr>
              <w:t xml:space="preserve">Vývoj výdajů na spotřebu domácností </w:t>
            </w:r>
            <w:r w:rsidRPr="008F7138">
              <w:t>(meziroční</w:t>
            </w:r>
            <w:r>
              <w:t xml:space="preserve"> změna výdajů v mld. korun)</w:t>
            </w:r>
            <w:r>
              <w:rPr>
                <w:b/>
              </w:rPr>
              <w:t xml:space="preserve">, míry úspor a míry investic </w:t>
            </w:r>
            <w:r w:rsidRPr="00212D97">
              <w:t>(</w:t>
            </w:r>
            <w:r>
              <w:t>v</w:t>
            </w:r>
            <w:r w:rsidR="001D51EB">
              <w:t> %</w:t>
            </w:r>
            <w:r>
              <w:t xml:space="preserve"> na pravé ose</w:t>
            </w:r>
            <w:r w:rsidRPr="0069736E">
              <w:t>)</w:t>
            </w:r>
          </w:p>
        </w:tc>
      </w:tr>
      <w:tr w:rsidR="005152D9" w:rsidRPr="00894C66" w14:paraId="7DD13468" w14:textId="77777777" w:rsidTr="00884A6F">
        <w:tblPrEx>
          <w:tblCellMar>
            <w:left w:w="70" w:type="dxa"/>
            <w:right w:w="70" w:type="dxa"/>
          </w:tblCellMar>
        </w:tblPrEx>
        <w:trPr>
          <w:trHeight w:val="170"/>
        </w:trPr>
        <w:tc>
          <w:tcPr>
            <w:tcW w:w="1976" w:type="dxa"/>
            <w:vMerge/>
          </w:tcPr>
          <w:p w14:paraId="74BD7F99" w14:textId="77777777" w:rsidR="005152D9" w:rsidRDefault="005152D9" w:rsidP="00A54250">
            <w:pPr>
              <w:pStyle w:val="Marginlie"/>
            </w:pPr>
          </w:p>
        </w:tc>
        <w:tc>
          <w:tcPr>
            <w:tcW w:w="277" w:type="dxa"/>
            <w:vMerge/>
          </w:tcPr>
          <w:p w14:paraId="24D50685" w14:textId="77777777" w:rsidR="005152D9" w:rsidRPr="005E4483" w:rsidRDefault="005152D9" w:rsidP="00A54250">
            <w:pPr>
              <w:pStyle w:val="Textpoznpodarou"/>
              <w:jc w:val="both"/>
              <w:rPr>
                <w:spacing w:val="-4"/>
              </w:rPr>
            </w:pPr>
          </w:p>
        </w:tc>
        <w:tc>
          <w:tcPr>
            <w:tcW w:w="7391" w:type="dxa"/>
          </w:tcPr>
          <w:p w14:paraId="1B67F290" w14:textId="77777777" w:rsidR="005152D9" w:rsidRDefault="005152D9" w:rsidP="00A54250">
            <w:pPr>
              <w:spacing w:after="0"/>
            </w:pPr>
            <w:r>
              <w:rPr>
                <w:noProof/>
              </w:rPr>
              <w:drawing>
                <wp:inline distT="0" distB="0" distL="0" distR="0" wp14:anchorId="667B16ED" wp14:editId="1B2B75DC">
                  <wp:extent cx="4686935" cy="3515360"/>
                  <wp:effectExtent l="0" t="0" r="0" b="8890"/>
                  <wp:docPr id="122" name="Graf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5152D9" w:rsidRPr="00894C66" w14:paraId="67AA166A" w14:textId="77777777" w:rsidTr="00884A6F">
        <w:trPr>
          <w:trHeight w:val="170"/>
        </w:trPr>
        <w:tc>
          <w:tcPr>
            <w:tcW w:w="1976" w:type="dxa"/>
            <w:vMerge/>
          </w:tcPr>
          <w:p w14:paraId="5DD47F87" w14:textId="77777777" w:rsidR="005152D9" w:rsidRDefault="005152D9" w:rsidP="00A54250">
            <w:pPr>
              <w:pStyle w:val="Marginlie"/>
            </w:pPr>
          </w:p>
        </w:tc>
        <w:tc>
          <w:tcPr>
            <w:tcW w:w="277" w:type="dxa"/>
            <w:vMerge/>
          </w:tcPr>
          <w:p w14:paraId="3C2D40B9" w14:textId="77777777" w:rsidR="005152D9" w:rsidRPr="005E4483" w:rsidRDefault="005152D9" w:rsidP="00A54250">
            <w:pPr>
              <w:pStyle w:val="Textpoznpodarou"/>
              <w:jc w:val="both"/>
              <w:rPr>
                <w:spacing w:val="-4"/>
              </w:rPr>
            </w:pPr>
          </w:p>
        </w:tc>
        <w:tc>
          <w:tcPr>
            <w:tcW w:w="7391" w:type="dxa"/>
          </w:tcPr>
          <w:p w14:paraId="2F18DB84" w14:textId="77777777" w:rsidR="005152D9" w:rsidRPr="00A1151F" w:rsidRDefault="005152D9" w:rsidP="00A54250">
            <w:pPr>
              <w:rPr>
                <w:sz w:val="14"/>
                <w:szCs w:val="14"/>
              </w:rPr>
            </w:pPr>
            <w:r>
              <w:rPr>
                <w:sz w:val="14"/>
                <w:szCs w:val="14"/>
              </w:rPr>
              <w:t>Zdroj: ČSÚ</w:t>
            </w:r>
          </w:p>
        </w:tc>
      </w:tr>
      <w:tr w:rsidR="005152D9" w:rsidRPr="00894C66" w14:paraId="259FC68C" w14:textId="77777777" w:rsidTr="00884A6F">
        <w:trPr>
          <w:trHeight w:val="145"/>
        </w:trPr>
        <w:tc>
          <w:tcPr>
            <w:tcW w:w="1976" w:type="dxa"/>
          </w:tcPr>
          <w:p w14:paraId="032ADAF2" w14:textId="77777777" w:rsidR="005152D9" w:rsidRPr="004A24B0" w:rsidRDefault="005152D9" w:rsidP="00A54250">
            <w:pPr>
              <w:pStyle w:val="Marginlie"/>
            </w:pPr>
            <w:r>
              <w:t>Zpomalení se týkalo zejména výdajů na zboží střednědobé spotřeby.</w:t>
            </w:r>
          </w:p>
        </w:tc>
        <w:tc>
          <w:tcPr>
            <w:tcW w:w="277" w:type="dxa"/>
          </w:tcPr>
          <w:p w14:paraId="1E1E21C0" w14:textId="77777777" w:rsidR="005152D9" w:rsidRPr="005E4483" w:rsidRDefault="005152D9" w:rsidP="00A54250">
            <w:pPr>
              <w:pStyle w:val="Textpoznpodarou"/>
              <w:jc w:val="both"/>
              <w:rPr>
                <w:spacing w:val="-4"/>
              </w:rPr>
            </w:pPr>
          </w:p>
        </w:tc>
        <w:tc>
          <w:tcPr>
            <w:tcW w:w="7391" w:type="dxa"/>
          </w:tcPr>
          <w:p w14:paraId="05018033" w14:textId="336EEE7B" w:rsidR="005152D9" w:rsidRPr="001502B1" w:rsidRDefault="005152D9" w:rsidP="00425F45">
            <w:r>
              <w:t>Mírné zpomalení reálné meziroční dynamiky spotřeby domácností bylo způsobeno výraznějším útlumem růstu výdajů na statky střednědobé spotřeby</w:t>
            </w:r>
            <w:r>
              <w:rPr>
                <w:rStyle w:val="Znakapoznpodarou"/>
              </w:rPr>
              <w:footnoteReference w:id="7"/>
            </w:r>
            <w:r>
              <w:rPr>
                <w:vertAlign w:val="superscript"/>
              </w:rPr>
              <w:t>,</w:t>
            </w:r>
            <w:r w:rsidR="00E8168E">
              <w:rPr>
                <w:vertAlign w:val="superscript"/>
              </w:rPr>
              <w:t> </w:t>
            </w:r>
            <w:r>
              <w:rPr>
                <w:rStyle w:val="Znakapoznpodarou"/>
              </w:rPr>
              <w:footnoteReference w:id="8"/>
            </w:r>
            <w:r>
              <w:t>. Zatímco v roce 2017 narostly tyto výdaje o 10</w:t>
            </w:r>
            <w:r w:rsidR="001D51EB">
              <w:t> %</w:t>
            </w:r>
            <w:r>
              <w:t>, loni byl přírůstek jen 4,4%. Mírně loni oslabil také meziroční růst spotřeby dlouhodobých statků (na 7,8</w:t>
            </w:r>
            <w:r w:rsidR="001D51EB">
              <w:t> %</w:t>
            </w:r>
            <w:r>
              <w:t xml:space="preserve">). Tempo ale zůstalo poměrně vysoké a odpovídá pokračujícím příznivým příjmovým podmínkám </w:t>
            </w:r>
            <w:r>
              <w:lastRenderedPageBreak/>
              <w:t>i pozitivním očekáváním. Ke zpomalení růstu celkových výdajů na spotřebu z větší části přispěla i váhově nejvýznamnější složka netrvanlivého zboží</w:t>
            </w:r>
            <w:r>
              <w:rPr>
                <w:rStyle w:val="Znakapoznpodarou"/>
              </w:rPr>
              <w:footnoteReference w:id="9"/>
            </w:r>
            <w:r>
              <w:t>. V případě statků krátkodobé spotřeby totiž meziroční přírůstek zmírnil o 1,1</w:t>
            </w:r>
            <w:r w:rsidR="001F138C">
              <w:t> p. b.</w:t>
            </w:r>
            <w:r w:rsidR="00425F45">
              <w:t xml:space="preserve"> a</w:t>
            </w:r>
            <w:r w:rsidR="002E1A9C">
              <w:t> </w:t>
            </w:r>
            <w:r w:rsidR="00425F45">
              <w:t>dosáhl</w:t>
            </w:r>
            <w:r>
              <w:t xml:space="preserve"> 2,0</w:t>
            </w:r>
            <w:r w:rsidR="00425F45">
              <w:t> </w:t>
            </w:r>
            <w:r>
              <w:t>%. Udržela se jen reálná dynamika spotřeby služeb. I díky rostoucím příjmům domácnosti navýšily své výdaje v této oblasti o 3,5</w:t>
            </w:r>
            <w:r w:rsidR="001D51EB">
              <w:t> %</w:t>
            </w:r>
            <w:r>
              <w:t>, a to navzdory zvyšujícím se cenám, do kterých se promítaly rostoucí náklady na pracovní sílu.</w:t>
            </w:r>
          </w:p>
        </w:tc>
      </w:tr>
      <w:tr w:rsidR="005152D9" w:rsidRPr="00894C66" w14:paraId="37F8098A" w14:textId="77777777" w:rsidTr="00884A6F">
        <w:trPr>
          <w:trHeight w:val="145"/>
        </w:trPr>
        <w:tc>
          <w:tcPr>
            <w:tcW w:w="1976" w:type="dxa"/>
          </w:tcPr>
          <w:p w14:paraId="7D90AE2A" w14:textId="6258A81D" w:rsidR="005152D9" w:rsidRDefault="005152D9" w:rsidP="00A54250">
            <w:pPr>
              <w:pStyle w:val="Marginlie"/>
            </w:pPr>
            <w:r>
              <w:t>Propad v tempu loni postihl růst výdajů na oděvy a</w:t>
            </w:r>
            <w:r w:rsidR="00DA0BBD">
              <w:t> </w:t>
            </w:r>
            <w:r>
              <w:t>obuv.</w:t>
            </w:r>
          </w:p>
        </w:tc>
        <w:tc>
          <w:tcPr>
            <w:tcW w:w="277" w:type="dxa"/>
          </w:tcPr>
          <w:p w14:paraId="32768223" w14:textId="77777777" w:rsidR="005152D9" w:rsidRPr="005E4483" w:rsidRDefault="005152D9" w:rsidP="00A54250">
            <w:pPr>
              <w:pStyle w:val="Textpoznpodarou"/>
              <w:jc w:val="both"/>
              <w:rPr>
                <w:spacing w:val="-4"/>
              </w:rPr>
            </w:pPr>
          </w:p>
        </w:tc>
        <w:tc>
          <w:tcPr>
            <w:tcW w:w="7391" w:type="dxa"/>
          </w:tcPr>
          <w:p w14:paraId="076B3C61" w14:textId="368651E8" w:rsidR="005152D9" w:rsidRPr="007834C9" w:rsidRDefault="005152D9" w:rsidP="00425F45">
            <w:r>
              <w:t>Věcné členění výdajů na konečnou spotřebu dále ilustruje zpomalení v kategorii zboží střednědobé spotřeby. Výrazně zpomalil zejména reálný růst výdajů na odívání a obuv (z rekordních 13,2</w:t>
            </w:r>
            <w:r w:rsidR="001D51EB">
              <w:t> %</w:t>
            </w:r>
            <w:r>
              <w:t xml:space="preserve"> v roce 2017 na 3,6</w:t>
            </w:r>
            <w:r w:rsidR="001D51EB">
              <w:t> %</w:t>
            </w:r>
            <w:r>
              <w:t>). Mírněji rostla spotřeba ve dvou hlavních kategoriích nezbytných statků. Po silnějším přírůstku z roku 2017 zpomalil reálný nárůst výdajů na bydlení, vodu, energie a paliva (1,0</w:t>
            </w:r>
            <w:r w:rsidR="001D51EB">
              <w:t> %</w:t>
            </w:r>
            <w:r>
              <w:t xml:space="preserve">). </w:t>
            </w:r>
            <w:r w:rsidR="00DA0BBD">
              <w:t xml:space="preserve">Méně </w:t>
            </w:r>
            <w:r>
              <w:t>výrazně rostly výdaje na nájemné z bytu (z 9,3</w:t>
            </w:r>
            <w:r w:rsidR="001D51EB">
              <w:t> %</w:t>
            </w:r>
            <w:r>
              <w:t xml:space="preserve"> </w:t>
            </w:r>
            <w:r w:rsidR="00DA0BBD">
              <w:t>růst zpomalil</w:t>
            </w:r>
            <w:r>
              <w:t xml:space="preserve"> na 4,4</w:t>
            </w:r>
            <w:r w:rsidR="001D51EB">
              <w:t> %</w:t>
            </w:r>
            <w:r>
              <w:t>), reálně klesly platby za elektřinu, teplo, plyn a paliva (</w:t>
            </w:r>
            <w:r w:rsidR="00DA0BBD">
              <w:t>–</w:t>
            </w:r>
            <w:r>
              <w:t>3,6 %). Mírněji než v roce 2017 rostla také spotřeba potravin a nealkoholických nápojů (2,6</w:t>
            </w:r>
            <w:r w:rsidR="001D51EB">
              <w:t> %</w:t>
            </w:r>
            <w:r>
              <w:t>). Výdaje domácností na dopravu si udržely poměrně silný reálný růst (6,2</w:t>
            </w:r>
            <w:r w:rsidR="001D51EB">
              <w:t> %</w:t>
            </w:r>
            <w:r>
              <w:t>). V porovnání s rokem 2017 ale loni oslabila dynamika výdajů na nákup osobních dopravních prostředků (6,2</w:t>
            </w:r>
            <w:r w:rsidR="00425F45">
              <w:t> </w:t>
            </w:r>
            <w:r>
              <w:t>%). Naopak náklady na provoz osobních dopravních prostředků narostly více než v roce 2017, a to o 10,3</w:t>
            </w:r>
            <w:r w:rsidR="001D51EB">
              <w:t> %</w:t>
            </w:r>
            <w:r>
              <w:t>. V loňském roce zrychlil reálný růst výdajů na pošty a telekomunikace. Samotné poštovní služby k tomu nepřispěly, v jejich případě došlo k poklesu o 1,7</w:t>
            </w:r>
            <w:r w:rsidR="001D51EB">
              <w:t> %</w:t>
            </w:r>
            <w:r>
              <w:t>. Velmi silný byl přírůstek spotřeby telefonních a</w:t>
            </w:r>
            <w:r w:rsidR="00DA0BBD">
              <w:t> </w:t>
            </w:r>
            <w:r>
              <w:t>telefaxových zařízení (15,0</w:t>
            </w:r>
            <w:r w:rsidR="001D51EB">
              <w:t> %</w:t>
            </w:r>
            <w:r>
              <w:t>). Zrychlil růst telefonických a telefaxových služeb (na</w:t>
            </w:r>
            <w:r w:rsidR="00DA0BBD">
              <w:t> </w:t>
            </w:r>
            <w:r>
              <w:t>7,2</w:t>
            </w:r>
            <w:r w:rsidR="001D51EB">
              <w:t> %</w:t>
            </w:r>
            <w:r>
              <w:t>).</w:t>
            </w:r>
          </w:p>
        </w:tc>
      </w:tr>
      <w:tr w:rsidR="005152D9" w:rsidRPr="00894C66" w14:paraId="009E4E2A" w14:textId="77777777" w:rsidTr="00884A6F">
        <w:trPr>
          <w:trHeight w:val="170"/>
        </w:trPr>
        <w:tc>
          <w:tcPr>
            <w:tcW w:w="1976" w:type="dxa"/>
          </w:tcPr>
          <w:p w14:paraId="4192C4BB" w14:textId="77777777" w:rsidR="005152D9" w:rsidRDefault="005152D9" w:rsidP="00A54250">
            <w:pPr>
              <w:pStyle w:val="Marginlie"/>
            </w:pPr>
            <w:r>
              <w:t>Investiční aktivita domácností se mírně zvýšila. Míra investic poklesla o 0,5</w:t>
            </w:r>
            <w:r w:rsidR="001F138C">
              <w:t> p. b.</w:t>
            </w:r>
          </w:p>
        </w:tc>
        <w:tc>
          <w:tcPr>
            <w:tcW w:w="277" w:type="dxa"/>
          </w:tcPr>
          <w:p w14:paraId="36920C5B" w14:textId="77777777" w:rsidR="005152D9" w:rsidRPr="005E4483" w:rsidRDefault="005152D9" w:rsidP="00A54250">
            <w:pPr>
              <w:pStyle w:val="Textpoznpodarou"/>
              <w:jc w:val="both"/>
              <w:rPr>
                <w:spacing w:val="-4"/>
              </w:rPr>
            </w:pPr>
          </w:p>
        </w:tc>
        <w:tc>
          <w:tcPr>
            <w:tcW w:w="7391" w:type="dxa"/>
          </w:tcPr>
          <w:p w14:paraId="1BF0D168" w14:textId="5D19710C" w:rsidR="005152D9" w:rsidRDefault="005152D9" w:rsidP="00A54250">
            <w:r>
              <w:t>Výdaje domácností na tvorbu hrubého fixního kapitálu loni dosáhly 239,5</w:t>
            </w:r>
            <w:r w:rsidR="001F138C">
              <w:t> mld.</w:t>
            </w:r>
            <w:r>
              <w:t xml:space="preserve"> korun. Nominálně se tedy zvýšily o 3,9</w:t>
            </w:r>
            <w:r w:rsidR="001F138C">
              <w:t> mld.</w:t>
            </w:r>
            <w:r>
              <w:t xml:space="preserve"> To je nejnižší hodnota za posledních pět let.</w:t>
            </w:r>
            <w:r w:rsidR="004F6EDC">
              <w:t xml:space="preserve"> </w:t>
            </w:r>
            <w:r>
              <w:t>Celková dynamika investic domácností byla v rozporu s vývojem investic do obydlí, u kterých jsou domácnosti téměř výhradním investorem (ty se zvýšily o</w:t>
            </w:r>
            <w:r w:rsidR="00D67375">
              <w:t> </w:t>
            </w:r>
            <w:r>
              <w:t>18,1</w:t>
            </w:r>
            <w:r w:rsidR="001F138C">
              <w:t> mld.</w:t>
            </w:r>
            <w:r>
              <w:t>). Nepřímo lze tedy usoudit, že zpomalení investiční aktivity se týkalo spíše podnikatelů zařazených do sektoru domácností, kteří investují do strojů a</w:t>
            </w:r>
            <w:r w:rsidR="00D67375">
              <w:t> </w:t>
            </w:r>
            <w:r>
              <w:t>zařízení. Ani údaje ČNB nedokládají výraznější propad růstu objemu úvěrů na bydlení</w:t>
            </w:r>
            <w:r>
              <w:rPr>
                <w:rStyle w:val="Znakapoznpodarou"/>
              </w:rPr>
              <w:footnoteReference w:id="10"/>
            </w:r>
            <w:r>
              <w:t>. Výsledkem zpomalení růstu výdajů na hrubý fixní kapitál byl i pokles míry investic</w:t>
            </w:r>
            <w:r>
              <w:rPr>
                <w:rStyle w:val="Znakapoznpodarou"/>
              </w:rPr>
              <w:footnoteReference w:id="11"/>
            </w:r>
            <w:r>
              <w:t xml:space="preserve"> o</w:t>
            </w:r>
            <w:r w:rsidR="00D67375">
              <w:t> </w:t>
            </w:r>
            <w:r>
              <w:t>0,5</w:t>
            </w:r>
            <w:r w:rsidR="001F138C">
              <w:t> p. b.</w:t>
            </w:r>
            <w:r>
              <w:t xml:space="preserve"> na</w:t>
            </w:r>
            <w:r w:rsidR="00D67375">
              <w:t> </w:t>
            </w:r>
            <w:r>
              <w:t>8,8 %.</w:t>
            </w:r>
          </w:p>
        </w:tc>
      </w:tr>
      <w:tr w:rsidR="005152D9" w:rsidRPr="00894C66" w14:paraId="26B75381" w14:textId="77777777" w:rsidTr="00884A6F">
        <w:trPr>
          <w:trHeight w:val="170"/>
        </w:trPr>
        <w:tc>
          <w:tcPr>
            <w:tcW w:w="1976" w:type="dxa"/>
          </w:tcPr>
          <w:p w14:paraId="54294A64" w14:textId="77777777" w:rsidR="005152D9" w:rsidRDefault="005152D9" w:rsidP="00A54250">
            <w:pPr>
              <w:pStyle w:val="Marginlie"/>
            </w:pPr>
            <w:r>
              <w:t>Spotřeba domácností rostla v celé EU. Rychlejší dynamiky dosahovaly nové členské státy.</w:t>
            </w:r>
          </w:p>
        </w:tc>
        <w:tc>
          <w:tcPr>
            <w:tcW w:w="277" w:type="dxa"/>
          </w:tcPr>
          <w:p w14:paraId="4F17D3D1" w14:textId="77777777" w:rsidR="005152D9" w:rsidRPr="005E4483" w:rsidRDefault="005152D9" w:rsidP="00A54250">
            <w:pPr>
              <w:pStyle w:val="Textpoznpodarou"/>
              <w:jc w:val="both"/>
              <w:rPr>
                <w:spacing w:val="-4"/>
              </w:rPr>
            </w:pPr>
          </w:p>
        </w:tc>
        <w:tc>
          <w:tcPr>
            <w:tcW w:w="7391" w:type="dxa"/>
          </w:tcPr>
          <w:p w14:paraId="6025D709" w14:textId="7F81B375" w:rsidR="005152D9" w:rsidRDefault="005152D9" w:rsidP="00884A6F">
            <w:pPr>
              <w:spacing w:after="0"/>
            </w:pPr>
            <w:r>
              <w:t>Reálná dynamika spotřeby domácností Česko loni zařadila do evropského nadprůměru. Celkově v evropské osmadvacítce výdaje na konečnou spotřebu domácností vzrostly o 1,6</w:t>
            </w:r>
            <w:r w:rsidR="001D51EB">
              <w:t> %</w:t>
            </w:r>
            <w:r>
              <w:t>. To je nižší úroveň než v předchozím roce, spotřeba ale rostla ve všech členských státech. Nadprůměrný růst vykazovaly zejména novější členské země, u kterých probíhá konvergenční proces. Nejsilněji rostly výdaje na konečnou spotřebu domácností na Maltě (7,5</w:t>
            </w:r>
            <w:r w:rsidR="001D51EB">
              <w:t> %</w:t>
            </w:r>
            <w:r>
              <w:t>), v</w:t>
            </w:r>
            <w:r w:rsidR="00BF45D9">
              <w:t> Bulharsku (6</w:t>
            </w:r>
            <w:r>
              <w:t>,3</w:t>
            </w:r>
            <w:r w:rsidR="001D51EB">
              <w:t> %</w:t>
            </w:r>
            <w:r>
              <w:t>) a</w:t>
            </w:r>
            <w:r w:rsidR="00D67375">
              <w:t> </w:t>
            </w:r>
            <w:r>
              <w:t>v Maďarsku a Rumunsku (shodně 5,3</w:t>
            </w:r>
            <w:r w:rsidR="001D51EB">
              <w:t> %</w:t>
            </w:r>
            <w:r>
              <w:t>). Výrazný růst spotřeby, který v této skupině tvá již několik let, se projevil i na úrovni spotřeby na osobu očištěné o</w:t>
            </w:r>
            <w:r w:rsidR="00D67375">
              <w:t> </w:t>
            </w:r>
            <w:r>
              <w:t>vliv cenové hladiny. Mezi lety 2013 a 2018 se v Rumunsku zvýšila tato úroveň z 54</w:t>
            </w:r>
            <w:r w:rsidR="001D51EB">
              <w:t> %</w:t>
            </w:r>
            <w:r>
              <w:t xml:space="preserve"> průměru EU na 70</w:t>
            </w:r>
            <w:r w:rsidR="001D51EB">
              <w:t> %</w:t>
            </w:r>
            <w:r>
              <w:t>, v Litvě ze 78</w:t>
            </w:r>
            <w:r w:rsidR="001D51EB">
              <w:t> %</w:t>
            </w:r>
            <w:r>
              <w:t xml:space="preserve"> na 90 % a v ČR ze 76</w:t>
            </w:r>
            <w:r w:rsidR="001D51EB">
              <w:t> %</w:t>
            </w:r>
            <w:r>
              <w:t xml:space="preserve"> na 83</w:t>
            </w:r>
            <w:r w:rsidR="001D51EB">
              <w:t> %</w:t>
            </w:r>
            <w:r>
              <w:t>. Vzhůru k</w:t>
            </w:r>
            <w:r w:rsidR="00D67375">
              <w:t> </w:t>
            </w:r>
            <w:r>
              <w:t>evropskému průměru se ale v posledních pěti letech posunuly všechny země, které vstoupily do EU po roce 2000. Celkový průměr růstu ovlivnilo zpomalení ve velkých státech západní a jižní Evropy. Nejpomaleji totiž rostla spotřeba domácností v Itálii (0,6</w:t>
            </w:r>
            <w:r w:rsidR="001D51EB">
              <w:t> %</w:t>
            </w:r>
            <w:r>
              <w:t>), Francii (0,9 %) a v Německu a Belgii (shodně o 1,0</w:t>
            </w:r>
            <w:r w:rsidR="001D51EB">
              <w:t> %</w:t>
            </w:r>
            <w:r>
              <w:t>).</w:t>
            </w:r>
          </w:p>
        </w:tc>
      </w:tr>
    </w:tbl>
    <w:p w14:paraId="620B5088" w14:textId="77777777" w:rsidR="0063201A" w:rsidRPr="00360DE3" w:rsidRDefault="0063201A" w:rsidP="0063201A">
      <w:pPr>
        <w:spacing w:after="0"/>
        <w:rPr>
          <w:sz w:val="2"/>
          <w:szCs w:val="2"/>
        </w:rPr>
      </w:pPr>
    </w:p>
    <w:p w14:paraId="671D54FC" w14:textId="1D063E29" w:rsidR="0060404F" w:rsidRDefault="0060404F">
      <w:pPr>
        <w:spacing w:after="0" w:line="240" w:lineRule="auto"/>
        <w:jc w:val="left"/>
        <w:rPr>
          <w:rFonts w:eastAsia="MS Gothic"/>
          <w:b/>
          <w:bCs/>
          <w:color w:val="71818C"/>
          <w:sz w:val="32"/>
          <w:szCs w:val="28"/>
          <w:lang w:eastAsia="en-US"/>
        </w:rPr>
      </w:pPr>
    </w:p>
    <w:sectPr w:rsidR="0060404F" w:rsidSect="00D95218">
      <w:headerReference w:type="even" r:id="rId11"/>
      <w:headerReference w:type="default" r:id="rId12"/>
      <w:footerReference w:type="even" r:id="rId13"/>
      <w:footerReference w:type="default" r:id="rId14"/>
      <w:footnotePr>
        <w:pos w:val="beneathText"/>
      </w:footnotePr>
      <w:pgSz w:w="11906" w:h="16838" w:code="9"/>
      <w:pgMar w:top="1134" w:right="1134" w:bottom="1418" w:left="1134" w:header="680" w:footer="680" w:gutter="0"/>
      <w:pgNumType w:start="2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619E2" w16cid:durableId="20F6CE05"/>
  <w16cid:commentId w16cid:paraId="734AC7CE" w16cid:durableId="20F6DCBD"/>
  <w16cid:commentId w16cid:paraId="6AF8D911" w16cid:durableId="20F7078E"/>
  <w16cid:commentId w16cid:paraId="50768BEC" w16cid:durableId="20F70A8B"/>
  <w16cid:commentId w16cid:paraId="15B0C836" w16cid:durableId="20F70CE2"/>
  <w16cid:commentId w16cid:paraId="413DE529" w16cid:durableId="20F82616"/>
  <w16cid:commentId w16cid:paraId="141B886B" w16cid:durableId="20F82A5A"/>
  <w16cid:commentId w16cid:paraId="29661C99" w16cid:durableId="20F92C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C21D6" w14:textId="77777777" w:rsidR="00FA1987" w:rsidRDefault="00FA1987" w:rsidP="00E71A58">
      <w:r>
        <w:separator/>
      </w:r>
    </w:p>
  </w:endnote>
  <w:endnote w:type="continuationSeparator" w:id="0">
    <w:p w14:paraId="44464777" w14:textId="77777777" w:rsidR="00FA1987" w:rsidRDefault="00FA198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Times New Roman CE obyèejné">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984EB" w14:textId="61705E63" w:rsidR="00AD7D0B" w:rsidRPr="00932443" w:rsidRDefault="00AD7D0B" w:rsidP="00A418BC">
    <w:pPr>
      <w:pStyle w:val="Zpat"/>
      <w:rPr>
        <w:szCs w:val="16"/>
      </w:rPr>
    </w:pPr>
    <w:r>
      <w:rPr>
        <w:szCs w:val="16"/>
        <w:lang w:eastAsia="cs-CZ"/>
      </w:rPr>
      <w:drawing>
        <wp:anchor distT="0" distB="0" distL="114300" distR="114300" simplePos="0" relativeHeight="251658240" behindDoc="0" locked="0" layoutInCell="1" allowOverlap="1" wp14:anchorId="7BA63FD4" wp14:editId="33EBA599">
          <wp:simplePos x="0" y="0"/>
          <wp:positionH relativeFrom="column">
            <wp:align>right</wp:align>
          </wp:positionH>
          <wp:positionV relativeFrom="paragraph">
            <wp:posOffset>-64770</wp:posOffset>
          </wp:positionV>
          <wp:extent cx="428625" cy="201295"/>
          <wp:effectExtent l="0" t="0" r="3175" b="1905"/>
          <wp:wrapNone/>
          <wp:docPr id="113"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D95218">
      <w:rPr>
        <w:szCs w:val="16"/>
      </w:rPr>
      <w:t>22</w:t>
    </w:r>
    <w:r w:rsidRPr="00932443">
      <w:rPr>
        <w:szCs w:val="16"/>
      </w:rPr>
      <w:fldChar w:fldCharType="end"/>
    </w:r>
    <w:r w:rsidRPr="00932443">
      <w:rPr>
        <w:szCs w:val="16"/>
      </w:rPr>
      <w:tab/>
    </w:r>
    <w:r>
      <w:rPr>
        <w:szCs w:val="16"/>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368E" w14:textId="51D2C975" w:rsidR="00AD7D0B" w:rsidRPr="00932443" w:rsidRDefault="00AD7D0B" w:rsidP="00A418BC">
    <w:pPr>
      <w:pStyle w:val="Zpat"/>
      <w:rPr>
        <w:szCs w:val="16"/>
      </w:rPr>
    </w:pPr>
    <w:r>
      <w:rPr>
        <w:szCs w:val="16"/>
        <w:lang w:eastAsia="cs-CZ"/>
      </w:rPr>
      <w:drawing>
        <wp:anchor distT="0" distB="0" distL="114300" distR="114300" simplePos="0" relativeHeight="251657216" behindDoc="0" locked="0" layoutInCell="1" allowOverlap="1" wp14:anchorId="723CA28A" wp14:editId="1B347EAC">
          <wp:simplePos x="0" y="0"/>
          <wp:positionH relativeFrom="column">
            <wp:align>left</wp:align>
          </wp:positionH>
          <wp:positionV relativeFrom="paragraph">
            <wp:posOffset>-122555</wp:posOffset>
          </wp:positionV>
          <wp:extent cx="510540" cy="272415"/>
          <wp:effectExtent l="0" t="0" r="0" b="6985"/>
          <wp:wrapNone/>
          <wp:docPr id="11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2018</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D95218">
      <w:rPr>
        <w:rStyle w:val="ZpatChar"/>
        <w:szCs w:val="16"/>
      </w:rPr>
      <w:t>21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D00CF" w14:textId="77777777" w:rsidR="00FA1987" w:rsidRDefault="00FA1987" w:rsidP="0084727E">
      <w:pPr>
        <w:spacing w:after="0"/>
      </w:pPr>
      <w:r>
        <w:separator/>
      </w:r>
    </w:p>
  </w:footnote>
  <w:footnote w:type="continuationSeparator" w:id="0">
    <w:p w14:paraId="4568EA7E" w14:textId="77777777" w:rsidR="00FA1987" w:rsidRDefault="00FA1987" w:rsidP="00E71A58">
      <w:r>
        <w:continuationSeparator/>
      </w:r>
    </w:p>
  </w:footnote>
  <w:footnote w:id="1">
    <w:p w14:paraId="0665512B" w14:textId="77777777" w:rsidR="00AD7D0B" w:rsidRPr="00EF6D28" w:rsidRDefault="00AD7D0B" w:rsidP="005152D9">
      <w:pPr>
        <w:pStyle w:val="Textpoznpodarou"/>
        <w:rPr>
          <w:sz w:val="16"/>
          <w:szCs w:val="16"/>
        </w:rPr>
      </w:pPr>
      <w:r w:rsidRPr="00EF6D28">
        <w:rPr>
          <w:rStyle w:val="Znakapoznpodarou"/>
          <w:sz w:val="16"/>
          <w:szCs w:val="16"/>
        </w:rPr>
        <w:footnoteRef/>
      </w:r>
      <w:r w:rsidRPr="00EF6D28">
        <w:rPr>
          <w:sz w:val="16"/>
          <w:szCs w:val="16"/>
        </w:rPr>
        <w:t xml:space="preserve"> To je nejvyšší nárůst v celé dostupné časové řadě (od roku 1999).</w:t>
      </w:r>
    </w:p>
  </w:footnote>
  <w:footnote w:id="2">
    <w:p w14:paraId="77E7838F" w14:textId="77777777" w:rsidR="00AD7D0B" w:rsidRPr="00202B22" w:rsidRDefault="00AD7D0B" w:rsidP="005152D9">
      <w:pPr>
        <w:pStyle w:val="Textpoznpodarou"/>
        <w:rPr>
          <w:sz w:val="16"/>
          <w:szCs w:val="16"/>
        </w:rPr>
      </w:pPr>
      <w:r w:rsidRPr="00202B22">
        <w:rPr>
          <w:rStyle w:val="Znakapoznpodarou"/>
          <w:sz w:val="16"/>
          <w:szCs w:val="16"/>
        </w:rPr>
        <w:footnoteRef/>
      </w:r>
      <w:r w:rsidRPr="00202B22">
        <w:rPr>
          <w:sz w:val="16"/>
          <w:szCs w:val="16"/>
        </w:rPr>
        <w:t xml:space="preserve"> </w:t>
      </w:r>
      <w:r>
        <w:rPr>
          <w:sz w:val="16"/>
          <w:szCs w:val="16"/>
        </w:rPr>
        <w:t xml:space="preserve">Reálný růst hrubého disponibilního důchodu i vyplacených mezd a platů byl vypočítán </w:t>
      </w:r>
      <w:r w:rsidRPr="00202B22">
        <w:rPr>
          <w:sz w:val="16"/>
          <w:szCs w:val="16"/>
        </w:rPr>
        <w:t>pomocí deflátoru výdajů na spotřebu domácností.</w:t>
      </w:r>
    </w:p>
  </w:footnote>
  <w:footnote w:id="3">
    <w:p w14:paraId="07AEF3D9" w14:textId="42A6FE54" w:rsidR="00AD7D0B" w:rsidRDefault="00AD7D0B" w:rsidP="005152D9">
      <w:pPr>
        <w:pStyle w:val="Normlnweb"/>
        <w:spacing w:before="0" w:beforeAutospacing="0" w:after="0" w:afterAutospacing="0"/>
      </w:pPr>
      <w:r w:rsidRPr="002F08C0">
        <w:rPr>
          <w:rStyle w:val="Znakapoznpodarou"/>
          <w:rFonts w:ascii="Arial" w:hAnsi="Arial" w:cs="Arial"/>
          <w:sz w:val="16"/>
          <w:szCs w:val="16"/>
        </w:rPr>
        <w:footnoteRef/>
      </w:r>
      <w:r w:rsidRPr="002F08C0">
        <w:rPr>
          <w:rFonts w:ascii="Arial" w:hAnsi="Arial" w:cs="Arial"/>
          <w:sz w:val="16"/>
          <w:szCs w:val="16"/>
        </w:rPr>
        <w:t xml:space="preserve"> </w:t>
      </w:r>
      <w:r>
        <w:rPr>
          <w:rFonts w:ascii="Arial" w:hAnsi="Arial" w:cs="Arial"/>
          <w:sz w:val="16"/>
          <w:szCs w:val="16"/>
        </w:rPr>
        <w:t>Jde o transfery od vládních institucí nebo NISD. P</w:t>
      </w:r>
      <w:r w:rsidRPr="002F08C0">
        <w:rPr>
          <w:rFonts w:ascii="Arial" w:hAnsi="Arial" w:cs="Arial"/>
          <w:sz w:val="16"/>
          <w:szCs w:val="16"/>
        </w:rPr>
        <w:t>ředstavují hodnotu zboží a služeb poskytnutých zejména ve formě zdravotní a</w:t>
      </w:r>
      <w:r w:rsidR="00376C3B">
        <w:rPr>
          <w:rFonts w:ascii="Arial" w:hAnsi="Arial" w:cs="Arial"/>
          <w:sz w:val="16"/>
          <w:szCs w:val="16"/>
        </w:rPr>
        <w:t> </w:t>
      </w:r>
      <w:r w:rsidRPr="002F08C0">
        <w:rPr>
          <w:rFonts w:ascii="Arial" w:hAnsi="Arial" w:cs="Arial"/>
          <w:sz w:val="16"/>
          <w:szCs w:val="16"/>
        </w:rPr>
        <w:t>sociální péče, vzdělání, bydlení.</w:t>
      </w:r>
    </w:p>
  </w:footnote>
  <w:footnote w:id="4">
    <w:p w14:paraId="5DCD78B6" w14:textId="77777777" w:rsidR="00AD7D0B" w:rsidRPr="00EB5544" w:rsidRDefault="00AD7D0B" w:rsidP="005152D9">
      <w:pPr>
        <w:pStyle w:val="Textpoznpodarou"/>
        <w:rPr>
          <w:sz w:val="16"/>
          <w:szCs w:val="16"/>
        </w:rPr>
      </w:pPr>
      <w:r w:rsidRPr="00EB5544">
        <w:rPr>
          <w:rStyle w:val="Znakapoznpodarou"/>
          <w:sz w:val="16"/>
          <w:szCs w:val="16"/>
        </w:rPr>
        <w:footnoteRef/>
      </w:r>
      <w:r w:rsidRPr="00EB5544">
        <w:rPr>
          <w:sz w:val="16"/>
          <w:szCs w:val="16"/>
        </w:rPr>
        <w:t xml:space="preserve"> Zachycuje příjmy z podnikání drobných podnikatelů zařazených do sektorů domácností</w:t>
      </w:r>
      <w:r>
        <w:rPr>
          <w:sz w:val="16"/>
          <w:szCs w:val="16"/>
        </w:rPr>
        <w:t>.</w:t>
      </w:r>
    </w:p>
  </w:footnote>
  <w:footnote w:id="5">
    <w:p w14:paraId="2E9CD6C1" w14:textId="77777777" w:rsidR="00AD7D0B" w:rsidRPr="00EB5544" w:rsidRDefault="00AD7D0B" w:rsidP="005152D9">
      <w:pPr>
        <w:pStyle w:val="Textpoznpodarou"/>
        <w:rPr>
          <w:sz w:val="16"/>
          <w:szCs w:val="16"/>
        </w:rPr>
      </w:pPr>
      <w:r w:rsidRPr="00EB5544">
        <w:rPr>
          <w:rStyle w:val="Znakapoznpodarou"/>
          <w:sz w:val="16"/>
          <w:szCs w:val="16"/>
        </w:rPr>
        <w:footnoteRef/>
      </w:r>
      <w:r w:rsidRPr="00EB5544">
        <w:rPr>
          <w:sz w:val="16"/>
          <w:szCs w:val="16"/>
        </w:rPr>
        <w:t xml:space="preserve"> Zachycuje hodnotu produkce domácností pro vlastní spotřebu a rovněž imputované nájemné a poskytování služeb bydlení</w:t>
      </w:r>
      <w:r>
        <w:rPr>
          <w:sz w:val="16"/>
          <w:szCs w:val="16"/>
        </w:rPr>
        <w:t>.</w:t>
      </w:r>
    </w:p>
  </w:footnote>
  <w:footnote w:id="6">
    <w:p w14:paraId="51E76E86" w14:textId="47934EC5" w:rsidR="00AD7D0B" w:rsidRPr="003D6F54" w:rsidRDefault="00AD7D0B" w:rsidP="005152D9">
      <w:pPr>
        <w:autoSpaceDE w:val="0"/>
        <w:autoSpaceDN w:val="0"/>
        <w:adjustRightInd w:val="0"/>
        <w:spacing w:after="0" w:line="240" w:lineRule="auto"/>
        <w:jc w:val="left"/>
        <w:rPr>
          <w:rFonts w:cs="Arial"/>
          <w:sz w:val="16"/>
          <w:szCs w:val="16"/>
        </w:rPr>
      </w:pPr>
      <w:r w:rsidRPr="003D6F54">
        <w:rPr>
          <w:rStyle w:val="Znakapoznpodarou"/>
          <w:rFonts w:cs="Arial"/>
          <w:sz w:val="16"/>
          <w:szCs w:val="16"/>
        </w:rPr>
        <w:footnoteRef/>
      </w:r>
      <w:r w:rsidRPr="003D6F54">
        <w:rPr>
          <w:rFonts w:cs="Arial"/>
          <w:sz w:val="16"/>
          <w:szCs w:val="16"/>
        </w:rPr>
        <w:t xml:space="preserve"> </w:t>
      </w:r>
      <w:r w:rsidRPr="003D6F54">
        <w:rPr>
          <w:rFonts w:eastAsia="Calibri" w:cs="Arial"/>
          <w:bCs/>
          <w:iCs/>
          <w:sz w:val="16"/>
          <w:szCs w:val="16"/>
          <w:lang w:eastAsia="en-US"/>
        </w:rPr>
        <w:t xml:space="preserve">Míra úspor domácností </w:t>
      </w:r>
      <w:r w:rsidRPr="003D6F54">
        <w:rPr>
          <w:rFonts w:eastAsia="Calibri" w:cs="Arial"/>
          <w:iCs/>
          <w:sz w:val="16"/>
          <w:szCs w:val="16"/>
          <w:lang w:eastAsia="en-US"/>
        </w:rPr>
        <w:t>je definována jako podíl hrubých úspor a hrubého disponibilního důchodu</w:t>
      </w:r>
      <w:r>
        <w:rPr>
          <w:rFonts w:eastAsia="Calibri" w:cs="Arial"/>
          <w:iCs/>
          <w:sz w:val="16"/>
          <w:szCs w:val="16"/>
          <w:lang w:eastAsia="en-US"/>
        </w:rPr>
        <w:t xml:space="preserve"> </w:t>
      </w:r>
      <w:r w:rsidRPr="003D6F54">
        <w:rPr>
          <w:rFonts w:eastAsia="Calibri" w:cs="Arial"/>
          <w:iCs/>
          <w:sz w:val="16"/>
          <w:szCs w:val="16"/>
          <w:lang w:eastAsia="en-US"/>
        </w:rPr>
        <w:t>se zahrnutím úpravy o</w:t>
      </w:r>
      <w:r w:rsidR="005A5D45">
        <w:rPr>
          <w:rFonts w:eastAsia="Calibri" w:cs="Arial"/>
          <w:iCs/>
          <w:sz w:val="16"/>
          <w:szCs w:val="16"/>
          <w:lang w:eastAsia="en-US"/>
        </w:rPr>
        <w:t> </w:t>
      </w:r>
      <w:r w:rsidRPr="003D6F54">
        <w:rPr>
          <w:rFonts w:eastAsia="Calibri" w:cs="Arial"/>
          <w:iCs/>
          <w:sz w:val="16"/>
          <w:szCs w:val="16"/>
          <w:lang w:eastAsia="en-US"/>
        </w:rPr>
        <w:t>čistý podíl domácností na rezervách penzijních fondů (B.8g/(B.6g+D.8)). Hrubé úspory</w:t>
      </w:r>
      <w:r>
        <w:rPr>
          <w:rFonts w:eastAsia="Calibri" w:cs="Arial"/>
          <w:iCs/>
          <w:sz w:val="16"/>
          <w:szCs w:val="16"/>
          <w:lang w:eastAsia="en-US"/>
        </w:rPr>
        <w:t xml:space="preserve"> </w:t>
      </w:r>
      <w:r w:rsidRPr="003D6F54">
        <w:rPr>
          <w:rFonts w:eastAsia="Calibri" w:cs="Arial"/>
          <w:iCs/>
          <w:sz w:val="16"/>
          <w:szCs w:val="16"/>
          <w:lang w:eastAsia="en-US"/>
        </w:rPr>
        <w:t>představují část hrubého disponibilního důchodu, který nebyl spotřebován ve formě výdajů na konečnou</w:t>
      </w:r>
      <w:r>
        <w:rPr>
          <w:rFonts w:eastAsia="Calibri" w:cs="Arial"/>
          <w:iCs/>
          <w:sz w:val="16"/>
          <w:szCs w:val="16"/>
          <w:lang w:eastAsia="en-US"/>
        </w:rPr>
        <w:t xml:space="preserve"> </w:t>
      </w:r>
      <w:r w:rsidRPr="003D6F54">
        <w:rPr>
          <w:rFonts w:eastAsia="Calibri" w:cs="Arial"/>
          <w:iCs/>
          <w:sz w:val="16"/>
          <w:szCs w:val="16"/>
          <w:lang w:eastAsia="en-US"/>
        </w:rPr>
        <w:t>spotřebu.</w:t>
      </w:r>
    </w:p>
  </w:footnote>
  <w:footnote w:id="7">
    <w:p w14:paraId="3687DE4D" w14:textId="7941ACC9" w:rsidR="00AD7D0B" w:rsidRPr="00406F21" w:rsidRDefault="00AD7D0B" w:rsidP="005152D9">
      <w:pPr>
        <w:pStyle w:val="Textpoznpodarou"/>
        <w:rPr>
          <w:sz w:val="16"/>
          <w:szCs w:val="16"/>
        </w:rPr>
      </w:pPr>
      <w:r w:rsidRPr="00406F21">
        <w:rPr>
          <w:rStyle w:val="Znakapoznpodarou"/>
          <w:sz w:val="16"/>
          <w:szCs w:val="16"/>
        </w:rPr>
        <w:footnoteRef/>
      </w:r>
      <w:r w:rsidRPr="00406F21">
        <w:rPr>
          <w:sz w:val="16"/>
          <w:szCs w:val="16"/>
        </w:rPr>
        <w:t xml:space="preserve"> Údaje o spotřebě podle trvanlivosti i účelové struktuře výdajů jsou v národním pojetí</w:t>
      </w:r>
      <w:r w:rsidR="005A5D45">
        <w:rPr>
          <w:sz w:val="16"/>
          <w:szCs w:val="16"/>
        </w:rPr>
        <w:t>.</w:t>
      </w:r>
    </w:p>
  </w:footnote>
  <w:footnote w:id="8">
    <w:p w14:paraId="1567FEBA" w14:textId="2237D48E" w:rsidR="00AD7D0B" w:rsidRPr="00406F21" w:rsidRDefault="00AD7D0B" w:rsidP="005152D9">
      <w:pPr>
        <w:pStyle w:val="Textpoznpodarou"/>
        <w:rPr>
          <w:sz w:val="16"/>
          <w:szCs w:val="16"/>
        </w:rPr>
      </w:pPr>
      <w:r w:rsidRPr="00406F21">
        <w:rPr>
          <w:rStyle w:val="Znakapoznpodarou"/>
          <w:sz w:val="16"/>
          <w:szCs w:val="16"/>
        </w:rPr>
        <w:footnoteRef/>
      </w:r>
      <w:r w:rsidRPr="00406F21">
        <w:rPr>
          <w:sz w:val="16"/>
          <w:szCs w:val="16"/>
        </w:rPr>
        <w:t xml:space="preserve"> Obecně jsou trvanlivé statky ty, které lze používat opakovaně nebo kontinuálně po časové období jednoho roku a více. </w:t>
      </w:r>
      <w:r>
        <w:rPr>
          <w:sz w:val="16"/>
          <w:szCs w:val="16"/>
        </w:rPr>
        <w:t>Dělí se na statky</w:t>
      </w:r>
      <w:r w:rsidRPr="00406F21">
        <w:rPr>
          <w:sz w:val="16"/>
          <w:szCs w:val="16"/>
        </w:rPr>
        <w:t xml:space="preserve"> dlouhodobé spotřeby</w:t>
      </w:r>
      <w:r>
        <w:rPr>
          <w:sz w:val="16"/>
          <w:szCs w:val="16"/>
        </w:rPr>
        <w:t xml:space="preserve">, kam se </w:t>
      </w:r>
      <w:r w:rsidRPr="00406F21">
        <w:rPr>
          <w:sz w:val="16"/>
          <w:szCs w:val="16"/>
        </w:rPr>
        <w:t>řadí mimo jiné motorová vozidla, nábytek, ledničky, pračky, hudební vybavení, počítačové vybavení či šperky</w:t>
      </w:r>
      <w:r w:rsidR="005A5D45">
        <w:rPr>
          <w:sz w:val="16"/>
          <w:szCs w:val="16"/>
        </w:rPr>
        <w:t>,</w:t>
      </w:r>
      <w:r>
        <w:rPr>
          <w:sz w:val="16"/>
          <w:szCs w:val="16"/>
        </w:rPr>
        <w:t xml:space="preserve"> a s</w:t>
      </w:r>
      <w:r w:rsidRPr="00406F21">
        <w:rPr>
          <w:sz w:val="16"/>
          <w:szCs w:val="16"/>
        </w:rPr>
        <w:t>třednědob</w:t>
      </w:r>
      <w:r>
        <w:rPr>
          <w:sz w:val="16"/>
          <w:szCs w:val="16"/>
        </w:rPr>
        <w:t xml:space="preserve">é spotřeby, </w:t>
      </w:r>
      <w:r w:rsidR="005A5D45">
        <w:rPr>
          <w:sz w:val="16"/>
          <w:szCs w:val="16"/>
        </w:rPr>
        <w:t>které zahrnují</w:t>
      </w:r>
      <w:r w:rsidRPr="00406F21">
        <w:rPr>
          <w:sz w:val="16"/>
          <w:szCs w:val="16"/>
        </w:rPr>
        <w:t xml:space="preserve"> oblečení, obuv, potřeby v domácnosti, vybavení pro sport a knihy.</w:t>
      </w:r>
    </w:p>
  </w:footnote>
  <w:footnote w:id="9">
    <w:p w14:paraId="51A3D560" w14:textId="595C184F" w:rsidR="00AD7D0B" w:rsidRPr="00406F21" w:rsidRDefault="00AD7D0B" w:rsidP="005152D9">
      <w:pPr>
        <w:pStyle w:val="Textpoznpodarou"/>
        <w:rPr>
          <w:sz w:val="16"/>
          <w:szCs w:val="16"/>
        </w:rPr>
      </w:pPr>
      <w:r w:rsidRPr="00406F21">
        <w:rPr>
          <w:rStyle w:val="Znakapoznpodarou"/>
          <w:sz w:val="16"/>
          <w:szCs w:val="16"/>
        </w:rPr>
        <w:footnoteRef/>
      </w:r>
      <w:r w:rsidRPr="00406F21">
        <w:rPr>
          <w:sz w:val="16"/>
          <w:szCs w:val="16"/>
        </w:rPr>
        <w:t xml:space="preserve"> Jedná se o potraviny, nápoje, tabák, farmaceutické výrobky, pohonné hmoty, kosmetiku a</w:t>
      </w:r>
      <w:r w:rsidR="002E1A9C">
        <w:rPr>
          <w:sz w:val="16"/>
          <w:szCs w:val="16"/>
        </w:rPr>
        <w:t> </w:t>
      </w:r>
      <w:r w:rsidRPr="00406F21">
        <w:rPr>
          <w:sz w:val="16"/>
          <w:szCs w:val="16"/>
        </w:rPr>
        <w:t>pod</w:t>
      </w:r>
      <w:r w:rsidR="002E1A9C">
        <w:rPr>
          <w:sz w:val="16"/>
          <w:szCs w:val="16"/>
        </w:rPr>
        <w:t>obně</w:t>
      </w:r>
      <w:r w:rsidRPr="00406F21">
        <w:rPr>
          <w:sz w:val="16"/>
          <w:szCs w:val="16"/>
        </w:rPr>
        <w:t>.</w:t>
      </w:r>
    </w:p>
  </w:footnote>
  <w:footnote w:id="10">
    <w:p w14:paraId="153D995F" w14:textId="77777777" w:rsidR="00AD7D0B" w:rsidRPr="004D5B2F" w:rsidRDefault="00AD7D0B" w:rsidP="005152D9">
      <w:pPr>
        <w:pStyle w:val="Textpoznpodarou"/>
        <w:rPr>
          <w:sz w:val="16"/>
          <w:szCs w:val="16"/>
        </w:rPr>
      </w:pPr>
      <w:r w:rsidRPr="004D5B2F">
        <w:rPr>
          <w:rStyle w:val="Znakapoznpodarou"/>
          <w:sz w:val="16"/>
          <w:szCs w:val="16"/>
        </w:rPr>
        <w:footnoteRef/>
      </w:r>
      <w:r w:rsidRPr="004D5B2F">
        <w:rPr>
          <w:sz w:val="16"/>
          <w:szCs w:val="16"/>
        </w:rPr>
        <w:t xml:space="preserve"> </w:t>
      </w:r>
      <w:r>
        <w:rPr>
          <w:sz w:val="16"/>
          <w:szCs w:val="16"/>
        </w:rPr>
        <w:t>V roce 2017 se objem poskytnutých úvěrů na bydlení zvýšil o 94,8 mld. korun, loni to bylo o 97,8 mld.</w:t>
      </w:r>
    </w:p>
  </w:footnote>
  <w:footnote w:id="11">
    <w:p w14:paraId="77318EA6" w14:textId="4ED2E1C8" w:rsidR="00AD7D0B" w:rsidRPr="00D20875" w:rsidRDefault="00AD7D0B" w:rsidP="005152D9">
      <w:pPr>
        <w:autoSpaceDE w:val="0"/>
        <w:autoSpaceDN w:val="0"/>
        <w:adjustRightInd w:val="0"/>
        <w:spacing w:after="0" w:line="240" w:lineRule="auto"/>
        <w:jc w:val="left"/>
        <w:rPr>
          <w:rFonts w:cs="Arial"/>
          <w:sz w:val="16"/>
          <w:szCs w:val="16"/>
        </w:rPr>
      </w:pPr>
      <w:r w:rsidRPr="00D20875">
        <w:rPr>
          <w:rStyle w:val="Znakapoznpodarou"/>
          <w:rFonts w:cs="Arial"/>
          <w:sz w:val="16"/>
          <w:szCs w:val="16"/>
        </w:rPr>
        <w:footnoteRef/>
      </w:r>
      <w:r w:rsidRPr="00D20875">
        <w:rPr>
          <w:rFonts w:cs="Arial"/>
          <w:sz w:val="16"/>
          <w:szCs w:val="16"/>
        </w:rPr>
        <w:t xml:space="preserve"> </w:t>
      </w:r>
      <w:r w:rsidRPr="00D20875">
        <w:rPr>
          <w:rFonts w:eastAsia="Calibri" w:cs="Arial"/>
          <w:bCs/>
          <w:iCs/>
          <w:sz w:val="16"/>
          <w:szCs w:val="16"/>
          <w:lang w:eastAsia="en-US"/>
        </w:rPr>
        <w:t xml:space="preserve">Míra investic domácností </w:t>
      </w:r>
      <w:r w:rsidRPr="00D20875">
        <w:rPr>
          <w:rFonts w:eastAsia="Calibri" w:cs="Arial"/>
          <w:iCs/>
          <w:sz w:val="16"/>
          <w:szCs w:val="16"/>
          <w:lang w:eastAsia="en-US"/>
        </w:rPr>
        <w:t>je definována jako podíl hrubé tvorby fixního kapitálu k hrubému disponibilnímu důchodu se zahrnutím</w:t>
      </w:r>
      <w:r>
        <w:rPr>
          <w:rFonts w:eastAsia="Calibri" w:cs="Arial"/>
          <w:iCs/>
          <w:sz w:val="16"/>
          <w:szCs w:val="16"/>
          <w:lang w:eastAsia="en-US"/>
        </w:rPr>
        <w:t xml:space="preserve"> </w:t>
      </w:r>
      <w:r w:rsidRPr="00D20875">
        <w:rPr>
          <w:rFonts w:eastAsia="Calibri" w:cs="Arial"/>
          <w:iCs/>
          <w:sz w:val="16"/>
          <w:szCs w:val="16"/>
          <w:lang w:eastAsia="en-US"/>
        </w:rPr>
        <w:t>úpravy o čistý podíl domácností na rezervách penzijních fondů (P.51g/B.6g</w:t>
      </w:r>
      <w:r w:rsidR="00D67375">
        <w:rPr>
          <w:rFonts w:eastAsia="Calibri" w:cs="Arial"/>
          <w:iCs/>
          <w:sz w:val="16"/>
          <w:szCs w:val="16"/>
          <w:lang w:eastAsia="en-US"/>
        </w:rPr>
        <w:t>–</w:t>
      </w:r>
      <w:r w:rsidRPr="00D20875">
        <w:rPr>
          <w:rFonts w:eastAsia="Calibri" w:cs="Arial"/>
          <w:iCs/>
          <w:sz w:val="16"/>
          <w:szCs w:val="16"/>
          <w:lang w:eastAsia="en-US"/>
        </w:rPr>
        <w:t>D.8).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B81D" w14:textId="77777777" w:rsidR="00AD7D0B" w:rsidRPr="00601A2E" w:rsidRDefault="00AD7D0B" w:rsidP="00601A2E">
    <w:pPr>
      <w:pStyle w:val="Zhlav"/>
    </w:pPr>
    <w:r>
      <w:t>Analýza ekonomického vývoje v roce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7858" w14:textId="77777777" w:rsidR="00AD7D0B" w:rsidRDefault="00AD7D0B" w:rsidP="00937AE2">
    <w:pPr>
      <w:pStyle w:val="Zhlav"/>
    </w:pPr>
    <w:r>
      <w:t>Analýza ekonomického vývoje v roce 2018</w:t>
    </w:r>
  </w:p>
  <w:p w14:paraId="427F87BC" w14:textId="77777777" w:rsidR="00AD7D0B" w:rsidRPr="006F5416" w:rsidRDefault="00AD7D0B"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55pt;height:11.5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6415AC1"/>
    <w:multiLevelType w:val="hybridMultilevel"/>
    <w:tmpl w:val="7464A696"/>
    <w:lvl w:ilvl="0" w:tplc="4246FC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20"/>
  </w:num>
  <w:num w:numId="14">
    <w:abstractNumId w:val="10"/>
  </w:num>
  <w:num w:numId="15">
    <w:abstractNumId w:val="16"/>
  </w:num>
  <w:num w:numId="16">
    <w:abstractNumId w:val="12"/>
  </w:num>
  <w:num w:numId="17">
    <w:abstractNumId w:val="21"/>
  </w:num>
  <w:num w:numId="18">
    <w:abstractNumId w:val="17"/>
  </w:num>
  <w:num w:numId="19">
    <w:abstractNumId w:val="22"/>
  </w:num>
  <w:num w:numId="20">
    <w:abstractNumId w:val="24"/>
  </w:num>
  <w:num w:numId="21">
    <w:abstractNumId w:val="19"/>
  </w:num>
  <w:num w:numId="22">
    <w:abstractNumId w:val="15"/>
  </w:num>
  <w:num w:numId="23">
    <w:abstractNumId w:val="13"/>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pos w:val="beneathText"/>
    <w:footnote w:id="-1"/>
    <w:footnote w:id="0"/>
  </w:footnotePr>
  <w:endnotePr>
    <w:endnote w:id="-1"/>
    <w:endnote w:id="0"/>
  </w:endnotePr>
  <w:compat>
    <w:compatSetting w:name="compatibilityMode" w:uri="http://schemas.microsoft.com/office/word" w:val="12"/>
  </w:compat>
  <w:rsids>
    <w:rsidRoot w:val="00F46502"/>
    <w:rsid w:val="0000209D"/>
    <w:rsid w:val="00004D5A"/>
    <w:rsid w:val="000056D5"/>
    <w:rsid w:val="00006ABD"/>
    <w:rsid w:val="0000767A"/>
    <w:rsid w:val="00007BEF"/>
    <w:rsid w:val="00010256"/>
    <w:rsid w:val="00010702"/>
    <w:rsid w:val="00011912"/>
    <w:rsid w:val="00012408"/>
    <w:rsid w:val="00014E7F"/>
    <w:rsid w:val="0002195D"/>
    <w:rsid w:val="000234D6"/>
    <w:rsid w:val="00023D29"/>
    <w:rsid w:val="00026389"/>
    <w:rsid w:val="00031AE0"/>
    <w:rsid w:val="000322EF"/>
    <w:rsid w:val="000333B9"/>
    <w:rsid w:val="00033FCD"/>
    <w:rsid w:val="00041CEC"/>
    <w:rsid w:val="0004694F"/>
    <w:rsid w:val="000500AB"/>
    <w:rsid w:val="000522E4"/>
    <w:rsid w:val="000610E1"/>
    <w:rsid w:val="00062EC5"/>
    <w:rsid w:val="00062F22"/>
    <w:rsid w:val="00067A82"/>
    <w:rsid w:val="000712B3"/>
    <w:rsid w:val="000748F2"/>
    <w:rsid w:val="0008263E"/>
    <w:rsid w:val="00082A55"/>
    <w:rsid w:val="00082C19"/>
    <w:rsid w:val="00085395"/>
    <w:rsid w:val="00087634"/>
    <w:rsid w:val="00087F2B"/>
    <w:rsid w:val="00093E3F"/>
    <w:rsid w:val="00093E53"/>
    <w:rsid w:val="00095135"/>
    <w:rsid w:val="00096085"/>
    <w:rsid w:val="000974D1"/>
    <w:rsid w:val="0009799E"/>
    <w:rsid w:val="000A1183"/>
    <w:rsid w:val="000A256D"/>
    <w:rsid w:val="000A3A2C"/>
    <w:rsid w:val="000B525B"/>
    <w:rsid w:val="000C1D78"/>
    <w:rsid w:val="000C3408"/>
    <w:rsid w:val="000C6AFD"/>
    <w:rsid w:val="000D5637"/>
    <w:rsid w:val="000E3D0E"/>
    <w:rsid w:val="000E6C04"/>
    <w:rsid w:val="000E6FBD"/>
    <w:rsid w:val="000F7084"/>
    <w:rsid w:val="00100F5C"/>
    <w:rsid w:val="0010106F"/>
    <w:rsid w:val="00101CDA"/>
    <w:rsid w:val="00104C4C"/>
    <w:rsid w:val="00117623"/>
    <w:rsid w:val="0012192F"/>
    <w:rsid w:val="00122BB3"/>
    <w:rsid w:val="00125A9C"/>
    <w:rsid w:val="00125D69"/>
    <w:rsid w:val="001405FA"/>
    <w:rsid w:val="00141782"/>
    <w:rsid w:val="001425C3"/>
    <w:rsid w:val="0014794C"/>
    <w:rsid w:val="001528B9"/>
    <w:rsid w:val="001612F4"/>
    <w:rsid w:val="00162312"/>
    <w:rsid w:val="0016256B"/>
    <w:rsid w:val="00163793"/>
    <w:rsid w:val="001671FF"/>
    <w:rsid w:val="001706D6"/>
    <w:rsid w:val="001714F2"/>
    <w:rsid w:val="00175B9F"/>
    <w:rsid w:val="00181BBC"/>
    <w:rsid w:val="00182799"/>
    <w:rsid w:val="00184B08"/>
    <w:rsid w:val="00185010"/>
    <w:rsid w:val="00186919"/>
    <w:rsid w:val="001916DB"/>
    <w:rsid w:val="00193818"/>
    <w:rsid w:val="001A0487"/>
    <w:rsid w:val="001A0D6B"/>
    <w:rsid w:val="001A5387"/>
    <w:rsid w:val="001A552F"/>
    <w:rsid w:val="001B28D3"/>
    <w:rsid w:val="001B2CA9"/>
    <w:rsid w:val="001B3110"/>
    <w:rsid w:val="001B4729"/>
    <w:rsid w:val="001B6310"/>
    <w:rsid w:val="001B6C09"/>
    <w:rsid w:val="001C05CD"/>
    <w:rsid w:val="001C1B66"/>
    <w:rsid w:val="001C487C"/>
    <w:rsid w:val="001D198A"/>
    <w:rsid w:val="001D463E"/>
    <w:rsid w:val="001D51EB"/>
    <w:rsid w:val="001D68B2"/>
    <w:rsid w:val="001D70E9"/>
    <w:rsid w:val="001E504C"/>
    <w:rsid w:val="001F138C"/>
    <w:rsid w:val="001F4063"/>
    <w:rsid w:val="001F4597"/>
    <w:rsid w:val="001F52D6"/>
    <w:rsid w:val="00203DA4"/>
    <w:rsid w:val="002052C6"/>
    <w:rsid w:val="002054B4"/>
    <w:rsid w:val="002118B9"/>
    <w:rsid w:val="00217C5B"/>
    <w:rsid w:val="0022139E"/>
    <w:rsid w:val="00222729"/>
    <w:rsid w:val="00222FFB"/>
    <w:rsid w:val="002252E0"/>
    <w:rsid w:val="002255F6"/>
    <w:rsid w:val="00227850"/>
    <w:rsid w:val="00227A53"/>
    <w:rsid w:val="00230C6E"/>
    <w:rsid w:val="00236443"/>
    <w:rsid w:val="00241035"/>
    <w:rsid w:val="00241B06"/>
    <w:rsid w:val="002436BA"/>
    <w:rsid w:val="00244A15"/>
    <w:rsid w:val="00247319"/>
    <w:rsid w:val="0024799E"/>
    <w:rsid w:val="00253C0F"/>
    <w:rsid w:val="002558C1"/>
    <w:rsid w:val="00260FC5"/>
    <w:rsid w:val="00271465"/>
    <w:rsid w:val="00274037"/>
    <w:rsid w:val="00285412"/>
    <w:rsid w:val="0028587B"/>
    <w:rsid w:val="00291640"/>
    <w:rsid w:val="002A16D4"/>
    <w:rsid w:val="002A230C"/>
    <w:rsid w:val="002A5D97"/>
    <w:rsid w:val="002A7679"/>
    <w:rsid w:val="002B2127"/>
    <w:rsid w:val="002B213A"/>
    <w:rsid w:val="002B4845"/>
    <w:rsid w:val="002B6B06"/>
    <w:rsid w:val="002C43BD"/>
    <w:rsid w:val="002D0E59"/>
    <w:rsid w:val="002E02A1"/>
    <w:rsid w:val="002E1A9C"/>
    <w:rsid w:val="002E4E4C"/>
    <w:rsid w:val="00303533"/>
    <w:rsid w:val="00304771"/>
    <w:rsid w:val="003052D4"/>
    <w:rsid w:val="00306C5B"/>
    <w:rsid w:val="00314A41"/>
    <w:rsid w:val="003209D6"/>
    <w:rsid w:val="00321924"/>
    <w:rsid w:val="0032656E"/>
    <w:rsid w:val="003268DD"/>
    <w:rsid w:val="00330060"/>
    <w:rsid w:val="00332190"/>
    <w:rsid w:val="0033250B"/>
    <w:rsid w:val="0034335E"/>
    <w:rsid w:val="00344668"/>
    <w:rsid w:val="003462D9"/>
    <w:rsid w:val="00347378"/>
    <w:rsid w:val="00347604"/>
    <w:rsid w:val="00357908"/>
    <w:rsid w:val="00360C86"/>
    <w:rsid w:val="00360DE3"/>
    <w:rsid w:val="00360FBC"/>
    <w:rsid w:val="00362E90"/>
    <w:rsid w:val="00364C32"/>
    <w:rsid w:val="00364FA0"/>
    <w:rsid w:val="003657F3"/>
    <w:rsid w:val="00376C3B"/>
    <w:rsid w:val="003818DC"/>
    <w:rsid w:val="00384327"/>
    <w:rsid w:val="00385D98"/>
    <w:rsid w:val="003870EE"/>
    <w:rsid w:val="003A2B4D"/>
    <w:rsid w:val="003A2D12"/>
    <w:rsid w:val="003A478C"/>
    <w:rsid w:val="003A5525"/>
    <w:rsid w:val="003A6B38"/>
    <w:rsid w:val="003B461F"/>
    <w:rsid w:val="003B5A32"/>
    <w:rsid w:val="003C3490"/>
    <w:rsid w:val="003C4BE8"/>
    <w:rsid w:val="003C7E62"/>
    <w:rsid w:val="003D6920"/>
    <w:rsid w:val="003E38BA"/>
    <w:rsid w:val="003E4C91"/>
    <w:rsid w:val="003F313C"/>
    <w:rsid w:val="003F37FC"/>
    <w:rsid w:val="003F3890"/>
    <w:rsid w:val="003F4B2C"/>
    <w:rsid w:val="003F551C"/>
    <w:rsid w:val="003F72ED"/>
    <w:rsid w:val="003F7D23"/>
    <w:rsid w:val="00407C13"/>
    <w:rsid w:val="00410638"/>
    <w:rsid w:val="0041501E"/>
    <w:rsid w:val="004159C3"/>
    <w:rsid w:val="00425F45"/>
    <w:rsid w:val="00432A58"/>
    <w:rsid w:val="00433C0C"/>
    <w:rsid w:val="00434617"/>
    <w:rsid w:val="00436778"/>
    <w:rsid w:val="00440900"/>
    <w:rsid w:val="00441BF6"/>
    <w:rsid w:val="004441A0"/>
    <w:rsid w:val="0045078A"/>
    <w:rsid w:val="0045086D"/>
    <w:rsid w:val="00460FB3"/>
    <w:rsid w:val="00467ABC"/>
    <w:rsid w:val="00476240"/>
    <w:rsid w:val="00476439"/>
    <w:rsid w:val="0047735C"/>
    <w:rsid w:val="004776BC"/>
    <w:rsid w:val="0048139F"/>
    <w:rsid w:val="00481E40"/>
    <w:rsid w:val="00484ECE"/>
    <w:rsid w:val="004915CB"/>
    <w:rsid w:val="004924DC"/>
    <w:rsid w:val="004A14E4"/>
    <w:rsid w:val="004A3212"/>
    <w:rsid w:val="004A5494"/>
    <w:rsid w:val="004A61C5"/>
    <w:rsid w:val="004A77DF"/>
    <w:rsid w:val="004B1417"/>
    <w:rsid w:val="004B48DF"/>
    <w:rsid w:val="004B55B7"/>
    <w:rsid w:val="004B6468"/>
    <w:rsid w:val="004B7125"/>
    <w:rsid w:val="004C26B0"/>
    <w:rsid w:val="004C384C"/>
    <w:rsid w:val="004C3867"/>
    <w:rsid w:val="004C4CD0"/>
    <w:rsid w:val="004C5FBF"/>
    <w:rsid w:val="004C70DC"/>
    <w:rsid w:val="004D0211"/>
    <w:rsid w:val="004D0794"/>
    <w:rsid w:val="004D3177"/>
    <w:rsid w:val="004E326C"/>
    <w:rsid w:val="004F06F5"/>
    <w:rsid w:val="004F16F7"/>
    <w:rsid w:val="004F33A0"/>
    <w:rsid w:val="004F6EDC"/>
    <w:rsid w:val="0050689D"/>
    <w:rsid w:val="005108C0"/>
    <w:rsid w:val="00511873"/>
    <w:rsid w:val="00512A2F"/>
    <w:rsid w:val="00513B7E"/>
    <w:rsid w:val="005152D9"/>
    <w:rsid w:val="00515C74"/>
    <w:rsid w:val="00515FFA"/>
    <w:rsid w:val="005173AF"/>
    <w:rsid w:val="0052007E"/>
    <w:rsid w:val="0052337A"/>
    <w:rsid w:val="00525137"/>
    <w:rsid w:val="005251DD"/>
    <w:rsid w:val="00532CE7"/>
    <w:rsid w:val="0053324C"/>
    <w:rsid w:val="00534A28"/>
    <w:rsid w:val="00541508"/>
    <w:rsid w:val="00543498"/>
    <w:rsid w:val="00551238"/>
    <w:rsid w:val="0055599F"/>
    <w:rsid w:val="00556D68"/>
    <w:rsid w:val="00561B03"/>
    <w:rsid w:val="00563EB8"/>
    <w:rsid w:val="005647BF"/>
    <w:rsid w:val="00564AF1"/>
    <w:rsid w:val="0057364B"/>
    <w:rsid w:val="00574773"/>
    <w:rsid w:val="00581AC8"/>
    <w:rsid w:val="00583FFD"/>
    <w:rsid w:val="005911BE"/>
    <w:rsid w:val="00593152"/>
    <w:rsid w:val="00596F92"/>
    <w:rsid w:val="005A10F2"/>
    <w:rsid w:val="005A21E0"/>
    <w:rsid w:val="005A28FF"/>
    <w:rsid w:val="005A2A19"/>
    <w:rsid w:val="005A2C7B"/>
    <w:rsid w:val="005A3DF8"/>
    <w:rsid w:val="005A5549"/>
    <w:rsid w:val="005A5D45"/>
    <w:rsid w:val="005A655B"/>
    <w:rsid w:val="005A7666"/>
    <w:rsid w:val="005B121D"/>
    <w:rsid w:val="005C06ED"/>
    <w:rsid w:val="005C2609"/>
    <w:rsid w:val="005C35A1"/>
    <w:rsid w:val="005D3386"/>
    <w:rsid w:val="005D5802"/>
    <w:rsid w:val="005D7119"/>
    <w:rsid w:val="005D7890"/>
    <w:rsid w:val="005E2A7C"/>
    <w:rsid w:val="005E7C78"/>
    <w:rsid w:val="005F18C5"/>
    <w:rsid w:val="005F3EB1"/>
    <w:rsid w:val="005F46D8"/>
    <w:rsid w:val="005F5469"/>
    <w:rsid w:val="00600079"/>
    <w:rsid w:val="006003D1"/>
    <w:rsid w:val="00601A2E"/>
    <w:rsid w:val="0060404F"/>
    <w:rsid w:val="00604307"/>
    <w:rsid w:val="0060487F"/>
    <w:rsid w:val="00604EAD"/>
    <w:rsid w:val="006104FB"/>
    <w:rsid w:val="0061249B"/>
    <w:rsid w:val="00612A2F"/>
    <w:rsid w:val="00616E05"/>
    <w:rsid w:val="00624093"/>
    <w:rsid w:val="006254CB"/>
    <w:rsid w:val="0063201A"/>
    <w:rsid w:val="006350D5"/>
    <w:rsid w:val="006404A7"/>
    <w:rsid w:val="006451E4"/>
    <w:rsid w:val="00645B33"/>
    <w:rsid w:val="00650330"/>
    <w:rsid w:val="006516CB"/>
    <w:rsid w:val="006558BD"/>
    <w:rsid w:val="00657E87"/>
    <w:rsid w:val="00664803"/>
    <w:rsid w:val="00665BA4"/>
    <w:rsid w:val="00666D91"/>
    <w:rsid w:val="00667AF2"/>
    <w:rsid w:val="006710C9"/>
    <w:rsid w:val="00674D89"/>
    <w:rsid w:val="00675E37"/>
    <w:rsid w:val="00680001"/>
    <w:rsid w:val="0068174E"/>
    <w:rsid w:val="00681DCE"/>
    <w:rsid w:val="0068260E"/>
    <w:rsid w:val="006863B2"/>
    <w:rsid w:val="00695BEF"/>
    <w:rsid w:val="006977F6"/>
    <w:rsid w:val="00697A13"/>
    <w:rsid w:val="006A109C"/>
    <w:rsid w:val="006A3E08"/>
    <w:rsid w:val="006A73A6"/>
    <w:rsid w:val="006B0F92"/>
    <w:rsid w:val="006B344A"/>
    <w:rsid w:val="006B4B7B"/>
    <w:rsid w:val="006B78D8"/>
    <w:rsid w:val="006C113F"/>
    <w:rsid w:val="006C123E"/>
    <w:rsid w:val="006C1752"/>
    <w:rsid w:val="006C33B2"/>
    <w:rsid w:val="006C56D4"/>
    <w:rsid w:val="006C6924"/>
    <w:rsid w:val="006C7CA6"/>
    <w:rsid w:val="006D3E8A"/>
    <w:rsid w:val="006D61F6"/>
    <w:rsid w:val="006D64C2"/>
    <w:rsid w:val="006E279A"/>
    <w:rsid w:val="006E313B"/>
    <w:rsid w:val="006E7227"/>
    <w:rsid w:val="006F2595"/>
    <w:rsid w:val="006F438E"/>
    <w:rsid w:val="006F5416"/>
    <w:rsid w:val="00705242"/>
    <w:rsid w:val="00706AD4"/>
    <w:rsid w:val="00707150"/>
    <w:rsid w:val="007140BE"/>
    <w:rsid w:val="00716E3F"/>
    <w:rsid w:val="007211F5"/>
    <w:rsid w:val="007240E2"/>
    <w:rsid w:val="00725BB5"/>
    <w:rsid w:val="00730AE8"/>
    <w:rsid w:val="00730F1B"/>
    <w:rsid w:val="00740575"/>
    <w:rsid w:val="00741493"/>
    <w:rsid w:val="0074369B"/>
    <w:rsid w:val="00744EE6"/>
    <w:rsid w:val="00745062"/>
    <w:rsid w:val="007506A5"/>
    <w:rsid w:val="00750EF8"/>
    <w:rsid w:val="00752180"/>
    <w:rsid w:val="00753CAB"/>
    <w:rsid w:val="00755202"/>
    <w:rsid w:val="00755D3A"/>
    <w:rsid w:val="007578D3"/>
    <w:rsid w:val="007609C6"/>
    <w:rsid w:val="0076175D"/>
    <w:rsid w:val="00763B85"/>
    <w:rsid w:val="0076521E"/>
    <w:rsid w:val="007661E9"/>
    <w:rsid w:val="00775F45"/>
    <w:rsid w:val="00776169"/>
    <w:rsid w:val="00776527"/>
    <w:rsid w:val="00780EF1"/>
    <w:rsid w:val="00785232"/>
    <w:rsid w:val="00790764"/>
    <w:rsid w:val="0079453C"/>
    <w:rsid w:val="00794677"/>
    <w:rsid w:val="007A38F2"/>
    <w:rsid w:val="007A516D"/>
    <w:rsid w:val="007B0750"/>
    <w:rsid w:val="007B6689"/>
    <w:rsid w:val="007C13A4"/>
    <w:rsid w:val="007C6BBD"/>
    <w:rsid w:val="007C7BAE"/>
    <w:rsid w:val="007D0C24"/>
    <w:rsid w:val="007D40DF"/>
    <w:rsid w:val="007E29B4"/>
    <w:rsid w:val="007E435A"/>
    <w:rsid w:val="007E7E61"/>
    <w:rsid w:val="007F0845"/>
    <w:rsid w:val="007F661C"/>
    <w:rsid w:val="007F708D"/>
    <w:rsid w:val="00801E13"/>
    <w:rsid w:val="00805381"/>
    <w:rsid w:val="00807674"/>
    <w:rsid w:val="00807C82"/>
    <w:rsid w:val="00816905"/>
    <w:rsid w:val="00821FF6"/>
    <w:rsid w:val="00822574"/>
    <w:rsid w:val="00825C4D"/>
    <w:rsid w:val="0083143E"/>
    <w:rsid w:val="00831CDE"/>
    <w:rsid w:val="00833BF2"/>
    <w:rsid w:val="00834304"/>
    <w:rsid w:val="00834FAA"/>
    <w:rsid w:val="00836086"/>
    <w:rsid w:val="008364D5"/>
    <w:rsid w:val="00846121"/>
    <w:rsid w:val="0084708F"/>
    <w:rsid w:val="0084727E"/>
    <w:rsid w:val="008477C8"/>
    <w:rsid w:val="00847931"/>
    <w:rsid w:val="0085114D"/>
    <w:rsid w:val="00852217"/>
    <w:rsid w:val="00855408"/>
    <w:rsid w:val="00856D65"/>
    <w:rsid w:val="00861B41"/>
    <w:rsid w:val="00861BE3"/>
    <w:rsid w:val="00863434"/>
    <w:rsid w:val="008637A2"/>
    <w:rsid w:val="00865E4C"/>
    <w:rsid w:val="008701E4"/>
    <w:rsid w:val="00875A32"/>
    <w:rsid w:val="00876086"/>
    <w:rsid w:val="00884A6F"/>
    <w:rsid w:val="008856A3"/>
    <w:rsid w:val="008873D4"/>
    <w:rsid w:val="0089296D"/>
    <w:rsid w:val="00893E85"/>
    <w:rsid w:val="00894031"/>
    <w:rsid w:val="00895508"/>
    <w:rsid w:val="008B7C02"/>
    <w:rsid w:val="008B7D2B"/>
    <w:rsid w:val="008C0049"/>
    <w:rsid w:val="008C0E88"/>
    <w:rsid w:val="008D0DBD"/>
    <w:rsid w:val="008D1E6A"/>
    <w:rsid w:val="008D2A16"/>
    <w:rsid w:val="008E0DC9"/>
    <w:rsid w:val="008E2C57"/>
    <w:rsid w:val="008E31FF"/>
    <w:rsid w:val="008E6F06"/>
    <w:rsid w:val="008E7FC9"/>
    <w:rsid w:val="008F029B"/>
    <w:rsid w:val="008F3FC9"/>
    <w:rsid w:val="008F585B"/>
    <w:rsid w:val="009003A8"/>
    <w:rsid w:val="00902500"/>
    <w:rsid w:val="00902EFF"/>
    <w:rsid w:val="00906401"/>
    <w:rsid w:val="0091155E"/>
    <w:rsid w:val="00912A92"/>
    <w:rsid w:val="00915CF4"/>
    <w:rsid w:val="0091728D"/>
    <w:rsid w:val="0092180B"/>
    <w:rsid w:val="00921F14"/>
    <w:rsid w:val="00924AC8"/>
    <w:rsid w:val="0092597A"/>
    <w:rsid w:val="00930FB1"/>
    <w:rsid w:val="0093139F"/>
    <w:rsid w:val="00932443"/>
    <w:rsid w:val="00937AE2"/>
    <w:rsid w:val="00942C19"/>
    <w:rsid w:val="0094427A"/>
    <w:rsid w:val="00945245"/>
    <w:rsid w:val="00953F28"/>
    <w:rsid w:val="009540B7"/>
    <w:rsid w:val="0095759C"/>
    <w:rsid w:val="0096154D"/>
    <w:rsid w:val="0096221A"/>
    <w:rsid w:val="00974923"/>
    <w:rsid w:val="00976BAF"/>
    <w:rsid w:val="00980D3D"/>
    <w:rsid w:val="00987A30"/>
    <w:rsid w:val="00992CF3"/>
    <w:rsid w:val="009942B6"/>
    <w:rsid w:val="00994868"/>
    <w:rsid w:val="009968D6"/>
    <w:rsid w:val="009A1CAB"/>
    <w:rsid w:val="009A4901"/>
    <w:rsid w:val="009A60D1"/>
    <w:rsid w:val="009B6FD3"/>
    <w:rsid w:val="009B7C82"/>
    <w:rsid w:val="009C03C8"/>
    <w:rsid w:val="009C1750"/>
    <w:rsid w:val="009C1EEA"/>
    <w:rsid w:val="009C2E29"/>
    <w:rsid w:val="009C554B"/>
    <w:rsid w:val="009C719E"/>
    <w:rsid w:val="009D3ACD"/>
    <w:rsid w:val="009E5273"/>
    <w:rsid w:val="009E5DDB"/>
    <w:rsid w:val="009F46EA"/>
    <w:rsid w:val="009F4CA7"/>
    <w:rsid w:val="00A10D66"/>
    <w:rsid w:val="00A1260E"/>
    <w:rsid w:val="00A14114"/>
    <w:rsid w:val="00A16413"/>
    <w:rsid w:val="00A16E1D"/>
    <w:rsid w:val="00A17D5B"/>
    <w:rsid w:val="00A20028"/>
    <w:rsid w:val="00A230A8"/>
    <w:rsid w:val="00A23E43"/>
    <w:rsid w:val="00A25216"/>
    <w:rsid w:val="00A27420"/>
    <w:rsid w:val="00A27C85"/>
    <w:rsid w:val="00A30F65"/>
    <w:rsid w:val="00A32759"/>
    <w:rsid w:val="00A329DF"/>
    <w:rsid w:val="00A35142"/>
    <w:rsid w:val="00A35EA6"/>
    <w:rsid w:val="00A40EAC"/>
    <w:rsid w:val="00A416D4"/>
    <w:rsid w:val="00A418BC"/>
    <w:rsid w:val="00A46DE0"/>
    <w:rsid w:val="00A4750C"/>
    <w:rsid w:val="00A50D73"/>
    <w:rsid w:val="00A51F19"/>
    <w:rsid w:val="00A52CAD"/>
    <w:rsid w:val="00A537F0"/>
    <w:rsid w:val="00A53FC7"/>
    <w:rsid w:val="00A54250"/>
    <w:rsid w:val="00A55161"/>
    <w:rsid w:val="00A55593"/>
    <w:rsid w:val="00A62B23"/>
    <w:rsid w:val="00A62CE1"/>
    <w:rsid w:val="00A66A11"/>
    <w:rsid w:val="00A6741E"/>
    <w:rsid w:val="00A75E40"/>
    <w:rsid w:val="00A77D1D"/>
    <w:rsid w:val="00A84923"/>
    <w:rsid w:val="00A857C0"/>
    <w:rsid w:val="00A90FED"/>
    <w:rsid w:val="00AA2996"/>
    <w:rsid w:val="00AA52BF"/>
    <w:rsid w:val="00AA559A"/>
    <w:rsid w:val="00AB2AF1"/>
    <w:rsid w:val="00AB5421"/>
    <w:rsid w:val="00AC45BD"/>
    <w:rsid w:val="00AD168E"/>
    <w:rsid w:val="00AD306C"/>
    <w:rsid w:val="00AD68C4"/>
    <w:rsid w:val="00AD7D0B"/>
    <w:rsid w:val="00AE09B3"/>
    <w:rsid w:val="00AE1A83"/>
    <w:rsid w:val="00AE7FB2"/>
    <w:rsid w:val="00B00913"/>
    <w:rsid w:val="00B01593"/>
    <w:rsid w:val="00B023F2"/>
    <w:rsid w:val="00B10A4D"/>
    <w:rsid w:val="00B120A1"/>
    <w:rsid w:val="00B12AA6"/>
    <w:rsid w:val="00B14BC1"/>
    <w:rsid w:val="00B17E71"/>
    <w:rsid w:val="00B17FDE"/>
    <w:rsid w:val="00B20632"/>
    <w:rsid w:val="00B23055"/>
    <w:rsid w:val="00B2379C"/>
    <w:rsid w:val="00B2687D"/>
    <w:rsid w:val="00B32DDB"/>
    <w:rsid w:val="00B34528"/>
    <w:rsid w:val="00B34CC9"/>
    <w:rsid w:val="00B366E5"/>
    <w:rsid w:val="00B402FC"/>
    <w:rsid w:val="00B40FF9"/>
    <w:rsid w:val="00B42470"/>
    <w:rsid w:val="00B439DA"/>
    <w:rsid w:val="00B46604"/>
    <w:rsid w:val="00B530CD"/>
    <w:rsid w:val="00B53AB0"/>
    <w:rsid w:val="00B55F5E"/>
    <w:rsid w:val="00B57338"/>
    <w:rsid w:val="00B5752E"/>
    <w:rsid w:val="00B57E25"/>
    <w:rsid w:val="00B619A9"/>
    <w:rsid w:val="00B63A11"/>
    <w:rsid w:val="00B64C24"/>
    <w:rsid w:val="00B6608F"/>
    <w:rsid w:val="00B679FB"/>
    <w:rsid w:val="00B76D1E"/>
    <w:rsid w:val="00B80EC6"/>
    <w:rsid w:val="00B84CF6"/>
    <w:rsid w:val="00B86F03"/>
    <w:rsid w:val="00B9200E"/>
    <w:rsid w:val="00B92D1D"/>
    <w:rsid w:val="00B938C5"/>
    <w:rsid w:val="00B95940"/>
    <w:rsid w:val="00B97434"/>
    <w:rsid w:val="00BA0DD3"/>
    <w:rsid w:val="00BA6C2B"/>
    <w:rsid w:val="00BA76E6"/>
    <w:rsid w:val="00BB2F03"/>
    <w:rsid w:val="00BB46F3"/>
    <w:rsid w:val="00BB4CB1"/>
    <w:rsid w:val="00BB4F98"/>
    <w:rsid w:val="00BC0E31"/>
    <w:rsid w:val="00BC5C12"/>
    <w:rsid w:val="00BC7075"/>
    <w:rsid w:val="00BC7154"/>
    <w:rsid w:val="00BC731E"/>
    <w:rsid w:val="00BD163C"/>
    <w:rsid w:val="00BD2991"/>
    <w:rsid w:val="00BD366B"/>
    <w:rsid w:val="00BD6D50"/>
    <w:rsid w:val="00BE18B9"/>
    <w:rsid w:val="00BE2495"/>
    <w:rsid w:val="00BE468E"/>
    <w:rsid w:val="00BE6186"/>
    <w:rsid w:val="00BF1578"/>
    <w:rsid w:val="00BF45D9"/>
    <w:rsid w:val="00C024B1"/>
    <w:rsid w:val="00C21405"/>
    <w:rsid w:val="00C21F94"/>
    <w:rsid w:val="00C27913"/>
    <w:rsid w:val="00C33B68"/>
    <w:rsid w:val="00C36A79"/>
    <w:rsid w:val="00C401D2"/>
    <w:rsid w:val="00C405D4"/>
    <w:rsid w:val="00C4513B"/>
    <w:rsid w:val="00C466D2"/>
    <w:rsid w:val="00C5390B"/>
    <w:rsid w:val="00C54697"/>
    <w:rsid w:val="00C60191"/>
    <w:rsid w:val="00C6152B"/>
    <w:rsid w:val="00C73885"/>
    <w:rsid w:val="00C747B1"/>
    <w:rsid w:val="00C82191"/>
    <w:rsid w:val="00C83134"/>
    <w:rsid w:val="00C8418E"/>
    <w:rsid w:val="00C85545"/>
    <w:rsid w:val="00C86B84"/>
    <w:rsid w:val="00C90CF4"/>
    <w:rsid w:val="00C92EB6"/>
    <w:rsid w:val="00C93389"/>
    <w:rsid w:val="00C936C3"/>
    <w:rsid w:val="00C96D08"/>
    <w:rsid w:val="00CA28BC"/>
    <w:rsid w:val="00CA6668"/>
    <w:rsid w:val="00CA6AB4"/>
    <w:rsid w:val="00CB259D"/>
    <w:rsid w:val="00CB4930"/>
    <w:rsid w:val="00CC2E7D"/>
    <w:rsid w:val="00CC71EC"/>
    <w:rsid w:val="00CD10A5"/>
    <w:rsid w:val="00CD2076"/>
    <w:rsid w:val="00CD29B5"/>
    <w:rsid w:val="00CD6331"/>
    <w:rsid w:val="00CE153B"/>
    <w:rsid w:val="00CE670B"/>
    <w:rsid w:val="00CF1C4C"/>
    <w:rsid w:val="00CF4908"/>
    <w:rsid w:val="00CF51EC"/>
    <w:rsid w:val="00CF73AE"/>
    <w:rsid w:val="00D040DD"/>
    <w:rsid w:val="00D050F8"/>
    <w:rsid w:val="00D075BE"/>
    <w:rsid w:val="00D1005A"/>
    <w:rsid w:val="00D11854"/>
    <w:rsid w:val="00D120FA"/>
    <w:rsid w:val="00D13986"/>
    <w:rsid w:val="00D21D83"/>
    <w:rsid w:val="00D22038"/>
    <w:rsid w:val="00D235B7"/>
    <w:rsid w:val="00D25F28"/>
    <w:rsid w:val="00D26071"/>
    <w:rsid w:val="00D27973"/>
    <w:rsid w:val="00D32F90"/>
    <w:rsid w:val="00D35E1A"/>
    <w:rsid w:val="00D50F46"/>
    <w:rsid w:val="00D52BE2"/>
    <w:rsid w:val="00D57677"/>
    <w:rsid w:val="00D64227"/>
    <w:rsid w:val="00D66223"/>
    <w:rsid w:val="00D67375"/>
    <w:rsid w:val="00D73384"/>
    <w:rsid w:val="00D8084C"/>
    <w:rsid w:val="00D915EA"/>
    <w:rsid w:val="00D92FD1"/>
    <w:rsid w:val="00D93CE2"/>
    <w:rsid w:val="00D943C6"/>
    <w:rsid w:val="00D95218"/>
    <w:rsid w:val="00D965EC"/>
    <w:rsid w:val="00DA0BBD"/>
    <w:rsid w:val="00DA7C0C"/>
    <w:rsid w:val="00DB08A9"/>
    <w:rsid w:val="00DB2EC8"/>
    <w:rsid w:val="00DC37E3"/>
    <w:rsid w:val="00DC5B3B"/>
    <w:rsid w:val="00DD129F"/>
    <w:rsid w:val="00DD6B52"/>
    <w:rsid w:val="00DE0F63"/>
    <w:rsid w:val="00DE4C19"/>
    <w:rsid w:val="00DF317B"/>
    <w:rsid w:val="00DF42FF"/>
    <w:rsid w:val="00DF7AD4"/>
    <w:rsid w:val="00E01C0E"/>
    <w:rsid w:val="00E03F9A"/>
    <w:rsid w:val="00E04694"/>
    <w:rsid w:val="00E04F27"/>
    <w:rsid w:val="00E102BD"/>
    <w:rsid w:val="00E10A2E"/>
    <w:rsid w:val="00E11DE1"/>
    <w:rsid w:val="00E12B1E"/>
    <w:rsid w:val="00E17262"/>
    <w:rsid w:val="00E212C9"/>
    <w:rsid w:val="00E253A2"/>
    <w:rsid w:val="00E3309D"/>
    <w:rsid w:val="00E333BA"/>
    <w:rsid w:val="00E453F9"/>
    <w:rsid w:val="00E47EBA"/>
    <w:rsid w:val="00E50156"/>
    <w:rsid w:val="00E53470"/>
    <w:rsid w:val="00E539F6"/>
    <w:rsid w:val="00E6519D"/>
    <w:rsid w:val="00E67696"/>
    <w:rsid w:val="00E711D1"/>
    <w:rsid w:val="00E71A58"/>
    <w:rsid w:val="00E72A7A"/>
    <w:rsid w:val="00E733C7"/>
    <w:rsid w:val="00E75C94"/>
    <w:rsid w:val="00E76E61"/>
    <w:rsid w:val="00E8168E"/>
    <w:rsid w:val="00E924B2"/>
    <w:rsid w:val="00E93820"/>
    <w:rsid w:val="00E94A86"/>
    <w:rsid w:val="00E96143"/>
    <w:rsid w:val="00E972A9"/>
    <w:rsid w:val="00EA0840"/>
    <w:rsid w:val="00EA0C68"/>
    <w:rsid w:val="00EA17B0"/>
    <w:rsid w:val="00EA32BC"/>
    <w:rsid w:val="00EA405F"/>
    <w:rsid w:val="00EB4511"/>
    <w:rsid w:val="00EC03D7"/>
    <w:rsid w:val="00EC25F0"/>
    <w:rsid w:val="00ED62C6"/>
    <w:rsid w:val="00ED64C1"/>
    <w:rsid w:val="00ED7B65"/>
    <w:rsid w:val="00EE3446"/>
    <w:rsid w:val="00EE3E78"/>
    <w:rsid w:val="00EE466C"/>
    <w:rsid w:val="00EE4B1B"/>
    <w:rsid w:val="00EE50DB"/>
    <w:rsid w:val="00EF150D"/>
    <w:rsid w:val="00EF1F5A"/>
    <w:rsid w:val="00EF348D"/>
    <w:rsid w:val="00EF47BF"/>
    <w:rsid w:val="00F04811"/>
    <w:rsid w:val="00F0488C"/>
    <w:rsid w:val="00F05E10"/>
    <w:rsid w:val="00F10F11"/>
    <w:rsid w:val="00F13819"/>
    <w:rsid w:val="00F13C9C"/>
    <w:rsid w:val="00F15AAA"/>
    <w:rsid w:val="00F15BEF"/>
    <w:rsid w:val="00F160CE"/>
    <w:rsid w:val="00F162B3"/>
    <w:rsid w:val="00F231AE"/>
    <w:rsid w:val="00F24407"/>
    <w:rsid w:val="00F24FAA"/>
    <w:rsid w:val="00F3364D"/>
    <w:rsid w:val="00F33E56"/>
    <w:rsid w:val="00F433FE"/>
    <w:rsid w:val="00F437CC"/>
    <w:rsid w:val="00F44537"/>
    <w:rsid w:val="00F4530D"/>
    <w:rsid w:val="00F46502"/>
    <w:rsid w:val="00F47067"/>
    <w:rsid w:val="00F525EB"/>
    <w:rsid w:val="00F55E08"/>
    <w:rsid w:val="00F63DDE"/>
    <w:rsid w:val="00F63FB7"/>
    <w:rsid w:val="00F6421B"/>
    <w:rsid w:val="00F649D2"/>
    <w:rsid w:val="00F6602B"/>
    <w:rsid w:val="00F73A0C"/>
    <w:rsid w:val="00F73D08"/>
    <w:rsid w:val="00F756DB"/>
    <w:rsid w:val="00F84E7D"/>
    <w:rsid w:val="00F85066"/>
    <w:rsid w:val="00F853A9"/>
    <w:rsid w:val="00F859D0"/>
    <w:rsid w:val="00F87A4D"/>
    <w:rsid w:val="00FA1987"/>
    <w:rsid w:val="00FA5D4D"/>
    <w:rsid w:val="00FB0EE2"/>
    <w:rsid w:val="00FB542E"/>
    <w:rsid w:val="00FC0359"/>
    <w:rsid w:val="00FC0E5F"/>
    <w:rsid w:val="00FC1A95"/>
    <w:rsid w:val="00FC56DE"/>
    <w:rsid w:val="00FC684B"/>
    <w:rsid w:val="00FD3265"/>
    <w:rsid w:val="00FD4916"/>
    <w:rsid w:val="00FE2F78"/>
    <w:rsid w:val="00FF3EEC"/>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359FC93"/>
  <w15:docId w15:val="{A4C7AF56-5B51-4067-BDB9-17A6C364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qFormat/>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EA0840"/>
    <w:rPr>
      <w:noProof/>
      <w:lang w:eastAsia="en-US"/>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F46502"/>
    <w:pPr>
      <w:keepNext/>
      <w:keepLines/>
      <w:spacing w:after="100"/>
      <w:contextualSpacing/>
      <w:jc w:val="left"/>
      <w:outlineLvl w:val="0"/>
    </w:pPr>
    <w:rPr>
      <w:rFonts w:eastAsia="MS Gothic"/>
      <w:b/>
      <w:bCs/>
      <w:color w:val="71818C"/>
      <w:sz w:val="32"/>
      <w:szCs w:val="28"/>
    </w:rPr>
  </w:style>
  <w:style w:type="paragraph" w:customStyle="1" w:styleId="Nadpis21">
    <w:name w:val="Nadpis 21"/>
    <w:basedOn w:val="Normln"/>
    <w:uiPriority w:val="9"/>
    <w:qFormat/>
    <w:rsid w:val="00F46502"/>
    <w:pPr>
      <w:keepNext/>
      <w:keepLines/>
      <w:spacing w:after="0"/>
      <w:jc w:val="left"/>
      <w:outlineLvl w:val="1"/>
    </w:pPr>
    <w:rPr>
      <w:rFonts w:eastAsia="MS Gothic"/>
      <w:b/>
      <w:bCs/>
      <w:color w:val="71818C"/>
      <w:sz w:val="28"/>
      <w:szCs w:val="26"/>
    </w:rPr>
  </w:style>
  <w:style w:type="paragraph" w:customStyle="1" w:styleId="Textpoznpodarou1">
    <w:name w:val="Text pozn. pod čarou1"/>
    <w:basedOn w:val="Normln"/>
    <w:rsid w:val="00F46502"/>
    <w:pPr>
      <w:spacing w:after="0" w:line="240" w:lineRule="auto"/>
      <w:jc w:val="left"/>
    </w:pPr>
    <w:rPr>
      <w:rFonts w:eastAsia="Calibri"/>
      <w:color w:val="00000A"/>
      <w:szCs w:val="20"/>
    </w:rPr>
  </w:style>
  <w:style w:type="character" w:customStyle="1" w:styleId="TextpoznpodarouChar1">
    <w:name w:val="Text pozn. pod čarou Char1"/>
    <w:aliases w:val="Text pozn. pod čarou_martin_ang Char1"/>
    <w:basedOn w:val="Standardnpsmoodstavce"/>
    <w:semiHidden/>
    <w:rsid w:val="00F46502"/>
    <w:rPr>
      <w:rFonts w:ascii="Arial" w:eastAsia="Times New Roman" w:hAnsi="Arial" w:cs="Times New Roman"/>
      <w:color w:val="00000A"/>
      <w:szCs w:val="20"/>
      <w:lang w:eastAsia="cs-CZ"/>
    </w:rPr>
  </w:style>
  <w:style w:type="character" w:styleId="Znakapoznpodarou">
    <w:name w:val="footnote reference"/>
    <w:basedOn w:val="Standardnpsmoodstavce"/>
    <w:rsid w:val="00F46502"/>
    <w:rPr>
      <w:rFonts w:cs="Times New Roman"/>
      <w:vertAlign w:val="superscript"/>
    </w:rPr>
  </w:style>
  <w:style w:type="character" w:customStyle="1" w:styleId="odkaz-style-wrapper">
    <w:name w:val="odkaz-style-wrapper"/>
    <w:basedOn w:val="Standardnpsmoodstavce"/>
    <w:rsid w:val="00BE6186"/>
  </w:style>
  <w:style w:type="paragraph" w:customStyle="1" w:styleId="Nadpis110">
    <w:name w:val="Nadpis 11"/>
    <w:basedOn w:val="Normln"/>
    <w:uiPriority w:val="9"/>
    <w:qFormat/>
    <w:rsid w:val="00BE6186"/>
    <w:pPr>
      <w:keepNext/>
      <w:keepLines/>
      <w:spacing w:after="100"/>
      <w:contextualSpacing/>
      <w:jc w:val="left"/>
      <w:outlineLvl w:val="0"/>
    </w:pPr>
    <w:rPr>
      <w:rFonts w:eastAsia="MS Gothic"/>
      <w:b/>
      <w:bCs/>
      <w:color w:val="71818C"/>
      <w:sz w:val="32"/>
      <w:szCs w:val="28"/>
    </w:rPr>
  </w:style>
  <w:style w:type="paragraph" w:customStyle="1" w:styleId="Nadpis210">
    <w:name w:val="Nadpis 21"/>
    <w:basedOn w:val="Normln"/>
    <w:uiPriority w:val="9"/>
    <w:qFormat/>
    <w:rsid w:val="00BE6186"/>
    <w:pPr>
      <w:keepNext/>
      <w:keepLines/>
      <w:spacing w:after="0"/>
      <w:jc w:val="left"/>
      <w:outlineLvl w:val="1"/>
    </w:pPr>
    <w:rPr>
      <w:rFonts w:eastAsia="MS Gothic"/>
      <w:b/>
      <w:bCs/>
      <w:color w:val="71818C"/>
      <w:sz w:val="28"/>
      <w:szCs w:val="26"/>
    </w:rPr>
  </w:style>
  <w:style w:type="paragraph" w:customStyle="1" w:styleId="Textpoznpodarou10">
    <w:name w:val="Text pozn. pod čarou1"/>
    <w:basedOn w:val="Normln"/>
    <w:rsid w:val="00BE6186"/>
    <w:pPr>
      <w:spacing w:after="0" w:line="240" w:lineRule="auto"/>
      <w:jc w:val="left"/>
    </w:pPr>
    <w:rPr>
      <w:rFonts w:eastAsia="Calibri"/>
      <w:color w:val="00000A"/>
      <w:szCs w:val="20"/>
    </w:rPr>
  </w:style>
  <w:style w:type="paragraph" w:styleId="Normlnweb">
    <w:name w:val="Normal (Web)"/>
    <w:basedOn w:val="Normln"/>
    <w:uiPriority w:val="99"/>
    <w:unhideWhenUsed/>
    <w:rsid w:val="00C96D08"/>
    <w:pPr>
      <w:spacing w:before="100" w:beforeAutospacing="1" w:after="100" w:afterAutospacing="1" w:line="240" w:lineRule="auto"/>
      <w:jc w:val="left"/>
    </w:pPr>
    <w:rPr>
      <w:rFonts w:ascii="Times New Roman" w:hAnsi="Times New Roman"/>
      <w:sz w:val="24"/>
    </w:rPr>
  </w:style>
  <w:style w:type="paragraph" w:styleId="Zkladntext">
    <w:name w:val="Body Text"/>
    <w:basedOn w:val="Normln"/>
    <w:link w:val="ZkladntextChar"/>
    <w:semiHidden/>
    <w:rsid w:val="004C5FBF"/>
    <w:pPr>
      <w:widowControl w:val="0"/>
      <w:suppressAutoHyphens/>
      <w:autoSpaceDE w:val="0"/>
      <w:autoSpaceDN w:val="0"/>
      <w:adjustRightInd w:val="0"/>
      <w:spacing w:before="120" w:after="0" w:line="215" w:lineRule="exact"/>
    </w:pPr>
    <w:rPr>
      <w:rFonts w:ascii="Times New Roman CE obyèejné" w:hAnsi="Times New Roman CE obyèejné"/>
      <w:szCs w:val="20"/>
    </w:rPr>
  </w:style>
  <w:style w:type="character" w:customStyle="1" w:styleId="ZkladntextChar">
    <w:name w:val="Základní text Char"/>
    <w:basedOn w:val="Standardnpsmoodstavce"/>
    <w:link w:val="Zkladntext"/>
    <w:semiHidden/>
    <w:rsid w:val="004C5FBF"/>
    <w:rPr>
      <w:rFonts w:ascii="Times New Roman CE obyèejné" w:eastAsia="Times New Roman" w:hAnsi="Times New Roman CE obyèejné"/>
      <w:lang w:eastAsia="cs-CZ"/>
    </w:rPr>
  </w:style>
  <w:style w:type="character" w:customStyle="1" w:styleId="content">
    <w:name w:val="content"/>
    <w:basedOn w:val="Standardnpsmoodstavce"/>
    <w:rsid w:val="003C4BE8"/>
  </w:style>
  <w:style w:type="paragraph" w:styleId="Textvysvtlivek">
    <w:name w:val="endnote text"/>
    <w:basedOn w:val="Normln"/>
    <w:link w:val="TextvysvtlivekChar"/>
    <w:uiPriority w:val="99"/>
    <w:semiHidden/>
    <w:unhideWhenUsed/>
    <w:rsid w:val="00744EE6"/>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744EE6"/>
    <w:rPr>
      <w:rFonts w:ascii="Arial" w:eastAsia="Times New Roman" w:hAnsi="Arial"/>
      <w:lang w:eastAsia="cs-CZ"/>
    </w:rPr>
  </w:style>
  <w:style w:type="character" w:styleId="Odkaznavysvtlivky">
    <w:name w:val="endnote reference"/>
    <w:basedOn w:val="Standardnpsmoodstavce"/>
    <w:uiPriority w:val="99"/>
    <w:semiHidden/>
    <w:unhideWhenUsed/>
    <w:rsid w:val="00744E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615720">
      <w:bodyDiv w:val="1"/>
      <w:marLeft w:val="60"/>
      <w:marRight w:val="60"/>
      <w:marTop w:val="60"/>
      <w:marBottom w:val="15"/>
      <w:divBdr>
        <w:top w:val="none" w:sz="0" w:space="0" w:color="auto"/>
        <w:left w:val="none" w:sz="0" w:space="0" w:color="auto"/>
        <w:bottom w:val="none" w:sz="0" w:space="0" w:color="auto"/>
        <w:right w:val="none" w:sz="0" w:space="0" w:color="auto"/>
      </w:divBdr>
      <w:divsChild>
        <w:div w:id="658968227">
          <w:marLeft w:val="0"/>
          <w:marRight w:val="0"/>
          <w:marTop w:val="0"/>
          <w:marBottom w:val="0"/>
          <w:divBdr>
            <w:top w:val="none" w:sz="0" w:space="0" w:color="auto"/>
            <w:left w:val="none" w:sz="0" w:space="0" w:color="auto"/>
            <w:bottom w:val="none" w:sz="0" w:space="0" w:color="auto"/>
            <w:right w:val="none" w:sz="0" w:space="0" w:color="auto"/>
          </w:divBdr>
        </w:div>
      </w:divsChild>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3535664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2060051">
          <w:marLeft w:val="0"/>
          <w:marRight w:val="0"/>
          <w:marTop w:val="0"/>
          <w:marBottom w:val="0"/>
          <w:divBdr>
            <w:top w:val="none" w:sz="0" w:space="0" w:color="auto"/>
            <w:left w:val="none" w:sz="0" w:space="0" w:color="auto"/>
            <w:bottom w:val="none" w:sz="0" w:space="0" w:color="auto"/>
            <w:right w:val="none" w:sz="0" w:space="0" w:color="auto"/>
          </w:divBdr>
          <w:divsChild>
            <w:div w:id="1352418194">
              <w:marLeft w:val="0"/>
              <w:marRight w:val="0"/>
              <w:marTop w:val="0"/>
              <w:marBottom w:val="0"/>
              <w:divBdr>
                <w:top w:val="none" w:sz="0" w:space="0" w:color="auto"/>
                <w:left w:val="none" w:sz="0" w:space="0" w:color="auto"/>
                <w:bottom w:val="none" w:sz="0" w:space="0" w:color="auto"/>
                <w:right w:val="none" w:sz="0" w:space="0" w:color="auto"/>
              </w:divBdr>
            </w:div>
            <w:div w:id="1419256889">
              <w:marLeft w:val="0"/>
              <w:marRight w:val="0"/>
              <w:marTop w:val="0"/>
              <w:marBottom w:val="0"/>
              <w:divBdr>
                <w:top w:val="none" w:sz="0" w:space="0" w:color="auto"/>
                <w:left w:val="none" w:sz="0" w:space="0" w:color="auto"/>
                <w:bottom w:val="none" w:sz="0" w:space="0" w:color="auto"/>
                <w:right w:val="none" w:sz="0" w:space="0" w:color="auto"/>
              </w:divBdr>
            </w:div>
            <w:div w:id="1012336419">
              <w:marLeft w:val="0"/>
              <w:marRight w:val="0"/>
              <w:marTop w:val="0"/>
              <w:marBottom w:val="0"/>
              <w:divBdr>
                <w:top w:val="none" w:sz="0" w:space="0" w:color="auto"/>
                <w:left w:val="none" w:sz="0" w:space="0" w:color="auto"/>
                <w:bottom w:val="none" w:sz="0" w:space="0" w:color="auto"/>
                <w:right w:val="none" w:sz="0" w:space="0" w:color="auto"/>
              </w:divBdr>
            </w:div>
            <w:div w:id="1187673128">
              <w:marLeft w:val="0"/>
              <w:marRight w:val="0"/>
              <w:marTop w:val="0"/>
              <w:marBottom w:val="0"/>
              <w:divBdr>
                <w:top w:val="none" w:sz="0" w:space="0" w:color="auto"/>
                <w:left w:val="none" w:sz="0" w:space="0" w:color="auto"/>
                <w:bottom w:val="none" w:sz="0" w:space="0" w:color="auto"/>
                <w:right w:val="none" w:sz="0" w:space="0" w:color="auto"/>
              </w:divBdr>
            </w:div>
            <w:div w:id="13251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2266825">
      <w:bodyDiv w:val="1"/>
      <w:marLeft w:val="60"/>
      <w:marRight w:val="60"/>
      <w:marTop w:val="60"/>
      <w:marBottom w:val="15"/>
      <w:divBdr>
        <w:top w:val="none" w:sz="0" w:space="0" w:color="auto"/>
        <w:left w:val="none" w:sz="0" w:space="0" w:color="auto"/>
        <w:bottom w:val="none" w:sz="0" w:space="0" w:color="auto"/>
        <w:right w:val="none" w:sz="0" w:space="0" w:color="auto"/>
      </w:divBdr>
      <w:divsChild>
        <w:div w:id="1418138374">
          <w:marLeft w:val="0"/>
          <w:marRight w:val="0"/>
          <w:marTop w:val="0"/>
          <w:marBottom w:val="0"/>
          <w:divBdr>
            <w:top w:val="none" w:sz="0" w:space="0" w:color="auto"/>
            <w:left w:val="none" w:sz="0" w:space="0" w:color="auto"/>
            <w:bottom w:val="none" w:sz="0" w:space="0" w:color="auto"/>
            <w:right w:val="none" w:sz="0" w:space="0" w:color="auto"/>
          </w:divBdr>
        </w:div>
      </w:divsChild>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Ro&#269;n&#237;%20anal&#253;za%202018\Ana&#253;za%20ekonomick&#233;ho%20v&#253;voje%20v%20roce%202017.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Ro&#269;n&#237;%20publikace%202019\P&#345;&#237;jmy%20dom&#225;cnost&#237;\Kopie%20-%20QSA_S14_2019q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Anal&#253;za\Ro&#269;n&#237;%20publikace%202019\P&#345;&#237;jmy%20dom&#225;cnost&#237;\Kopie%20-%20QSA_S14_2019q1.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Dokumenty\Anal&#253;za\Ro&#269;n&#237;%20publikace%202019\V&#253;daje%20dom&#225;cnost&#237;\Kopie%20-%20QSA_S14_2019q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727710233029384E-2"/>
          <c:y val="3.9316672295395698E-2"/>
          <c:w val="0.91078478554542386"/>
          <c:h val="0.73031323877068555"/>
        </c:manualLayout>
      </c:layout>
      <c:barChart>
        <c:barDir val="col"/>
        <c:grouping val="clustered"/>
        <c:varyColors val="0"/>
        <c:ser>
          <c:idx val="1"/>
          <c:order val="1"/>
          <c:tx>
            <c:strRef>
              <c:f>'S14'!$F$148</c:f>
              <c:strCache>
                <c:ptCount val="1"/>
                <c:pt idx="0">
                  <c:v>Mzdy a platy (reálné)</c:v>
                </c:pt>
              </c:strCache>
            </c:strRef>
          </c:tx>
          <c:spPr>
            <a:solidFill>
              <a:srgbClr val="FF0000"/>
            </a:solidFill>
            <a:ln>
              <a:noFill/>
            </a:ln>
            <a:effectLst/>
          </c:spPr>
          <c:invertIfNegative val="0"/>
          <c:cat>
            <c:numRef>
              <c:f>'S14'!$D$157:$D$167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'S14'!$F$157:$F$167</c:f>
              <c:numCache>
                <c:formatCode>0.0</c:formatCode>
                <c:ptCount val="11"/>
                <c:pt idx="0">
                  <c:v>1.6116857512015628</c:v>
                </c:pt>
                <c:pt idx="1">
                  <c:v>-2.3505250334646064</c:v>
                </c:pt>
                <c:pt idx="2">
                  <c:v>1.0013085286431931</c:v>
                </c:pt>
                <c:pt idx="3">
                  <c:v>0.6336928300831346</c:v>
                </c:pt>
                <c:pt idx="4">
                  <c:v>0.61870883091997086</c:v>
                </c:pt>
                <c:pt idx="5">
                  <c:v>0.25996660899677693</c:v>
                </c:pt>
                <c:pt idx="6">
                  <c:v>3.5646890971557212</c:v>
                </c:pt>
                <c:pt idx="7">
                  <c:v>4.9990711632543707</c:v>
                </c:pt>
                <c:pt idx="8">
                  <c:v>5.3043299690453551</c:v>
                </c:pt>
                <c:pt idx="9">
                  <c:v>5.72278146674509</c:v>
                </c:pt>
                <c:pt idx="10">
                  <c:v>6.5608916788896323</c:v>
                </c:pt>
              </c:numCache>
            </c:numRef>
          </c:val>
          <c:extLst>
            <c:ext xmlns:c16="http://schemas.microsoft.com/office/drawing/2014/chart" uri="{C3380CC4-5D6E-409C-BE32-E72D297353CC}">
              <c16:uniqueId val="{00000000-CF1C-4710-8768-D26B7F7E224F}"/>
            </c:ext>
          </c:extLst>
        </c:ser>
        <c:ser>
          <c:idx val="3"/>
          <c:order val="3"/>
          <c:tx>
            <c:strRef>
              <c:f>'S14'!$H$148</c:f>
              <c:strCache>
                <c:ptCount val="1"/>
                <c:pt idx="0">
                  <c:v>Hrubý disponibilní důchod (reálný)</c:v>
                </c:pt>
              </c:strCache>
            </c:strRef>
          </c:tx>
          <c:spPr>
            <a:solidFill>
              <a:srgbClr val="0070C0"/>
            </a:solidFill>
            <a:ln>
              <a:noFill/>
            </a:ln>
            <a:effectLst/>
          </c:spPr>
          <c:invertIfNegative val="0"/>
          <c:cat>
            <c:numRef>
              <c:f>'S14'!$D$157:$D$167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'S14'!$H$157:$H$167</c:f>
              <c:numCache>
                <c:formatCode>0.0</c:formatCode>
                <c:ptCount val="11"/>
                <c:pt idx="0">
                  <c:v>2.4880525209405278</c:v>
                </c:pt>
                <c:pt idx="1">
                  <c:v>2.1224798911363791</c:v>
                </c:pt>
                <c:pt idx="2">
                  <c:v>0.38045661249113039</c:v>
                </c:pt>
                <c:pt idx="3">
                  <c:v>-1.5072017978109358</c:v>
                </c:pt>
                <c:pt idx="4">
                  <c:v>-1.2083775182866674</c:v>
                </c:pt>
                <c:pt idx="5">
                  <c:v>-0.7726886021829813</c:v>
                </c:pt>
                <c:pt idx="6">
                  <c:v>2.8574548678216161</c:v>
                </c:pt>
                <c:pt idx="7">
                  <c:v>4.1609466264007722</c:v>
                </c:pt>
                <c:pt idx="8">
                  <c:v>3.2596098637410336</c:v>
                </c:pt>
                <c:pt idx="9">
                  <c:v>1.7051191683321036</c:v>
                </c:pt>
                <c:pt idx="10">
                  <c:v>4.8886564092894815</c:v>
                </c:pt>
              </c:numCache>
            </c:numRef>
          </c:val>
          <c:extLst>
            <c:ext xmlns:c16="http://schemas.microsoft.com/office/drawing/2014/chart" uri="{C3380CC4-5D6E-409C-BE32-E72D297353CC}">
              <c16:uniqueId val="{00000001-CF1C-4710-8768-D26B7F7E224F}"/>
            </c:ext>
          </c:extLst>
        </c:ser>
        <c:dLbls>
          <c:showLegendKey val="0"/>
          <c:showVal val="0"/>
          <c:showCatName val="0"/>
          <c:showSerName val="0"/>
          <c:showPercent val="0"/>
          <c:showBubbleSize val="0"/>
        </c:dLbls>
        <c:gapWidth val="219"/>
        <c:axId val="129360608"/>
        <c:axId val="1"/>
      </c:barChart>
      <c:lineChart>
        <c:grouping val="standard"/>
        <c:varyColors val="0"/>
        <c:ser>
          <c:idx val="0"/>
          <c:order val="0"/>
          <c:tx>
            <c:strRef>
              <c:f>'S14'!$E$148</c:f>
              <c:strCache>
                <c:ptCount val="1"/>
                <c:pt idx="0">
                  <c:v>Mzdy a platy (nominální)</c:v>
                </c:pt>
              </c:strCache>
            </c:strRef>
          </c:tx>
          <c:spPr>
            <a:ln w="28575" cap="rnd">
              <a:noFill/>
              <a:round/>
            </a:ln>
            <a:effectLst/>
          </c:spPr>
          <c:marker>
            <c:symbol val="square"/>
            <c:size val="8"/>
            <c:spPr>
              <a:solidFill>
                <a:schemeClr val="accent2">
                  <a:lumMod val="40000"/>
                  <a:lumOff val="60000"/>
                </a:schemeClr>
              </a:solidFill>
              <a:ln w="9525">
                <a:noFill/>
              </a:ln>
              <a:effectLst/>
            </c:spPr>
          </c:marker>
          <c:cat>
            <c:numRef>
              <c:f>'S14'!$D$157:$D$167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'S14'!$E$157:$E$167</c:f>
              <c:numCache>
                <c:formatCode>0.0</c:formatCode>
                <c:ptCount val="11"/>
                <c:pt idx="0">
                  <c:v>6.4659093210570671</c:v>
                </c:pt>
                <c:pt idx="1">
                  <c:v>-1.5161339947827324</c:v>
                </c:pt>
                <c:pt idx="2">
                  <c:v>1.4633867766943163</c:v>
                </c:pt>
                <c:pt idx="3">
                  <c:v>2.4140094491108766</c:v>
                </c:pt>
                <c:pt idx="4">
                  <c:v>2.8590802225129939</c:v>
                </c:pt>
                <c:pt idx="5">
                  <c:v>1.1254839132959378</c:v>
                </c:pt>
                <c:pt idx="6">
                  <c:v>4.1962019267750872</c:v>
                </c:pt>
                <c:pt idx="7">
                  <c:v>5.16014964650227</c:v>
                </c:pt>
                <c:pt idx="8">
                  <c:v>5.8760794369129492</c:v>
                </c:pt>
                <c:pt idx="9">
                  <c:v>8.215032965148831</c:v>
                </c:pt>
                <c:pt idx="10">
                  <c:v>8.9614730001547258</c:v>
                </c:pt>
              </c:numCache>
            </c:numRef>
          </c:val>
          <c:smooth val="0"/>
          <c:extLst>
            <c:ext xmlns:c16="http://schemas.microsoft.com/office/drawing/2014/chart" uri="{C3380CC4-5D6E-409C-BE32-E72D297353CC}">
              <c16:uniqueId val="{00000002-CF1C-4710-8768-D26B7F7E224F}"/>
            </c:ext>
          </c:extLst>
        </c:ser>
        <c:ser>
          <c:idx val="2"/>
          <c:order val="2"/>
          <c:tx>
            <c:strRef>
              <c:f>'S14'!$G$148</c:f>
              <c:strCache>
                <c:ptCount val="1"/>
                <c:pt idx="0">
                  <c:v>Hrubý disponibilní důchod (nominální)</c:v>
                </c:pt>
              </c:strCache>
            </c:strRef>
          </c:tx>
          <c:spPr>
            <a:ln w="28575" cap="rnd">
              <a:noFill/>
              <a:round/>
            </a:ln>
            <a:effectLst/>
          </c:spPr>
          <c:marker>
            <c:symbol val="square"/>
            <c:size val="8"/>
            <c:spPr>
              <a:solidFill>
                <a:schemeClr val="accent1">
                  <a:lumMod val="40000"/>
                  <a:lumOff val="60000"/>
                </a:schemeClr>
              </a:solidFill>
              <a:ln w="9525">
                <a:noFill/>
              </a:ln>
              <a:effectLst/>
            </c:spPr>
          </c:marker>
          <c:cat>
            <c:numRef>
              <c:f>'S14'!$D$157:$D$167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'S14'!$G$157:$G$167</c:f>
              <c:numCache>
                <c:formatCode>0.0</c:formatCode>
                <c:ptCount val="11"/>
                <c:pt idx="0">
                  <c:v>7.3841421438789636</c:v>
                </c:pt>
                <c:pt idx="1">
                  <c:v>2.9950916701381178</c:v>
                </c:pt>
                <c:pt idx="2">
                  <c:v>0.83969447985913304</c:v>
                </c:pt>
                <c:pt idx="3">
                  <c:v>0.23524012757853191</c:v>
                </c:pt>
                <c:pt idx="4">
                  <c:v>0.99131205543875578</c:v>
                </c:pt>
                <c:pt idx="5">
                  <c:v>8.3914067642626711E-2</c:v>
                </c:pt>
                <c:pt idx="6">
                  <c:v>3.4846551514056161</c:v>
                </c:pt>
                <c:pt idx="7">
                  <c:v>4.3207393475207354</c:v>
                </c:pt>
                <c:pt idx="8">
                  <c:v>3.8202575314026097</c:v>
                </c:pt>
                <c:pt idx="9">
                  <c:v>4.1026604751916649</c:v>
                </c:pt>
                <c:pt idx="10">
                  <c:v>7.2515659666483563</c:v>
                </c:pt>
              </c:numCache>
            </c:numRef>
          </c:val>
          <c:smooth val="0"/>
          <c:extLst>
            <c:ext xmlns:c16="http://schemas.microsoft.com/office/drawing/2014/chart" uri="{C3380CC4-5D6E-409C-BE32-E72D297353CC}">
              <c16:uniqueId val="{00000003-CF1C-4710-8768-D26B7F7E224F}"/>
            </c:ext>
          </c:extLst>
        </c:ser>
        <c:dLbls>
          <c:showLegendKey val="0"/>
          <c:showVal val="0"/>
          <c:showCatName val="0"/>
          <c:showSerName val="0"/>
          <c:showPercent val="0"/>
          <c:showBubbleSize val="0"/>
        </c:dLbls>
        <c:marker val="1"/>
        <c:smooth val="0"/>
        <c:axId val="129360608"/>
        <c:axId val="1"/>
      </c:lineChart>
      <c:catAx>
        <c:axId val="1293606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29360608"/>
        <c:crosses val="autoZero"/>
        <c:crossBetween val="between"/>
      </c:valAx>
      <c:spPr>
        <a:noFill/>
        <a:ln w="25400">
          <a:noFill/>
        </a:ln>
      </c:spPr>
    </c:plotArea>
    <c:legend>
      <c:legendPos val="b"/>
      <c:layout>
        <c:manualLayout>
          <c:xMode val="edge"/>
          <c:yMode val="edge"/>
          <c:x val="5.9240637089038567E-2"/>
          <c:y val="0.83107949307945095"/>
          <c:w val="0.90490613372123663"/>
          <c:h val="0.1411426118652058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477541371158392E-2"/>
          <c:y val="3.9316672295395698E-2"/>
          <c:w val="0.89403495440729486"/>
          <c:h val="0.76651750534729246"/>
        </c:manualLayout>
      </c:layout>
      <c:barChart>
        <c:barDir val="col"/>
        <c:grouping val="stacked"/>
        <c:varyColors val="0"/>
        <c:ser>
          <c:idx val="1"/>
          <c:order val="0"/>
          <c:tx>
            <c:strRef>
              <c:f>'S14'!$N$124</c:f>
              <c:strCache>
                <c:ptCount val="1"/>
                <c:pt idx="0">
                  <c:v>Hrubý provozní přebytek</c:v>
                </c:pt>
              </c:strCache>
            </c:strRef>
          </c:tx>
          <c:spPr>
            <a:solidFill>
              <a:schemeClr val="accent2">
                <a:lumMod val="40000"/>
                <a:lumOff val="60000"/>
              </a:schemeClr>
            </a:solidFill>
            <a:ln>
              <a:noFill/>
            </a:ln>
            <a:effectLst/>
          </c:spPr>
          <c:invertIfNegative val="0"/>
          <c:cat>
            <c:numRef>
              <c:f>'S14'!$L$133:$L$143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'S14'!$N$133:$N$143</c:f>
              <c:numCache>
                <c:formatCode>0.0</c:formatCode>
                <c:ptCount val="11"/>
                <c:pt idx="0">
                  <c:v>17.367999999999999</c:v>
                </c:pt>
                <c:pt idx="1">
                  <c:v>3.8119999999999998</c:v>
                </c:pt>
                <c:pt idx="2">
                  <c:v>5.5750000000000002</c:v>
                </c:pt>
                <c:pt idx="3">
                  <c:v>-2.5999999999999999E-2</c:v>
                </c:pt>
                <c:pt idx="4">
                  <c:v>-4.4219999999999997</c:v>
                </c:pt>
                <c:pt idx="5">
                  <c:v>1.972</c:v>
                </c:pt>
                <c:pt idx="6">
                  <c:v>5.3079999999999998</c:v>
                </c:pt>
                <c:pt idx="7">
                  <c:v>1.4670000000000001</c:v>
                </c:pt>
                <c:pt idx="8">
                  <c:v>8.5069999999999997</c:v>
                </c:pt>
                <c:pt idx="9">
                  <c:v>15.297000000000001</c:v>
                </c:pt>
                <c:pt idx="10">
                  <c:v>22.326000000000001</c:v>
                </c:pt>
              </c:numCache>
            </c:numRef>
          </c:val>
          <c:extLst>
            <c:ext xmlns:c16="http://schemas.microsoft.com/office/drawing/2014/chart" uri="{C3380CC4-5D6E-409C-BE32-E72D297353CC}">
              <c16:uniqueId val="{00000000-C1FC-43D0-A7E1-455D8681041C}"/>
            </c:ext>
          </c:extLst>
        </c:ser>
        <c:ser>
          <c:idx val="2"/>
          <c:order val="1"/>
          <c:tx>
            <c:strRef>
              <c:f>'S14'!$O$124</c:f>
              <c:strCache>
                <c:ptCount val="1"/>
                <c:pt idx="0">
                  <c:v>Hrubý smíšený důchod</c:v>
                </c:pt>
              </c:strCache>
            </c:strRef>
          </c:tx>
          <c:spPr>
            <a:solidFill>
              <a:srgbClr val="FF0000"/>
            </a:solidFill>
            <a:ln w="25400">
              <a:noFill/>
            </a:ln>
          </c:spPr>
          <c:invertIfNegative val="0"/>
          <c:cat>
            <c:numRef>
              <c:f>'S14'!$L$133:$L$143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'S14'!$O$133:$O$143</c:f>
              <c:numCache>
                <c:formatCode>0.0</c:formatCode>
                <c:ptCount val="11"/>
                <c:pt idx="0">
                  <c:v>7.923</c:v>
                </c:pt>
                <c:pt idx="1">
                  <c:v>25.728999999999999</c:v>
                </c:pt>
                <c:pt idx="2">
                  <c:v>-6.9859999999999998</c:v>
                </c:pt>
                <c:pt idx="3">
                  <c:v>-11.425000000000001</c:v>
                </c:pt>
                <c:pt idx="4">
                  <c:v>-15.044</c:v>
                </c:pt>
                <c:pt idx="5">
                  <c:v>-10.672000000000001</c:v>
                </c:pt>
                <c:pt idx="6">
                  <c:v>11.273</c:v>
                </c:pt>
                <c:pt idx="7">
                  <c:v>27.259</c:v>
                </c:pt>
                <c:pt idx="8">
                  <c:v>11.478999999999999</c:v>
                </c:pt>
                <c:pt idx="9">
                  <c:v>2.5179999999999998</c:v>
                </c:pt>
                <c:pt idx="10">
                  <c:v>48.158000000000001</c:v>
                </c:pt>
              </c:numCache>
            </c:numRef>
          </c:val>
          <c:extLst>
            <c:ext xmlns:c16="http://schemas.microsoft.com/office/drawing/2014/chart" uri="{C3380CC4-5D6E-409C-BE32-E72D297353CC}">
              <c16:uniqueId val="{00000001-C1FC-43D0-A7E1-455D8681041C}"/>
            </c:ext>
          </c:extLst>
        </c:ser>
        <c:ser>
          <c:idx val="3"/>
          <c:order val="2"/>
          <c:tx>
            <c:strRef>
              <c:f>'S14'!$P$124</c:f>
              <c:strCache>
                <c:ptCount val="1"/>
                <c:pt idx="0">
                  <c:v>Mzdy a platy</c:v>
                </c:pt>
              </c:strCache>
            </c:strRef>
          </c:tx>
          <c:spPr>
            <a:solidFill>
              <a:srgbClr val="5B9BD5"/>
            </a:solidFill>
            <a:ln w="25400">
              <a:noFill/>
            </a:ln>
          </c:spPr>
          <c:invertIfNegative val="0"/>
          <c:cat>
            <c:numRef>
              <c:f>'S14'!$L$133:$L$143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'S14'!$P$133:$P$143</c:f>
              <c:numCache>
                <c:formatCode>0.0</c:formatCode>
                <c:ptCount val="11"/>
                <c:pt idx="0">
                  <c:v>73.429000000000002</c:v>
                </c:pt>
                <c:pt idx="1">
                  <c:v>-18.331</c:v>
                </c:pt>
                <c:pt idx="2">
                  <c:v>17.425000000000001</c:v>
                </c:pt>
                <c:pt idx="3">
                  <c:v>29.164999999999999</c:v>
                </c:pt>
                <c:pt idx="4">
                  <c:v>35.375999999999998</c:v>
                </c:pt>
                <c:pt idx="5">
                  <c:v>14.324</c:v>
                </c:pt>
                <c:pt idx="6">
                  <c:v>54.006</c:v>
                </c:pt>
                <c:pt idx="7">
                  <c:v>69.198999999999998</c:v>
                </c:pt>
                <c:pt idx="8">
                  <c:v>82.866</c:v>
                </c:pt>
                <c:pt idx="9">
                  <c:v>122.658</c:v>
                </c:pt>
                <c:pt idx="10">
                  <c:v>144.79499999999999</c:v>
                </c:pt>
              </c:numCache>
            </c:numRef>
          </c:val>
          <c:extLst>
            <c:ext xmlns:c16="http://schemas.microsoft.com/office/drawing/2014/chart" uri="{C3380CC4-5D6E-409C-BE32-E72D297353CC}">
              <c16:uniqueId val="{00000002-C1FC-43D0-A7E1-455D8681041C}"/>
            </c:ext>
          </c:extLst>
        </c:ser>
        <c:ser>
          <c:idx val="4"/>
          <c:order val="3"/>
          <c:tx>
            <c:strRef>
              <c:f>'S14'!$Q$124</c:f>
              <c:strCache>
                <c:ptCount val="1"/>
                <c:pt idx="0">
                  <c:v>Saldo důchodů z vlastnictví</c:v>
                </c:pt>
              </c:strCache>
            </c:strRef>
          </c:tx>
          <c:spPr>
            <a:solidFill>
              <a:srgbClr val="70AD47"/>
            </a:solidFill>
            <a:ln w="25400">
              <a:noFill/>
            </a:ln>
          </c:spPr>
          <c:invertIfNegative val="0"/>
          <c:cat>
            <c:numRef>
              <c:f>'S14'!$L$133:$L$143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'S14'!$Q$133:$Q$143</c:f>
              <c:numCache>
                <c:formatCode>0.0</c:formatCode>
                <c:ptCount val="11"/>
                <c:pt idx="0">
                  <c:v>12.567</c:v>
                </c:pt>
                <c:pt idx="1">
                  <c:v>-7.8230000000000004</c:v>
                </c:pt>
                <c:pt idx="2">
                  <c:v>-7.3680000000000003</c:v>
                </c:pt>
                <c:pt idx="3">
                  <c:v>0.92800000000000005</c:v>
                </c:pt>
                <c:pt idx="4">
                  <c:v>-0.51300000000000001</c:v>
                </c:pt>
                <c:pt idx="5">
                  <c:v>5.2729999999999997</c:v>
                </c:pt>
                <c:pt idx="6">
                  <c:v>13.262</c:v>
                </c:pt>
                <c:pt idx="7">
                  <c:v>1.113</c:v>
                </c:pt>
                <c:pt idx="8">
                  <c:v>9.3520000000000003</c:v>
                </c:pt>
                <c:pt idx="9">
                  <c:v>-11.298</c:v>
                </c:pt>
                <c:pt idx="10">
                  <c:v>-0.47399999999999998</c:v>
                </c:pt>
              </c:numCache>
            </c:numRef>
          </c:val>
          <c:extLst>
            <c:ext xmlns:c16="http://schemas.microsoft.com/office/drawing/2014/chart" uri="{C3380CC4-5D6E-409C-BE32-E72D297353CC}">
              <c16:uniqueId val="{00000003-C1FC-43D0-A7E1-455D8681041C}"/>
            </c:ext>
          </c:extLst>
        </c:ser>
        <c:ser>
          <c:idx val="5"/>
          <c:order val="4"/>
          <c:tx>
            <c:strRef>
              <c:f>'S14'!$R$124</c:f>
              <c:strCache>
                <c:ptCount val="1"/>
                <c:pt idx="0">
                  <c:v>Saldo druhotného rozdělení</c:v>
                </c:pt>
              </c:strCache>
            </c:strRef>
          </c:tx>
          <c:spPr>
            <a:solidFill>
              <a:srgbClr val="A5A5A5"/>
            </a:solidFill>
            <a:ln w="25400">
              <a:noFill/>
            </a:ln>
          </c:spPr>
          <c:invertIfNegative val="0"/>
          <c:cat>
            <c:numRef>
              <c:f>'S14'!$L$133:$L$143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'S14'!$R$133:$R$143</c:f>
              <c:numCache>
                <c:formatCode>0.0</c:formatCode>
                <c:ptCount val="11"/>
                <c:pt idx="0">
                  <c:v>33.454000000000001</c:v>
                </c:pt>
                <c:pt idx="1">
                  <c:v>54.823</c:v>
                </c:pt>
                <c:pt idx="2">
                  <c:v>13.253</c:v>
                </c:pt>
                <c:pt idx="3">
                  <c:v>-14.132999999999999</c:v>
                </c:pt>
                <c:pt idx="4">
                  <c:v>4.9960000000000004</c:v>
                </c:pt>
                <c:pt idx="5">
                  <c:v>-9.3049999999999997</c:v>
                </c:pt>
                <c:pt idx="6">
                  <c:v>-5.8159999999999998</c:v>
                </c:pt>
                <c:pt idx="7">
                  <c:v>-1.02</c:v>
                </c:pt>
                <c:pt idx="8">
                  <c:v>-21.481000000000002</c:v>
                </c:pt>
                <c:pt idx="9">
                  <c:v>-27.971</c:v>
                </c:pt>
                <c:pt idx="10">
                  <c:v>-28.779</c:v>
                </c:pt>
              </c:numCache>
            </c:numRef>
          </c:val>
          <c:extLst>
            <c:ext xmlns:c16="http://schemas.microsoft.com/office/drawing/2014/chart" uri="{C3380CC4-5D6E-409C-BE32-E72D297353CC}">
              <c16:uniqueId val="{00000004-C1FC-43D0-A7E1-455D8681041C}"/>
            </c:ext>
          </c:extLst>
        </c:ser>
        <c:dLbls>
          <c:showLegendKey val="0"/>
          <c:showVal val="0"/>
          <c:showCatName val="0"/>
          <c:showSerName val="0"/>
          <c:showPercent val="0"/>
          <c:showBubbleSize val="0"/>
        </c:dLbls>
        <c:gapWidth val="100"/>
        <c:overlap val="100"/>
        <c:axId val="80248464"/>
        <c:axId val="1"/>
      </c:barChart>
      <c:lineChart>
        <c:grouping val="standard"/>
        <c:varyColors val="0"/>
        <c:ser>
          <c:idx val="0"/>
          <c:order val="5"/>
          <c:tx>
            <c:strRef>
              <c:f>'S14'!$M$124</c:f>
              <c:strCache>
                <c:ptCount val="1"/>
                <c:pt idx="0">
                  <c:v>Hrubý disponibilní důchod</c:v>
                </c:pt>
              </c:strCache>
            </c:strRef>
          </c:tx>
          <c:spPr>
            <a:ln w="28575" cap="rnd">
              <a:solidFill>
                <a:schemeClr val="tx1"/>
              </a:solidFill>
              <a:round/>
            </a:ln>
            <a:effectLst/>
          </c:spPr>
          <c:marker>
            <c:symbol val="none"/>
          </c:marker>
          <c:cat>
            <c:numRef>
              <c:f>'S14'!$L$133:$L$143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'S14'!$M$133:$M$143</c:f>
              <c:numCache>
                <c:formatCode>0.0</c:formatCode>
                <c:ptCount val="11"/>
                <c:pt idx="0">
                  <c:v>144.27099999999999</c:v>
                </c:pt>
                <c:pt idx="1">
                  <c:v>62.838999999999999</c:v>
                </c:pt>
                <c:pt idx="2">
                  <c:v>18.145</c:v>
                </c:pt>
                <c:pt idx="3">
                  <c:v>5.1260000000000003</c:v>
                </c:pt>
                <c:pt idx="4">
                  <c:v>21.652000000000001</c:v>
                </c:pt>
                <c:pt idx="5">
                  <c:v>1.851</c:v>
                </c:pt>
                <c:pt idx="6">
                  <c:v>76.930000000000007</c:v>
                </c:pt>
                <c:pt idx="7">
                  <c:v>98.712000000000003</c:v>
                </c:pt>
                <c:pt idx="8">
                  <c:v>91.049000000000007</c:v>
                </c:pt>
                <c:pt idx="9">
                  <c:v>101.515</c:v>
                </c:pt>
                <c:pt idx="10">
                  <c:v>186.792</c:v>
                </c:pt>
              </c:numCache>
            </c:numRef>
          </c:val>
          <c:smooth val="0"/>
          <c:extLst>
            <c:ext xmlns:c16="http://schemas.microsoft.com/office/drawing/2014/chart" uri="{C3380CC4-5D6E-409C-BE32-E72D297353CC}">
              <c16:uniqueId val="{00000005-C1FC-43D0-A7E1-455D8681041C}"/>
            </c:ext>
          </c:extLst>
        </c:ser>
        <c:dLbls>
          <c:showLegendKey val="0"/>
          <c:showVal val="0"/>
          <c:showCatName val="0"/>
          <c:showSerName val="0"/>
          <c:showPercent val="0"/>
          <c:showBubbleSize val="0"/>
        </c:dLbls>
        <c:marker val="1"/>
        <c:smooth val="0"/>
        <c:axId val="80248464"/>
        <c:axId val="1"/>
      </c:lineChart>
      <c:catAx>
        <c:axId val="802484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
        <c:crosses val="autoZero"/>
        <c:auto val="1"/>
        <c:lblAlgn val="ctr"/>
        <c:lblOffset val="100"/>
        <c:noMultiLvlLbl val="0"/>
      </c:catAx>
      <c:valAx>
        <c:axId val="1"/>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80248464"/>
        <c:crosses val="autoZero"/>
        <c:crossBetween val="between"/>
      </c:valAx>
      <c:spPr>
        <a:noFill/>
        <a:ln w="25400">
          <a:noFill/>
        </a:ln>
      </c:spPr>
    </c:plotArea>
    <c:legend>
      <c:legendPos val="b"/>
      <c:layout>
        <c:manualLayout>
          <c:xMode val="edge"/>
          <c:yMode val="edge"/>
          <c:x val="7.6933455607205728E-2"/>
          <c:y val="0.86730500792664078"/>
          <c:w val="0.88902402259958468"/>
          <c:h val="0.11124951486327361"/>
        </c:manualLayout>
      </c:layout>
      <c:overlay val="0"/>
      <c:spPr>
        <a:noFill/>
        <a:ln w="25400">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'S14'!$D$148</c:f>
              <c:strCache>
                <c:ptCount val="1"/>
                <c:pt idx="0">
                  <c:v>Změna výdajů na konečnou spotřebu</c:v>
                </c:pt>
              </c:strCache>
            </c:strRef>
          </c:tx>
          <c:spPr>
            <a:solidFill>
              <a:schemeClr val="bg2">
                <a:lumMod val="90000"/>
              </a:schemeClr>
            </a:solidFill>
            <a:ln>
              <a:noFill/>
            </a:ln>
            <a:effectLst/>
          </c:spPr>
          <c:invertIfNegative val="0"/>
          <c:cat>
            <c:numRef>
              <c:f>'S14'!$C$149:$C$159</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'S14'!$D$149:$D$159</c:f>
              <c:numCache>
                <c:formatCode>General</c:formatCode>
                <c:ptCount val="11"/>
                <c:pt idx="0">
                  <c:v>136.798</c:v>
                </c:pt>
                <c:pt idx="1">
                  <c:v>3.786</c:v>
                </c:pt>
                <c:pt idx="2">
                  <c:v>29.111999999999998</c:v>
                </c:pt>
                <c:pt idx="3">
                  <c:v>39.197000000000003</c:v>
                </c:pt>
                <c:pt idx="4">
                  <c:v>18.425999999999998</c:v>
                </c:pt>
                <c:pt idx="5">
                  <c:v>26.259</c:v>
                </c:pt>
                <c:pt idx="6">
                  <c:v>47.634999999999998</c:v>
                </c:pt>
                <c:pt idx="7">
                  <c:v>80.745000000000005</c:v>
                </c:pt>
                <c:pt idx="8">
                  <c:v>88.048000000000002</c:v>
                </c:pt>
                <c:pt idx="9">
                  <c:v>148.26599999999999</c:v>
                </c:pt>
                <c:pt idx="10">
                  <c:v>133.68</c:v>
                </c:pt>
              </c:numCache>
            </c:numRef>
          </c:val>
          <c:extLst>
            <c:ext xmlns:c16="http://schemas.microsoft.com/office/drawing/2014/chart" uri="{C3380CC4-5D6E-409C-BE32-E72D297353CC}">
              <c16:uniqueId val="{00000000-8045-4430-A947-9C8B9DA1445D}"/>
            </c:ext>
          </c:extLst>
        </c:ser>
        <c:dLbls>
          <c:showLegendKey val="0"/>
          <c:showVal val="0"/>
          <c:showCatName val="0"/>
          <c:showSerName val="0"/>
          <c:showPercent val="0"/>
          <c:showBubbleSize val="0"/>
        </c:dLbls>
        <c:gapWidth val="99"/>
        <c:overlap val="-27"/>
        <c:axId val="378563360"/>
        <c:axId val="378560864"/>
      </c:barChart>
      <c:lineChart>
        <c:grouping val="standard"/>
        <c:varyColors val="0"/>
        <c:ser>
          <c:idx val="1"/>
          <c:order val="1"/>
          <c:tx>
            <c:strRef>
              <c:f>'S14'!$E$148</c:f>
              <c:strCache>
                <c:ptCount val="1"/>
                <c:pt idx="0">
                  <c:v>Míra úspor</c:v>
                </c:pt>
              </c:strCache>
            </c:strRef>
          </c:tx>
          <c:spPr>
            <a:ln w="28575" cap="rnd">
              <a:solidFill>
                <a:srgbClr val="FF0000"/>
              </a:solidFill>
              <a:round/>
            </a:ln>
            <a:effectLst/>
          </c:spPr>
          <c:marker>
            <c:symbol val="none"/>
          </c:marker>
          <c:cat>
            <c:numRef>
              <c:f>'S14'!$C$149:$C$159</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'S14'!$E$149:$E$159</c:f>
              <c:numCache>
                <c:formatCode>General</c:formatCode>
                <c:ptCount val="11"/>
                <c:pt idx="0">
                  <c:v>11.423871717682403</c:v>
                </c:pt>
                <c:pt idx="1">
                  <c:v>13.52014698766196</c:v>
                </c:pt>
                <c:pt idx="2">
                  <c:v>12.835366284350053</c:v>
                </c:pt>
                <c:pt idx="3">
                  <c:v>11.279329055388747</c:v>
                </c:pt>
                <c:pt idx="4">
                  <c:v>11.259528147018887</c:v>
                </c:pt>
                <c:pt idx="5">
                  <c:v>10.965959991384873</c:v>
                </c:pt>
                <c:pt idx="6">
                  <c:v>11.885682759096307</c:v>
                </c:pt>
                <c:pt idx="7">
                  <c:v>12.057193109513218</c:v>
                </c:pt>
                <c:pt idx="8">
                  <c:v>11.649949399076608</c:v>
                </c:pt>
                <c:pt idx="9">
                  <c:v>9.4550026630407906</c:v>
                </c:pt>
                <c:pt idx="10">
                  <c:v>10.769443149013359</c:v>
                </c:pt>
              </c:numCache>
            </c:numRef>
          </c:val>
          <c:smooth val="0"/>
          <c:extLst>
            <c:ext xmlns:c16="http://schemas.microsoft.com/office/drawing/2014/chart" uri="{C3380CC4-5D6E-409C-BE32-E72D297353CC}">
              <c16:uniqueId val="{00000001-8045-4430-A947-9C8B9DA1445D}"/>
            </c:ext>
          </c:extLst>
        </c:ser>
        <c:ser>
          <c:idx val="2"/>
          <c:order val="2"/>
          <c:tx>
            <c:strRef>
              <c:f>'S14'!$F$148</c:f>
              <c:strCache>
                <c:ptCount val="1"/>
                <c:pt idx="0">
                  <c:v>Míra investic</c:v>
                </c:pt>
              </c:strCache>
            </c:strRef>
          </c:tx>
          <c:spPr>
            <a:ln w="28575" cap="rnd">
              <a:solidFill>
                <a:srgbClr val="0070C0"/>
              </a:solidFill>
              <a:round/>
            </a:ln>
            <a:effectLst/>
          </c:spPr>
          <c:marker>
            <c:symbol val="none"/>
          </c:marker>
          <c:cat>
            <c:numRef>
              <c:f>'S14'!$C$149:$C$159</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'S14'!$F$149:$F$159</c:f>
              <c:numCache>
                <c:formatCode>General</c:formatCode>
                <c:ptCount val="11"/>
                <c:pt idx="0">
                  <c:v>10.055824705506234</c:v>
                </c:pt>
                <c:pt idx="1">
                  <c:v>9.4275792706706447</c:v>
                </c:pt>
                <c:pt idx="2">
                  <c:v>10.513520770949004</c:v>
                </c:pt>
                <c:pt idx="3">
                  <c:v>9.0982045262725819</c:v>
                </c:pt>
                <c:pt idx="4">
                  <c:v>8.1156010169486876</c:v>
                </c:pt>
                <c:pt idx="5">
                  <c:v>8.1219500633056754</c:v>
                </c:pt>
                <c:pt idx="6">
                  <c:v>8.3928253058999651</c:v>
                </c:pt>
                <c:pt idx="7">
                  <c:v>8.5580063882103605</c:v>
                </c:pt>
                <c:pt idx="8">
                  <c:v>9.0878513162659651</c:v>
                </c:pt>
                <c:pt idx="9">
                  <c:v>9.2630105010163728</c:v>
                </c:pt>
                <c:pt idx="10">
                  <c:v>8.7757153922648445</c:v>
                </c:pt>
              </c:numCache>
            </c:numRef>
          </c:val>
          <c:smooth val="0"/>
          <c:extLst>
            <c:ext xmlns:c16="http://schemas.microsoft.com/office/drawing/2014/chart" uri="{C3380CC4-5D6E-409C-BE32-E72D297353CC}">
              <c16:uniqueId val="{00000002-8045-4430-A947-9C8B9DA1445D}"/>
            </c:ext>
          </c:extLst>
        </c:ser>
        <c:dLbls>
          <c:showLegendKey val="0"/>
          <c:showVal val="0"/>
          <c:showCatName val="0"/>
          <c:showSerName val="0"/>
          <c:showPercent val="0"/>
          <c:showBubbleSize val="0"/>
        </c:dLbls>
        <c:marker val="1"/>
        <c:smooth val="0"/>
        <c:axId val="383747632"/>
        <c:axId val="383748048"/>
      </c:lineChart>
      <c:catAx>
        <c:axId val="37856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378560864"/>
        <c:crosses val="autoZero"/>
        <c:auto val="1"/>
        <c:lblAlgn val="ctr"/>
        <c:lblOffset val="100"/>
        <c:noMultiLvlLbl val="0"/>
      </c:catAx>
      <c:valAx>
        <c:axId val="378560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378563360"/>
        <c:crosses val="autoZero"/>
        <c:crossBetween val="between"/>
      </c:valAx>
      <c:valAx>
        <c:axId val="38374804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383747632"/>
        <c:crosses val="max"/>
        <c:crossBetween val="between"/>
      </c:valAx>
      <c:catAx>
        <c:axId val="383747632"/>
        <c:scaling>
          <c:orientation val="minMax"/>
        </c:scaling>
        <c:delete val="1"/>
        <c:axPos val="b"/>
        <c:numFmt formatCode="General" sourceLinked="1"/>
        <c:majorTickMark val="out"/>
        <c:minorTickMark val="none"/>
        <c:tickLblPos val="nextTo"/>
        <c:crossAx val="3837480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solidFill>
            <a:sysClr val="windowText" lastClr="000000"/>
          </a:solidFill>
          <a:latin typeface="Arial" panose="020B0604020202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987B-3C09-4178-93B9-ADFD3A41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Anaýza ekonomického vývoje v roce 2017.dotx</Template>
  <TotalTime>116</TotalTime>
  <Pages>4</Pages>
  <Words>1355</Words>
  <Characters>7997</Characters>
  <Application>Microsoft Office Word</Application>
  <DocSecurity>0</DocSecurity>
  <Lines>66</Lines>
  <Paragraphs>18</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9334</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Zábojníková</cp:lastModifiedBy>
  <cp:revision>12</cp:revision>
  <cp:lastPrinted>2014-07-17T14:07:00Z</cp:lastPrinted>
  <dcterms:created xsi:type="dcterms:W3CDTF">2019-08-12T08:04:00Z</dcterms:created>
  <dcterms:modified xsi:type="dcterms:W3CDTF">2019-08-13T09:12:00Z</dcterms:modified>
</cp:coreProperties>
</file>