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w:t>
      </w:r>
      <w:r w:rsidR="008B26C5">
        <w:rPr>
          <w:lang w:val="en-GB"/>
        </w:rPr>
        <w:t>E</w:t>
      </w:r>
      <w:r w:rsidR="008811D0" w:rsidRPr="005054AA">
        <w:rPr>
          <w:lang w:val="en-GB"/>
        </w:rPr>
        <w:t xml:space="preserv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w:t>
      </w:r>
      <w:bookmarkStart w:id="0" w:name="_GoBack"/>
      <w:bookmarkEnd w:id="0"/>
      <w:r w:rsidRPr="005054AA">
        <w:rPr>
          <w:color w:val="000000"/>
          <w:szCs w:val="17"/>
          <w:lang w:val="en-GB"/>
        </w:rPr>
        <w:t xml:space="preserve">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20254082"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54" w:rsidRDefault="00AE6954" w:rsidP="00E71A58">
      <w:r>
        <w:separator/>
      </w:r>
    </w:p>
  </w:endnote>
  <w:endnote w:type="continuationSeparator" w:id="0">
    <w:p w:rsidR="00AE6954" w:rsidRDefault="00AE695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3A68FD">
      <w:rPr>
        <w:szCs w:val="16"/>
      </w:rPr>
      <w:t>červ</w:t>
    </w:r>
    <w:r w:rsidR="00EF2C8A">
      <w:rPr>
        <w:szCs w:val="16"/>
      </w:rPr>
      <w:t>en</w:t>
    </w:r>
    <w:r w:rsidR="00BA3475">
      <w:rPr>
        <w:szCs w:val="16"/>
      </w:rPr>
      <w:t>ec</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3A68FD">
      <w:rPr>
        <w:rStyle w:val="ZpatChar"/>
        <w:i/>
        <w:szCs w:val="16"/>
      </w:rPr>
      <w:t>Ju</w:t>
    </w:r>
    <w:r w:rsidR="00BA3475">
      <w:rPr>
        <w:rStyle w:val="ZpatChar"/>
        <w:i/>
        <w:szCs w:val="16"/>
      </w:rPr>
      <w:t>ly</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54" w:rsidRDefault="00AE6954" w:rsidP="00E71A58">
      <w:r>
        <w:separator/>
      </w:r>
    </w:p>
  </w:footnote>
  <w:footnote w:type="continuationSeparator" w:id="0">
    <w:p w:rsidR="00AE6954" w:rsidRDefault="00AE6954"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1D5C"/>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8FD"/>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25D66"/>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0D25"/>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26C5"/>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53A4"/>
    <w:rsid w:val="009A60D1"/>
    <w:rsid w:val="009A7A9D"/>
    <w:rsid w:val="009B18FE"/>
    <w:rsid w:val="009B6FD3"/>
    <w:rsid w:val="009C1750"/>
    <w:rsid w:val="009C2E29"/>
    <w:rsid w:val="009C554B"/>
    <w:rsid w:val="009C719E"/>
    <w:rsid w:val="009D3ACD"/>
    <w:rsid w:val="009D74B6"/>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2B6"/>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E6954"/>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A3475"/>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07E47"/>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EF2C8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1CFCEF0"/>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9AD9-96FA-447B-A4AC-77A9EF15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4</Pages>
  <Words>1436</Words>
  <Characters>8475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18</cp:revision>
  <cp:lastPrinted>2018-02-20T13:36:00Z</cp:lastPrinted>
  <dcterms:created xsi:type="dcterms:W3CDTF">2022-02-15T14:45:00Z</dcterms:created>
  <dcterms:modified xsi:type="dcterms:W3CDTF">2022-07-25T09:35:00Z</dcterms:modified>
</cp:coreProperties>
</file>