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25" w:rsidRDefault="002708BC" w:rsidP="002708BC">
      <w:pPr>
        <w:pStyle w:val="Nadpis1"/>
        <w:jc w:val="both"/>
      </w:pPr>
      <w:bookmarkStart w:id="0" w:name="_Toc426017649"/>
      <w:r>
        <w:t xml:space="preserve">2. </w:t>
      </w:r>
      <w:r w:rsidR="00D34225">
        <w:t>Souhrnná výkonnost ekonomiky</w:t>
      </w:r>
      <w:bookmarkEnd w:id="0"/>
    </w:p>
    <w:tbl>
      <w:tblPr>
        <w:tblW w:w="5000" w:type="pct"/>
        <w:tblLayout w:type="fixed"/>
        <w:tblLook w:val="00A0"/>
      </w:tblPr>
      <w:tblGrid>
        <w:gridCol w:w="9854"/>
      </w:tblGrid>
      <w:tr w:rsidR="00D34225" w:rsidRPr="00CD6F99" w:rsidTr="008C41F7">
        <w:tc>
          <w:tcPr>
            <w:tcW w:w="50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Po dvou letech recese</w:t>
            </w:r>
            <w:r w:rsidR="00877329">
              <w:rPr>
                <w:rStyle w:val="Znakapoznpodarou"/>
              </w:rPr>
              <w:footnoteReference w:id="1"/>
            </w:r>
            <w:r w:rsidRPr="00A557BF">
              <w:t xml:space="preserve"> výkon české ekonomik</w:t>
            </w:r>
            <w:r w:rsidR="00D47948">
              <w:t xml:space="preserve">y již stoupl. </w:t>
            </w:r>
            <w:r w:rsidRPr="00A557BF">
              <w:t>HDP narostl</w:t>
            </w:r>
            <w:r w:rsidR="00915F5B">
              <w:t xml:space="preserve"> v roce 2014</w:t>
            </w:r>
            <w:r w:rsidRPr="00A557BF">
              <w:t xml:space="preserve"> o 2,0 %, hrub</w:t>
            </w:r>
            <w:r w:rsidR="00D47948">
              <w:t>á</w:t>
            </w:r>
            <w:r w:rsidRPr="00A557BF">
              <w:t xml:space="preserve"> přidan</w:t>
            </w:r>
            <w:r w:rsidR="00D47948">
              <w:t>á</w:t>
            </w:r>
            <w:r w:rsidRPr="00A557BF">
              <w:t xml:space="preserve"> hodnot</w:t>
            </w:r>
            <w:r w:rsidR="00D47948">
              <w:t>a</w:t>
            </w:r>
            <w:r w:rsidRPr="00A557BF">
              <w:t xml:space="preserve"> nezkreslen</w:t>
            </w:r>
            <w:r w:rsidR="00D47948">
              <w:t>á</w:t>
            </w:r>
            <w:r w:rsidRPr="00A557BF">
              <w:t xml:space="preserve"> asymetrickým výběrem spotřebních daní z tabákových výrobků dokonce o 2,7 </w:t>
            </w:r>
            <w:r>
              <w:t>%. Zatímco z hlediska</w:t>
            </w:r>
            <w:r w:rsidRPr="00A557BF">
              <w:t xml:space="preserve"> růstu HDP připadlo české ekonomice mezi zeměmi EU až místo </w:t>
            </w:r>
            <w:r w:rsidR="00915F5B">
              <w:t>čtrnácté</w:t>
            </w:r>
            <w:r w:rsidRPr="00A557BF">
              <w:t xml:space="preserve">, tedy průměrné, v pojetí hrubé přidané hodnoty místo </w:t>
            </w:r>
            <w:r w:rsidR="00915F5B">
              <w:t>osmé</w:t>
            </w:r>
            <w:r w:rsidRPr="00A557BF">
              <w:t xml:space="preserve"> a tedy nadprůměrné.</w:t>
            </w:r>
          </w:p>
          <w:p w:rsidR="00D34225" w:rsidRPr="00877329" w:rsidRDefault="00D34225" w:rsidP="008C41F7">
            <w:pPr>
              <w:pStyle w:val="Textpoznpodarou"/>
              <w:jc w:val="both"/>
            </w:pPr>
          </w:p>
        </w:tc>
      </w:tr>
    </w:tbl>
    <w:p w:rsidR="00D34225" w:rsidRPr="00AD306C" w:rsidRDefault="00D34225" w:rsidP="00435D30">
      <w:pPr>
        <w:pStyle w:val="Nadpis2"/>
        <w:numPr>
          <w:ilvl w:val="1"/>
          <w:numId w:val="3"/>
        </w:numPr>
      </w:pPr>
      <w:bookmarkStart w:id="1" w:name="_Toc426017650"/>
      <w:r>
        <w:t>Hrubý domácí produkt</w:t>
      </w:r>
      <w:bookmarkEnd w:id="1"/>
    </w:p>
    <w:tbl>
      <w:tblPr>
        <w:tblW w:w="5000" w:type="pct"/>
        <w:tblLayout w:type="fixed"/>
        <w:tblLook w:val="00A0"/>
      </w:tblPr>
      <w:tblGrid>
        <w:gridCol w:w="2077"/>
        <w:gridCol w:w="282"/>
        <w:gridCol w:w="7495"/>
      </w:tblGrid>
      <w:tr w:rsidR="00D34225" w:rsidRPr="0002083E" w:rsidTr="008C41F7">
        <w:trPr>
          <w:trHeight w:val="1635"/>
        </w:trPr>
        <w:tc>
          <w:tcPr>
            <w:tcW w:w="1054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Recese z let 2012 a 2013 byla způsobena zejména poklesem domácí poptávky. Její oživení recesi také ukončilo</w:t>
            </w:r>
          </w:p>
        </w:tc>
        <w:tc>
          <w:tcPr>
            <w:tcW w:w="143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Recese, </w:t>
            </w:r>
            <w:r w:rsidR="00A75744">
              <w:t>se kterou se česká ekonomika</w:t>
            </w:r>
            <w:r w:rsidRPr="00A557BF">
              <w:t xml:space="preserve"> </w:t>
            </w:r>
            <w:r w:rsidR="00A75744">
              <w:t>potýkala</w:t>
            </w:r>
            <w:r w:rsidRPr="00A557BF">
              <w:t xml:space="preserve"> v dvouletém období 2012-2013 a za níž stály zejména domácí faktory (rychlá konsolidace veřejných financí, nízká investiční aktivita firem, reálně klesající celkové příjmy domácností zrcadlící se v nevýrazné spotřebě a oslabující poptávce po domech a bytech), v roce 2014 už dále nepokračovala. Naopak, české hospodářství ožilo. Obnovená domácí a zahraniční poptávka, </w:t>
            </w:r>
            <w:r w:rsidR="00D47948">
              <w:t>spolu s dalšími faktory</w:t>
            </w:r>
            <w:r w:rsidR="00A75744">
              <w:t>,</w:t>
            </w:r>
            <w:r w:rsidR="00D47948">
              <w:t xml:space="preserve"> </w:t>
            </w:r>
            <w:r w:rsidRPr="00A557BF">
              <w:t>se společně projevily v nárůstu hrubé</w:t>
            </w:r>
            <w:r w:rsidR="00915F5B">
              <w:t>ho</w:t>
            </w:r>
            <w:r w:rsidRPr="00A557BF">
              <w:t xml:space="preserve"> domácího produktu (HDP) o rovná 2 %.</w:t>
            </w:r>
          </w:p>
          <w:p w:rsidR="00D34225" w:rsidRPr="00877329" w:rsidRDefault="00D34225" w:rsidP="008C41F7">
            <w:pPr>
              <w:pStyle w:val="Textpoznpodarou"/>
              <w:jc w:val="both"/>
            </w:pPr>
          </w:p>
        </w:tc>
      </w:tr>
      <w:tr w:rsidR="00D34225" w:rsidRPr="0002083E" w:rsidTr="008C41F7">
        <w:tc>
          <w:tcPr>
            <w:tcW w:w="1054" w:type="pct"/>
          </w:tcPr>
          <w:p w:rsidR="00D34225" w:rsidRPr="00A557BF" w:rsidRDefault="00D34225" w:rsidP="008C41F7">
            <w:pPr>
              <w:spacing w:line="240" w:lineRule="auto"/>
              <w:rPr>
                <w:spacing w:val="-2"/>
                <w:sz w:val="16"/>
                <w:szCs w:val="16"/>
              </w:rPr>
            </w:pPr>
            <w:r w:rsidRPr="00A557BF">
              <w:rPr>
                <w:spacing w:val="-2"/>
                <w:sz w:val="16"/>
                <w:szCs w:val="16"/>
              </w:rPr>
              <w:t xml:space="preserve">Růst české ekonomiky, jak ukazuje </w:t>
            </w:r>
            <w:proofErr w:type="spellStart"/>
            <w:r w:rsidRPr="00A557BF">
              <w:rPr>
                <w:spacing w:val="-2"/>
                <w:sz w:val="16"/>
                <w:szCs w:val="16"/>
              </w:rPr>
              <w:t>mezikvartální</w:t>
            </w:r>
            <w:proofErr w:type="spellEnd"/>
            <w:r w:rsidRPr="00A557BF">
              <w:rPr>
                <w:spacing w:val="-2"/>
                <w:sz w:val="16"/>
                <w:szCs w:val="16"/>
              </w:rPr>
              <w:t xml:space="preserve"> dynamika HDP, byl stabilní</w:t>
            </w:r>
          </w:p>
        </w:tc>
        <w:tc>
          <w:tcPr>
            <w:tcW w:w="143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4"/>
              </w:rPr>
            </w:pPr>
            <w:r w:rsidRPr="00A557BF">
              <w:rPr>
                <w:spacing w:val="-4"/>
              </w:rPr>
              <w:t xml:space="preserve">Z </w:t>
            </w:r>
            <w:proofErr w:type="spellStart"/>
            <w:r w:rsidRPr="00A557BF">
              <w:rPr>
                <w:spacing w:val="-4"/>
              </w:rPr>
              <w:t>mezičtvrtletní</w:t>
            </w:r>
            <w:proofErr w:type="spellEnd"/>
            <w:r w:rsidRPr="00A557BF">
              <w:rPr>
                <w:spacing w:val="-4"/>
              </w:rPr>
              <w:t xml:space="preserve"> dynamiky HDP (očištěno od sezónnosti a vlivu nestejného počtu pracovních dní) bylo patrné, že ekonomika ČR posilovala stabilně. S výjimkou 1. čtvrtletí 2014, kdy fakticky stagnovala, rostla už rok a </w:t>
            </w:r>
            <w:proofErr w:type="spellStart"/>
            <w:r w:rsidRPr="00A557BF">
              <w:rPr>
                <w:spacing w:val="-4"/>
              </w:rPr>
              <w:t>třičtvrtě</w:t>
            </w:r>
            <w:proofErr w:type="spellEnd"/>
            <w:r w:rsidRPr="00A557BF">
              <w:rPr>
                <w:spacing w:val="-4"/>
              </w:rPr>
              <w:t>.</w:t>
            </w:r>
          </w:p>
          <w:p w:rsidR="00D34225" w:rsidRPr="00877329" w:rsidRDefault="00D34225" w:rsidP="008C41F7">
            <w:pPr>
              <w:pStyle w:val="Textpoznpodarou"/>
              <w:jc w:val="both"/>
            </w:pPr>
          </w:p>
        </w:tc>
      </w:tr>
      <w:tr w:rsidR="00D34225" w:rsidRPr="0002083E" w:rsidTr="008C41F7">
        <w:trPr>
          <w:trHeight w:val="1400"/>
        </w:trPr>
        <w:tc>
          <w:tcPr>
            <w:tcW w:w="1054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Nárůst HDP v roce 2014 o 2,0 % byl srovnatelný s přírůstky z let dočasného oživení 2010 a 2011, …</w:t>
            </w:r>
          </w:p>
        </w:tc>
        <w:tc>
          <w:tcPr>
            <w:tcW w:w="143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Výkon ekonomiky ČR, měřený hrubým domácím produktem, stoupl v roce 2014 zhruba stejně jako v letech 2010 a 2011 (+2,3 %, +2,0 %). Na roky konjunktury 2004 až 2008, kdy HDP narůstal v průměru o 5,3 % ročně (v samotném roce 2006 se HDP zvýšil dokonce o 6,9 %, nejvíce v historii ČR), se ale českému hospodářství navázat nepodařilo. Podprůměrný byl růst tuzemské ekonomiky i</w:t>
            </w:r>
            <w:r>
              <w:t> </w:t>
            </w:r>
            <w:r w:rsidRPr="00A557BF">
              <w:t>s</w:t>
            </w:r>
            <w:r>
              <w:t> </w:t>
            </w:r>
            <w:r w:rsidRPr="00A557BF">
              <w:t>ohledem na průměrnou dynamiku HDP za celé období existence samostatné České republiky (+2,4 %), ale i například za samotné období „pozdní transformace“ (1993-2000, v průměru +2,3 % za rok).</w:t>
            </w:r>
          </w:p>
          <w:p w:rsidR="00D34225" w:rsidRPr="00F058AB" w:rsidRDefault="00D34225" w:rsidP="008C41F7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D34225" w:rsidRPr="0002083E" w:rsidTr="008C41F7">
        <w:trPr>
          <w:trHeight w:val="1575"/>
        </w:trPr>
        <w:tc>
          <w:tcPr>
            <w:tcW w:w="1054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…avšak při srovnání s roky konjunktury, kdy ČR zužitkovávala přínosy ze vstupu do EU a z pokračujícího přílivu přímých zahraničních investic, byl růst její ekonomiky významně podprůměrný</w:t>
            </w:r>
          </w:p>
        </w:tc>
        <w:tc>
          <w:tcPr>
            <w:tcW w:w="143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 xml:space="preserve">Ukazuje se, že období předkrizové (tedy roky 2004 až 2008) – ve kterém česká ekonomika těžila ze začlenění do hospodářského prostoru Evropské unie a z pokračujícího přílivu přímých zahraničních investic – a období </w:t>
            </w:r>
            <w:proofErr w:type="spellStart"/>
            <w:r w:rsidRPr="00A557BF">
              <w:rPr>
                <w:spacing w:val="-2"/>
              </w:rPr>
              <w:t>pokrizové</w:t>
            </w:r>
            <w:proofErr w:type="spellEnd"/>
            <w:r w:rsidRPr="00A557BF">
              <w:rPr>
                <w:spacing w:val="-2"/>
              </w:rPr>
              <w:t xml:space="preserve"> (období od roku 2010 dále), silně poznamenané snahou tuzemských fiskálních autorit o rychlou konsolidaci veřejných financí, ale také dluhovými a deflačními problémy </w:t>
            </w:r>
            <w:proofErr w:type="spellStart"/>
            <w:r w:rsidRPr="00A557BF">
              <w:rPr>
                <w:spacing w:val="-2"/>
              </w:rPr>
              <w:t>eurozóny</w:t>
            </w:r>
            <w:proofErr w:type="spellEnd"/>
            <w:r w:rsidRPr="00A557BF">
              <w:rPr>
                <w:spacing w:val="-2"/>
              </w:rPr>
              <w:t>, jsou periodami jen těžko srovnatelnými. Je vůbec otázka, jaký další pozitivní impuls – který by navíc musel zřejmě být strukturální, nikoliv jen cyklický – by musel přijít, aby tuzemská ekonomika na tyto výjimečné roky dlouhodoběji navázala, nebo se jim co do vykázané dynamiky HDP alespoň přiblížila.</w:t>
            </w:r>
          </w:p>
        </w:tc>
      </w:tr>
    </w:tbl>
    <w:p w:rsidR="00D34225" w:rsidRPr="00877329" w:rsidRDefault="00D34225" w:rsidP="00D34225">
      <w:pPr>
        <w:rPr>
          <w:szCs w:val="20"/>
        </w:rPr>
      </w:pPr>
    </w:p>
    <w:tbl>
      <w:tblPr>
        <w:tblW w:w="5000" w:type="pct"/>
        <w:tblLook w:val="04A0"/>
      </w:tblPr>
      <w:tblGrid>
        <w:gridCol w:w="1052"/>
        <w:gridCol w:w="1027"/>
        <w:gridCol w:w="287"/>
        <w:gridCol w:w="2563"/>
        <w:gridCol w:w="715"/>
        <w:gridCol w:w="4210"/>
      </w:tblGrid>
      <w:tr w:rsidR="00D34225" w:rsidRPr="0002083E" w:rsidTr="008C41F7">
        <w:tc>
          <w:tcPr>
            <w:tcW w:w="534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</w:t>
            </w:r>
          </w:p>
        </w:tc>
        <w:tc>
          <w:tcPr>
            <w:tcW w:w="1967" w:type="pct"/>
            <w:gridSpan w:val="3"/>
          </w:tcPr>
          <w:p w:rsidR="00E97535" w:rsidRDefault="00D34225" w:rsidP="008C41F7">
            <w:pPr>
              <w:pStyle w:val="Textpoznpodarou"/>
            </w:pPr>
            <w:r w:rsidRPr="00A557BF">
              <w:rPr>
                <w:b/>
              </w:rPr>
              <w:t>Dlouhodobý vývoj HDP v</w:t>
            </w:r>
            <w:r w:rsidR="00E97535">
              <w:rPr>
                <w:b/>
              </w:rPr>
              <w:t> </w:t>
            </w:r>
            <w:r w:rsidRPr="00A557BF">
              <w:rPr>
                <w:b/>
              </w:rPr>
              <w:t>ČR</w:t>
            </w:r>
          </w:p>
          <w:p w:rsidR="00D34225" w:rsidRPr="00A557BF" w:rsidRDefault="00D34225" w:rsidP="008C41F7">
            <w:pPr>
              <w:pStyle w:val="Textpoznpodarou"/>
            </w:pPr>
            <w:r w:rsidRPr="00A557BF">
              <w:t>(y/y v %, reálně)</w:t>
            </w:r>
          </w:p>
        </w:tc>
        <w:tc>
          <w:tcPr>
            <w:tcW w:w="362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2</w:t>
            </w:r>
          </w:p>
        </w:tc>
        <w:tc>
          <w:tcPr>
            <w:tcW w:w="2136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 xml:space="preserve">HDP po čtvrtletích </w:t>
            </w:r>
            <w:r w:rsidRPr="00A557BF">
              <w:t>(v %, reálně, očištěno od sezónnosti a vlivu počtu pracovních dní)</w:t>
            </w:r>
          </w:p>
        </w:tc>
      </w:tr>
      <w:tr w:rsidR="00D34225" w:rsidRPr="0056182E" w:rsidTr="008C41F7">
        <w:tc>
          <w:tcPr>
            <w:tcW w:w="2502" w:type="pct"/>
            <w:gridSpan w:val="4"/>
          </w:tcPr>
          <w:p w:rsidR="00D34225" w:rsidRPr="0056182E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187.5pt;visibility:visible;mso-wrap-style:square">
                  <v:imagedata r:id="rId8" o:title=""/>
                </v:shape>
              </w:pict>
            </w:r>
          </w:p>
        </w:tc>
        <w:tc>
          <w:tcPr>
            <w:tcW w:w="2498" w:type="pct"/>
            <w:gridSpan w:val="2"/>
          </w:tcPr>
          <w:p w:rsidR="00D34225" w:rsidRPr="0056182E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26" type="#_x0000_t75" style="width:237pt;height:187.5pt;visibility:visible;mso-wrap-style:square">
                  <v:imagedata r:id="rId9" o:title=""/>
                </v:shape>
              </w:pict>
            </w:r>
          </w:p>
        </w:tc>
      </w:tr>
      <w:tr w:rsidR="00D34225" w:rsidRPr="0002083E" w:rsidTr="008C41F7">
        <w:tc>
          <w:tcPr>
            <w:tcW w:w="5000" w:type="pct"/>
            <w:gridSpan w:val="6"/>
          </w:tcPr>
          <w:p w:rsidR="00877329" w:rsidRPr="00A557BF" w:rsidRDefault="00D34225" w:rsidP="00877329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>Zdroj: ČSÚ</w:t>
            </w:r>
          </w:p>
        </w:tc>
      </w:tr>
      <w:tr w:rsidR="00D34225" w:rsidRPr="00A557BF" w:rsidTr="008C41F7">
        <w:tblPrEx>
          <w:tblLook w:val="00A0"/>
        </w:tblPrEx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lastRenderedPageBreak/>
              <w:t>Ze zemí EU z recese v roce 2014 vy</w:t>
            </w:r>
            <w:r>
              <w:rPr>
                <w:sz w:val="16"/>
                <w:szCs w:val="16"/>
              </w:rPr>
              <w:t>stoupilo kromě ČR také</w:t>
            </w:r>
            <w:r w:rsidRPr="00A557BF">
              <w:rPr>
                <w:sz w:val="16"/>
                <w:szCs w:val="16"/>
              </w:rPr>
              <w:t xml:space="preserve"> Dánsko, Nizozemsko, ale i</w:t>
            </w:r>
            <w:r>
              <w:rPr>
                <w:sz w:val="16"/>
                <w:szCs w:val="16"/>
              </w:rPr>
              <w:t> </w:t>
            </w:r>
            <w:r w:rsidRPr="00A557BF">
              <w:rPr>
                <w:sz w:val="16"/>
                <w:szCs w:val="16"/>
              </w:rPr>
              <w:t>jižanské</w:t>
            </w:r>
            <w:r>
              <w:rPr>
                <w:sz w:val="16"/>
                <w:szCs w:val="16"/>
              </w:rPr>
              <w:t xml:space="preserve"> Slovinsko, </w:t>
            </w:r>
            <w:r w:rsidRPr="00A557BF">
              <w:rPr>
                <w:sz w:val="16"/>
                <w:szCs w:val="16"/>
              </w:rPr>
              <w:t>Španělsko, Portugalsko a</w:t>
            </w:r>
            <w:r>
              <w:rPr>
                <w:sz w:val="16"/>
                <w:szCs w:val="16"/>
              </w:rPr>
              <w:t> </w:t>
            </w:r>
            <w:r w:rsidRPr="00A557BF">
              <w:rPr>
                <w:sz w:val="16"/>
                <w:szCs w:val="16"/>
              </w:rPr>
              <w:t xml:space="preserve">Řecko, … 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Z recese se v roce 2014 nevyprostila jen Česká republika, ale také dalších šest zemí Evropské unie. Dva roky trvající pokles HDP se přetavil v růst ve Slovinsku, v Dánsku a v Nizozemsku, tříletá recese skončila na Pyrenejském poloostrově, tedy ve Španělsku a v Portugalsku. Recesivní sevření polevilo i v dluhy a deflací sužovaném Řecku (v kumulaci za roky 2008 až 2013 klesl HDP této ekonomiky o 26,4 %</w:t>
            </w:r>
            <w:r w:rsidRPr="00A557BF">
              <w:rPr>
                <w:lang w:val="en-US"/>
              </w:rPr>
              <w:t xml:space="preserve">, </w:t>
            </w:r>
            <w:r w:rsidRPr="00A557BF">
              <w:t xml:space="preserve">v roce 2014 již o 0,8 % stoupl), </w:t>
            </w:r>
            <w:r w:rsidR="00D74E76">
              <w:t>lze ale očekávat, že recese</w:t>
            </w:r>
            <w:r>
              <w:t xml:space="preserve"> se spolu s politickou</w:t>
            </w:r>
            <w:r w:rsidRPr="00A557BF">
              <w:t xml:space="preserve"> a </w:t>
            </w:r>
            <w:r>
              <w:t>ekonomickou nestabilitou</w:t>
            </w:r>
            <w:r w:rsidRPr="00A557BF">
              <w:t xml:space="preserve"> </w:t>
            </w:r>
            <w:r>
              <w:t>navrátí</w:t>
            </w:r>
            <w:r w:rsidRPr="00A557BF">
              <w:t>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rPr>
          <w:trHeight w:val="1590"/>
        </w:trPr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…v Itálii, na Kypru a v Chorvatsku HDP klesal nicméně i nadále. Z recese se dosud nevymanilo ani Finsko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O oživení hospodářského prostoru EU v roce 2014 svědčil fakt, že pokles výkonnosti e</w:t>
            </w:r>
            <w:r>
              <w:t>vidovaly jen čtyři členské země, tedy</w:t>
            </w:r>
            <w:r w:rsidRPr="00A557BF">
              <w:t xml:space="preserve"> stejný počet jako v roce 2011. Potřetí za seb</w:t>
            </w:r>
            <w:r w:rsidR="005F2F28">
              <w:t>ou se HDP snížil ve Finsku (-0,4</w:t>
            </w:r>
            <w:r w:rsidRPr="00A557BF">
              <w:t xml:space="preserve"> %</w:t>
            </w:r>
            <w:r w:rsidRPr="00A557BF">
              <w:rPr>
                <w:lang w:val="en-US"/>
              </w:rPr>
              <w:t>;</w:t>
            </w:r>
            <w:r w:rsidRPr="00A557BF">
              <w:t xml:space="preserve"> v ku</w:t>
            </w:r>
            <w:r w:rsidR="005F2F28">
              <w:t>mulaci za roky 2012 až 2014 -2,9</w:t>
            </w:r>
            <w:r w:rsidRPr="00A557BF">
              <w:t xml:space="preserve"> %), v Itálii (-0,4 %</w:t>
            </w:r>
            <w:r w:rsidRPr="00A557BF">
              <w:rPr>
                <w:lang w:val="en-US"/>
              </w:rPr>
              <w:t>;</w:t>
            </w:r>
            <w:r w:rsidRPr="00A557BF">
              <w:t xml:space="preserve"> -4,8 %) a na Kypru (-2,3 %</w:t>
            </w:r>
            <w:r w:rsidRPr="00A557BF">
              <w:rPr>
                <w:lang w:val="en-US"/>
              </w:rPr>
              <w:t>;</w:t>
            </w:r>
            <w:r w:rsidRPr="00A557BF">
              <w:t xml:space="preserve"> -9,7 %). Šestým rokem se s recesí potýkal nejnovější člen evropské osmadvacítky, Chorvatsko (v roce 2014 pokles HDP o 0,4 %</w:t>
            </w:r>
            <w:r w:rsidRPr="00A557BF">
              <w:rPr>
                <w:lang w:val="en-US"/>
              </w:rPr>
              <w:t xml:space="preserve">; </w:t>
            </w:r>
            <w:r w:rsidRPr="00A557BF">
              <w:t>v kumulaci za roky 2009 až 2014 již -12,4 %).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rPr>
          <w:trHeight w:val="465"/>
        </w:trPr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Pozitivním aspektem ekonomického vývoje v EU v roce 2014 bylo i to, že </w:t>
            </w:r>
            <w:r>
              <w:t>pokles HDP nově nepoznamenal</w:t>
            </w:r>
            <w:r w:rsidRPr="00A557BF">
              <w:t xml:space="preserve"> ani jednu z členských zemí.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rPr>
          <w:trHeight w:val="2025"/>
        </w:trPr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 xml:space="preserve">V první desítce nejrychleji rostoucích zemí EU z vyspělých ekonomik jen </w:t>
            </w:r>
            <w:r w:rsidR="005F2F28">
              <w:rPr>
                <w:sz w:val="16"/>
                <w:szCs w:val="16"/>
              </w:rPr>
              <w:t xml:space="preserve">Lucembursko, </w:t>
            </w:r>
            <w:r w:rsidRPr="00A557BF">
              <w:rPr>
                <w:sz w:val="16"/>
                <w:szCs w:val="16"/>
              </w:rPr>
              <w:t>Irsko a Velká Británie, …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5F2F28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5F2F28">
              <w:rPr>
                <w:spacing w:val="-6"/>
              </w:rPr>
              <w:t>Na špici zemí EU, co se týče přírůstku HDP v roce 2014, se umístilo</w:t>
            </w:r>
            <w:r w:rsidR="005F2F28" w:rsidRPr="005F2F28">
              <w:rPr>
                <w:spacing w:val="-6"/>
              </w:rPr>
              <w:t xml:space="preserve"> Lucembursko a Irsko. Jejich</w:t>
            </w:r>
            <w:r w:rsidRPr="005F2F28">
              <w:rPr>
                <w:spacing w:val="-6"/>
              </w:rPr>
              <w:t xml:space="preserve"> výkonnost stoupla o vysokých</w:t>
            </w:r>
            <w:r w:rsidR="005F2F28" w:rsidRPr="005F2F28">
              <w:rPr>
                <w:spacing w:val="-6"/>
              </w:rPr>
              <w:t xml:space="preserve"> 5,6 % a</w:t>
            </w:r>
            <w:r w:rsidRPr="005F2F28">
              <w:rPr>
                <w:spacing w:val="-6"/>
              </w:rPr>
              <w:t xml:space="preserve"> 4,8 %, a to při zmenšujícím se hrubém konsolidovaném dluhu vládních institucí (relativně, tj. v poměru k HDP, </w:t>
            </w:r>
            <w:r w:rsidR="005F2F28" w:rsidRPr="005F2F28">
              <w:rPr>
                <w:spacing w:val="-6"/>
              </w:rPr>
              <w:t>v případě Irska</w:t>
            </w:r>
            <w:r w:rsidRPr="005F2F28">
              <w:rPr>
                <w:spacing w:val="-6"/>
              </w:rPr>
              <w:t xml:space="preserve"> také v absolutním vyjádření).</w:t>
            </w:r>
            <w:r w:rsidR="005F2F28" w:rsidRPr="005F2F28">
              <w:rPr>
                <w:spacing w:val="-6"/>
              </w:rPr>
              <w:t xml:space="preserve"> Teprve až s velkým odstupem je</w:t>
            </w:r>
            <w:r w:rsidRPr="005F2F28">
              <w:rPr>
                <w:spacing w:val="-6"/>
              </w:rPr>
              <w:t xml:space="preserve"> následovalo Maďarsko (+3,6 %), Malta (+3,5 %) a Polsko (+3,4 %). První desítka nejrychleji rostoucích zemí byla složena </w:t>
            </w:r>
            <w:r w:rsidR="005F2F28" w:rsidRPr="005F2F28">
              <w:rPr>
                <w:spacing w:val="-6"/>
              </w:rPr>
              <w:t>spíše</w:t>
            </w:r>
            <w:r w:rsidRPr="005F2F28">
              <w:rPr>
                <w:spacing w:val="-6"/>
              </w:rPr>
              <w:t xml:space="preserve"> z konvergujících ekonomik, z vyspělých zemí se do ní dostala kromě zmíněného </w:t>
            </w:r>
            <w:r w:rsidR="005F2F28" w:rsidRPr="005F2F28">
              <w:rPr>
                <w:spacing w:val="-6"/>
              </w:rPr>
              <w:t xml:space="preserve">Lucemburska a </w:t>
            </w:r>
            <w:r w:rsidRPr="005F2F28">
              <w:rPr>
                <w:spacing w:val="-6"/>
              </w:rPr>
              <w:t>I</w:t>
            </w:r>
            <w:r w:rsidR="005F2F28" w:rsidRPr="005F2F28">
              <w:rPr>
                <w:spacing w:val="-6"/>
              </w:rPr>
              <w:t>rska už jen Velká Británie (šesté</w:t>
            </w:r>
            <w:r w:rsidRPr="005F2F28">
              <w:rPr>
                <w:spacing w:val="-6"/>
              </w:rPr>
              <w:t xml:space="preserve"> místo, +3,0 %). Zde ovšem, v porovnání s</w:t>
            </w:r>
            <w:r w:rsidR="005F2F28" w:rsidRPr="005F2F28">
              <w:rPr>
                <w:spacing w:val="-6"/>
              </w:rPr>
              <w:t> Lucemburskem a</w:t>
            </w:r>
            <w:r w:rsidRPr="005F2F28">
              <w:rPr>
                <w:spacing w:val="-6"/>
              </w:rPr>
              <w:t> Irskem, docházelo k „méně zdravému růstu ekonomiky“, totiž za cenu dále se zvyšujícího hrubého konsolidovaného dluhu vládních institucí (v absolutním i relativním vyjádření).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rPr>
          <w:trHeight w:val="1088"/>
        </w:trPr>
        <w:tc>
          <w:tcPr>
            <w:tcW w:w="1055" w:type="pct"/>
            <w:gridSpan w:val="2"/>
          </w:tcPr>
          <w:p w:rsidR="00D34225" w:rsidRPr="00A557BF" w:rsidRDefault="00D34225" w:rsidP="008C41F7">
            <w:pPr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 xml:space="preserve">…ČR na místě </w:t>
            </w:r>
            <w:r w:rsidR="0019505A">
              <w:rPr>
                <w:sz w:val="16"/>
                <w:szCs w:val="16"/>
              </w:rPr>
              <w:t>čtrnáctém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České republice v pomyslném žebříčku nejrychleji rostoucích eko</w:t>
            </w:r>
            <w:r w:rsidR="0019505A">
              <w:t>nomik EU náleželo místo čtrnácté</w:t>
            </w:r>
            <w:r w:rsidRPr="00A557BF">
              <w:t xml:space="preserve">, tedy pozice průměrná. Jelikož se hrubý konsolidovaný dluh sektoru vládních institucí v tuzemsku mezi rokem 2013 a 2014 snížil (absolutně z 1,840 bil. korun na 1,816 bil. korun, relativně díky růstu HDP v nominálním vyjádření </w:t>
            </w:r>
            <w:r>
              <w:t xml:space="preserve">dokonce </w:t>
            </w:r>
            <w:r w:rsidRPr="00A557BF">
              <w:t>ze 45,0 % na 42,6 %), dal se růst české ekonomiky v tomto ohledu považovat za „zdravý“.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rPr>
          <w:trHeight w:val="465"/>
        </w:trPr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Růst ekonomiky USA silnější než EU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D47948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A557BF">
              <w:rPr>
                <w:spacing w:val="-4"/>
              </w:rPr>
              <w:t>I přestože HDP v ČR v roce 2014 (+2,0 %) posílil více než v EU jako celku (+1,3 %), za </w:t>
            </w:r>
            <w:r>
              <w:rPr>
                <w:spacing w:val="-4"/>
              </w:rPr>
              <w:t>ekonomikou</w:t>
            </w:r>
            <w:r w:rsidRPr="00A557BF">
              <w:rPr>
                <w:spacing w:val="-4"/>
              </w:rPr>
              <w:t xml:space="preserve"> USA </w:t>
            </w:r>
            <w:r w:rsidR="00D47948">
              <w:rPr>
                <w:spacing w:val="-4"/>
              </w:rPr>
              <w:t>(+2,4 %)</w:t>
            </w:r>
            <w:r w:rsidR="00D47948" w:rsidRPr="00A557BF">
              <w:rPr>
                <w:spacing w:val="-4"/>
              </w:rPr>
              <w:t xml:space="preserve"> </w:t>
            </w:r>
            <w:r w:rsidRPr="00A557BF">
              <w:rPr>
                <w:spacing w:val="-4"/>
              </w:rPr>
              <w:t>co do vykázané dynamiky zaostával</w:t>
            </w:r>
            <w:r w:rsidR="00D47948">
              <w:rPr>
                <w:spacing w:val="-4"/>
              </w:rPr>
              <w:t xml:space="preserve">. </w:t>
            </w:r>
            <w:r w:rsidRPr="00A557BF">
              <w:rPr>
                <w:spacing w:val="-4"/>
              </w:rPr>
              <w:t xml:space="preserve"> Ba co více, jestliže si tuzemská ekonomika v letech 2012 a 2013 prošla dvouletou recesí (v EU se</w:t>
            </w:r>
            <w:r>
              <w:rPr>
                <w:spacing w:val="-4"/>
              </w:rPr>
              <w:t> </w:t>
            </w:r>
            <w:r w:rsidRPr="00A557BF">
              <w:rPr>
                <w:spacing w:val="-4"/>
              </w:rPr>
              <w:t>HDP snížil jen v roce 2012, v roce 2013 již v podstatě stagnoval), ekonomika USA</w:t>
            </w:r>
            <w:r>
              <w:rPr>
                <w:spacing w:val="-4"/>
              </w:rPr>
              <w:t> </w:t>
            </w:r>
            <w:r w:rsidRPr="00A557BF">
              <w:rPr>
                <w:spacing w:val="-4"/>
              </w:rPr>
              <w:t>rostla tempy, jež vždy překračovala hranici 2 %. Zatímco tak HDP v ČR v kumulaci za</w:t>
            </w:r>
            <w:r>
              <w:rPr>
                <w:spacing w:val="-4"/>
              </w:rPr>
              <w:t> </w:t>
            </w:r>
            <w:r w:rsidRPr="00A557BF">
              <w:rPr>
                <w:spacing w:val="-4"/>
              </w:rPr>
              <w:t>roky 2012-2014 narostl o 0,5 % a v EU jen o mírně vyšších 0,9 %, v USA – patrně i díky úspěchu politiky kvantitativního uvolňování – o 7,1 %.</w:t>
            </w:r>
          </w:p>
        </w:tc>
      </w:tr>
    </w:tbl>
    <w:p w:rsidR="00DB5104" w:rsidRPr="00A557BF" w:rsidRDefault="00DB5104" w:rsidP="00D34225">
      <w:pPr>
        <w:rPr>
          <w:sz w:val="14"/>
          <w:szCs w:val="14"/>
        </w:rPr>
      </w:pPr>
    </w:p>
    <w:tbl>
      <w:tblPr>
        <w:tblW w:w="5000" w:type="pct"/>
        <w:tblLook w:val="04A0"/>
      </w:tblPr>
      <w:tblGrid>
        <w:gridCol w:w="1051"/>
        <w:gridCol w:w="1030"/>
        <w:gridCol w:w="288"/>
        <w:gridCol w:w="2559"/>
        <w:gridCol w:w="1088"/>
        <w:gridCol w:w="3838"/>
      </w:tblGrid>
      <w:tr w:rsidR="00D34225" w:rsidRPr="00A557BF" w:rsidTr="00DB5104">
        <w:tc>
          <w:tcPr>
            <w:tcW w:w="533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3</w:t>
            </w:r>
          </w:p>
        </w:tc>
        <w:tc>
          <w:tcPr>
            <w:tcW w:w="1965" w:type="pct"/>
            <w:gridSpan w:val="3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 xml:space="preserve">Hrubý domácí produkt v ČR, EU28, </w:t>
            </w:r>
            <w:proofErr w:type="spellStart"/>
            <w:r w:rsidRPr="00A557BF">
              <w:rPr>
                <w:b/>
              </w:rPr>
              <w:t>eurozóně</w:t>
            </w:r>
            <w:proofErr w:type="spellEnd"/>
            <w:r w:rsidRPr="00A557BF">
              <w:rPr>
                <w:b/>
              </w:rPr>
              <w:t xml:space="preserve"> a v USA </w:t>
            </w:r>
            <w:r w:rsidRPr="00A557BF">
              <w:t>(y/y v %, reálně)</w:t>
            </w:r>
          </w:p>
        </w:tc>
        <w:tc>
          <w:tcPr>
            <w:tcW w:w="552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4</w:t>
            </w:r>
          </w:p>
        </w:tc>
        <w:tc>
          <w:tcPr>
            <w:tcW w:w="1950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 xml:space="preserve">Hrubý domácí produkt ve vybraných zemích EU </w:t>
            </w:r>
            <w:r w:rsidRPr="00A557BF">
              <w:t>(y/y v %, reálně)</w:t>
            </w:r>
          </w:p>
        </w:tc>
      </w:tr>
      <w:tr w:rsidR="00D34225" w:rsidRPr="0056182E" w:rsidTr="00DB5104">
        <w:tc>
          <w:tcPr>
            <w:tcW w:w="2498" w:type="pct"/>
            <w:gridSpan w:val="4"/>
          </w:tcPr>
          <w:p w:rsidR="00D34225" w:rsidRPr="0056182E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4"/>
                <w:szCs w:val="14"/>
              </w:rPr>
              <w:pict>
                <v:shape id="_x0000_i1027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">
                  <v:imagedata r:id="rId10" o:title=""/>
                  <o:lock v:ext="edit" aspectratio="f"/>
                </v:shape>
              </w:pict>
            </w:r>
          </w:p>
        </w:tc>
        <w:tc>
          <w:tcPr>
            <w:tcW w:w="2502" w:type="pct"/>
            <w:gridSpan w:val="2"/>
          </w:tcPr>
          <w:p w:rsidR="00D34225" w:rsidRPr="0056182E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4"/>
                <w:szCs w:val="14"/>
              </w:rPr>
              <w:pict>
                <v:shape id="_x0000_i1028" type="#_x0000_t75" style="width:237pt;height:18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">
                  <v:imagedata r:id="rId11" o:title="" cropbottom="-54f"/>
                  <o:lock v:ext="edit" aspectratio="f"/>
                </v:shape>
              </w:pict>
            </w:r>
          </w:p>
        </w:tc>
      </w:tr>
      <w:tr w:rsidR="00D34225" w:rsidRPr="0002083E" w:rsidTr="00DB5104">
        <w:tc>
          <w:tcPr>
            <w:tcW w:w="5000" w:type="pct"/>
            <w:gridSpan w:val="6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 xml:space="preserve">Zdroj: </w:t>
            </w:r>
            <w:proofErr w:type="spellStart"/>
            <w:r w:rsidRPr="00A557BF">
              <w:rPr>
                <w:sz w:val="18"/>
                <w:szCs w:val="18"/>
              </w:rPr>
              <w:t>Eurostat</w:t>
            </w:r>
            <w:proofErr w:type="spellEnd"/>
          </w:p>
        </w:tc>
      </w:tr>
      <w:tr w:rsidR="00D34225" w:rsidRPr="0000051B" w:rsidTr="00DB5104">
        <w:tblPrEx>
          <w:tblLook w:val="00A0"/>
        </w:tblPrEx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Proti roku </w:t>
            </w:r>
            <w:r w:rsidRPr="00A557BF">
              <w:rPr>
                <w:sz w:val="16"/>
                <w:szCs w:val="16"/>
              </w:rPr>
              <w:t>2009 narostla česká ekonomika o</w:t>
            </w:r>
            <w:r>
              <w:rPr>
                <w:sz w:val="16"/>
                <w:szCs w:val="16"/>
              </w:rPr>
              <w:t> </w:t>
            </w:r>
            <w:r w:rsidRPr="00A557BF">
              <w:rPr>
                <w:sz w:val="16"/>
                <w:szCs w:val="16"/>
              </w:rPr>
              <w:t>4,9</w:t>
            </w:r>
            <w:r>
              <w:rPr>
                <w:sz w:val="16"/>
                <w:szCs w:val="16"/>
              </w:rPr>
              <w:t> </w:t>
            </w:r>
            <w:r w:rsidRPr="00A557BF">
              <w:rPr>
                <w:sz w:val="16"/>
                <w:szCs w:val="16"/>
              </w:rPr>
              <w:t>%, méně než polská, slovenská a maďarská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V kumulaci za posledních pět let, tj. proti „dnu“ roku</w:t>
            </w:r>
            <w:r>
              <w:t xml:space="preserve"> hluboké</w:t>
            </w:r>
            <w:r w:rsidRPr="00A557BF">
              <w:t xml:space="preserve"> recese 2009, narostl HDP v České republice o 4,9 %. Posílil tak zhruba stejně jako v Evropské unii jako celku (+4,8 %). Zatímco v porovnání se srovnatelnými středoevropskými ekonomikami – tedy s Polskem (+16,3 %), Slovenskem (+13,6 %) a Maďarskem (+6,3 %) – byl ekonomický vývoj v ČR v tomto období podprůměrný, a stejně tak v porovnání s největší unijní ekonomikou Německem (+10,1 %), proti jihoevropským zemím na tom byla tuzemská ekonomika nesrovnatelně lépe. Ani jedna z nich – z pásu zemí sahajícího od Portugalska a Španělska, přes Itálii, Chorvatsko, Řecko až po Kypr –</w:t>
            </w:r>
            <w:r>
              <w:t xml:space="preserve"> úrovně HDP roku </w:t>
            </w:r>
            <w:r w:rsidRPr="00A557BF">
              <w:t>2009 ještě nedosáhla.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D34225" w:rsidRPr="0000051B" w:rsidTr="00DB5104">
        <w:tblPrEx>
          <w:tblLook w:val="00A0"/>
        </w:tblPrEx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Od roku 2004 se HDP ČR navýšil o 23,0 %. Z nových členských zemí rostlo pomaleji jen Slovinsko, Maďarsko, Kypr a Chorvatsko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Z nových zemí Evropské unie – tedy těch, které do EU vstoupily v roce 2004 a později – se za posledních deset let HDP nejdynamičtěji navýšil v Polsku (+46,3 %) a na Slovensku (+44,9 %). Více než v ČR (+23,0 %) HDP stoupl také v nejméně vyspělých ekonomikách EU, tj. v Bulharsku a v Rumunsku, dále pak v pobaltských republikách a na Maltě. Co do růstu česká ekonomika překonala pouze Slovinsko, Maďarsko, Kypr a Chorvatsko.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D34225" w:rsidRPr="00A557BF" w:rsidTr="00DB5104">
        <w:tblPrEx>
          <w:tblLook w:val="00A0"/>
        </w:tblPrEx>
        <w:trPr>
          <w:trHeight w:val="1080"/>
        </w:trPr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posledních šesti letech se poklesu HDP ze zemí EU vyhnulo jen Polsko</w:t>
            </w:r>
            <w:r w:rsidRPr="00A557BF">
              <w:rPr>
                <w:sz w:val="16"/>
                <w:szCs w:val="16"/>
              </w:rPr>
              <w:t xml:space="preserve">, … 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>Jedinou zemí Evropské unie, která si v roce 2009 neprošla recesí, bylo Polsko. Zatímco v pobaltských zemích se HDP propadal dvoucifernými tempy a ostatní ekonomiky EU si připisovaly poklesy HDP v rozmezí od -8,3 % (Finsko) po -2,0 % (Kypr), polská ekonomika o 2,6 % narostla. Obdobné platilo i pro roky násle</w:t>
            </w:r>
            <w:r w:rsidR="001214CE">
              <w:rPr>
                <w:spacing w:val="-2"/>
              </w:rPr>
              <w:t>dující. Jestliže v roce 2010</w:t>
            </w:r>
            <w:r w:rsidRPr="00A557BF">
              <w:rPr>
                <w:spacing w:val="-2"/>
              </w:rPr>
              <w:t xml:space="preserve"> klesl</w:t>
            </w:r>
            <w:r w:rsidR="001214CE">
              <w:rPr>
                <w:spacing w:val="-2"/>
              </w:rPr>
              <w:t xml:space="preserve"> HDP</w:t>
            </w:r>
            <w:r w:rsidRPr="00A557BF">
              <w:rPr>
                <w:spacing w:val="-2"/>
              </w:rPr>
              <w:t xml:space="preserve"> v pěti zemích, v roce 2011 ve čtyřech a v letech 2012 a 2013 v patnácti, respektive v jedenácti, Polsko svoji výkonnost vždy posílilo.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D34225" w:rsidRPr="00A557BF" w:rsidTr="00DB5104">
        <w:tblPrEx>
          <w:tblLook w:val="00A0"/>
        </w:tblPrEx>
        <w:tc>
          <w:tcPr>
            <w:tcW w:w="1055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…HDP v této zemi posiluje nepřetržitě už devatenáct let (mezinárodně srovnatelné údaje dostupné od roku 1996 včetně)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  <w:gridSpan w:val="3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 xml:space="preserve">HDP v Polsku se zvyšuje už devatenáct let, tedy od roku 1996 včetně, od kdy jsou mezinárodně srovnatelné údaje za země EU dostupné. V kumulaci narostl o 112,6 %, zhruba o dvojnásobek toho, co si v tomto období připsala česká ekonomika (+53,1 %). To se projevilo i ve větší síle konvergence. Zatímco v roce 1995 dosahoval HDP </w:t>
            </w:r>
            <w:r w:rsidRPr="00AF5F15">
              <w:rPr>
                <w:spacing w:val="-2"/>
              </w:rPr>
              <w:t>na obyvatele v</w:t>
            </w:r>
            <w:r w:rsidR="00AF5F15" w:rsidRPr="00AF5F15">
              <w:rPr>
                <w:spacing w:val="-2"/>
              </w:rPr>
              <w:t> paritě kupní síly v Polsku 42</w:t>
            </w:r>
            <w:r w:rsidRPr="00AF5F15">
              <w:rPr>
                <w:spacing w:val="-2"/>
              </w:rPr>
              <w:t xml:space="preserve"> % </w:t>
            </w:r>
            <w:r w:rsidR="00AF5F15" w:rsidRPr="00AF5F15">
              <w:rPr>
                <w:spacing w:val="-2"/>
              </w:rPr>
              <w:t>průměru EU, v roce 2014 již 68</w:t>
            </w:r>
            <w:r w:rsidRPr="00AF5F15">
              <w:rPr>
                <w:spacing w:val="-2"/>
              </w:rPr>
              <w:t xml:space="preserve"> %. Pro srovnání, více rozvinutá </w:t>
            </w:r>
            <w:r w:rsidR="00AF5F15" w:rsidRPr="00AF5F15">
              <w:rPr>
                <w:spacing w:val="-2"/>
              </w:rPr>
              <w:t>ekonomika ČR se posunula ze 77 % průměru EU na 84</w:t>
            </w:r>
            <w:r w:rsidRPr="00AF5F15">
              <w:rPr>
                <w:spacing w:val="-2"/>
              </w:rPr>
              <w:t xml:space="preserve"> %. Její konvergence nedosahovala ani třetinového tempa.</w:t>
            </w:r>
          </w:p>
        </w:tc>
      </w:tr>
    </w:tbl>
    <w:p w:rsidR="00DB5104" w:rsidRPr="00A557BF" w:rsidRDefault="00DB5104" w:rsidP="00D34225">
      <w:pPr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1064"/>
        <w:gridCol w:w="3863"/>
        <w:gridCol w:w="712"/>
        <w:gridCol w:w="2267"/>
        <w:gridCol w:w="1948"/>
      </w:tblGrid>
      <w:tr w:rsidR="00D34225" w:rsidRPr="00A557BF" w:rsidTr="00DB5104">
        <w:tc>
          <w:tcPr>
            <w:tcW w:w="539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5</w:t>
            </w:r>
          </w:p>
        </w:tc>
        <w:tc>
          <w:tcPr>
            <w:tcW w:w="1960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HDP v jednotlivých zemích EU a v USA v roce 2014</w:t>
            </w:r>
            <w:r w:rsidRPr="00A557BF">
              <w:t xml:space="preserve"> (y/y v %, reálně)</w:t>
            </w:r>
          </w:p>
        </w:tc>
        <w:tc>
          <w:tcPr>
            <w:tcW w:w="361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6</w:t>
            </w:r>
          </w:p>
        </w:tc>
        <w:tc>
          <w:tcPr>
            <w:tcW w:w="2140" w:type="pct"/>
            <w:gridSpan w:val="2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Kumulativní změna HDP v </w:t>
            </w:r>
            <w:r w:rsidR="00DB5104">
              <w:rPr>
                <w:b/>
              </w:rPr>
              <w:t>jednotlivých zemích EU a v USA*</w:t>
            </w:r>
            <w:r w:rsidRPr="00A557BF">
              <w:rPr>
                <w:b/>
              </w:rPr>
              <w:t xml:space="preserve"> </w:t>
            </w:r>
            <w:r w:rsidRPr="00A557BF">
              <w:t>(v %, reálně)</w:t>
            </w:r>
          </w:p>
        </w:tc>
      </w:tr>
      <w:tr w:rsidR="00D34225" w:rsidRPr="00A557BF" w:rsidTr="00DB5104">
        <w:tc>
          <w:tcPr>
            <w:tcW w:w="2499" w:type="pct"/>
            <w:gridSpan w:val="2"/>
          </w:tcPr>
          <w:p w:rsidR="00D34225" w:rsidRPr="00A557BF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8"/>
                <w:szCs w:val="18"/>
              </w:rPr>
              <w:pict>
                <v:shape id="_x0000_i1029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">
                  <v:imagedata r:id="rId12" o:title=""/>
                  <o:lock v:ext="edit" aspectratio="f"/>
                </v:shape>
              </w:pict>
            </w:r>
          </w:p>
        </w:tc>
        <w:tc>
          <w:tcPr>
            <w:tcW w:w="2501" w:type="pct"/>
            <w:gridSpan w:val="3"/>
          </w:tcPr>
          <w:p w:rsidR="00D34225" w:rsidRPr="00A557BF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8"/>
                <w:szCs w:val="18"/>
              </w:rPr>
              <w:pict>
                <v:shape id="_x0000_i1030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">
                  <v:imagedata r:id="rId13" o:title=""/>
                  <o:lock v:ext="edit" aspectratio="f"/>
                </v:shape>
              </w:pict>
            </w:r>
          </w:p>
        </w:tc>
      </w:tr>
      <w:tr w:rsidR="00D34225" w:rsidRPr="00A557BF" w:rsidTr="00DB5104">
        <w:tc>
          <w:tcPr>
            <w:tcW w:w="4011" w:type="pct"/>
            <w:gridSpan w:val="4"/>
          </w:tcPr>
          <w:p w:rsidR="00D34225" w:rsidRPr="00A557BF" w:rsidRDefault="00CA4232" w:rsidP="00DB5104">
            <w:pPr>
              <w:pStyle w:val="Textpoznpodarou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*Pozn.: Za roky 2005</w:t>
            </w:r>
            <w:r w:rsidR="00B65845">
              <w:rPr>
                <w:noProof/>
                <w:sz w:val="18"/>
                <w:szCs w:val="18"/>
              </w:rPr>
              <w:t>-</w:t>
            </w:r>
            <w:r w:rsidR="00D34225" w:rsidRPr="00A557BF">
              <w:rPr>
                <w:noProof/>
                <w:sz w:val="18"/>
                <w:szCs w:val="18"/>
              </w:rPr>
              <w:t>2014 nedostupný údaj za Litvu.</w:t>
            </w:r>
          </w:p>
        </w:tc>
        <w:tc>
          <w:tcPr>
            <w:tcW w:w="989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 xml:space="preserve">Zdroj: </w:t>
            </w:r>
            <w:proofErr w:type="spellStart"/>
            <w:r w:rsidRPr="00A557BF">
              <w:rPr>
                <w:sz w:val="18"/>
                <w:szCs w:val="18"/>
              </w:rPr>
              <w:t>Eurostat</w:t>
            </w:r>
            <w:proofErr w:type="spellEnd"/>
            <w:r w:rsidRPr="00A557BF">
              <w:rPr>
                <w:sz w:val="18"/>
                <w:szCs w:val="18"/>
              </w:rPr>
              <w:t>, vlastní výpočty</w:t>
            </w:r>
          </w:p>
        </w:tc>
      </w:tr>
    </w:tbl>
    <w:p w:rsidR="00D34225" w:rsidRDefault="00D34225" w:rsidP="00D34225"/>
    <w:p w:rsidR="00D34225" w:rsidRPr="00AD306C" w:rsidRDefault="00D34225" w:rsidP="00435D30">
      <w:pPr>
        <w:pStyle w:val="Nadpis2"/>
        <w:numPr>
          <w:ilvl w:val="1"/>
          <w:numId w:val="3"/>
        </w:numPr>
      </w:pPr>
      <w:bookmarkStart w:id="2" w:name="_Toc426017651"/>
      <w:r>
        <w:t>Výdajová strana hrubého domácího produktu</w:t>
      </w:r>
      <w:bookmarkEnd w:id="2"/>
    </w:p>
    <w:p w:rsidR="00D34225" w:rsidRDefault="00D34225" w:rsidP="00435D30">
      <w:pPr>
        <w:pStyle w:val="Nadpis3"/>
        <w:numPr>
          <w:ilvl w:val="2"/>
          <w:numId w:val="3"/>
        </w:numPr>
        <w:rPr>
          <w:szCs w:val="20"/>
        </w:rPr>
      </w:pPr>
      <w:bookmarkStart w:id="3" w:name="_Toc426017652"/>
      <w:r>
        <w:t>Výdaje na konečnou spotřebu domácností</w:t>
      </w:r>
      <w:bookmarkEnd w:id="3"/>
    </w:p>
    <w:tbl>
      <w:tblPr>
        <w:tblW w:w="5000" w:type="pct"/>
        <w:tblLook w:val="00A0"/>
      </w:tblPr>
      <w:tblGrid>
        <w:gridCol w:w="2079"/>
        <w:gridCol w:w="286"/>
        <w:gridCol w:w="7489"/>
      </w:tblGrid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Po pěti letech nevalného vývoje stoupla spotřeba domácností o 1,5 %, …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3078E0">
            <w:pPr>
              <w:pStyle w:val="Textpoznpodarou"/>
              <w:jc w:val="both"/>
              <w:rPr>
                <w:sz w:val="18"/>
                <w:szCs w:val="18"/>
              </w:rPr>
            </w:pPr>
            <w:r w:rsidRPr="00A557BF">
              <w:t xml:space="preserve">Výdaje na konečnou spotřebu domácností, které určují tuzemský HDP téměř z poloviny, stouply v roce 2014 o 1,5 %. Spotřeba tak po pěti letech nevalného vývoje – který byl dán poklesem v </w:t>
            </w:r>
            <w:r w:rsidR="003078E0">
              <w:t>letech</w:t>
            </w:r>
            <w:r w:rsidRPr="00A557BF">
              <w:t xml:space="preserve"> 2009 a 2012 a nízkým nárůstem v letech 2011 a 2013 – sice posílila relativně hodně, v porovnání s roky k</w:t>
            </w:r>
            <w:r w:rsidR="007977D7">
              <w:t>onjunktury české ekonomiky 2004</w:t>
            </w:r>
            <w:r w:rsidR="0041187E">
              <w:t xml:space="preserve"> až </w:t>
            </w:r>
            <w:r w:rsidRPr="00A557BF">
              <w:t>2008, kdy narůstala v průměru o 3,4 % za rok, byl</w:t>
            </w:r>
            <w:r w:rsidR="005B310D">
              <w:t xml:space="preserve"> ale její přírůstek</w:t>
            </w:r>
            <w:r w:rsidRPr="00A557BF">
              <w:t xml:space="preserve"> ani ne poloviční.</w:t>
            </w:r>
          </w:p>
        </w:tc>
      </w:tr>
      <w:tr w:rsidR="00D34225" w:rsidRPr="00A557BF" w:rsidTr="008C41F7">
        <w:trPr>
          <w:trHeight w:val="1080"/>
        </w:trPr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lastRenderedPageBreak/>
              <w:t>… a to jak vlivem nárůstu celkových příjmů domácností, tak lepších spotřebitelských nálad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AD6D14" w:rsidP="008C41F7">
            <w:pPr>
              <w:pStyle w:val="Textpoznpodarou"/>
              <w:jc w:val="both"/>
            </w:pPr>
            <w:r>
              <w:t>Nakolik</w:t>
            </w:r>
            <w:r w:rsidR="00D34225" w:rsidRPr="00A557BF">
              <w:t xml:space="preserve"> jsou domácnosti schopné a ochotné vydávat finanční prostředky na běžné nákupy, tedy jak utrácí za zboží a služby neinvestičního charakteru, je ovlivňováno především jejich celkovými příjmy, ale také aktuálními náladami. V roce 2014 se na rostoucí spotřebě podílely oba faktory. Celkové příjmy domácností narostly, nálady spotřebitelů se zlepšily. 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2"/>
                <w:szCs w:val="12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Hrubý disponibilní důchod domácností narostl v reálném vyjádření v roce 2014 poprvé po třech letech, …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>Hrubý disponibilní důchod domácností, charakterizující celkové příjmy domácností, klesal v letech 2011, 2012 a 2013 – tedy v rocích bezprostředně poznamenaných vleklou recesí – postupně o 1,4 %, 1,1 % a 0,8 % reálně</w:t>
            </w:r>
            <w:r w:rsidRPr="00A557BF">
              <w:rPr>
                <w:rStyle w:val="Znakapoznpodarou"/>
                <w:spacing w:val="-2"/>
              </w:rPr>
              <w:footnoteReference w:id="2"/>
            </w:r>
            <w:r w:rsidRPr="00A557BF">
              <w:rPr>
                <w:spacing w:val="-2"/>
              </w:rPr>
              <w:t xml:space="preserve">. V úhrnu za tyto tři roky se propadl o 3,4 %. </w:t>
            </w:r>
            <w:r w:rsidRPr="00A557BF">
              <w:rPr>
                <w:spacing w:val="-4"/>
              </w:rPr>
              <w:t xml:space="preserve">Rok 2014, kdy se nepříznivý vývoj obrátil a hrubý disponibilní důchod v reálném vyjádření již o 1,7 % narostl, tak </w:t>
            </w:r>
            <w:r w:rsidRPr="00A557BF">
              <w:rPr>
                <w:spacing w:val="-2"/>
              </w:rPr>
              <w:t>domácnosti</w:t>
            </w:r>
            <w:r w:rsidR="00157931">
              <w:rPr>
                <w:spacing w:val="-2"/>
              </w:rPr>
              <w:t xml:space="preserve"> jistě</w:t>
            </w:r>
            <w:r w:rsidRPr="00A557BF">
              <w:rPr>
                <w:spacing w:val="-2"/>
              </w:rPr>
              <w:t xml:space="preserve"> přivítaly.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…nálady spotřebitelů vystoupaly na úroveň srovnatelnou s počátkem roku 2007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Nálady spotřebitelů, které mají na dynamiku spotřeby taktéž značný vliv, se postupně začaly zlepšovat už v polovině roku 2012. Plyne to z indikátoru důvěry spotřebitelů. Zlepšovaly se dále i v průběhu celého roku 2014, do prosince nálady vystoupaly až na úroveň srovnatelnou s počátkem roku 2007.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2"/>
                <w:szCs w:val="12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V peněžním vyjádření se hrubý disponibilní důchod domácností zvýšil v roce 2014 o 49,2 mld. korun nominálně. Více domácnosti zinkasovaly na mzdách a platech, …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>V peněžním vyjádření narostl hrubý disponibilní důchod domácností v roce 2014 na 2 259,8 mld. korun nominálně, proti roku předchozímu stoupl o 49,2 mld. korun. Samotné mzdy a platy, hlavní složka hrubého disponibilního důchodu, posílily díky oživení trhu práce o 32,4 mld. korun. Projevila se v nich vyšší zaměstnanost, ale také nárůst průměrných mezd prolínající se téměř všemi odvětvími ekonomiky. Plošné navýšení platů státních zaměstnanců, vzhledem k tomu, že k němu došlo až v listopadu, mělo na růst mezd a platů za rok 2014 vliv spíše jen marginální.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 zvýšily se ale i zisky malých podnikatelů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Na zvýšení hrubého disponibilního důchodu se pozitivně podílel i nárůst tzv. hrubého provozního přebytku a smíšeného důchodu (+29,6 mld. korun), do kterého spadají především zisky malých podnikatelů. Zbývající dvě složky hrubého disponibilního důchodu se ovšem zhoršily. Saldo přerozdělení s ostatními institucionálními sektory (bez zahrnutí sociálních příspěvků zaměstnavatelů) se zmenšilo o 2,8 mld. korun, saldo příjmů a výdajů z vlastnictví – především v důsledku poklesu rozdělovaných důchodů společností a úrokových příjmů – bylo nižší dokonce o 10,0 mld. korun.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Vyšší výdaje zejména za předměty dlouhodobé spotřeby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>Ze struktury spotřeby plyne, že domácnosti v roce 2014 využily vyšších příjmů v reálném vyjádření zejména na posílení nákupů předmětů dlouhodobé spotřeby (+11,5 %), tedy například automobilů (jejich nákupy stouply o 13,8 %). Výdaje na předměty střednědobé a krátkodobé spotřeby narostly o 3,4 %, respektive o 1,1 %, výdaje za služby se mírně snížily (-0,3 %</w:t>
            </w:r>
            <w:r w:rsidRPr="00A557BF">
              <w:rPr>
                <w:spacing w:val="-2"/>
                <w:lang w:val="en-US"/>
              </w:rPr>
              <w:t>).</w:t>
            </w:r>
          </w:p>
        </w:tc>
      </w:tr>
    </w:tbl>
    <w:p w:rsidR="00D34225" w:rsidRPr="00A557BF" w:rsidRDefault="00D34225" w:rsidP="00D34225">
      <w:pPr>
        <w:rPr>
          <w:sz w:val="14"/>
          <w:szCs w:val="14"/>
        </w:rPr>
      </w:pPr>
    </w:p>
    <w:tbl>
      <w:tblPr>
        <w:tblW w:w="5000" w:type="pct"/>
        <w:tblLook w:val="04A0"/>
      </w:tblPr>
      <w:tblGrid>
        <w:gridCol w:w="703"/>
        <w:gridCol w:w="4231"/>
        <w:gridCol w:w="612"/>
        <w:gridCol w:w="522"/>
        <w:gridCol w:w="1278"/>
        <w:gridCol w:w="994"/>
        <w:gridCol w:w="1514"/>
      </w:tblGrid>
      <w:tr w:rsidR="00D34225" w:rsidRPr="00A557BF" w:rsidTr="008C41F7">
        <w:tc>
          <w:tcPr>
            <w:tcW w:w="355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7</w:t>
            </w:r>
          </w:p>
        </w:tc>
        <w:tc>
          <w:tcPr>
            <w:tcW w:w="2144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Hrubý disponibilní důchod domácností, výdaje na konečnou spotřebu domácností</w:t>
            </w:r>
            <w:r w:rsidRPr="00A557BF">
              <w:t xml:space="preserve"> (y/y v %, nominálně, levá osa)</w:t>
            </w:r>
            <w:r w:rsidRPr="00A557BF">
              <w:rPr>
                <w:b/>
              </w:rPr>
              <w:t>, indikátor důvěry spotřebitelů</w:t>
            </w:r>
            <w:r w:rsidRPr="00A557BF">
              <w:t xml:space="preserve"> (2005=100, pravá osa)</w:t>
            </w:r>
          </w:p>
        </w:tc>
        <w:tc>
          <w:tcPr>
            <w:tcW w:w="311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8</w:t>
            </w:r>
          </w:p>
        </w:tc>
        <w:tc>
          <w:tcPr>
            <w:tcW w:w="2189" w:type="pct"/>
            <w:gridSpan w:val="4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Hrubý disponibilní důchod domácností, výdaje na konečnou spotřebu domácností</w:t>
            </w:r>
            <w:r w:rsidRPr="00A557BF">
              <w:t xml:space="preserve"> (y/y v %, reálně*, levá osa)</w:t>
            </w:r>
            <w:r w:rsidRPr="00A557BF">
              <w:rPr>
                <w:b/>
              </w:rPr>
              <w:t>, indikátor důvěry spotřebitelů</w:t>
            </w:r>
            <w:r w:rsidRPr="00A557BF">
              <w:t xml:space="preserve"> (2005=100, pravá osa)</w:t>
            </w:r>
          </w:p>
        </w:tc>
      </w:tr>
      <w:tr w:rsidR="00D34225" w:rsidRPr="001F1756" w:rsidTr="008C41F7">
        <w:tc>
          <w:tcPr>
            <w:tcW w:w="2499" w:type="pct"/>
            <w:gridSpan w:val="2"/>
          </w:tcPr>
          <w:p w:rsidR="00D34225" w:rsidRPr="001F1756" w:rsidRDefault="002708BC" w:rsidP="008C41F7">
            <w:pPr>
              <w:pStyle w:val="Textpoznpodarou"/>
              <w:jc w:val="both"/>
              <w:rPr>
                <w:color w:val="000000" w:themeColor="text1"/>
              </w:rPr>
            </w:pPr>
            <w:r w:rsidRPr="006D7CCA">
              <w:rPr>
                <w:noProof/>
                <w:color w:val="000000" w:themeColor="text1"/>
              </w:rPr>
              <w:pict>
                <v:shape id="_x0000_i1031" type="#_x0000_t75" style="width:237pt;height:186pt;visibility:visible;mso-wrap-style:square">
                  <v:imagedata r:id="rId14" o:title=""/>
                </v:shape>
              </w:pict>
            </w:r>
          </w:p>
        </w:tc>
        <w:tc>
          <w:tcPr>
            <w:tcW w:w="2501" w:type="pct"/>
            <w:gridSpan w:val="5"/>
          </w:tcPr>
          <w:p w:rsidR="00D34225" w:rsidRPr="001F1756" w:rsidRDefault="002708BC" w:rsidP="008C41F7">
            <w:pPr>
              <w:pStyle w:val="Textpoznpodarou"/>
              <w:jc w:val="both"/>
              <w:rPr>
                <w:color w:val="000000" w:themeColor="text1"/>
              </w:rPr>
            </w:pPr>
            <w:r w:rsidRPr="006D7CCA">
              <w:rPr>
                <w:noProof/>
                <w:color w:val="000000" w:themeColor="text1"/>
              </w:rPr>
              <w:pict>
                <v:shape id="_x0000_i1032" type="#_x0000_t75" style="width:237pt;height:186pt;visibility:visible;mso-wrap-style:square">
                  <v:imagedata r:id="rId15" o:title=""/>
                </v:shape>
              </w:pict>
            </w:r>
          </w:p>
        </w:tc>
      </w:tr>
      <w:tr w:rsidR="00D34225" w:rsidRPr="001F1756" w:rsidTr="008C41F7">
        <w:tc>
          <w:tcPr>
            <w:tcW w:w="4230" w:type="pct"/>
            <w:gridSpan w:val="6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  <w:r w:rsidRPr="00A557BF">
              <w:rPr>
                <w:noProof/>
                <w:sz w:val="18"/>
                <w:szCs w:val="18"/>
              </w:rPr>
              <w:t>*Pozn.: Hrubý disponibilní důchod domácností do reálného vyjádření převeden s využitím deflátoru výdajů na konečnou spotřebu domácností.</w:t>
            </w:r>
          </w:p>
        </w:tc>
        <w:tc>
          <w:tcPr>
            <w:tcW w:w="770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>Zdroj: ČSÚ, vlastní výpočty</w:t>
            </w:r>
          </w:p>
        </w:tc>
      </w:tr>
      <w:tr w:rsidR="00D34225" w:rsidRPr="001F1756" w:rsidTr="008C41F7">
        <w:tc>
          <w:tcPr>
            <w:tcW w:w="355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lastRenderedPageBreak/>
              <w:t>Graf č. 9</w:t>
            </w:r>
          </w:p>
        </w:tc>
        <w:tc>
          <w:tcPr>
            <w:tcW w:w="2144" w:type="pct"/>
          </w:tcPr>
          <w:p w:rsidR="00F73C9E" w:rsidRDefault="00D34225" w:rsidP="008C41F7">
            <w:pPr>
              <w:pStyle w:val="Textpoznpodarou"/>
            </w:pPr>
            <w:r w:rsidRPr="00A557BF">
              <w:rPr>
                <w:b/>
              </w:rPr>
              <w:t>Struktura hrubého disponibilního důchodu domácností</w:t>
            </w:r>
          </w:p>
          <w:p w:rsidR="00D34225" w:rsidRPr="00A557BF" w:rsidRDefault="00D34225" w:rsidP="008C41F7">
            <w:pPr>
              <w:pStyle w:val="Textpoznpodarou"/>
            </w:pPr>
            <w:r w:rsidRPr="00A557BF">
              <w:t>(v mld. korun, nominálně)</w:t>
            </w:r>
          </w:p>
        </w:tc>
        <w:tc>
          <w:tcPr>
            <w:tcW w:w="576" w:type="pct"/>
            <w:gridSpan w:val="2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10</w:t>
            </w:r>
          </w:p>
        </w:tc>
        <w:tc>
          <w:tcPr>
            <w:tcW w:w="1924" w:type="pct"/>
            <w:gridSpan w:val="3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Příspěvky ke změně hrubého disponibilního důchodu domácností</w:t>
            </w:r>
            <w:r w:rsidRPr="00A557BF">
              <w:t xml:space="preserve"> (y/y v </w:t>
            </w:r>
            <w:proofErr w:type="spellStart"/>
            <w:r w:rsidRPr="00A557BF">
              <w:t>pb</w:t>
            </w:r>
            <w:proofErr w:type="spellEnd"/>
            <w:r w:rsidRPr="00A557BF">
              <w:t>., nominálně)</w:t>
            </w:r>
          </w:p>
        </w:tc>
      </w:tr>
      <w:tr w:rsidR="00D34225" w:rsidRPr="001F1756" w:rsidTr="008C41F7">
        <w:tc>
          <w:tcPr>
            <w:tcW w:w="2499" w:type="pct"/>
            <w:gridSpan w:val="2"/>
          </w:tcPr>
          <w:p w:rsidR="00D34225" w:rsidRPr="001F1756" w:rsidRDefault="002708BC" w:rsidP="008C41F7">
            <w:pPr>
              <w:pStyle w:val="Textpoznpodarou"/>
              <w:jc w:val="both"/>
              <w:rPr>
                <w:color w:val="000000" w:themeColor="text1"/>
              </w:rPr>
            </w:pPr>
            <w:r w:rsidRPr="006D7CCA">
              <w:rPr>
                <w:noProof/>
                <w:color w:val="000000" w:themeColor="text1"/>
              </w:rPr>
              <w:pict>
                <v:shape id="_x0000_i1033" type="#_x0000_t75" style="width:237.75pt;height:186pt;visibility:visible;mso-wrap-style:square">
                  <v:imagedata r:id="rId16" o:title=""/>
                </v:shape>
              </w:pict>
            </w:r>
          </w:p>
        </w:tc>
        <w:tc>
          <w:tcPr>
            <w:tcW w:w="2501" w:type="pct"/>
            <w:gridSpan w:val="5"/>
          </w:tcPr>
          <w:p w:rsidR="00D34225" w:rsidRPr="001F1756" w:rsidRDefault="002708BC" w:rsidP="008C41F7">
            <w:pPr>
              <w:pStyle w:val="Textpoznpodarou"/>
              <w:jc w:val="both"/>
              <w:rPr>
                <w:color w:val="000000" w:themeColor="text1"/>
              </w:rPr>
            </w:pPr>
            <w:r w:rsidRPr="006D7CCA">
              <w:rPr>
                <w:noProof/>
                <w:color w:val="000000" w:themeColor="text1"/>
              </w:rPr>
              <w:pict>
                <v:shape id="obrázek 7" o:spid="_x0000_i1034" type="#_x0000_t75" style="width:237pt;height:186pt;visibility:visible;mso-wrap-style:square">
                  <v:imagedata r:id="rId17" o:title=""/>
                </v:shape>
              </w:pict>
            </w:r>
          </w:p>
        </w:tc>
      </w:tr>
      <w:tr w:rsidR="00D34225" w:rsidRPr="00A557BF" w:rsidTr="008C41F7">
        <w:tc>
          <w:tcPr>
            <w:tcW w:w="3725" w:type="pct"/>
            <w:gridSpan w:val="5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</w:p>
        </w:tc>
        <w:tc>
          <w:tcPr>
            <w:tcW w:w="1275" w:type="pct"/>
            <w:gridSpan w:val="2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>Zdroj: ČSÚ, vlastní výpočty</w:t>
            </w:r>
          </w:p>
        </w:tc>
      </w:tr>
    </w:tbl>
    <w:p w:rsidR="00D34225" w:rsidRPr="00A557BF" w:rsidRDefault="00D34225" w:rsidP="00D34225">
      <w:pPr>
        <w:rPr>
          <w:szCs w:val="20"/>
        </w:rPr>
      </w:pPr>
    </w:p>
    <w:tbl>
      <w:tblPr>
        <w:tblW w:w="5000" w:type="pct"/>
        <w:tblLook w:val="00A0"/>
      </w:tblPr>
      <w:tblGrid>
        <w:gridCol w:w="2079"/>
        <w:gridCol w:w="286"/>
        <w:gridCol w:w="7489"/>
      </w:tblGrid>
      <w:tr w:rsidR="00D34225" w:rsidRPr="00A557BF" w:rsidTr="008C41F7">
        <w:tc>
          <w:tcPr>
            <w:tcW w:w="1055" w:type="pct"/>
          </w:tcPr>
          <w:p w:rsidR="00D34225" w:rsidRPr="00A557BF" w:rsidRDefault="00D34225" w:rsidP="00FE694F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Jestliže v roce 2012 výdaje na konečnou spotřebu domácností klesly hned ve třinácti zemích EU</w:t>
            </w:r>
            <w:r w:rsidR="00FE694F">
              <w:rPr>
                <w:sz w:val="16"/>
                <w:szCs w:val="16"/>
              </w:rPr>
              <w:t xml:space="preserve"> a v roce 2013 ve dvanácti</w:t>
            </w:r>
            <w:r w:rsidRPr="00A557BF">
              <w:rPr>
                <w:sz w:val="16"/>
                <w:szCs w:val="16"/>
              </w:rPr>
              <w:t xml:space="preserve">, v roce 2014 už pouze </w:t>
            </w:r>
            <w:r w:rsidR="00FE694F">
              <w:rPr>
                <w:sz w:val="16"/>
                <w:szCs w:val="16"/>
              </w:rPr>
              <w:t>v jedné</w:t>
            </w:r>
            <w:r w:rsidRPr="00A557BF">
              <w:rPr>
                <w:sz w:val="16"/>
                <w:szCs w:val="16"/>
              </w:rPr>
              <w:t>, …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Nárůst výdajů na konečnou spotřebu domácností v ČR v roce 2014 o 1,5 %, který byl umožněn opětovně rostoucími finančními zdroji a zlepšenými náladami, v rámci ostatních zemí Evropské unie nijak nevybočoval. Větší nárůst spotřeby si </w:t>
            </w:r>
            <w:r w:rsidR="00FE694F">
              <w:t>připsaly domácnosti ve čtrnácti</w:t>
            </w:r>
            <w:r w:rsidRPr="00A557BF">
              <w:t xml:space="preserve"> zemích, menší v deseti. Fakt, že</w:t>
            </w:r>
            <w:r w:rsidR="00660206">
              <w:t xml:space="preserve"> se v roce 2014 </w:t>
            </w:r>
            <w:r w:rsidRPr="00A557BF">
              <w:t>snížila</w:t>
            </w:r>
            <w:r w:rsidR="00660206">
              <w:t xml:space="preserve"> spotřeba</w:t>
            </w:r>
            <w:r w:rsidRPr="00A557BF">
              <w:t xml:space="preserve"> již jen </w:t>
            </w:r>
            <w:r w:rsidR="00FE694F">
              <w:t>v jedné unijní ekonomice</w:t>
            </w:r>
            <w:r w:rsidRPr="00A557BF">
              <w:t xml:space="preserve"> (Chorvatsko -0,7 %), když</w:t>
            </w:r>
            <w:r w:rsidR="00FE694F">
              <w:t> </w:t>
            </w:r>
            <w:r w:rsidRPr="00A557BF">
              <w:t>v roce 2012 klesala ve třinácti</w:t>
            </w:r>
            <w:r w:rsidR="003C383F">
              <w:t xml:space="preserve"> a v roce 2013</w:t>
            </w:r>
            <w:r w:rsidR="00FE694F">
              <w:t xml:space="preserve"> ve dvanácti</w:t>
            </w:r>
            <w:r w:rsidRPr="00A557BF">
              <w:t>, lze označit za zlepšení rapidní. Indikuje nejen to, že příjmová situace domácností napříč Evropskou unií se zlepšila, ale také to, že jejich očekávání – co se týče budoucího ekonomického vývoje a s ním spjaté situace na trhu práce –</w:t>
            </w:r>
            <w:r>
              <w:t xml:space="preserve"> měla</w:t>
            </w:r>
            <w:r w:rsidRPr="00A557BF">
              <w:t xml:space="preserve"> spíše pozitivní charakter.</w:t>
            </w:r>
          </w:p>
          <w:p w:rsidR="00D34225" w:rsidRPr="00A557BF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…ve čtyřech největších ekonomikách EU se dynamika spotřeby domácností zlepšila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4"/>
              </w:rPr>
            </w:pPr>
            <w:r w:rsidRPr="00A557BF">
              <w:rPr>
                <w:spacing w:val="-4"/>
              </w:rPr>
              <w:t>Ze čtyř největších ekonomik EU podle HDP narostla spotřeba domácností v roce 2014 více než v tuzemsku jen ve Velké Británii (+2,6 %). Německé (+1,1 %), francouzské (+0,6 %) a italské domácnosti (+0,3 %) byly sice opatrnější, na druhou stranu v porovnání s rokem 2013 – kdy se spotřeba v těchto zemích zvýšila jen o 0,8 % a 0,4 % a v Itálii se druhým rokem výrazně propadala (-3,9 % v roce 2012, -2,9 % v roce 2013) – byla dynam</w:t>
            </w:r>
            <w:r w:rsidR="00BF6C56">
              <w:rPr>
                <w:spacing w:val="-4"/>
              </w:rPr>
              <w:t>ika jejich spotřebních vydání</w:t>
            </w:r>
            <w:r w:rsidR="001A250D">
              <w:rPr>
                <w:spacing w:val="-4"/>
              </w:rPr>
              <w:t xml:space="preserve"> u</w:t>
            </w:r>
            <w:r w:rsidR="001E0533">
              <w:rPr>
                <w:spacing w:val="-4"/>
              </w:rPr>
              <w:t>ž</w:t>
            </w:r>
            <w:r w:rsidRPr="00A557BF">
              <w:rPr>
                <w:spacing w:val="-4"/>
              </w:rPr>
              <w:t xml:space="preserve"> příznivější.</w:t>
            </w:r>
          </w:p>
          <w:p w:rsidR="00D34225" w:rsidRPr="00A557BF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Ekonomika ČR je na spotřebě domácností závislá méně, než je běžné v jiných unijních zemích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  <w:r w:rsidRPr="00A557BF">
              <w:t>Podíl výdajů na konečnou spotřebu domácností na HDP v běžných cenách se v ČR dlouhodobě pohybuje mírně pod hranicí 50 %. V roce 2014 dosáhl 47,9 %, v rámci unijních ekonomik jednoznačně podprůměrné relace. Ukazuje to na fakt, že přestože tuzemská ekonomika je na spotřebě domácností značně závislá, v porovnání s většinou zemí EU mnohem méně. Více spoléhá na investice, což se jí může vracet v budoucnu v podobě vyšší produkční kapacity a konkurenceschopnosti produkce, ale i na zahraniční obchod.</w:t>
            </w:r>
          </w:p>
        </w:tc>
      </w:tr>
    </w:tbl>
    <w:p w:rsidR="00D34225" w:rsidRPr="00A47B64" w:rsidRDefault="00D34225" w:rsidP="00D34225"/>
    <w:p w:rsidR="00D34225" w:rsidRDefault="00D34225" w:rsidP="00435D30">
      <w:pPr>
        <w:pStyle w:val="Nadpis3"/>
        <w:numPr>
          <w:ilvl w:val="2"/>
          <w:numId w:val="3"/>
        </w:numPr>
        <w:rPr>
          <w:szCs w:val="20"/>
        </w:rPr>
      </w:pPr>
      <w:bookmarkStart w:id="4" w:name="_Toc426017653"/>
      <w:r>
        <w:t>Výdaje na konečnou spotřebu vládních institucí</w:t>
      </w:r>
      <w:bookmarkEnd w:id="4"/>
    </w:p>
    <w:tbl>
      <w:tblPr>
        <w:tblW w:w="5000" w:type="pct"/>
        <w:tblLook w:val="00A0"/>
      </w:tblPr>
      <w:tblGrid>
        <w:gridCol w:w="2079"/>
        <w:gridCol w:w="286"/>
        <w:gridCol w:w="7489"/>
      </w:tblGrid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Odklon od snahy rychle zkonsolidovat veřejné finance se projevoval v pokračujícím růstu výdajů na konečnou spotřebu vládních institucí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4"/>
              </w:rPr>
            </w:pPr>
            <w:r w:rsidRPr="00A557BF">
              <w:rPr>
                <w:spacing w:val="-4"/>
              </w:rPr>
              <w:t>Přírůstek výdajů na konečnou spotřebu vládních institucí, který se zmenšil v souvislosti se započatou konsolidací veřejných financí z +3,0 % v roce 2009 na pouhá +0,4 % v roce 2010, se v letech 2011 a 2012 transformoval dokonce do poklesů. Zatímco v roce 2011 se výdaje vládních institucí snížily o 3,0 %, v roce 2012 o další 1,8 %. Teprve až ústup od prováděných restrikcí, jehož kořeny sahají do 1. čtvrtletí 2013, se projevil v příznivější dynamice výdajů. V úhrnu za celý rok 2013 spotřební vydání vládních institu</w:t>
            </w:r>
            <w:r w:rsidR="002E1C6A">
              <w:rPr>
                <w:spacing w:val="-4"/>
              </w:rPr>
              <w:t>cí poprvé po dvou letech stoupla, zvýšila</w:t>
            </w:r>
            <w:r w:rsidRPr="00A557BF">
              <w:rPr>
                <w:spacing w:val="-4"/>
              </w:rPr>
              <w:t xml:space="preserve"> se o 2,3 %, nastolený trend přitom nebyl př</w:t>
            </w:r>
            <w:r w:rsidR="002E1C6A">
              <w:rPr>
                <w:spacing w:val="-4"/>
              </w:rPr>
              <w:t>erušen ani v roce 2014. Navýšila</w:t>
            </w:r>
            <w:r w:rsidRPr="00A557BF">
              <w:rPr>
                <w:spacing w:val="-4"/>
              </w:rPr>
              <w:t xml:space="preserve"> se o 1,8 %.</w:t>
            </w:r>
          </w:p>
          <w:p w:rsidR="00D34225" w:rsidRPr="00A557BF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Výše přírůstku spotřeby vládních institucí v posledních dvou letech v kontextu dekády vysoce nadprůměrná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Nárůst výdajů na konečnou spotřebu vládních institucí v letech 2013 a 2014 byl v kontextu celé dekády, tj. let 2005-2014 (v průměru +0,5 % za rok), vysoce nadprůměrný. Vyšší přírůstek spotřeby vládních institucí než v posledních dvou letech byl patrný jen v jednom jediném roce, a to v roce hluboké recese 2009 </w:t>
            </w:r>
            <w:r w:rsidRPr="00A557BF">
              <w:lastRenderedPageBreak/>
              <w:t>(+3,0 %). Tehdy se vládní instituce snažily skrze uvolněnou fiskální politiku, tedy i skrze nárůst výdajů na konečnou spotřebu, tlumit dopady negativních vlivů přicházejících do ČR ze zahraničí.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lastRenderedPageBreak/>
              <w:t>Nárůst výdajů na konečnou spotřebu vládních institucí byl v letech 2013 a 2014 umožněn vyššími finančními zdroji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Zatímco v roce 2009 docházelo k nárůstu výdajů na konečnou spotřebu vládních institucí v podmínkách ojedinělého a především velmi výrazného propadu finančních zdrojů (hrubý disponibilní důchod vládních institucí se nominálně snížil o 11,8 %) a tedy i za cenu značného nárůstu potřeby financování sektoru vládních institucí (deficit se prohloubil z 84,6 mld. korun v roce 2008 na 216,2 mld. korun v roce 2009), v letech 2013-2014 byl nárůst spotřeby umožněn vyššími finančními zdroji. Hrubý disponibilní důchod vládních institucí narostl o 3,4 %, respektive 1,2 % nominálně, přitom deficit se zmenšil z 157,9 mld. korun v roce 2012 na 47,2 mld. a 84,6 mld. korun v letech následujících.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 xml:space="preserve">Jak ukazují údaje v nominálním vyjádření, v úhrnu za roky 2013 a 2014 „povyskočily“ jak výdaje vládních institucí na kolektivní spotřebu, tak výdaje na spotřebu individuální 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V období konsolidace veřejných financí, tedy v letech 2010 až 2012, byly redukovány jen výdaje na kolektivní spotřebu (v úhrnu -8,1 % nominálně), tj. prostředky, které vládní instituce vynakládají na správu, obranu nebo například na bezpečnost. Výdajů na individuální spotřebu – které souvisejí například se zdravotnictvím nebo školstvím (užitek z nich mají konkrétní domácnosti) – se „škrty“ nedotkly (v úhrnu +0,9 %). Tyto trendy v letech 2013 a 2014 již dále nepokračovaly, neboť stouply jak výdaje vládních institucí na kolektivní spotřebu (v úhrnu +5,7 %), tak na spotřebu individuální (celkem +5,9 %).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Zdá se, že prioritou fiskálních autorit v EU přestávala být snaha o stabilizaci nebo zmírnění zadlužení. Zaměřily se na ekonomický růst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Restriktivní opatření na výdajové straně, jejichž cílem bylo stabilizovat (nebo dokonce zredukovat) výši dluhu vládních institucí ve vztahu k HDP a které byly v zemích EU prováděny zejména v letech 2010-2012, se postupně odbourávaly. Lze o tom usuzovat z meziročních změn výdajů na konečnou spotřebu. Zatímco v letech 2010, 2011 a 2012 počty zemí – ve kterých spotřeba vládních institucí klesala – postupně narůstaly (ze šesti v roce 2009 až na čtrnáct v roce 2012), v letech následujících docházelo k opaku. V roce 2013 se výdaje na konečnou spotřebu vládních institucí snížily už jen v deseti unijních zemích, v</w:t>
            </w:r>
            <w:r w:rsidR="00DD1A36">
              <w:t> roce 2014 dokonce pouze v sedmi</w:t>
            </w:r>
            <w:r w:rsidRPr="00A557BF">
              <w:t>. Ukazovalo se, že prioritou vládních institucí přestávala být snaha o stabilizaci nebo zmírnění zadlužení, nahrazovaly ji tendence podporovat ekonomický růst.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c>
          <w:tcPr>
            <w:tcW w:w="1055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Tři nejzadluženější země EU, co se týče poměru hrubého konsolidovaného dluhu vládních institucí k HDP, od restrikcí v roce 2014 neustoupily</w:t>
            </w:r>
          </w:p>
        </w:tc>
        <w:tc>
          <w:tcPr>
            <w:tcW w:w="145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 xml:space="preserve">Odklon od restriktivních opatření, co se týče výdajů na konečnou spotřebu vládních institucí, se v roce 2014 netýkal Řecka, Itálie a Portugalska, tedy třech nejvíce zadlužených zemí EU. Výdaje klesly ale i na Kypru, který taktéž eviduje vysoký poměr </w:t>
            </w:r>
            <w:r w:rsidR="004F7D36">
              <w:rPr>
                <w:spacing w:val="-2"/>
              </w:rPr>
              <w:t>dluhu k HDP, nebo v Chorvatsku,</w:t>
            </w:r>
            <w:r w:rsidRPr="00A557BF">
              <w:rPr>
                <w:spacing w:val="-2"/>
              </w:rPr>
              <w:t xml:space="preserve"> Slovinsku</w:t>
            </w:r>
            <w:r w:rsidR="004F7D36">
              <w:rPr>
                <w:spacing w:val="-2"/>
              </w:rPr>
              <w:t xml:space="preserve"> a Finsku</w:t>
            </w:r>
            <w:r w:rsidRPr="00A557BF">
              <w:rPr>
                <w:spacing w:val="-2"/>
              </w:rPr>
              <w:t>, jejichž míra zadlužení je co do průměru za celý hospodářský prostor EU spíše nižší.</w:t>
            </w:r>
          </w:p>
        </w:tc>
      </w:tr>
    </w:tbl>
    <w:p w:rsidR="007E770F" w:rsidRPr="00A557BF" w:rsidRDefault="007E770F" w:rsidP="00D34225">
      <w:pPr>
        <w:rPr>
          <w:sz w:val="14"/>
          <w:szCs w:val="14"/>
        </w:rPr>
      </w:pPr>
    </w:p>
    <w:tbl>
      <w:tblPr>
        <w:tblW w:w="5000" w:type="pct"/>
        <w:tblLook w:val="04A0"/>
      </w:tblPr>
      <w:tblGrid>
        <w:gridCol w:w="699"/>
        <w:gridCol w:w="4228"/>
        <w:gridCol w:w="728"/>
        <w:gridCol w:w="985"/>
        <w:gridCol w:w="3214"/>
      </w:tblGrid>
      <w:tr w:rsidR="00D34225" w:rsidRPr="00A557BF" w:rsidTr="007E770F">
        <w:trPr>
          <w:trHeight w:val="373"/>
        </w:trPr>
        <w:tc>
          <w:tcPr>
            <w:tcW w:w="354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11</w:t>
            </w:r>
          </w:p>
        </w:tc>
        <w:tc>
          <w:tcPr>
            <w:tcW w:w="2145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Výdaje na konečnou spotřebu vládních institucí</w:t>
            </w:r>
            <w:r w:rsidRPr="00A557BF">
              <w:t xml:space="preserve"> (y/y v %)</w:t>
            </w:r>
          </w:p>
        </w:tc>
        <w:tc>
          <w:tcPr>
            <w:tcW w:w="369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12</w:t>
            </w:r>
          </w:p>
        </w:tc>
        <w:tc>
          <w:tcPr>
            <w:tcW w:w="2132" w:type="pct"/>
            <w:gridSpan w:val="2"/>
          </w:tcPr>
          <w:p w:rsidR="00D34225" w:rsidRPr="00A557BF" w:rsidRDefault="00D34225" w:rsidP="008C41F7">
            <w:pPr>
              <w:pStyle w:val="Textpoznpodarou"/>
              <w:rPr>
                <w:spacing w:val="-6"/>
              </w:rPr>
            </w:pPr>
            <w:r w:rsidRPr="00A557BF">
              <w:rPr>
                <w:b/>
                <w:spacing w:val="-6"/>
              </w:rPr>
              <w:t>Výdaje na konečnou spotřebu vládních institucí v roce 2014</w:t>
            </w:r>
            <w:r w:rsidRPr="00A557BF">
              <w:rPr>
                <w:spacing w:val="-6"/>
              </w:rPr>
              <w:t xml:space="preserve"> (y/y v %, reálně)</w:t>
            </w:r>
            <w:r w:rsidRPr="00A557BF">
              <w:rPr>
                <w:b/>
                <w:spacing w:val="-6"/>
              </w:rPr>
              <w:t>,</w:t>
            </w:r>
            <w:r w:rsidRPr="00A557BF">
              <w:rPr>
                <w:spacing w:val="-6"/>
              </w:rPr>
              <w:t xml:space="preserve"> </w:t>
            </w:r>
            <w:r w:rsidRPr="00A557BF">
              <w:rPr>
                <w:b/>
                <w:spacing w:val="-6"/>
              </w:rPr>
              <w:t>poměr hrubého konsolidovaného dluhu vládních institucí k HDP v roce 2014</w:t>
            </w:r>
            <w:r w:rsidRPr="00A557BF">
              <w:rPr>
                <w:spacing w:val="-6"/>
              </w:rPr>
              <w:t xml:space="preserve"> (v %, nominálně)</w:t>
            </w:r>
          </w:p>
        </w:tc>
      </w:tr>
      <w:tr w:rsidR="00D34225" w:rsidRPr="0056182E" w:rsidTr="007E770F">
        <w:tc>
          <w:tcPr>
            <w:tcW w:w="2498" w:type="pct"/>
            <w:gridSpan w:val="2"/>
          </w:tcPr>
          <w:p w:rsidR="00D34225" w:rsidRPr="0056182E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35" type="#_x0000_t75" style="width:237pt;height:186pt;visibility:visible;mso-wrap-style:square">
                  <v:imagedata r:id="rId18" o:title=""/>
                </v:shape>
              </w:pict>
            </w:r>
          </w:p>
        </w:tc>
        <w:tc>
          <w:tcPr>
            <w:tcW w:w="2502" w:type="pct"/>
            <w:gridSpan w:val="3"/>
          </w:tcPr>
          <w:p w:rsidR="00D34225" w:rsidRPr="0056182E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4"/>
                <w:szCs w:val="14"/>
              </w:rPr>
              <w:pict>
                <v:shape id="_x0000_i1036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">
                  <v:imagedata r:id="rId19" o:title=""/>
                  <o:lock v:ext="edit" aspectratio="f"/>
                </v:shape>
              </w:pict>
            </w:r>
          </w:p>
        </w:tc>
      </w:tr>
      <w:tr w:rsidR="00D34225" w:rsidRPr="0002083E" w:rsidTr="007E770F">
        <w:tc>
          <w:tcPr>
            <w:tcW w:w="3368" w:type="pct"/>
            <w:gridSpan w:val="4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</w:p>
        </w:tc>
        <w:tc>
          <w:tcPr>
            <w:tcW w:w="1632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 xml:space="preserve">Zdroj: ČSÚ, </w:t>
            </w:r>
            <w:proofErr w:type="spellStart"/>
            <w:r w:rsidRPr="00A557BF">
              <w:rPr>
                <w:sz w:val="18"/>
                <w:szCs w:val="18"/>
              </w:rPr>
              <w:t>Eurostat</w:t>
            </w:r>
            <w:proofErr w:type="spellEnd"/>
            <w:r w:rsidRPr="00A557BF">
              <w:rPr>
                <w:sz w:val="18"/>
                <w:szCs w:val="18"/>
              </w:rPr>
              <w:t>, vlastní výpočty</w:t>
            </w:r>
          </w:p>
        </w:tc>
      </w:tr>
    </w:tbl>
    <w:p w:rsidR="00D34225" w:rsidRDefault="00D34225" w:rsidP="00435D30">
      <w:pPr>
        <w:pStyle w:val="Nadpis3"/>
        <w:numPr>
          <w:ilvl w:val="2"/>
          <w:numId w:val="3"/>
        </w:numPr>
        <w:rPr>
          <w:szCs w:val="20"/>
        </w:rPr>
      </w:pPr>
      <w:bookmarkStart w:id="5" w:name="_Toc426017654"/>
      <w:r>
        <w:lastRenderedPageBreak/>
        <w:t>Tvorba hrubého fixního kapitálu</w:t>
      </w:r>
      <w:bookmarkEnd w:id="5"/>
    </w:p>
    <w:tbl>
      <w:tblPr>
        <w:tblW w:w="5000" w:type="pct"/>
        <w:tblLook w:val="00A0"/>
      </w:tblPr>
      <w:tblGrid>
        <w:gridCol w:w="2081"/>
        <w:gridCol w:w="288"/>
        <w:gridCol w:w="7485"/>
      </w:tblGrid>
      <w:tr w:rsidR="00D34225" w:rsidRPr="00A557BF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Nárůst investic v ČR v roce 2014 byl nejvyšší za posledních šest let, …</w:t>
            </w:r>
          </w:p>
        </w:tc>
        <w:tc>
          <w:tcPr>
            <w:tcW w:w="146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>Tvorba hrubého fixního kapitálu, tedy investice, narostly v tuzemsku v roce 2014 o 2,0 %. Navýšily se nejvíce od roku 2008 (+2,5 %), v porovnání se silným rokem 2007 (+13,5 %) byl jejich přírůstek ale ani ne šestinový. Dodejme však, že rok 2007 byl specifický, a to jak s ohledem na po</w:t>
            </w:r>
            <w:r w:rsidR="00ED0504">
              <w:rPr>
                <w:spacing w:val="-6"/>
              </w:rPr>
              <w:t>zitivní očekávání podniků, která</w:t>
            </w:r>
            <w:r w:rsidRPr="00A557BF">
              <w:rPr>
                <w:spacing w:val="-6"/>
              </w:rPr>
              <w:t xml:space="preserve"> se přel</w:t>
            </w:r>
            <w:r w:rsidR="00ED0504">
              <w:rPr>
                <w:spacing w:val="-6"/>
              </w:rPr>
              <w:t>évala</w:t>
            </w:r>
            <w:r w:rsidRPr="00A557BF">
              <w:rPr>
                <w:spacing w:val="-6"/>
              </w:rPr>
              <w:t xml:space="preserve"> do značného nárůstu jejich investic, tak vzhledem k vysokému růstu mezd a platů domácností, jenž se přenášel do silně dynamizující poptávky po stavbách pro bydlení, tj. po domech a bytech (zatímco v roce 2004 investice do staveb pro bydlení narostly o 4,7 % a v letech 2005 a 2006 o 6,4 %, respektive o 8,0 %, v roce 2007 o 26,2 %!).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2"/>
                <w:szCs w:val="12"/>
              </w:rPr>
            </w:pPr>
          </w:p>
        </w:tc>
      </w:tr>
      <w:tr w:rsidR="00D34225" w:rsidRPr="00A557BF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…proti roku 2008 se ale v tuzemsku investovalo stále výrazně méně. Nižší byly všechny typy investic</w:t>
            </w:r>
          </w:p>
        </w:tc>
        <w:tc>
          <w:tcPr>
            <w:tcW w:w="146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3D74B1" w:rsidRDefault="00D34225" w:rsidP="008C41F7">
            <w:pPr>
              <w:pStyle w:val="Textpoznpodarou"/>
              <w:jc w:val="both"/>
              <w:rPr>
                <w:spacing w:val="-4"/>
              </w:rPr>
            </w:pPr>
            <w:r w:rsidRPr="003D74B1">
              <w:rPr>
                <w:spacing w:val="-4"/>
              </w:rPr>
              <w:t>Přestože se investice v ČR – po mimořádně hlubokém propadu v roce 2009, dvou letech slabého oživení, které následoval stejně tak dlouhý pokles v letech 2012 a 2013 – v roce 2014 už zvýšily relativně výrazně, proti roku 2008 zaostávaly stále více než o desetinu (-11,6 %). Nižší než v tomto roce byly všechny typy investic, co se týče věcného členění tvorby hrubého fixního kapitálu, a to bez výjimky. Objem investic do ICT, st</w:t>
            </w:r>
            <w:r w:rsidR="003078E0">
              <w:rPr>
                <w:spacing w:val="-4"/>
              </w:rPr>
              <w:t>r</w:t>
            </w:r>
            <w:r w:rsidRPr="003D74B1">
              <w:rPr>
                <w:spacing w:val="-4"/>
              </w:rPr>
              <w:t>ojů a zařízení (jsou v nich zahrnuty i zbraňové systémy) byl nižší o</w:t>
            </w:r>
            <w:r>
              <w:rPr>
                <w:spacing w:val="-4"/>
              </w:rPr>
              <w:t> </w:t>
            </w:r>
            <w:r w:rsidRPr="003D74B1">
              <w:rPr>
                <w:spacing w:val="-4"/>
              </w:rPr>
              <w:t>5,2 %, dopravních prostředků a zařízení se kupovalo méně o čtvrtinu (-24,2 %). Vázla také výstavba budov a staveb (-19,3 %), obdobné platilo i pro stavby pro bydlení (-2,9 %). Pokles investic se nevyhnul ani produktům duševního vlastnictví (-5,1 %), ale ani málo významným pěstovaným biologickým zdrojům (-33,9 %).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D34225" w:rsidRPr="00A557BF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V porovnání s rokem 2013 se navýšily především investice do ICT, strojů a zařízení. Stouply ale i stavební investice a investice do dopravních prostředků a zařízení</w:t>
            </w:r>
          </w:p>
        </w:tc>
        <w:tc>
          <w:tcPr>
            <w:tcW w:w="146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Na růstu tvorby hrubého fixního kapitálu v roce 2014 o 2,0 % se podílel především opětovný optimismus podniků a expanzivní fiskální politika promítající se v intenzivnějším uvolňování prostředků na financování dříve pozastavených infrastrukturních staveb. Investice do ICT, strojů a zařízení přispěly k růstu tvorby hrubého fixního kapitálu jako celku +1,4 </w:t>
            </w:r>
            <w:proofErr w:type="spellStart"/>
            <w:r w:rsidRPr="00A557BF">
              <w:t>pb</w:t>
            </w:r>
            <w:proofErr w:type="spellEnd"/>
            <w:r w:rsidRPr="00A557BF">
              <w:t>., investice do budov a staveb +0,5 </w:t>
            </w:r>
            <w:proofErr w:type="spellStart"/>
            <w:r w:rsidRPr="00A557BF">
              <w:t>pb</w:t>
            </w:r>
            <w:proofErr w:type="spellEnd"/>
            <w:r w:rsidRPr="00A557BF">
              <w:t xml:space="preserve">. Stejně přidaly i investice do staveb pro bydlení (+0,5 </w:t>
            </w:r>
            <w:proofErr w:type="spellStart"/>
            <w:r w:rsidRPr="00A557BF">
              <w:t>pb</w:t>
            </w:r>
            <w:proofErr w:type="spellEnd"/>
            <w:r w:rsidRPr="00A557BF">
              <w:t>.). Investice do dopravních prostředků a zařízení stouply již podruhé, jejich příspěvek se ale zmenšil na +0,2 </w:t>
            </w:r>
            <w:proofErr w:type="spellStart"/>
            <w:r w:rsidRPr="00A557BF">
              <w:t>pb</w:t>
            </w:r>
            <w:proofErr w:type="spellEnd"/>
            <w:r w:rsidRPr="00A557BF">
              <w:t>. Proti roku 2013 se snížily jen investice do pěstovaných biologických zdrojů (vzhledem k jejich malému významu</w:t>
            </w:r>
            <w:r w:rsidR="00A72671">
              <w:t xml:space="preserve"> ale</w:t>
            </w:r>
            <w:r w:rsidRPr="00A557BF">
              <w:t xml:space="preserve"> růst tvo</w:t>
            </w:r>
            <w:r w:rsidR="00A72671">
              <w:t>rby hrubého fixního kapitálu</w:t>
            </w:r>
            <w:r w:rsidR="005A08BD">
              <w:t xml:space="preserve"> nijak</w:t>
            </w:r>
            <w:r w:rsidRPr="00A557BF">
              <w:t xml:space="preserve"> nebrzdily) a investice</w:t>
            </w:r>
            <w:r>
              <w:t xml:space="preserve"> do</w:t>
            </w:r>
            <w:r w:rsidRPr="00A557BF">
              <w:t xml:space="preserve"> produktů duševního vlastnictví (-0,6 </w:t>
            </w:r>
            <w:proofErr w:type="spellStart"/>
            <w:r w:rsidRPr="00A557BF">
              <w:t>pb</w:t>
            </w:r>
            <w:proofErr w:type="spellEnd"/>
            <w:r w:rsidRPr="00A557BF">
              <w:t>.).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D34225" w:rsidRPr="00A557BF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 xml:space="preserve">Více investovaly – jak plyne z nominálních údajů – jen nefinanční podniky a vládní instituce </w:t>
            </w:r>
          </w:p>
        </w:tc>
        <w:tc>
          <w:tcPr>
            <w:tcW w:w="146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4"/>
              </w:rPr>
            </w:pPr>
            <w:r w:rsidRPr="00A557BF">
              <w:rPr>
                <w:spacing w:val="-4"/>
              </w:rPr>
              <w:t>V nominálním vyjádření byla v ČR v roce 2014 proinvestována částka ve výši 1 065,5</w:t>
            </w:r>
            <w:r w:rsidR="0024261F">
              <w:rPr>
                <w:spacing w:val="-4"/>
              </w:rPr>
              <w:t> </w:t>
            </w:r>
            <w:r w:rsidRPr="00A557BF">
              <w:rPr>
                <w:spacing w:val="-4"/>
              </w:rPr>
              <w:t>mld. korun. Proti roku předchozímu se investice zvýšily o 40,7 mld. korun, a to jen díky nárůstu investic v sektoru nefinančních podniků (+19,7 mld. korun) a vládních institucí (+24,6 mld. korun). Zbývající sektory své investice zredukovaly.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2"/>
                <w:szCs w:val="12"/>
              </w:rPr>
            </w:pPr>
          </w:p>
        </w:tc>
      </w:tr>
      <w:tr w:rsidR="00D34225" w:rsidRPr="00A557BF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Přestože se investice domácností v nominálním vyjádření o 1,4 % snížily, je možné soudit, že jejich poptávka po stavbách pro bydlení narostla</w:t>
            </w:r>
          </w:p>
        </w:tc>
        <w:tc>
          <w:tcPr>
            <w:tcW w:w="146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A557BF" w:rsidRDefault="00D34225" w:rsidP="00EC1F4E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 xml:space="preserve">Je zde patrný rozpor mezi reálným růstem investic do staveb pro bydlení (+3,6 %) a nominálním poklesem investic sektoru domácností (-1,4 %). Lze jej vysvětlit jednak tím, že investice malých podnikatelů – které také patří mezi investice sektoru domácností – se nominálně snížily o 5,3 %, </w:t>
            </w:r>
            <w:r w:rsidR="00EC1F4E">
              <w:rPr>
                <w:spacing w:val="-6"/>
              </w:rPr>
              <w:t>jednak</w:t>
            </w:r>
            <w:r w:rsidRPr="00A557BF">
              <w:rPr>
                <w:spacing w:val="-6"/>
              </w:rPr>
              <w:t xml:space="preserve"> poklesem cen investic do staveb pro bydlení. Celkově lze tedy soudit, že investice do staveb pro bydlení ze strany domácností reálně stouply. To by korespondovalo i s nízkými sazbami z úvěrů na bydlení.</w:t>
            </w:r>
          </w:p>
        </w:tc>
      </w:tr>
    </w:tbl>
    <w:p w:rsidR="00D34225" w:rsidRPr="00A557BF" w:rsidRDefault="00D34225" w:rsidP="00D34225">
      <w:pPr>
        <w:rPr>
          <w:sz w:val="10"/>
          <w:szCs w:val="10"/>
        </w:rPr>
      </w:pPr>
    </w:p>
    <w:tbl>
      <w:tblPr>
        <w:tblW w:w="5000" w:type="pct"/>
        <w:tblLook w:val="04A0"/>
      </w:tblPr>
      <w:tblGrid>
        <w:gridCol w:w="706"/>
        <w:gridCol w:w="1375"/>
        <w:gridCol w:w="298"/>
        <w:gridCol w:w="2548"/>
        <w:gridCol w:w="737"/>
        <w:gridCol w:w="990"/>
        <w:gridCol w:w="3200"/>
      </w:tblGrid>
      <w:tr w:rsidR="00D34225" w:rsidRPr="00A557BF" w:rsidTr="008C41F7">
        <w:trPr>
          <w:trHeight w:val="373"/>
        </w:trPr>
        <w:tc>
          <w:tcPr>
            <w:tcW w:w="358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13</w:t>
            </w:r>
          </w:p>
        </w:tc>
        <w:tc>
          <w:tcPr>
            <w:tcW w:w="2143" w:type="pct"/>
            <w:gridSpan w:val="3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Tvorba hrubého fixního kapitálu podle věcného členění</w:t>
            </w:r>
            <w:r w:rsidRPr="00A557BF">
              <w:t xml:space="preserve"> (y/y v %, reálně)</w:t>
            </w:r>
          </w:p>
        </w:tc>
        <w:tc>
          <w:tcPr>
            <w:tcW w:w="373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14</w:t>
            </w:r>
          </w:p>
        </w:tc>
        <w:tc>
          <w:tcPr>
            <w:tcW w:w="2126" w:type="pct"/>
            <w:gridSpan w:val="2"/>
          </w:tcPr>
          <w:p w:rsidR="00D34225" w:rsidRPr="00A557BF" w:rsidRDefault="00D34225" w:rsidP="008C41F7">
            <w:pPr>
              <w:pStyle w:val="Textpoznpodarou"/>
              <w:rPr>
                <w:spacing w:val="-6"/>
              </w:rPr>
            </w:pPr>
            <w:r w:rsidRPr="00A557BF">
              <w:rPr>
                <w:b/>
                <w:spacing w:val="-6"/>
              </w:rPr>
              <w:t xml:space="preserve">Tvorba hrubého fixního kapitálu podle sektorového členění </w:t>
            </w:r>
            <w:r w:rsidRPr="00A557BF">
              <w:rPr>
                <w:spacing w:val="-6"/>
              </w:rPr>
              <w:t>(y/y v %, nominálně)</w:t>
            </w:r>
          </w:p>
        </w:tc>
      </w:tr>
      <w:tr w:rsidR="00D34225" w:rsidRPr="0056182E" w:rsidTr="008C41F7">
        <w:tc>
          <w:tcPr>
            <w:tcW w:w="2501" w:type="pct"/>
            <w:gridSpan w:val="4"/>
          </w:tcPr>
          <w:p w:rsidR="00D34225" w:rsidRPr="0056182E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obrázek 11" o:spid="_x0000_i1037" type="#_x0000_t75" style="width:237pt;height:187.5pt;visibility:visible;mso-wrap-style:square">
                  <v:imagedata r:id="rId20" o:title=""/>
                </v:shape>
              </w:pict>
            </w:r>
          </w:p>
        </w:tc>
        <w:tc>
          <w:tcPr>
            <w:tcW w:w="2499" w:type="pct"/>
            <w:gridSpan w:val="3"/>
          </w:tcPr>
          <w:p w:rsidR="00D34225" w:rsidRPr="0056182E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obrázek 12" o:spid="_x0000_i1038" type="#_x0000_t75" style="width:237pt;height:189.75pt;visibility:visible;mso-wrap-style:square">
                  <v:imagedata r:id="rId21" o:title=""/>
                </v:shape>
              </w:pict>
            </w:r>
          </w:p>
        </w:tc>
      </w:tr>
      <w:tr w:rsidR="00D34225" w:rsidRPr="0002083E" w:rsidTr="008C41F7">
        <w:tc>
          <w:tcPr>
            <w:tcW w:w="3376" w:type="pct"/>
            <w:gridSpan w:val="6"/>
          </w:tcPr>
          <w:p w:rsidR="00D34225" w:rsidRPr="00EF3A5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</w:p>
        </w:tc>
        <w:tc>
          <w:tcPr>
            <w:tcW w:w="1624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>Zdroj: ČSÚ</w:t>
            </w:r>
          </w:p>
        </w:tc>
      </w:tr>
      <w:tr w:rsidR="00D34225" w:rsidRPr="00A557BF" w:rsidTr="008C41F7">
        <w:tblPrEx>
          <w:tblLook w:val="00A0"/>
        </w:tblPrEx>
        <w:tc>
          <w:tcPr>
            <w:tcW w:w="1056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lastRenderedPageBreak/>
              <w:t>Investice vládních institucí, které se za roky 2010 až 2013 v úhrnu propadly o 35,2 % nominálně, v roce 2014 již o 17,4 % narostly</w:t>
            </w:r>
          </w:p>
        </w:tc>
        <w:tc>
          <w:tcPr>
            <w:tcW w:w="151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3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4"/>
              </w:rPr>
            </w:pPr>
            <w:r w:rsidRPr="00A557BF">
              <w:rPr>
                <w:spacing w:val="-4"/>
              </w:rPr>
              <w:t>Konsolidace veřejných financí, k</w:t>
            </w:r>
            <w:r w:rsidR="002A6841">
              <w:rPr>
                <w:spacing w:val="-4"/>
              </w:rPr>
              <w:t xml:space="preserve">e které docházelo v letech 2010 až </w:t>
            </w:r>
            <w:r w:rsidRPr="00A557BF">
              <w:rPr>
                <w:spacing w:val="-4"/>
              </w:rPr>
              <w:t>2012, se nedotýkala jen spotřebních výdajů, ale také výdajů investičních. V úhrnu se za tyto tři roky investice sektoru vládních institucí propadly o 28,2 % nominálně. Že se snížily i v roce 2013 (-9,7 %), lze zřejmě do jisté míry vysvětlit tím, že velké stavby – tj. například dálnice, silnice, železnice – jeji</w:t>
            </w:r>
            <w:r w:rsidR="002A6841">
              <w:rPr>
                <w:spacing w:val="-4"/>
              </w:rPr>
              <w:t>chž výstavba byla v letech 2010</w:t>
            </w:r>
            <w:r w:rsidR="00701F7D">
              <w:rPr>
                <w:spacing w:val="-4"/>
              </w:rPr>
              <w:t>-</w:t>
            </w:r>
            <w:r w:rsidRPr="00A557BF">
              <w:rPr>
                <w:spacing w:val="-4"/>
              </w:rPr>
              <w:t>2012 utlumena</w:t>
            </w:r>
            <w:r w:rsidR="002A6841">
              <w:rPr>
                <w:spacing w:val="-4"/>
              </w:rPr>
              <w:t>,</w:t>
            </w:r>
            <w:r w:rsidRPr="00A557BF">
              <w:rPr>
                <w:spacing w:val="-4"/>
              </w:rPr>
              <w:t xml:space="preserve"> nebo dokonce zastavena, nebylo možné obnovit ihned. I z toho důvodu tak investice vládních institucí narostly až v roce 2014, a to velmi výrazně (+17,4 %).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56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 xml:space="preserve">V roce 2013 pokles investic evidovalo dvacet unijních zemí, v roce 2014 už jen </w:t>
            </w:r>
            <w:r w:rsidR="00D2282B">
              <w:rPr>
                <w:sz w:val="16"/>
                <w:szCs w:val="16"/>
              </w:rPr>
              <w:t>osm</w:t>
            </w:r>
          </w:p>
        </w:tc>
        <w:tc>
          <w:tcPr>
            <w:tcW w:w="151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3" w:type="pct"/>
            <w:gridSpan w:val="4"/>
          </w:tcPr>
          <w:p w:rsidR="00D34225" w:rsidRPr="003D74B1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3D74B1">
              <w:rPr>
                <w:spacing w:val="-2"/>
              </w:rPr>
              <w:t>Jestliže</w:t>
            </w:r>
            <w:r w:rsidR="002200D8">
              <w:rPr>
                <w:spacing w:val="-2"/>
              </w:rPr>
              <w:t xml:space="preserve"> se v roce 2013</w:t>
            </w:r>
            <w:r w:rsidRPr="003D74B1">
              <w:rPr>
                <w:spacing w:val="-2"/>
              </w:rPr>
              <w:t xml:space="preserve"> investice snížily ve dvaceti zemích EU, v roce 2014 klesly </w:t>
            </w:r>
            <w:r w:rsidR="00D2282B">
              <w:rPr>
                <w:spacing w:val="-2"/>
              </w:rPr>
              <w:t>už jen v osmi</w:t>
            </w:r>
            <w:r w:rsidRPr="003D74B1">
              <w:rPr>
                <w:spacing w:val="-2"/>
              </w:rPr>
              <w:t>. Prvním rokem se snižovaly v Estonsku, druhým ve Francii</w:t>
            </w:r>
            <w:r w:rsidR="00D2282B">
              <w:rPr>
                <w:spacing w:val="-2"/>
              </w:rPr>
              <w:t>, Rakousku</w:t>
            </w:r>
            <w:r w:rsidRPr="003D74B1">
              <w:rPr>
                <w:spacing w:val="-2"/>
              </w:rPr>
              <w:t xml:space="preserve"> a v Rumunsku, třetím ve Finsku. Šest let v řadě investiční aktivita ochabuje v Chorvatsku (v úhrnu -35,0 %), stejnou dobu a přitom velmi výrazně na</w:t>
            </w:r>
            <w:r>
              <w:rPr>
                <w:spacing w:val="-2"/>
              </w:rPr>
              <w:t> </w:t>
            </w:r>
            <w:r w:rsidRPr="003D74B1">
              <w:rPr>
                <w:spacing w:val="-2"/>
              </w:rPr>
              <w:t>Kypru (v úhrnu -60,5 %). Posedmé se investice snížily v Itálii (v úhrnu -29,7 %).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56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Zatímco Řecku a</w:t>
            </w:r>
            <w:r>
              <w:rPr>
                <w:sz w:val="16"/>
                <w:szCs w:val="16"/>
              </w:rPr>
              <w:t> </w:t>
            </w:r>
            <w:r w:rsidRPr="00A557BF">
              <w:rPr>
                <w:sz w:val="16"/>
                <w:szCs w:val="16"/>
              </w:rPr>
              <w:t>Kypru chyběly z investic roku 2008 více než tři pětiny, v Polsku o 16,2 % narostly</w:t>
            </w:r>
          </w:p>
        </w:tc>
        <w:tc>
          <w:tcPr>
            <w:tcW w:w="151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3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>Úrovně investic z roku 2008 se tuzemsku prozatím dosáhnout nepodařilo (-11,6 %), stejně na tom ale bylo i dvacet jedna dalších zemí EU. Mezi světlé výjimky se řadilo jen</w:t>
            </w:r>
            <w:r w:rsidR="00D2282B">
              <w:rPr>
                <w:spacing w:val="-2"/>
              </w:rPr>
              <w:t xml:space="preserve"> Lucembursko (+1,3 %),</w:t>
            </w:r>
            <w:r w:rsidRPr="00A557BF">
              <w:rPr>
                <w:spacing w:val="-2"/>
              </w:rPr>
              <w:t xml:space="preserve"> Německo (+3,5 %), Švédsko (+3,6 %), Velká Británie (+4,9 %), Malta (+5,3 %), především ale Polsko (+16,2 %). Nejvýrazněji za úrovní investic roku 2008 zaostávaly jihoevropské země (Řecko a Kypr více než o tři pětiny)</w:t>
            </w:r>
            <w:r>
              <w:rPr>
                <w:spacing w:val="-2"/>
              </w:rPr>
              <w:t>, ale také Rumunsko spolu s Bulharskem</w:t>
            </w:r>
            <w:r w:rsidRPr="00A557BF">
              <w:rPr>
                <w:spacing w:val="-2"/>
              </w:rPr>
              <w:t xml:space="preserve"> </w:t>
            </w:r>
            <w:r>
              <w:rPr>
                <w:spacing w:val="-2"/>
              </w:rPr>
              <w:t>nebo Irsko či</w:t>
            </w:r>
            <w:r w:rsidRPr="00A557BF">
              <w:rPr>
                <w:spacing w:val="-2"/>
              </w:rPr>
              <w:t xml:space="preserve"> Lotyšsko.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56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Míra investic v ČR opět klesla, …</w:t>
            </w:r>
          </w:p>
        </w:tc>
        <w:tc>
          <w:tcPr>
            <w:tcW w:w="151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3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>Míra investic – tedy podíl tvorby hrubého fixního kapitálu na HDP v běžných cenách – v ČR dlouhodobě klesá. Jestliže ještě v roce 2007 dosahovala 29,6 %, v roce 2013 už pouze 25,1 %. Během roku 2014 klesla vlivem vyššího nominálního růstu HDP (+4,5 %) oproti investicím (+4,0 %) na rovných 25 %.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56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 v kontextu zemí EU je však stále vysoká. Navíc, struktura investic v ČR je v porovnání s celou EU spíše příznivější, …</w:t>
            </w:r>
          </w:p>
        </w:tc>
        <w:tc>
          <w:tcPr>
            <w:tcW w:w="151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3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Česká ekonomika si i přes dlouhodobý pokl</w:t>
            </w:r>
            <w:r w:rsidR="00E459D3">
              <w:t>es míry investic během let 2008</w:t>
            </w:r>
            <w:r w:rsidR="00614460">
              <w:t>-</w:t>
            </w:r>
            <w:r w:rsidRPr="00A557BF">
              <w:t>2014 nevedla v kontextu zemí EU – co do pořadí z hlediska tohoto ukazatele – nijak špatně. Jestliže v l</w:t>
            </w:r>
            <w:r w:rsidR="00E459D3">
              <w:t>etech 2005</w:t>
            </w:r>
            <w:r w:rsidR="0019731C">
              <w:t>-</w:t>
            </w:r>
            <w:r w:rsidRPr="00A557BF">
              <w:t>2007 byla míra investic v tuzemsku pátá nejvyšší a v roce 2008 sedmá, v letech následujících přinejhorším třetí nejvyšší. V </w:t>
            </w:r>
            <w:r w:rsidR="003078E0">
              <w:t>letech</w:t>
            </w:r>
            <w:r w:rsidRPr="00A557BF">
              <w:t xml:space="preserve"> 2013 i 2014 ČR co do míry investic předehnalo jen Estonsko.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56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…převažují v nich totiž investice do ICT, strojů a zařízení. Problémem ovšem může být nižší váha investic do produktů duševního vlastnictví, kam jsou řazeny mimo jiné i výdaje na výzkum a vývoj. V ČR se do nich totiž investuje méně nejen z hlediska podílu na celkových investicích, ale také podle podílu na HDP</w:t>
            </w:r>
          </w:p>
        </w:tc>
        <w:tc>
          <w:tcPr>
            <w:tcW w:w="151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3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Struktura investic v ČR je proti průměru za celou EU značně odlišná. Zatímco investice do staveb pro bydl</w:t>
            </w:r>
            <w:r w:rsidR="00E459D3">
              <w:t>ení se v tuzemsku v letech 2010</w:t>
            </w:r>
            <w:r w:rsidR="0019731C">
              <w:t>-</w:t>
            </w:r>
            <w:r w:rsidRPr="00A557BF">
              <w:t>2014 podílely na celkových investicích v průměru 13,7 % (v běžných cenách), v EU téměř čtvrtinou (24,1 %). Méně významné byly v ČR i investice do produktů duševního vlastnictví (13,1 % vs. 18,4 %). Opačná relace byla naproti tomu patrná u budov a staveb (v ČR v průměru 29,5 %, v EU 27,6 %), dopravních prostředků a zařízení (10,1 % vs. 7,3 %), zejména ale pak u ICT, strojů a zařízení (33,3 % vs. 22,4 %). Vzhledem k tomu, že investice do staveb pr</w:t>
            </w:r>
            <w:r>
              <w:t>o bydlení lze považovat</w:t>
            </w:r>
            <w:r w:rsidRPr="00A557BF">
              <w:t xml:space="preserve"> za</w:t>
            </w:r>
            <w:r>
              <w:t xml:space="preserve"> málo </w:t>
            </w:r>
            <w:r w:rsidRPr="00A557BF">
              <w:t>produktivní a například investice do ICT, strojů a zařízení naopak za vysoce produktivní, byla struktura investic v ČR v posledních pěti letech oproti průměru za celou EU – co se týče jejich budoucího přínosu – spíše příznivější.</w:t>
            </w:r>
          </w:p>
        </w:tc>
      </w:tr>
    </w:tbl>
    <w:p w:rsidR="002C69FA" w:rsidRPr="00A557BF" w:rsidRDefault="002C69FA" w:rsidP="00D34225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705"/>
        <w:gridCol w:w="4221"/>
        <w:gridCol w:w="734"/>
        <w:gridCol w:w="987"/>
        <w:gridCol w:w="3207"/>
      </w:tblGrid>
      <w:tr w:rsidR="00D34225" w:rsidRPr="00A557BF" w:rsidTr="000353D4">
        <w:trPr>
          <w:trHeight w:val="373"/>
        </w:trPr>
        <w:tc>
          <w:tcPr>
            <w:tcW w:w="357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15</w:t>
            </w:r>
          </w:p>
        </w:tc>
        <w:tc>
          <w:tcPr>
            <w:tcW w:w="2142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Míra investic</w:t>
            </w:r>
            <w:r w:rsidRPr="00A557BF">
              <w:t xml:space="preserve"> (tvorba hrubého fixního kapitálu/HDP, v %, nominálně)</w:t>
            </w:r>
          </w:p>
        </w:tc>
        <w:tc>
          <w:tcPr>
            <w:tcW w:w="372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16</w:t>
            </w:r>
          </w:p>
        </w:tc>
        <w:tc>
          <w:tcPr>
            <w:tcW w:w="2129" w:type="pct"/>
            <w:gridSpan w:val="2"/>
          </w:tcPr>
          <w:p w:rsidR="00D34225" w:rsidRPr="00A557BF" w:rsidRDefault="00D34225" w:rsidP="008C41F7">
            <w:pPr>
              <w:pStyle w:val="Textpoznpodarou"/>
              <w:rPr>
                <w:spacing w:val="-6"/>
              </w:rPr>
            </w:pPr>
            <w:r w:rsidRPr="00A557BF">
              <w:rPr>
                <w:b/>
                <w:spacing w:val="-6"/>
              </w:rPr>
              <w:t>Tvorba hrubé</w:t>
            </w:r>
            <w:r w:rsidR="002C69FA">
              <w:rPr>
                <w:b/>
                <w:spacing w:val="-6"/>
              </w:rPr>
              <w:t>ho fixního kapitálu v roce 2014</w:t>
            </w:r>
            <w:r w:rsidRPr="00A557BF">
              <w:rPr>
                <w:b/>
                <w:spacing w:val="-6"/>
              </w:rPr>
              <w:t xml:space="preserve"> </w:t>
            </w:r>
            <w:r w:rsidRPr="00A557BF">
              <w:rPr>
                <w:spacing w:val="-6"/>
              </w:rPr>
              <w:t>(y/y v %, reálně)</w:t>
            </w:r>
          </w:p>
        </w:tc>
      </w:tr>
      <w:tr w:rsidR="00D34225" w:rsidRPr="0056182E" w:rsidTr="000353D4">
        <w:tc>
          <w:tcPr>
            <w:tcW w:w="2499" w:type="pct"/>
            <w:gridSpan w:val="2"/>
          </w:tcPr>
          <w:p w:rsidR="00D34225" w:rsidRPr="0056182E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6"/>
                <w:szCs w:val="16"/>
              </w:rPr>
              <w:pict>
                <v:shape id="_x0000_i1039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">
                  <v:imagedata r:id="rId22" o:title=""/>
                  <o:lock v:ext="edit" aspectratio="f"/>
                </v:shape>
              </w:pict>
            </w:r>
          </w:p>
        </w:tc>
        <w:tc>
          <w:tcPr>
            <w:tcW w:w="2501" w:type="pct"/>
            <w:gridSpan w:val="3"/>
          </w:tcPr>
          <w:p w:rsidR="00D34225" w:rsidRPr="0056182E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6"/>
                <w:szCs w:val="16"/>
              </w:rPr>
              <w:pict>
                <v:shape id="_x0000_i1040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">
                  <v:imagedata r:id="rId23" o:title=""/>
                  <o:lock v:ext="edit" aspectratio="f"/>
                </v:shape>
              </w:pict>
            </w:r>
          </w:p>
        </w:tc>
      </w:tr>
      <w:tr w:rsidR="00D34225" w:rsidRPr="0002083E" w:rsidTr="000353D4">
        <w:tc>
          <w:tcPr>
            <w:tcW w:w="3372" w:type="pct"/>
            <w:gridSpan w:val="4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</w:p>
        </w:tc>
        <w:tc>
          <w:tcPr>
            <w:tcW w:w="1628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 xml:space="preserve">Zdroj: </w:t>
            </w:r>
            <w:proofErr w:type="spellStart"/>
            <w:r w:rsidRPr="00A557BF">
              <w:rPr>
                <w:sz w:val="18"/>
                <w:szCs w:val="18"/>
              </w:rPr>
              <w:t>Eurostat</w:t>
            </w:r>
            <w:proofErr w:type="spellEnd"/>
            <w:r w:rsidRPr="00A557BF">
              <w:rPr>
                <w:sz w:val="18"/>
                <w:szCs w:val="18"/>
              </w:rPr>
              <w:t>, vlastní výpočty</w:t>
            </w:r>
          </w:p>
        </w:tc>
      </w:tr>
    </w:tbl>
    <w:p w:rsidR="00D34225" w:rsidRDefault="00D2282B" w:rsidP="00435D30">
      <w:pPr>
        <w:pStyle w:val="Nadpis3"/>
        <w:numPr>
          <w:ilvl w:val="2"/>
          <w:numId w:val="3"/>
        </w:numPr>
        <w:rPr>
          <w:szCs w:val="20"/>
        </w:rPr>
      </w:pPr>
      <w:bookmarkStart w:id="6" w:name="_Toc426017655"/>
      <w:r>
        <w:lastRenderedPageBreak/>
        <w:t>Změna</w:t>
      </w:r>
      <w:r w:rsidR="00D34225">
        <w:t xml:space="preserve"> zásob</w:t>
      </w:r>
      <w:bookmarkEnd w:id="6"/>
    </w:p>
    <w:tbl>
      <w:tblPr>
        <w:tblW w:w="5000" w:type="pct"/>
        <w:tblLook w:val="00A0"/>
      </w:tblPr>
      <w:tblGrid>
        <w:gridCol w:w="2081"/>
        <w:gridCol w:w="290"/>
        <w:gridCol w:w="7483"/>
      </w:tblGrid>
      <w:tr w:rsidR="00D34225" w:rsidRPr="00A92209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Hodnota „uskladněných“ zásob narostla v roce 20</w:t>
            </w:r>
            <w:r w:rsidR="00D2282B">
              <w:rPr>
                <w:sz w:val="16"/>
                <w:szCs w:val="16"/>
              </w:rPr>
              <w:t>14, jak je patrné ze změny</w:t>
            </w:r>
            <w:r w:rsidRPr="00A557BF">
              <w:rPr>
                <w:sz w:val="16"/>
                <w:szCs w:val="16"/>
              </w:rPr>
              <w:t xml:space="preserve"> zásob,</w:t>
            </w:r>
          </w:p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o 5,8 mld. korun nominálně. Z pohledu příspěvků ke změně HDP se jednalo o jev pozitivní, …</w:t>
            </w:r>
          </w:p>
        </w:tc>
        <w:tc>
          <w:tcPr>
            <w:tcW w:w="147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Default="00D34225" w:rsidP="003078E0">
            <w:pPr>
              <w:pStyle w:val="Textpoznpodarou"/>
              <w:jc w:val="both"/>
              <w:rPr>
                <w:spacing w:val="-2"/>
              </w:rPr>
            </w:pPr>
            <w:r w:rsidRPr="00303312">
              <w:rPr>
                <w:spacing w:val="-2"/>
              </w:rPr>
              <w:t>Po razantním propadu v roce 2013 (-20,9 mld. korun) se hodnota „uskladněných“ zásob v loňském roce již zvýšila (+5,8 mld.</w:t>
            </w:r>
            <w:r w:rsidR="00D2282B">
              <w:rPr>
                <w:spacing w:val="-2"/>
              </w:rPr>
              <w:t xml:space="preserve"> korun). Plyne to ze změny</w:t>
            </w:r>
            <w:r w:rsidRPr="00303312">
              <w:rPr>
                <w:spacing w:val="-2"/>
              </w:rPr>
              <w:t xml:space="preserve"> zásob v běžných cenách. Z její struktury je také patrné, že došlo především k</w:t>
            </w:r>
            <w:r>
              <w:rPr>
                <w:spacing w:val="-2"/>
              </w:rPr>
              <w:t> </w:t>
            </w:r>
            <w:r w:rsidRPr="00303312">
              <w:rPr>
                <w:spacing w:val="-2"/>
              </w:rPr>
              <w:t xml:space="preserve">navýšení zásob materiálu (+9,3 mld. korun) a nedokončené produkce (+7,9 mld. korun), méně již pak zásob hotových produktů (+4,5 mld. </w:t>
            </w:r>
            <w:r w:rsidR="003078E0">
              <w:rPr>
                <w:spacing w:val="-2"/>
              </w:rPr>
              <w:t>k</w:t>
            </w:r>
            <w:r w:rsidRPr="00303312">
              <w:rPr>
                <w:spacing w:val="-2"/>
              </w:rPr>
              <w:t>orun</w:t>
            </w:r>
            <w:r w:rsidR="003078E0">
              <w:rPr>
                <w:spacing w:val="-2"/>
              </w:rPr>
              <w:t>).</w:t>
            </w:r>
            <w:r w:rsidRPr="00303312">
              <w:rPr>
                <w:spacing w:val="-2"/>
              </w:rPr>
              <w:t xml:space="preserve"> Protisměrně, tedy ve směru snižování hodnoty zásob, působil prakticky jen pokles zásob obchodního zboží (-15,7 mld. korun). </w:t>
            </w:r>
          </w:p>
          <w:p w:rsidR="003078E0" w:rsidRPr="003078E0" w:rsidRDefault="003078E0" w:rsidP="003078E0">
            <w:pPr>
              <w:pStyle w:val="Textpoznpodarou"/>
              <w:jc w:val="both"/>
            </w:pPr>
          </w:p>
        </w:tc>
      </w:tr>
      <w:tr w:rsidR="00D34225" w:rsidRPr="00A92209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…příznivě se je</w:t>
            </w:r>
            <w:r w:rsidR="00D2282B">
              <w:rPr>
                <w:sz w:val="16"/>
                <w:szCs w:val="16"/>
              </w:rPr>
              <w:t>vila ale i struktura změny</w:t>
            </w:r>
            <w:r w:rsidRPr="00A557BF">
              <w:rPr>
                <w:sz w:val="16"/>
                <w:szCs w:val="16"/>
              </w:rPr>
              <w:t xml:space="preserve"> zásob</w:t>
            </w:r>
          </w:p>
        </w:tc>
        <w:tc>
          <w:tcPr>
            <w:tcW w:w="147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Celkově lze „naskladňování“ v roce 2014, pokud je na něj nahlíženo v kontextech, vnímat spíše pozitivně. Posílení hodnoty materiálu, ke kterému došlo poprvé po pěti letech, totiž indikuje, že očekávání výrobních podniků – co se týče budoucí poptávky – byla veskrze pozitivní. Navíc, poměrně razantní pokles hodnoty zásob v obchodním zboží, k němuž došlo prakticky poprvé od roku 2009, naznačoval, že oživení poptávky v roce 2014 bylo ze strany obchodníků neočekávané, a tedy poměrně silné.</w:t>
            </w:r>
          </w:p>
        </w:tc>
      </w:tr>
    </w:tbl>
    <w:p w:rsidR="00D34225" w:rsidRPr="003078E0" w:rsidRDefault="00D34225" w:rsidP="00D34225">
      <w:pPr>
        <w:rPr>
          <w:szCs w:val="20"/>
        </w:rPr>
      </w:pPr>
    </w:p>
    <w:p w:rsidR="00D34225" w:rsidRDefault="00D34225" w:rsidP="00435D30">
      <w:pPr>
        <w:pStyle w:val="Nadpis3"/>
        <w:numPr>
          <w:ilvl w:val="2"/>
          <w:numId w:val="3"/>
        </w:numPr>
        <w:rPr>
          <w:szCs w:val="20"/>
        </w:rPr>
      </w:pPr>
      <w:bookmarkStart w:id="7" w:name="_Toc426017656"/>
      <w:r>
        <w:t>Bilance zahraničního obchodu</w:t>
      </w:r>
      <w:bookmarkEnd w:id="7"/>
    </w:p>
    <w:tbl>
      <w:tblPr>
        <w:tblW w:w="5000" w:type="pct"/>
        <w:tblLook w:val="00A0"/>
      </w:tblPr>
      <w:tblGrid>
        <w:gridCol w:w="2081"/>
        <w:gridCol w:w="290"/>
        <w:gridCol w:w="7483"/>
      </w:tblGrid>
      <w:tr w:rsidR="00D34225" w:rsidRPr="00A557BF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Přebytek zahraničního obchodu se zbožím a službami se v roce 2014 přiblížil hranici 300 mld. korun v běžných cenách, …</w:t>
            </w:r>
          </w:p>
        </w:tc>
        <w:tc>
          <w:tcPr>
            <w:tcW w:w="147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>Bilance zahraničního obchodu se zbožím a službami v běžných cenách rostla v posledních čtyřech letech kontinuálně</w:t>
            </w:r>
            <w:r w:rsidR="00AE721E">
              <w:rPr>
                <w:spacing w:val="-2"/>
              </w:rPr>
              <w:t>.</w:t>
            </w:r>
            <w:r w:rsidRPr="00A557BF">
              <w:rPr>
                <w:rStyle w:val="Znakapoznpodarou"/>
                <w:spacing w:val="-2"/>
              </w:rPr>
              <w:footnoteReference w:id="3"/>
            </w:r>
            <w:r w:rsidRPr="00A557BF">
              <w:rPr>
                <w:spacing w:val="-2"/>
              </w:rPr>
              <w:t xml:space="preserve"> V průměru se zvyšovala o 40,9 mld. korun za rok, z toho ovšem v letech 2011, 2012 a 2013 spíše podprůměrně, v roce 2014 naopak vysoce nadprůměrně. Jestliže ještě v roce 2013 převyšoval vývoz zboží a služeb jejich dovoz o 236,2 mld. korun, v roce 2014 již o 286,3 mld. korun.</w:t>
            </w:r>
          </w:p>
          <w:p w:rsidR="00D34225" w:rsidRPr="003078E0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56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 a to výhradně díky zlepšení bilance ve zboží</w:t>
            </w:r>
          </w:p>
        </w:tc>
        <w:tc>
          <w:tcPr>
            <w:tcW w:w="147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97" w:type="pct"/>
          </w:tcPr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  <w:r w:rsidRPr="00A557BF">
              <w:t>Přebytek zahraničního obchodu se zbožím a službami se v roce 2014 přiblí</w:t>
            </w:r>
            <w:r w:rsidR="00C417ED">
              <w:t>žil hranici 300 mld. korun</w:t>
            </w:r>
            <w:r w:rsidRPr="00A557BF">
              <w:t xml:space="preserve"> pouze díky nárůstu přebytku v obchodě se zbožím, který se proti roku 2013 rozrostl o 64,8 mld. korun. Bilance zahraničního obchodu se službami se naproti tomu o 14,7 mld. korun zmenšila, a to zejména – jak ukazují údaje platební bilance – v důsledku vyššího nárůstu výdajů na cestovní ruch oproti příjmům z cestovního ruchu, ale také vlivem razantnějšího růstu výdajů na tzv. ostatní podnikatelské služby v porovnání s jejich příjmy (pa</w:t>
            </w:r>
            <w:r w:rsidR="003078E0">
              <w:t>t</w:t>
            </w:r>
            <w:r w:rsidRPr="00A557BF">
              <w:t>ří do nich např. odborné a manažer</w:t>
            </w:r>
            <w:r w:rsidR="00E94BE9">
              <w:t>ské poradenství, výzkum a vývoj</w:t>
            </w:r>
            <w:r w:rsidRPr="00A557BF">
              <w:t xml:space="preserve"> atd.).</w:t>
            </w:r>
          </w:p>
        </w:tc>
      </w:tr>
    </w:tbl>
    <w:p w:rsidR="00D34225" w:rsidRPr="003078E0" w:rsidRDefault="00D34225" w:rsidP="00D34225">
      <w:pPr>
        <w:rPr>
          <w:szCs w:val="20"/>
        </w:rPr>
      </w:pPr>
    </w:p>
    <w:tbl>
      <w:tblPr>
        <w:tblW w:w="5000" w:type="pct"/>
        <w:tblLook w:val="04A0"/>
      </w:tblPr>
      <w:tblGrid>
        <w:gridCol w:w="1112"/>
        <w:gridCol w:w="3815"/>
        <w:gridCol w:w="1136"/>
        <w:gridCol w:w="610"/>
        <w:gridCol w:w="3181"/>
      </w:tblGrid>
      <w:tr w:rsidR="00D34225" w:rsidRPr="00A557BF" w:rsidTr="008C41F7">
        <w:tc>
          <w:tcPr>
            <w:tcW w:w="564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17</w:t>
            </w:r>
          </w:p>
        </w:tc>
        <w:tc>
          <w:tcPr>
            <w:tcW w:w="1937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Bilance zahraničního obchodu</w:t>
            </w:r>
            <w:r w:rsidRPr="00A557BF">
              <w:t xml:space="preserve"> (v mld. korun, nominálně)</w:t>
            </w:r>
          </w:p>
        </w:tc>
        <w:tc>
          <w:tcPr>
            <w:tcW w:w="576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18</w:t>
            </w:r>
          </w:p>
        </w:tc>
        <w:tc>
          <w:tcPr>
            <w:tcW w:w="1923" w:type="pct"/>
            <w:gridSpan w:val="2"/>
          </w:tcPr>
          <w:p w:rsidR="00D34225" w:rsidRPr="00A557BF" w:rsidRDefault="00D81703" w:rsidP="008C41F7">
            <w:pPr>
              <w:pStyle w:val="Textpoznpodarou"/>
            </w:pPr>
            <w:r>
              <w:rPr>
                <w:b/>
              </w:rPr>
              <w:t>Zahraniční obchod se zbožím</w:t>
            </w:r>
            <w:r w:rsidR="00D34225" w:rsidRPr="00A557BF">
              <w:rPr>
                <w:b/>
              </w:rPr>
              <w:t xml:space="preserve"> </w:t>
            </w:r>
            <w:r w:rsidR="00D34225" w:rsidRPr="00A557BF">
              <w:t>(y/y v %, reálně)</w:t>
            </w:r>
          </w:p>
        </w:tc>
      </w:tr>
      <w:tr w:rsidR="00D34225" w:rsidRPr="00167AC1" w:rsidTr="008C41F7">
        <w:tc>
          <w:tcPr>
            <w:tcW w:w="2501" w:type="pct"/>
            <w:gridSpan w:val="2"/>
          </w:tcPr>
          <w:p w:rsidR="00D34225" w:rsidRPr="00167AC1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41" type="#_x0000_t75" style="width:237pt;height:186pt;visibility:visible;mso-wrap-style:square">
                  <v:imagedata r:id="rId24" o:title=""/>
                </v:shape>
              </w:pict>
            </w:r>
          </w:p>
        </w:tc>
        <w:tc>
          <w:tcPr>
            <w:tcW w:w="2499" w:type="pct"/>
            <w:gridSpan w:val="3"/>
          </w:tcPr>
          <w:p w:rsidR="00D34225" w:rsidRPr="00167AC1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42" type="#_x0000_t75" style="width:237pt;height:186pt;visibility:visible;mso-wrap-style:square">
                  <v:imagedata r:id="rId25" o:title=""/>
                </v:shape>
              </w:pict>
            </w:r>
          </w:p>
        </w:tc>
      </w:tr>
      <w:tr w:rsidR="00D34225" w:rsidRPr="00167AC1" w:rsidTr="008C41F7">
        <w:tc>
          <w:tcPr>
            <w:tcW w:w="3386" w:type="pct"/>
            <w:gridSpan w:val="4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</w:p>
        </w:tc>
        <w:tc>
          <w:tcPr>
            <w:tcW w:w="1614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>Zdroj: ČSÚ</w:t>
            </w:r>
            <w:r w:rsidR="00D81703">
              <w:rPr>
                <w:sz w:val="18"/>
                <w:szCs w:val="18"/>
              </w:rPr>
              <w:t xml:space="preserve"> (národní účty) </w:t>
            </w:r>
          </w:p>
        </w:tc>
      </w:tr>
    </w:tbl>
    <w:p w:rsidR="00D34225" w:rsidRPr="003078E0" w:rsidRDefault="00D34225" w:rsidP="00D34225">
      <w:pPr>
        <w:rPr>
          <w:szCs w:val="20"/>
        </w:rPr>
      </w:pPr>
    </w:p>
    <w:tbl>
      <w:tblPr>
        <w:tblW w:w="5000" w:type="pct"/>
        <w:tblLook w:val="00A0"/>
      </w:tblPr>
      <w:tblGrid>
        <w:gridCol w:w="2089"/>
        <w:gridCol w:w="300"/>
        <w:gridCol w:w="7465"/>
      </w:tblGrid>
      <w:tr w:rsidR="00D34225" w:rsidRPr="00A557BF" w:rsidTr="008C41F7"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Nárůst přebytku zahraničního obchodu se zbožím pod taktovkou kladných směnných relací</w:t>
            </w:r>
          </w:p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</w:p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</w:p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Jestliže se vývoz zboží z ČR v roce 2014 díky oživení poptávky v zahraničí a slabší koruně zvýšil o 9,3 % reálně, tedy výrazně dynamičtěji než v roce předchozím (+0,6 %), potom nárůst dovozu zrychlil – vlivem sílící domácí poptávky a rychle rostoucího zpracovatelského průmyslu náročného na vstupy – z +0,5 % v roce </w:t>
            </w:r>
            <w:r w:rsidR="00A66976">
              <w:t>2013 dokonce na +9,9 %. Z toho logicky</w:t>
            </w:r>
            <w:r w:rsidRPr="00A557BF">
              <w:t xml:space="preserve"> plyne, že toky zboží </w:t>
            </w:r>
            <w:r w:rsidRPr="00A557BF">
              <w:lastRenderedPageBreak/>
              <w:t xml:space="preserve">v reálném vyjádření se na tak významném nárůstu přebytku, ke kterému v roce 2014 došlo, podílet nemohly. Rozdíl mezi vývozem a dovozem zboží posílil především díky příznivému vývoji cen, tedy kladným směnným relacím. Jejich efekt byl nejsilnější v obchodě se stroji a dopravními prostředky, dále pak v obchodě s polotovary a také v obchodě </w:t>
            </w:r>
            <w:r w:rsidR="003078E0">
              <w:t xml:space="preserve">s </w:t>
            </w:r>
            <w:r w:rsidRPr="00A557BF">
              <w:t>minerálními palivy</w:t>
            </w:r>
            <w:r w:rsidR="003078E0">
              <w:t xml:space="preserve"> (</w:t>
            </w:r>
            <w:r w:rsidR="006D6AF7">
              <w:t>k příznivému vývoji cen v zahraničním obchodě s minerálními palivy došlo především vlivem poklesu ceny ropy na světových komoditních trzích</w:t>
            </w:r>
            <w:r w:rsidR="003078E0">
              <w:t>)</w:t>
            </w:r>
            <w:r w:rsidRPr="00A557BF">
              <w:t>.</w:t>
            </w:r>
          </w:p>
          <w:p w:rsidR="00D34225" w:rsidRPr="003078E0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lastRenderedPageBreak/>
              <w:t>Zatímco podle HDP se výkon české ekonomiky v roce 2014 zvýšil o 2,0 %, podle reálného hrubého domácího důchodu o 3,2 %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Příznivý vývoj cen v zahraničním obchodě se zbožím, který se promítal do dynamického nárůstu přebytku zahraničního obchodu se zbožím a potažmo do přebytku zahraničního obchodu jako celku, výrazně zlepšoval výkonnost tuzemské ekonomiky. Přestože v dynamice HDP tyto dodatečné nominální zisky, kterých ekonomika v roce 2014 dosáhla, zohledněny nebyly (HDP se vždy očišťuje od všech cenových vlivů, tedy i od vývoje cen v zahraničním obchodě), v tzv. reálném hrubém domácím důchodu již ano. Jestliže se tak výkonnost české ekonomiky v roce 2014 zvýšila podle HDP o rovná 2 %, podle reálného hrubého domácího důchodu o mnohem vyšší 3,2 %. Disproporce mezi těmito ukazateli, ve smyslu podhodnocení vývoje ekonomiky podle HDP, byla největší za posledních dvanáct let (v roce 2002 HDP +1,6 %, reálný hrubý domácí důchod +3,5 %).</w:t>
            </w:r>
          </w:p>
          <w:p w:rsidR="00D34225" w:rsidRPr="003078E0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Co do meziroční změny vývozu zboží a služeb v roce 2013 česká ekonomika</w:t>
            </w:r>
            <w:r w:rsidR="006D6AF7">
              <w:rPr>
                <w:sz w:val="16"/>
                <w:szCs w:val="16"/>
              </w:rPr>
              <w:t xml:space="preserve"> mezi zeměmi EU až dvacátá čtvrtá</w:t>
            </w:r>
            <w:r w:rsidRPr="00A557BF">
              <w:rPr>
                <w:sz w:val="16"/>
                <w:szCs w:val="16"/>
              </w:rPr>
              <w:t>, v roce 2014 ale už třetí, …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Po útlumu tempa růstu vývozu zboží a služeb z ČR v letech 2011 až 2013 (z +14,8 % v roce 2010 přes +9,3 %, +4,3 % až na nulu v roce 2013) už v roce 2014 vývoz narostl rapidně. Navýšil se o 8,9 %, po Irsku (+12,6 %) a Řecku (+9,0 %) nejdynamičtěji ze všech zemí EU. To byl výrazný rozdíl proti roku předchozímu, kdy se tuzemská ekonomika s nulovým nárůstem vývozu zboží a služeb řadila mezi unijními zeměmi </w:t>
            </w:r>
            <w:r w:rsidR="003078E0">
              <w:t xml:space="preserve">až ke konci žebříčku. </w:t>
            </w:r>
          </w:p>
          <w:p w:rsidR="00D34225" w:rsidRPr="003078E0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…přitom k markantnímu posunu v žebříčku směrem vzhůru přispěla pozitivně i slabší koruna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V porovnání s Německem (+3,8 %), vysoce výkonnou a poměrně exportně orientovanou ekonomikou, ale i v porovnání s úhrnem za země platící eurem (+3,8 %) nebo s celou Evropskou unií (+3,7 %) byl výsledek o tempu růstu vývozu zboží a služeb z ČR za rok 20</w:t>
            </w:r>
            <w:r w:rsidR="00796187">
              <w:t>14 velmi příznivý. Bylo více než</w:t>
            </w:r>
            <w:r w:rsidRPr="00A557BF">
              <w:t xml:space="preserve"> dvojnásobné, což ukazovalo, že schopnost tuzemských exportérů uplatnit se na zahraničních trzích byla v</w:t>
            </w:r>
            <w:r w:rsidR="00863374">
              <w:t> evropském kontextu nadprůměrná. J</w:t>
            </w:r>
            <w:r w:rsidRPr="00A557BF">
              <w:t>e ovšem nutno poznamenat, že na rozdí</w:t>
            </w:r>
            <w:r w:rsidR="00854865">
              <w:t>l od ostatních exportérů měli</w:t>
            </w:r>
            <w:r w:rsidRPr="00A557BF">
              <w:t xml:space="preserve"> tuzemští specifickou konkurenční výhodu. Tou byla slabší koruna.</w:t>
            </w:r>
          </w:p>
          <w:p w:rsidR="00D34225" w:rsidRPr="003078E0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rPr>
          <w:trHeight w:val="1052"/>
        </w:trPr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Silná domácí poptávka a rychle rostoucí zpracovatelský průmysl se výrazně promítly do objemu dovozu zboží a služeb. Narostl o 9,8 %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Zvyšující se domácí poptávka</w:t>
            </w:r>
            <w:r>
              <w:t>,</w:t>
            </w:r>
            <w:r w:rsidRPr="00A557BF">
              <w:t xml:space="preserve"> ale také dynamicky rostoucí produkce zpracovatelského průmyslu, se společně promítaly do vyšších nároků na dovozy zboží a služeb</w:t>
            </w:r>
            <w:r>
              <w:t xml:space="preserve"> do české ekonomiky</w:t>
            </w:r>
            <w:r w:rsidRPr="00A557BF">
              <w:t xml:space="preserve">. Po faktické stagnaci z roku 2013 (+0,1 %) posílily o 9,8 %. Jejich přírůstek byl třetí nejvyšší </w:t>
            </w:r>
            <w:r>
              <w:t>ze všech osmadvaceti zemí Evropské unie</w:t>
            </w:r>
            <w:r w:rsidRPr="00A557BF">
              <w:t>, více narostly dovozy zboží a služeb už jen do Irska (+13,2 %) a do Maďarska (+10,0 %).</w:t>
            </w:r>
          </w:p>
        </w:tc>
      </w:tr>
    </w:tbl>
    <w:p w:rsidR="003048B8" w:rsidRPr="00A557BF" w:rsidRDefault="003048B8" w:rsidP="00D34225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112"/>
        <w:gridCol w:w="2824"/>
        <w:gridCol w:w="992"/>
        <w:gridCol w:w="1139"/>
        <w:gridCol w:w="3787"/>
      </w:tblGrid>
      <w:tr w:rsidR="00D34225" w:rsidRPr="00A557BF" w:rsidTr="00D81703">
        <w:tc>
          <w:tcPr>
            <w:tcW w:w="564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19</w:t>
            </w:r>
          </w:p>
        </w:tc>
        <w:tc>
          <w:tcPr>
            <w:tcW w:w="1936" w:type="pct"/>
            <w:gridSpan w:val="2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HDP a reálný hrubý domácí důchod</w:t>
            </w:r>
            <w:r w:rsidRPr="00A557BF">
              <w:t xml:space="preserve"> (y/y v %, reálně)</w:t>
            </w:r>
          </w:p>
        </w:tc>
        <w:tc>
          <w:tcPr>
            <w:tcW w:w="578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20</w:t>
            </w:r>
          </w:p>
        </w:tc>
        <w:tc>
          <w:tcPr>
            <w:tcW w:w="1922" w:type="pct"/>
          </w:tcPr>
          <w:p w:rsidR="00675120" w:rsidRDefault="00D34225" w:rsidP="008C41F7">
            <w:pPr>
              <w:pStyle w:val="Textpoznpodarou"/>
            </w:pPr>
            <w:r w:rsidRPr="00A557BF">
              <w:rPr>
                <w:b/>
              </w:rPr>
              <w:t>Vývoz zboží a služeb</w:t>
            </w:r>
          </w:p>
          <w:p w:rsidR="00D34225" w:rsidRPr="00A557BF" w:rsidRDefault="00D34225" w:rsidP="008C41F7">
            <w:pPr>
              <w:pStyle w:val="Textpoznpodarou"/>
            </w:pPr>
            <w:r w:rsidRPr="00A557BF">
              <w:t>(y/y v %, reálně)</w:t>
            </w:r>
          </w:p>
        </w:tc>
      </w:tr>
      <w:tr w:rsidR="00D34225" w:rsidRPr="00167AC1" w:rsidTr="00D81703">
        <w:tc>
          <w:tcPr>
            <w:tcW w:w="2500" w:type="pct"/>
            <w:gridSpan w:val="3"/>
          </w:tcPr>
          <w:p w:rsidR="00D34225" w:rsidRPr="00167AC1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obrázek 4" o:spid="_x0000_i1043" type="#_x0000_t75" style="width:237pt;height:186pt;visibility:visible;mso-wrap-style:square">
                  <v:imagedata r:id="rId26" o:title=""/>
                </v:shape>
              </w:pict>
            </w:r>
          </w:p>
        </w:tc>
        <w:tc>
          <w:tcPr>
            <w:tcW w:w="2500" w:type="pct"/>
            <w:gridSpan w:val="2"/>
          </w:tcPr>
          <w:p w:rsidR="00D34225" w:rsidRPr="00167AC1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6"/>
                <w:szCs w:val="16"/>
              </w:rPr>
              <w:pict>
                <v:shape id="_x0000_i1044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">
                  <v:imagedata r:id="rId27" o:title=""/>
                  <o:lock v:ext="edit" aspectratio="f"/>
                </v:shape>
              </w:pict>
            </w:r>
          </w:p>
        </w:tc>
      </w:tr>
      <w:tr w:rsidR="00D34225" w:rsidRPr="00812C6D" w:rsidTr="00D81703">
        <w:tc>
          <w:tcPr>
            <w:tcW w:w="1997" w:type="pct"/>
            <w:gridSpan w:val="2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</w:p>
        </w:tc>
        <w:tc>
          <w:tcPr>
            <w:tcW w:w="3003" w:type="pct"/>
            <w:gridSpan w:val="3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>Zdroj: ČSÚ</w:t>
            </w:r>
            <w:r w:rsidR="00D81703">
              <w:rPr>
                <w:sz w:val="18"/>
                <w:szCs w:val="18"/>
              </w:rPr>
              <w:t xml:space="preserve"> (národní účty)</w:t>
            </w:r>
            <w:r w:rsidRPr="00A557BF">
              <w:rPr>
                <w:sz w:val="18"/>
                <w:szCs w:val="18"/>
              </w:rPr>
              <w:t xml:space="preserve">, </w:t>
            </w:r>
            <w:proofErr w:type="spellStart"/>
            <w:r w:rsidRPr="00A557BF">
              <w:rPr>
                <w:sz w:val="18"/>
                <w:szCs w:val="18"/>
              </w:rPr>
              <w:t>Eurostat</w:t>
            </w:r>
            <w:proofErr w:type="spellEnd"/>
            <w:r w:rsidR="00D81703">
              <w:rPr>
                <w:sz w:val="18"/>
                <w:szCs w:val="18"/>
              </w:rPr>
              <w:t xml:space="preserve"> (národní účty)</w:t>
            </w:r>
          </w:p>
        </w:tc>
      </w:tr>
    </w:tbl>
    <w:p w:rsidR="00D34225" w:rsidRPr="00AD306C" w:rsidRDefault="00D34225" w:rsidP="00435D30">
      <w:pPr>
        <w:pStyle w:val="Nadpis2"/>
        <w:numPr>
          <w:ilvl w:val="1"/>
          <w:numId w:val="3"/>
        </w:numPr>
      </w:pPr>
      <w:bookmarkStart w:id="8" w:name="_Toc426017657"/>
      <w:r>
        <w:lastRenderedPageBreak/>
        <w:t>Nabídková strana hrubého domácího produktu</w:t>
      </w:r>
      <w:bookmarkEnd w:id="8"/>
    </w:p>
    <w:tbl>
      <w:tblPr>
        <w:tblW w:w="5000" w:type="pct"/>
        <w:tblLook w:val="00A0"/>
      </w:tblPr>
      <w:tblGrid>
        <w:gridCol w:w="2089"/>
        <w:gridCol w:w="300"/>
        <w:gridCol w:w="7465"/>
      </w:tblGrid>
      <w:tr w:rsidR="00D34225" w:rsidRPr="00A557BF" w:rsidTr="008C41F7"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Růst výkonu ekonomiky ČR v roce 2014, měřeno hrubou přidanou hodnotou, byl výrazně vyšší než v pojetí HDP, …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117C1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117C1">
              <w:rPr>
                <w:spacing w:val="-6"/>
              </w:rPr>
              <w:t>Výkon ekonomiky České republiky – měřený hrubou přidanou hodnotou – narostl v roce 2014 o 2,7 %, tedy více než podle HDP (+2,0 %). Příčinou disproporce mezi dynamikou hrubé přidané hodnoty a HDP byl mimořádný vliv související s daňovou optimalizací obchodníků s tabákovými výrobky. V poslední</w:t>
            </w:r>
            <w:r w:rsidR="00E874D3">
              <w:rPr>
                <w:spacing w:val="-6"/>
              </w:rPr>
              <w:t>m čtvrtletí 2013, vlivem</w:t>
            </w:r>
            <w:r w:rsidRPr="00A117C1">
              <w:rPr>
                <w:spacing w:val="-6"/>
              </w:rPr>
              <w:t xml:space="preserve"> avizovaného nárůstu spotřební daně z tabákových výrobků platného od počátku roku 2014, se obchodníci těmito výrobky předzásobili. To vedlo k nárůstu vybraných spotřebních daní (</w:t>
            </w:r>
            <w:proofErr w:type="spellStart"/>
            <w:r w:rsidRPr="00A117C1">
              <w:rPr>
                <w:spacing w:val="-6"/>
              </w:rPr>
              <w:t>akruálně</w:t>
            </w:r>
            <w:proofErr w:type="spellEnd"/>
            <w:r w:rsidRPr="00A117C1">
              <w:rPr>
                <w:spacing w:val="-6"/>
              </w:rPr>
              <w:t>) a promítlo se do zlepšení salda daní z produktů a dotací na</w:t>
            </w:r>
            <w:r w:rsidR="00E874D3">
              <w:rPr>
                <w:spacing w:val="-6"/>
              </w:rPr>
              <w:t> </w:t>
            </w:r>
            <w:r w:rsidRPr="00A117C1">
              <w:rPr>
                <w:spacing w:val="-6"/>
              </w:rPr>
              <w:t xml:space="preserve">produkty. Naproti tomu v roce 2014, kdy obchodníci </w:t>
            </w:r>
            <w:r w:rsidR="00A117C1" w:rsidRPr="00A117C1">
              <w:rPr>
                <w:spacing w:val="-6"/>
              </w:rPr>
              <w:t>čerpali z předzásobení</w:t>
            </w:r>
            <w:r w:rsidRPr="00A117C1">
              <w:rPr>
                <w:spacing w:val="-6"/>
              </w:rPr>
              <w:t>, výběr spotřebních daní logicky klesl a saldo daní z produktů a dotací na produkty se zhoršilo. Jelikož do HDP je toto saldo započítáváno a do hrubé přidané hodnoty nikoliv, ve</w:t>
            </w:r>
            <w:r w:rsidR="00E874D3">
              <w:rPr>
                <w:spacing w:val="-6"/>
              </w:rPr>
              <w:t> </w:t>
            </w:r>
            <w:r w:rsidRPr="00A117C1">
              <w:rPr>
                <w:spacing w:val="-6"/>
              </w:rPr>
              <w:t>4. čtvrtletí 2013 výkon české ekonomiky měřený HDP stoupnul více než podle hrubé přidané hodnoty, avšak v úhrnu za celý rok 2014 došlo k opaku.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…což se projevilo i v tom, že zatímco podle HPH již ekonomika předkrizový rok 2008 překonala, dle HDP nikoliv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Vyšší nárůst hrubé přidané hodnoty v porovnání s HDP v roce 2014 se podílel na tom, že zatímco výkon české ekonomiky měřený hrubou přidanou hodnotou úroveň předkrizového roku 2008 již překonal (byl vyšší o 0,4 %), podle HDP nikoliv (v porovnání s rokem 2008 byl nižší 0,2 %).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rPr>
          <w:trHeight w:val="1305"/>
        </w:trPr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Přírůstek hrubé přidané hodnoty v ČR v roce 2014 mezi zeměmi EU nadprůměrný, …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117C1" w:rsidRDefault="00D34225" w:rsidP="008C41F7">
            <w:pPr>
              <w:pStyle w:val="Textpoznpodarou"/>
              <w:jc w:val="both"/>
            </w:pPr>
            <w:r w:rsidRPr="00A117C1">
              <w:t>Jestliže dle HDP posílil výkon ekonomiky ČR v roce 2014 mezi z</w:t>
            </w:r>
            <w:r w:rsidR="00A117C1" w:rsidRPr="00A117C1">
              <w:t>eměmi EU jen průměrně (14</w:t>
            </w:r>
            <w:r w:rsidRPr="00A117C1">
              <w:t>. místo), podle více vypovídající hrubé přidané hodnoty – nezkreslené nerovnoměrným výběr</w:t>
            </w:r>
            <w:r w:rsidR="00A117C1" w:rsidRPr="00A117C1">
              <w:t>em daní – narostl nadprůměrně (8</w:t>
            </w:r>
            <w:r w:rsidRPr="00A117C1">
              <w:t>. místo). Rychleji než v ČR stoupla hrubá přidaná hodnota jen v</w:t>
            </w:r>
            <w:r w:rsidR="00A117C1" w:rsidRPr="00A117C1">
              <w:t> Lucembursku (+5,5 %),</w:t>
            </w:r>
            <w:r w:rsidRPr="00A117C1">
              <w:t xml:space="preserve"> </w:t>
            </w:r>
            <w:r w:rsidR="00173485">
              <w:t>v </w:t>
            </w:r>
            <w:r w:rsidRPr="00A117C1">
              <w:t>Irsku (+4,4 %), v Maďarsku (+3,7 %), v Polsku</w:t>
            </w:r>
            <w:r w:rsidR="008D39A6">
              <w:t xml:space="preserve"> a ve Slovinsku (shodně +3,2 %)</w:t>
            </w:r>
            <w:r w:rsidRPr="00A117C1">
              <w:t xml:space="preserve"> a také ve Velké Británii (+3,0 %) a v Litvě (+2,9 %).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rPr>
          <w:trHeight w:val="900"/>
        </w:trPr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…a proti EU jako celku více než dvojnásobný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>V porovnání s úhrnem za celou EU (+1,3 %) byl růst česk</w:t>
            </w:r>
            <w:r w:rsidR="000E2A8A">
              <w:t>é ekonomiky v roce 2014 více než</w:t>
            </w:r>
            <w:r w:rsidRPr="00A557BF">
              <w:t xml:space="preserve"> dvojnásobný, proti zemím platícím eurem – kde hrubá přidaná hodnota posílila jen o 0,9 % – dokonce trojnásobný.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  <w:sz w:val="16"/>
                <w:szCs w:val="16"/>
              </w:rPr>
            </w:pPr>
          </w:p>
        </w:tc>
      </w:tr>
      <w:tr w:rsidR="00D34225" w:rsidRPr="00A557BF" w:rsidTr="008C41F7">
        <w:tc>
          <w:tcPr>
            <w:tcW w:w="1060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Efektivita přeměny vstupů na produkt, která se zlepšuje v obdobích, kdy se ekonomice nedaří, se v letech příznivých naopak zhoršuje. Potvrdil to i rok 2014</w:t>
            </w:r>
          </w:p>
        </w:tc>
        <w:tc>
          <w:tcPr>
            <w:tcW w:w="152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8" w:type="pct"/>
          </w:tcPr>
          <w:p w:rsidR="00D34225" w:rsidRPr="00A557BF" w:rsidRDefault="00D34225" w:rsidP="00A117C1">
            <w:pPr>
              <w:pStyle w:val="Textpoznpodarou"/>
              <w:jc w:val="both"/>
              <w:rPr>
                <w:spacing w:val="-2"/>
              </w:rPr>
            </w:pPr>
            <w:r w:rsidRPr="00A557BF">
              <w:rPr>
                <w:spacing w:val="-2"/>
              </w:rPr>
              <w:t xml:space="preserve">Efektivita přeměny vstupů na produkt se v roce 2014 </w:t>
            </w:r>
            <w:r w:rsidR="00A117C1">
              <w:rPr>
                <w:spacing w:val="-2"/>
              </w:rPr>
              <w:t xml:space="preserve">velmi </w:t>
            </w:r>
            <w:r w:rsidRPr="00A557BF">
              <w:rPr>
                <w:spacing w:val="-2"/>
              </w:rPr>
              <w:t xml:space="preserve">mírně zhoršila. Plyne to z podílu </w:t>
            </w:r>
            <w:proofErr w:type="spellStart"/>
            <w:r w:rsidRPr="00A557BF">
              <w:rPr>
                <w:spacing w:val="-2"/>
              </w:rPr>
              <w:t>mezispotřeby</w:t>
            </w:r>
            <w:proofErr w:type="spellEnd"/>
            <w:r w:rsidRPr="00A557BF">
              <w:rPr>
                <w:spacing w:val="-2"/>
              </w:rPr>
              <w:t xml:space="preserve"> na produkci v běžných cenách. Zatímco v roce 2013 potřebovala tuzemská ekonomika na vytvoření jedné stokoruny produkce vstupy v hodnotě 62,1 korun (například materiály, polotovary, energie, využité služby, atd.), v</w:t>
            </w:r>
            <w:r>
              <w:rPr>
                <w:spacing w:val="-2"/>
              </w:rPr>
              <w:t xml:space="preserve"> loňském</w:t>
            </w:r>
            <w:r w:rsidRPr="00A557BF">
              <w:rPr>
                <w:spacing w:val="-2"/>
              </w:rPr>
              <w:t xml:space="preserve"> roce 62,2 korun. </w:t>
            </w:r>
            <w:r w:rsidR="00A117C1">
              <w:rPr>
                <w:spacing w:val="-2"/>
              </w:rPr>
              <w:t>V zásadě se tak potvrdil</w:t>
            </w:r>
            <w:r w:rsidRPr="00A557BF">
              <w:rPr>
                <w:spacing w:val="-2"/>
              </w:rPr>
              <w:t xml:space="preserve"> obecný jev, že tlak na efektivitu přeměny vstupů na produkt – tedy tlak na úspory ve výrobním řetězci – stoupá spíše v letech, kdy se ekonomice nedaří. </w:t>
            </w:r>
            <w:r w:rsidRPr="00A557BF">
              <w:rPr>
                <w:spacing w:val="-4"/>
              </w:rPr>
              <w:t>To bylo typické již v roce 2008, kdy se česká ekonomika začala</w:t>
            </w:r>
            <w:r w:rsidR="008B0683">
              <w:rPr>
                <w:spacing w:val="-4"/>
              </w:rPr>
              <w:t xml:space="preserve"> potýkat s problémy, zejména</w:t>
            </w:r>
            <w:r w:rsidRPr="00A557BF">
              <w:rPr>
                <w:spacing w:val="-4"/>
              </w:rPr>
              <w:t xml:space="preserve"> pak</w:t>
            </w:r>
            <w:r w:rsidR="008B0683">
              <w:rPr>
                <w:spacing w:val="-4"/>
              </w:rPr>
              <w:t xml:space="preserve"> ale</w:t>
            </w:r>
            <w:r w:rsidRPr="00A557BF">
              <w:rPr>
                <w:spacing w:val="-4"/>
              </w:rPr>
              <w:t xml:space="preserve"> v roce 2009 a také v obou letech dlouhé recese 2012-2013.</w:t>
            </w:r>
            <w:r w:rsidRPr="00A557BF">
              <w:rPr>
                <w:spacing w:val="-2"/>
              </w:rPr>
              <w:t xml:space="preserve"> </w:t>
            </w:r>
            <w:r w:rsidRPr="00A557BF">
              <w:rPr>
                <w:spacing w:val="-4"/>
              </w:rPr>
              <w:t>Naopak v letech, kdy se ekonomice daří, má efektivita přeměny vstupů na produkt tendenci se zhoršovat. Projevovalo se to v období konjunktury, v l</w:t>
            </w:r>
            <w:r w:rsidR="008B0683">
              <w:rPr>
                <w:spacing w:val="-4"/>
              </w:rPr>
              <w:t>etech mírného oživení 2010-2011</w:t>
            </w:r>
            <w:r w:rsidRPr="00A557BF">
              <w:rPr>
                <w:spacing w:val="-4"/>
              </w:rPr>
              <w:t xml:space="preserve"> a také právě v roce 2014.</w:t>
            </w:r>
          </w:p>
        </w:tc>
      </w:tr>
    </w:tbl>
    <w:p w:rsidR="006038F7" w:rsidRPr="00A557BF" w:rsidRDefault="006038F7" w:rsidP="00D34225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115"/>
        <w:gridCol w:w="976"/>
        <w:gridCol w:w="304"/>
        <w:gridCol w:w="2533"/>
        <w:gridCol w:w="1138"/>
        <w:gridCol w:w="619"/>
        <w:gridCol w:w="3169"/>
      </w:tblGrid>
      <w:tr w:rsidR="00D34225" w:rsidRPr="00A557BF" w:rsidTr="008C41F7">
        <w:tc>
          <w:tcPr>
            <w:tcW w:w="566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21</w:t>
            </w:r>
          </w:p>
        </w:tc>
        <w:tc>
          <w:tcPr>
            <w:tcW w:w="1935" w:type="pct"/>
            <w:gridSpan w:val="3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Dlouhodobý vývoj hrubé přidané hodnoty v ČR</w:t>
            </w:r>
            <w:r w:rsidRPr="00A557BF">
              <w:t xml:space="preserve"> (y/y v %, reálně)</w:t>
            </w:r>
          </w:p>
        </w:tc>
        <w:tc>
          <w:tcPr>
            <w:tcW w:w="577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22</w:t>
            </w:r>
          </w:p>
        </w:tc>
        <w:tc>
          <w:tcPr>
            <w:tcW w:w="1922" w:type="pct"/>
            <w:gridSpan w:val="2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Hrubá přidaná hodnota v jednotlivých zemích EU v roce 2014*</w:t>
            </w:r>
            <w:r w:rsidRPr="00A557BF">
              <w:t xml:space="preserve"> (y/y v %, reálně)</w:t>
            </w:r>
          </w:p>
        </w:tc>
      </w:tr>
      <w:tr w:rsidR="00D34225" w:rsidRPr="00167AC1" w:rsidTr="008C41F7">
        <w:tc>
          <w:tcPr>
            <w:tcW w:w="2501" w:type="pct"/>
            <w:gridSpan w:val="4"/>
          </w:tcPr>
          <w:p w:rsidR="00D34225" w:rsidRPr="00167AC1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45" type="#_x0000_t75" style="width:237pt;height:186pt;visibility:visible;mso-wrap-style:square">
                  <v:imagedata r:id="rId28" o:title=""/>
                </v:shape>
              </w:pict>
            </w:r>
          </w:p>
        </w:tc>
        <w:tc>
          <w:tcPr>
            <w:tcW w:w="2499" w:type="pct"/>
            <w:gridSpan w:val="3"/>
          </w:tcPr>
          <w:p w:rsidR="00D34225" w:rsidRPr="00167AC1" w:rsidRDefault="002708BC" w:rsidP="008C41F7">
            <w:pPr>
              <w:pStyle w:val="Textpoznpodarou"/>
              <w:jc w:val="both"/>
            </w:pPr>
            <w:r w:rsidRPr="006D7CCA">
              <w:rPr>
                <w:noProof/>
                <w:sz w:val="16"/>
                <w:szCs w:val="16"/>
              </w:rPr>
              <w:pict>
                <v:shape id="_x0000_i1046" type="#_x0000_t75" style="width:237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">
                  <v:imagedata r:id="rId29" o:title=""/>
                  <o:lock v:ext="edit" aspectratio="f"/>
                </v:shape>
              </w:pict>
            </w:r>
          </w:p>
        </w:tc>
      </w:tr>
      <w:tr w:rsidR="00D34225" w:rsidRPr="00167AC1" w:rsidTr="008C41F7">
        <w:tc>
          <w:tcPr>
            <w:tcW w:w="3392" w:type="pct"/>
            <w:gridSpan w:val="6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  <w:r w:rsidRPr="00A557BF">
              <w:rPr>
                <w:noProof/>
                <w:sz w:val="18"/>
                <w:szCs w:val="18"/>
              </w:rPr>
              <w:t>*Pozn.</w:t>
            </w:r>
            <w:r w:rsidR="007054B9">
              <w:rPr>
                <w:noProof/>
                <w:sz w:val="18"/>
                <w:szCs w:val="18"/>
              </w:rPr>
              <w:t>: Nedostupný údaj za</w:t>
            </w:r>
            <w:r w:rsidRPr="00A557BF">
              <w:rPr>
                <w:noProof/>
                <w:sz w:val="18"/>
                <w:szCs w:val="18"/>
              </w:rPr>
              <w:t xml:space="preserve"> Maltu.</w:t>
            </w:r>
          </w:p>
        </w:tc>
        <w:tc>
          <w:tcPr>
            <w:tcW w:w="1608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 xml:space="preserve">Zdroj: ČSÚ, </w:t>
            </w:r>
            <w:proofErr w:type="spellStart"/>
            <w:r w:rsidRPr="00A557BF">
              <w:rPr>
                <w:sz w:val="18"/>
                <w:szCs w:val="18"/>
              </w:rPr>
              <w:t>Eurostat</w:t>
            </w:r>
            <w:proofErr w:type="spellEnd"/>
          </w:p>
        </w:tc>
      </w:tr>
      <w:tr w:rsidR="00D34225" w:rsidRPr="00A557BF" w:rsidTr="008C41F7">
        <w:tblPrEx>
          <w:tblLook w:val="00A0"/>
        </w:tblPrEx>
        <w:tc>
          <w:tcPr>
            <w:tcW w:w="1061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lastRenderedPageBreak/>
              <w:t>Ze tří největších odvětví ekonomiky ČR se hrubá přidaná hodnota v roce 2014 snížila jen v jednom, a to v činnostech v oblasti nemovitostí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>Jak je patrné z členění na sekce CZ-NACE, v roce 2014 se hrubá přidaná hodnota snížila pouze v šesti odvětvích. To byl pozitivní posun proti roku 2013, kdy klesla v deseti, ale i v porovnání s rokem 2012, ve kterém se snížila v</w:t>
            </w:r>
            <w:r w:rsidR="004E7AF6">
              <w:rPr>
                <w:spacing w:val="-6"/>
              </w:rPr>
              <w:t> </w:t>
            </w:r>
            <w:r w:rsidRPr="00A557BF">
              <w:rPr>
                <w:spacing w:val="-6"/>
              </w:rPr>
              <w:t>jedenácti. Pozitivním aspektem bylo i to, že ze třech největších odvětví české ekonomiky – zpracovatelského průmyslu, velkoobchodu a maloobchodu, činností v oblasti nemovitostí – se hrubá přidaná hodnota v roce 2014 snížila jen v posledně jmenovaném, a to přitom pouze mírně (-0,3 %) a bez negativního dopadu na celkovou zaměstnanost.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61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Vyšší zakázky ze zahraničí i z tuzemska zvedly hrubou přidanou hodnotu zpracovatelského průmyslu, …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  <w:gridSpan w:val="4"/>
          </w:tcPr>
          <w:p w:rsidR="00D34225" w:rsidRPr="00AB33B5" w:rsidRDefault="00D34225" w:rsidP="008C41F7">
            <w:pPr>
              <w:pStyle w:val="Textpoznpodarou"/>
              <w:jc w:val="both"/>
              <w:rPr>
                <w:spacing w:val="-2"/>
              </w:rPr>
            </w:pPr>
            <w:r w:rsidRPr="00AB33B5">
              <w:rPr>
                <w:spacing w:val="-2"/>
              </w:rPr>
              <w:t xml:space="preserve">Zpracovatelský průmysl, jehož výkon v letech 2012-2013 klesl o v úhrnu o 5,8 %, v roce 2014 již ožil (+5,5 %), a to jak vlivem rostoucích zakázek v zahraničí, tak díky zvyšujícím se zakázkám v tuzemsku. Jak ukazují podrobnější údaje, z významnějších segmentů se dařilo především chemickému průmyslu (CZ-NACE 20), výrobě počítačů, elektronických a optických přístrojů a zařízení (CZ-NACE 26), hutnímu průmyslu (CZ-NACE 24), ale také například výrobě elektrických zařízení (CZ-NACE 27). Výkon automobilového průmyslu (CZ-NACE 29) se vlivem rychlejšího růstu </w:t>
            </w:r>
            <w:proofErr w:type="spellStart"/>
            <w:r w:rsidRPr="00AB33B5">
              <w:rPr>
                <w:spacing w:val="-2"/>
              </w:rPr>
              <w:t>mezispotřeby</w:t>
            </w:r>
            <w:proofErr w:type="spellEnd"/>
            <w:r w:rsidRPr="00AB33B5">
              <w:rPr>
                <w:spacing w:val="-2"/>
              </w:rPr>
              <w:t xml:space="preserve"> než produkce o 0,7 % zmen</w:t>
            </w:r>
            <w:r w:rsidR="00223667">
              <w:rPr>
                <w:spacing w:val="-2"/>
              </w:rPr>
              <w:t>šil, avšak nominálně – kde svoji</w:t>
            </w:r>
            <w:r w:rsidRPr="00AB33B5">
              <w:rPr>
                <w:spacing w:val="-2"/>
              </w:rPr>
              <w:t xml:space="preserve"> roli sehrály i efekty slabší koruny – o 18,5 % stoupnul.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61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 silněji rostoucí spotřeba domácností ovlivnila pozitivně výkony velkoobchodu a maloobchodu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>Po zpracovatelském průmyslu druhé největší odvětví v ekonomice ČR, tedy odvětví velkoobchodu a maloobchodu, si připsalo nárůst hrubé přidané hodnoty o 3,2 %. Pozitivně se na jeho výkonu podepsala zvyšující se spotřeba domácností, ale také dynamicky narůstající tuzemská poptávka po strojních investicích. Exportně zaměřeným obchodníkům napomohlo oživení v </w:t>
            </w:r>
            <w:proofErr w:type="spellStart"/>
            <w:r w:rsidRPr="00A557BF">
              <w:rPr>
                <w:spacing w:val="-6"/>
              </w:rPr>
              <w:t>eurozóně</w:t>
            </w:r>
            <w:proofErr w:type="spellEnd"/>
            <w:r w:rsidRPr="00A557BF">
              <w:rPr>
                <w:spacing w:val="-6"/>
              </w:rPr>
              <w:t>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61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Stavebnictví vystoupilo z recese, …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4"/>
              </w:rPr>
            </w:pPr>
            <w:r w:rsidRPr="00A557BF">
              <w:rPr>
                <w:spacing w:val="-4"/>
              </w:rPr>
              <w:t xml:space="preserve">Po propadu hrubé přidané hodnoty stavebnictví v roce 2011 (-6,7 %) se pokles výkonnosti tohoto odvětví v roce následujícím zmírnil (-3,1 %), a přestože v roce 2013 už jeho výkon stoupnul (+1,2 %), za potvrzení „výstupu z recese“ se dal považovat až rok 2014 (+3,4 %). Začaly se obnovovat dříve pozastavené velké stavby financované z veřejných </w:t>
            </w:r>
            <w:r w:rsidR="00B60C8D">
              <w:rPr>
                <w:spacing w:val="-4"/>
              </w:rPr>
              <w:t>zdrojů</w:t>
            </w:r>
            <w:r w:rsidRPr="00A557BF">
              <w:rPr>
                <w:spacing w:val="-4"/>
              </w:rPr>
              <w:t>, přitom narůstající celkové příjmy domácností se spolu s jejich optimismem přenášely do vyšší poptávky po stavbách pro bydlení.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61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 navýšila se i hrubá přidaná hodnota primárního sektoru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>Vývoj v primárním sektoru byl v roce 2014 z pohledu hrubé přid</w:t>
            </w:r>
            <w:r w:rsidR="005C53CB">
              <w:rPr>
                <w:spacing w:val="-6"/>
              </w:rPr>
              <w:t>ané hodnoty poměrně příznivý. V</w:t>
            </w:r>
            <w:r w:rsidRPr="00A557BF">
              <w:rPr>
                <w:spacing w:val="-6"/>
              </w:rPr>
              <w:t xml:space="preserve"> </w:t>
            </w:r>
            <w:r w:rsidR="00B60C8D">
              <w:rPr>
                <w:spacing w:val="-6"/>
              </w:rPr>
              <w:t xml:space="preserve">odvětví zahrnujícím </w:t>
            </w:r>
            <w:r w:rsidRPr="00A557BF">
              <w:rPr>
                <w:spacing w:val="-6"/>
              </w:rPr>
              <w:t xml:space="preserve">zemědělství, lesnictví a rybářství vzrostl výkon díky dobré úrodě zemědělských plodin a potažmo i sklizni o 5,9 %, v těžbě a dobývání se navýšil o 7,4 %. Výkon těžby a dobývání stoupl poprvé za posledních osm let, důvodem přitom byl mírný nárůst produkce (díky nízké srovnávací základně +1,4 %), jenž byl doprovázen poklesem </w:t>
            </w:r>
            <w:proofErr w:type="spellStart"/>
            <w:r w:rsidRPr="00A557BF">
              <w:rPr>
                <w:spacing w:val="-6"/>
              </w:rPr>
              <w:t>mezispotřeby</w:t>
            </w:r>
            <w:proofErr w:type="spellEnd"/>
            <w:r w:rsidRPr="00A557BF">
              <w:rPr>
                <w:spacing w:val="-6"/>
              </w:rPr>
              <w:t xml:space="preserve"> (-2,9 %). V nominálním vyjádření, které je pro „těžaře“ z hlediska přerozdělení hrubé přidané hodnoty na zisky a náhrady zaměstnancům podstatnější, se výkon v této části ekonomiky nicméně o 1,5 % snížil.</w:t>
            </w:r>
          </w:p>
          <w:p w:rsidR="00D34225" w:rsidRPr="00A557BF" w:rsidRDefault="00D34225" w:rsidP="008C41F7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D34225" w:rsidRPr="00A557BF" w:rsidTr="008C41F7">
        <w:tblPrEx>
          <w:tblLook w:val="00A0"/>
        </w:tblPrEx>
        <w:tc>
          <w:tcPr>
            <w:tcW w:w="1061" w:type="pct"/>
            <w:gridSpan w:val="2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K růstu ekonomiky ČR přispěl pozitivně i soubor tří odvětví s převahou veřejného sektoru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  <w:gridSpan w:val="4"/>
          </w:tcPr>
          <w:p w:rsidR="00D34225" w:rsidRPr="00A557BF" w:rsidRDefault="00D34225" w:rsidP="008C41F7">
            <w:pPr>
              <w:pStyle w:val="Textpoznpodarou"/>
              <w:jc w:val="both"/>
              <w:rPr>
                <w:spacing w:val="-6"/>
              </w:rPr>
            </w:pPr>
            <w:r w:rsidRPr="00A557BF">
              <w:rPr>
                <w:spacing w:val="-6"/>
              </w:rPr>
              <w:t>Na růstu české ekonomiky v roce 2014 se velmi mírně podílel i soubor tří odvětví s převahou veřejného sektoru, tedy veřejná správa a obrana (vč. povinného sociálního zabezpečení), vzdělávání a odvětví zdravotní a sociální péče. V úhrnu narostla hrubá přidaná hodnota v těchto třech odvětvích o 0,3 %, tedy stejně jako v předešlém roce.</w:t>
            </w:r>
          </w:p>
        </w:tc>
      </w:tr>
    </w:tbl>
    <w:p w:rsidR="00D34225" w:rsidRPr="00A557BF" w:rsidRDefault="00D34225" w:rsidP="00D34225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124"/>
        <w:gridCol w:w="8730"/>
      </w:tblGrid>
      <w:tr w:rsidR="00D34225" w:rsidRPr="00A557BF" w:rsidTr="008C41F7">
        <w:tc>
          <w:tcPr>
            <w:tcW w:w="570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23</w:t>
            </w:r>
          </w:p>
        </w:tc>
        <w:tc>
          <w:tcPr>
            <w:tcW w:w="4430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Hrubá přidaná hodnota v jednotlivých odvětvích v roce 2013 a 2014</w:t>
            </w:r>
            <w:r w:rsidRPr="00A557BF">
              <w:t xml:space="preserve"> (y/y v %, reálně)</w:t>
            </w:r>
          </w:p>
        </w:tc>
      </w:tr>
      <w:tr w:rsidR="00D34225" w:rsidRPr="00167AC1" w:rsidTr="008C41F7">
        <w:tc>
          <w:tcPr>
            <w:tcW w:w="5000" w:type="pct"/>
            <w:gridSpan w:val="2"/>
          </w:tcPr>
          <w:p w:rsidR="00D34225" w:rsidRPr="00167AC1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47" type="#_x0000_t75" style="width:483.75pt;height:186pt;visibility:visible;mso-wrap-style:square">
                  <v:imagedata r:id="rId30" o:title=""/>
                </v:shape>
              </w:pict>
            </w:r>
          </w:p>
        </w:tc>
      </w:tr>
      <w:tr w:rsidR="00D34225" w:rsidRPr="00167AC1" w:rsidTr="008C41F7">
        <w:tc>
          <w:tcPr>
            <w:tcW w:w="5000" w:type="pct"/>
            <w:gridSpan w:val="2"/>
          </w:tcPr>
          <w:p w:rsidR="00D34225" w:rsidRPr="00853B1C" w:rsidRDefault="00D34225" w:rsidP="008C41F7">
            <w:pPr>
              <w:pStyle w:val="Textpoznpodarou"/>
              <w:jc w:val="right"/>
              <w:rPr>
                <w:noProof/>
              </w:rPr>
            </w:pPr>
            <w:r w:rsidRPr="00853B1C">
              <w:rPr>
                <w:sz w:val="18"/>
                <w:szCs w:val="18"/>
              </w:rPr>
              <w:t>Zdroj: ČSÚ</w:t>
            </w:r>
          </w:p>
        </w:tc>
      </w:tr>
    </w:tbl>
    <w:p w:rsidR="00D34225" w:rsidRPr="00AD306C" w:rsidRDefault="00D34225" w:rsidP="00435D30">
      <w:pPr>
        <w:pStyle w:val="Nadpis2"/>
        <w:numPr>
          <w:ilvl w:val="1"/>
          <w:numId w:val="3"/>
        </w:numPr>
      </w:pPr>
      <w:bookmarkStart w:id="9" w:name="_Toc426017658"/>
      <w:r>
        <w:lastRenderedPageBreak/>
        <w:t>Příspěvky ke změně hrubého domácího produktu a hrubé přidané hodnoty</w:t>
      </w:r>
      <w:bookmarkEnd w:id="9"/>
    </w:p>
    <w:tbl>
      <w:tblPr>
        <w:tblW w:w="5000" w:type="pct"/>
        <w:tblLook w:val="00A0"/>
      </w:tblPr>
      <w:tblGrid>
        <w:gridCol w:w="2091"/>
        <w:gridCol w:w="304"/>
        <w:gridCol w:w="7459"/>
      </w:tblGrid>
      <w:tr w:rsidR="00D34225" w:rsidRPr="00A557BF" w:rsidTr="008C41F7">
        <w:tc>
          <w:tcPr>
            <w:tcW w:w="1061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Růst ekonomiky byl</w:t>
            </w:r>
            <w:r w:rsidRPr="00A557BF">
              <w:rPr>
                <w:sz w:val="16"/>
                <w:szCs w:val="16"/>
              </w:rPr>
              <w:t xml:space="preserve"> v roce 2014 </w:t>
            </w:r>
            <w:r>
              <w:rPr>
                <w:sz w:val="16"/>
                <w:szCs w:val="16"/>
              </w:rPr>
              <w:t>tažen všemi hlavními složkami domácí poptávky</w:t>
            </w:r>
            <w:r w:rsidRPr="00A557BF">
              <w:rPr>
                <w:sz w:val="16"/>
                <w:szCs w:val="16"/>
              </w:rPr>
              <w:t>, …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</w:tcPr>
          <w:p w:rsidR="00D34225" w:rsidRPr="00A557BF" w:rsidRDefault="00D34225" w:rsidP="008C41F7">
            <w:pPr>
              <w:pStyle w:val="Textpoznpodarou"/>
              <w:jc w:val="both"/>
            </w:pPr>
            <w:r w:rsidRPr="00A557BF">
              <w:t xml:space="preserve">Podle rozkladu meziroční změny HDP – bez vyloučení dovozu určeného pro konečné užití – k růstu výkonu české ekonomiky v roce 2014 o rovná 2 % přispěly pozitivně všechny hlavní složky domácí poptávky, a to navíc v celku rovnoměrně. Růst měl tedy solidní základy. Výdaje na konečnou spotřebu domácností (vč. výdajů na konečnou spotřebu neziskových institucí sloužících domácnostem) se na něm podílely +0,7 </w:t>
            </w:r>
            <w:proofErr w:type="spellStart"/>
            <w:r w:rsidRPr="00A557BF">
              <w:t>pb</w:t>
            </w:r>
            <w:proofErr w:type="spellEnd"/>
            <w:r w:rsidRPr="00A557BF">
              <w:t xml:space="preserve">., výdaje na konečnou spotřebu vládních institucí k němu přispěly zhruba poloviční silou (+0,4 </w:t>
            </w:r>
            <w:proofErr w:type="spellStart"/>
            <w:r w:rsidRPr="00A557BF">
              <w:t>pb</w:t>
            </w:r>
            <w:proofErr w:type="spellEnd"/>
            <w:r w:rsidRPr="00A557BF">
              <w:t xml:space="preserve">.). </w:t>
            </w:r>
            <w:r>
              <w:t>Investice (tvorba</w:t>
            </w:r>
            <w:r w:rsidRPr="00A557BF">
              <w:t xml:space="preserve"> hrubého fixního kapitálu) přidal</w:t>
            </w:r>
            <w:r>
              <w:t>y</w:t>
            </w:r>
            <w:r w:rsidRPr="00A557BF">
              <w:t xml:space="preserve"> slušných +0,5 </w:t>
            </w:r>
            <w:proofErr w:type="spellStart"/>
            <w:r w:rsidRPr="00A557BF">
              <w:t>pb</w:t>
            </w:r>
            <w:proofErr w:type="spellEnd"/>
            <w:r w:rsidRPr="00A557BF">
              <w:t xml:space="preserve">., změna zásob (se zahrnutím čistého pořízení cenností) dokonce +0,6 </w:t>
            </w:r>
            <w:proofErr w:type="spellStart"/>
            <w:r w:rsidRPr="00A557BF">
              <w:t>pb</w:t>
            </w:r>
            <w:proofErr w:type="spellEnd"/>
            <w:r w:rsidRPr="00A557BF">
              <w:t xml:space="preserve">. Zatímco výsledek zahraničního obchodu se zbožím v reálném vyjádření se proti roku 2013 téměř nezměnil – což znamená, že růst hospodářství nezrychloval, ale ani nezpomaloval – bilance zahraničního obchodu se službami se zhoršila. Byla tak jedinou složkou HDP, co se týče strany poptávky, která působila proti jeho růstu (-0,2 </w:t>
            </w:r>
            <w:proofErr w:type="spellStart"/>
            <w:r w:rsidRPr="00A557BF">
              <w:t>pb</w:t>
            </w:r>
            <w:proofErr w:type="spellEnd"/>
            <w:r w:rsidRPr="00A557BF">
              <w:t>.).</w:t>
            </w:r>
          </w:p>
          <w:p w:rsidR="00D34225" w:rsidRPr="00A557BF" w:rsidRDefault="00D34225" w:rsidP="008C41F7">
            <w:pPr>
              <w:pStyle w:val="Textpoznpodarou"/>
              <w:jc w:val="both"/>
            </w:pPr>
          </w:p>
        </w:tc>
      </w:tr>
      <w:tr w:rsidR="00D34225" w:rsidRPr="00A557BF" w:rsidTr="008C41F7">
        <w:tc>
          <w:tcPr>
            <w:tcW w:w="1061" w:type="pct"/>
          </w:tcPr>
          <w:p w:rsidR="00D34225" w:rsidRPr="00A557BF" w:rsidRDefault="00D34225" w:rsidP="008C41F7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 z hlediska strany nabídky se na něm podílel především zpracovatelský průmysl společně se službami</w:t>
            </w:r>
          </w:p>
        </w:tc>
        <w:tc>
          <w:tcPr>
            <w:tcW w:w="154" w:type="pct"/>
          </w:tcPr>
          <w:p w:rsidR="00D34225" w:rsidRPr="00A557BF" w:rsidRDefault="00D34225" w:rsidP="008C41F7">
            <w:pPr>
              <w:pStyle w:val="Textpoznpodarou"/>
              <w:jc w:val="both"/>
            </w:pPr>
          </w:p>
        </w:tc>
        <w:tc>
          <w:tcPr>
            <w:tcW w:w="3785" w:type="pct"/>
          </w:tcPr>
          <w:p w:rsidR="00D34225" w:rsidRPr="00934A64" w:rsidRDefault="00D34225" w:rsidP="00B60C8D">
            <w:pPr>
              <w:pStyle w:val="Textpoznpodarou"/>
              <w:jc w:val="both"/>
            </w:pPr>
            <w:r w:rsidRPr="00934A64">
              <w:t xml:space="preserve">Optikou strany nabídky k růstu ekonomiky v roce 2014, tedy k navýšení celkové hrubé přidané hodnoty o 2,7 %, nejvýrazněji přispělo oživení zpracovatelského průmyslu (+1,4 </w:t>
            </w:r>
            <w:proofErr w:type="spellStart"/>
            <w:r w:rsidRPr="00934A64">
              <w:t>pb</w:t>
            </w:r>
            <w:proofErr w:type="spellEnd"/>
            <w:r w:rsidRPr="00934A64">
              <w:t>.). Silně se na jejím růstu podílel také objemově významný terciární sektor, tedy segment sdružující odvětví tržních i netržních služeb (+0,9 </w:t>
            </w:r>
            <w:proofErr w:type="spellStart"/>
            <w:r w:rsidRPr="00934A64">
              <w:t>pb</w:t>
            </w:r>
            <w:proofErr w:type="spellEnd"/>
            <w:r w:rsidRPr="00934A64">
              <w:t xml:space="preserve">.). Příspěvek ze strany stavebnictví se zvětšil z +0,1 </w:t>
            </w:r>
            <w:proofErr w:type="spellStart"/>
            <w:r w:rsidRPr="00934A64">
              <w:t>pb</w:t>
            </w:r>
            <w:proofErr w:type="spellEnd"/>
            <w:r w:rsidRPr="00934A64">
              <w:t xml:space="preserve">. v roce 2013 na +0,2 </w:t>
            </w:r>
            <w:proofErr w:type="spellStart"/>
            <w:r w:rsidRPr="00934A64">
              <w:t>pb</w:t>
            </w:r>
            <w:proofErr w:type="spellEnd"/>
            <w:r w:rsidRPr="00934A64">
              <w:t>., stejnou silou se na růstu celkové</w:t>
            </w:r>
            <w:r w:rsidR="00B60C8D">
              <w:t xml:space="preserve"> hrubé přidané hodnoty podílelo</w:t>
            </w:r>
            <w:r w:rsidRPr="00934A64">
              <w:t xml:space="preserve"> </w:t>
            </w:r>
            <w:r w:rsidR="005C53CB">
              <w:t xml:space="preserve">i </w:t>
            </w:r>
            <w:r w:rsidRPr="00934A64">
              <w:t xml:space="preserve">odvětví zahrnující zemědělství, lesnictví a rybářství. Průmyslová odvětví mimo zpracovatelský průmysl (CZ-NACE B, D, E) přidala společně +0,1 </w:t>
            </w:r>
            <w:proofErr w:type="spellStart"/>
            <w:r w:rsidRPr="00934A64">
              <w:t>pb</w:t>
            </w:r>
            <w:proofErr w:type="spellEnd"/>
            <w:r w:rsidRPr="00934A64">
              <w:t xml:space="preserve">. Na první pohled se tento příspěvek může zdát slabý, avšak s ohledem na výsledek za rok 2013 – kdy tato odvětví propadla (těžba a dobývání -19,2 %, energetika -7,4 %, zásobování vodou a činnosti související s odpady -13,8 %) a růst ekonomiky brzdila stejnou měrou jako celý zpracovatelský průmysl (-0,7 </w:t>
            </w:r>
            <w:proofErr w:type="spellStart"/>
            <w:r w:rsidRPr="00934A64">
              <w:t>pb</w:t>
            </w:r>
            <w:proofErr w:type="spellEnd"/>
            <w:r w:rsidRPr="00934A64">
              <w:t>.) – je třeba jej hodnotit spíše pozitivně.</w:t>
            </w:r>
          </w:p>
        </w:tc>
      </w:tr>
    </w:tbl>
    <w:p w:rsidR="00D34225" w:rsidRPr="00A557BF" w:rsidRDefault="00D34225" w:rsidP="00D34225"/>
    <w:tbl>
      <w:tblPr>
        <w:tblW w:w="5000" w:type="pct"/>
        <w:tblLook w:val="04A0"/>
      </w:tblPr>
      <w:tblGrid>
        <w:gridCol w:w="676"/>
        <w:gridCol w:w="4241"/>
        <w:gridCol w:w="719"/>
        <w:gridCol w:w="1052"/>
        <w:gridCol w:w="3166"/>
      </w:tblGrid>
      <w:tr w:rsidR="00D34225" w:rsidRPr="00A557BF" w:rsidTr="008C41F7">
        <w:tc>
          <w:tcPr>
            <w:tcW w:w="343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24</w:t>
            </w:r>
          </w:p>
        </w:tc>
        <w:tc>
          <w:tcPr>
            <w:tcW w:w="2155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Příspěvky výdajových složek ke změně HDP*</w:t>
            </w:r>
            <w:r w:rsidRPr="00A557BF">
              <w:t xml:space="preserve"> (y/y, reálně, příspěvky v </w:t>
            </w:r>
            <w:proofErr w:type="spellStart"/>
            <w:r w:rsidRPr="00A557BF">
              <w:t>pb</w:t>
            </w:r>
            <w:proofErr w:type="spellEnd"/>
            <w:r w:rsidRPr="00A557BF">
              <w:t>., HDP v %)</w:t>
            </w:r>
          </w:p>
        </w:tc>
        <w:tc>
          <w:tcPr>
            <w:tcW w:w="364" w:type="pct"/>
          </w:tcPr>
          <w:p w:rsidR="00D34225" w:rsidRPr="00A557BF" w:rsidRDefault="00D34225" w:rsidP="008C41F7">
            <w:pPr>
              <w:pStyle w:val="Textpoznpodarou"/>
            </w:pPr>
            <w:r w:rsidRPr="00A557BF">
              <w:t>Graf č. 25</w:t>
            </w:r>
          </w:p>
        </w:tc>
        <w:tc>
          <w:tcPr>
            <w:tcW w:w="2139" w:type="pct"/>
            <w:gridSpan w:val="2"/>
          </w:tcPr>
          <w:p w:rsidR="00D34225" w:rsidRPr="00A557BF" w:rsidRDefault="00D34225" w:rsidP="008C41F7">
            <w:pPr>
              <w:pStyle w:val="Textpoznpodarou"/>
            </w:pPr>
            <w:r w:rsidRPr="00A557BF">
              <w:rPr>
                <w:b/>
              </w:rPr>
              <w:t>Příspěvky odvětví ke změně hrubé přidané hodnoty</w:t>
            </w:r>
            <w:r w:rsidRPr="00A557BF">
              <w:t xml:space="preserve"> (y/y, reálně, příspěvky v </w:t>
            </w:r>
            <w:proofErr w:type="spellStart"/>
            <w:r w:rsidRPr="00A557BF">
              <w:t>pb</w:t>
            </w:r>
            <w:proofErr w:type="spellEnd"/>
            <w:r w:rsidRPr="00A557BF">
              <w:t>., hrubá přidaná hodnota v %)</w:t>
            </w:r>
          </w:p>
        </w:tc>
      </w:tr>
      <w:tr w:rsidR="00D34225" w:rsidRPr="00A557BF" w:rsidTr="008C41F7">
        <w:tc>
          <w:tcPr>
            <w:tcW w:w="2497" w:type="pct"/>
            <w:gridSpan w:val="2"/>
          </w:tcPr>
          <w:p w:rsidR="00D34225" w:rsidRPr="00A557BF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obrázek 5" o:spid="_x0000_i1048" type="#_x0000_t75" style="width:237pt;height:186pt;visibility:visible;mso-wrap-style:square">
                  <v:imagedata r:id="rId31" o:title=""/>
                </v:shape>
              </w:pict>
            </w:r>
          </w:p>
        </w:tc>
        <w:tc>
          <w:tcPr>
            <w:tcW w:w="2503" w:type="pct"/>
            <w:gridSpan w:val="3"/>
          </w:tcPr>
          <w:p w:rsidR="00D34225" w:rsidRPr="00A557BF" w:rsidRDefault="002708BC" w:rsidP="008C41F7">
            <w:pPr>
              <w:pStyle w:val="Textpoznpodarou"/>
              <w:jc w:val="both"/>
            </w:pPr>
            <w:r>
              <w:rPr>
                <w:noProof/>
              </w:rPr>
              <w:pict>
                <v:shape id="obrázek 6" o:spid="_x0000_i1049" type="#_x0000_t75" style="width:237.75pt;height:186pt;visibility:visible;mso-wrap-style:square">
                  <v:imagedata r:id="rId32" o:title=""/>
                </v:shape>
              </w:pict>
            </w:r>
          </w:p>
        </w:tc>
      </w:tr>
      <w:tr w:rsidR="00D34225" w:rsidRPr="00A557BF" w:rsidTr="008C41F7">
        <w:tc>
          <w:tcPr>
            <w:tcW w:w="3395" w:type="pct"/>
            <w:gridSpan w:val="4"/>
          </w:tcPr>
          <w:p w:rsidR="00D34225" w:rsidRPr="00A557BF" w:rsidRDefault="00D34225" w:rsidP="008C41F7">
            <w:pPr>
              <w:pStyle w:val="Textpoznpodarou"/>
              <w:rPr>
                <w:noProof/>
                <w:sz w:val="18"/>
                <w:szCs w:val="18"/>
              </w:rPr>
            </w:pPr>
            <w:r w:rsidRPr="00A557BF">
              <w:rPr>
                <w:noProof/>
                <w:sz w:val="18"/>
                <w:szCs w:val="18"/>
              </w:rPr>
              <w:t>*Pozn.: Příspěvky ke změně HDP bez vyloučení dovozu pro konečné užití.</w:t>
            </w:r>
          </w:p>
        </w:tc>
        <w:tc>
          <w:tcPr>
            <w:tcW w:w="1605" w:type="pct"/>
          </w:tcPr>
          <w:p w:rsidR="00D34225" w:rsidRPr="00A557BF" w:rsidRDefault="00D34225" w:rsidP="008C41F7">
            <w:pPr>
              <w:pStyle w:val="Textpoznpodarou"/>
              <w:jc w:val="right"/>
              <w:rPr>
                <w:noProof/>
              </w:rPr>
            </w:pPr>
            <w:r w:rsidRPr="00A557BF">
              <w:rPr>
                <w:sz w:val="18"/>
                <w:szCs w:val="18"/>
              </w:rPr>
              <w:t>Zdroj: ČSÚ, vlastní výpočty</w:t>
            </w:r>
          </w:p>
        </w:tc>
      </w:tr>
    </w:tbl>
    <w:p w:rsidR="00D34225" w:rsidRPr="00A557BF" w:rsidRDefault="00D34225" w:rsidP="00D34225"/>
    <w:p w:rsidR="00D34225" w:rsidRDefault="00D34225" w:rsidP="00D34225"/>
    <w:p w:rsidR="00D34225" w:rsidRDefault="00D34225" w:rsidP="00D34225"/>
    <w:p w:rsidR="00D34225" w:rsidRDefault="00D34225" w:rsidP="00D34225"/>
    <w:p w:rsidR="00D34225" w:rsidRDefault="00D34225" w:rsidP="00D34225"/>
    <w:p w:rsidR="00D34225" w:rsidRDefault="00D34225" w:rsidP="00D34225"/>
    <w:p w:rsidR="00D34225" w:rsidRDefault="00D34225" w:rsidP="00D34225"/>
    <w:p w:rsidR="003E68BC" w:rsidRDefault="003E68BC" w:rsidP="00D34225"/>
    <w:sectPr w:rsidR="003E68BC" w:rsidSect="002708BC">
      <w:headerReference w:type="even" r:id="rId33"/>
      <w:headerReference w:type="default" r:id="rId34"/>
      <w:footerReference w:type="even" r:id="rId35"/>
      <w:footerReference w:type="default" r:id="rId36"/>
      <w:type w:val="continuous"/>
      <w:pgSz w:w="11906" w:h="16838" w:code="9"/>
      <w:pgMar w:top="1134" w:right="1134" w:bottom="1418" w:left="1134" w:header="680" w:footer="68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34" w:rsidRDefault="00333234" w:rsidP="00E71A58">
      <w:r>
        <w:separator/>
      </w:r>
    </w:p>
  </w:endnote>
  <w:endnote w:type="continuationSeparator" w:id="0">
    <w:p w:rsidR="00333234" w:rsidRDefault="0033323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Default="006D7CCA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333234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708BC">
      <w:rPr>
        <w:rFonts w:ascii="Arial" w:hAnsi="Arial" w:cs="Arial"/>
        <w:noProof/>
        <w:sz w:val="16"/>
        <w:szCs w:val="16"/>
      </w:rPr>
      <w:t>18</w:t>
    </w:r>
    <w:r w:rsidRPr="005A21E0">
      <w:rPr>
        <w:rFonts w:ascii="Arial" w:hAnsi="Arial" w:cs="Arial"/>
        <w:sz w:val="16"/>
        <w:szCs w:val="16"/>
      </w:rPr>
      <w:fldChar w:fldCharType="end"/>
    </w:r>
    <w:r w:rsidR="00333234">
      <w:rPr>
        <w:rFonts w:ascii="Arial" w:hAnsi="Arial" w:cs="Arial"/>
        <w:sz w:val="16"/>
        <w:szCs w:val="16"/>
      </w:rPr>
      <w:tab/>
      <w:t>2014</w:t>
    </w:r>
    <w:r w:rsidR="00333234">
      <w:tab/>
    </w:r>
    <w:r w:rsidR="00333234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Default="006D7CC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333234">
      <w:tab/>
    </w:r>
    <w:r w:rsidR="00333234">
      <w:tab/>
    </w:r>
    <w:r w:rsidR="00333234" w:rsidRPr="00DC5B3B">
      <w:t xml:space="preserve">                              </w:t>
    </w:r>
  </w:p>
  <w:p w:rsidR="00333234" w:rsidRPr="00223E00" w:rsidRDefault="00333234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rPr>
        <w:rFonts w:ascii="Arial" w:hAnsi="Arial" w:cs="Arial"/>
        <w:sz w:val="16"/>
        <w:szCs w:val="16"/>
      </w:rPr>
      <w:tab/>
    </w:r>
    <w:r w:rsidR="006D7CCA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6D7CCA" w:rsidRPr="00223E00">
      <w:rPr>
        <w:rFonts w:ascii="Arial" w:hAnsi="Arial" w:cs="Arial"/>
        <w:sz w:val="16"/>
        <w:szCs w:val="16"/>
      </w:rPr>
      <w:fldChar w:fldCharType="separate"/>
    </w:r>
    <w:r w:rsidR="002708BC">
      <w:rPr>
        <w:rFonts w:ascii="Arial" w:hAnsi="Arial" w:cs="Arial"/>
        <w:noProof/>
        <w:sz w:val="16"/>
        <w:szCs w:val="16"/>
      </w:rPr>
      <w:t>19</w:t>
    </w:r>
    <w:r w:rsidR="006D7CCA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34" w:rsidRDefault="00333234" w:rsidP="00E71A58">
      <w:r>
        <w:separator/>
      </w:r>
    </w:p>
  </w:footnote>
  <w:footnote w:type="continuationSeparator" w:id="0">
    <w:p w:rsidR="00333234" w:rsidRDefault="00333234" w:rsidP="00E71A58">
      <w:r>
        <w:continuationSeparator/>
      </w:r>
    </w:p>
  </w:footnote>
  <w:footnote w:id="1">
    <w:p w:rsidR="00333234" w:rsidRDefault="00333234" w:rsidP="008773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557BF">
        <w:rPr>
          <w:sz w:val="16"/>
          <w:szCs w:val="16"/>
        </w:rPr>
        <w:t>Vše v reálném vyjádření, pokud není uvedeno jinak.</w:t>
      </w:r>
    </w:p>
  </w:footnote>
  <w:footnote w:id="2">
    <w:p w:rsidR="00333234" w:rsidRPr="00A557BF" w:rsidRDefault="00333234" w:rsidP="00D34225">
      <w:pPr>
        <w:pStyle w:val="Textpoznpodarou"/>
        <w:rPr>
          <w:sz w:val="16"/>
          <w:szCs w:val="16"/>
        </w:rPr>
      </w:pPr>
      <w:r w:rsidRPr="00A557BF">
        <w:rPr>
          <w:rStyle w:val="Znakapoznpodarou"/>
          <w:sz w:val="16"/>
          <w:szCs w:val="16"/>
        </w:rPr>
        <w:footnoteRef/>
      </w:r>
      <w:r w:rsidRPr="00A557BF">
        <w:rPr>
          <w:sz w:val="16"/>
          <w:szCs w:val="16"/>
        </w:rPr>
        <w:t xml:space="preserve"> Do reálného vyjádření převedeno s využitím deflátoru výdajů na konečnou spotřebu domácností.</w:t>
      </w:r>
    </w:p>
  </w:footnote>
  <w:footnote w:id="3">
    <w:p w:rsidR="00333234" w:rsidRPr="00A557BF" w:rsidRDefault="00333234" w:rsidP="00D34225">
      <w:pPr>
        <w:pStyle w:val="Textpoznpodarou"/>
        <w:rPr>
          <w:sz w:val="16"/>
          <w:szCs w:val="16"/>
        </w:rPr>
      </w:pPr>
      <w:r w:rsidRPr="00A557BF">
        <w:rPr>
          <w:rStyle w:val="Znakapoznpodarou"/>
          <w:sz w:val="16"/>
          <w:szCs w:val="16"/>
        </w:rPr>
        <w:footnoteRef/>
      </w:r>
      <w:r w:rsidRPr="00A557BF">
        <w:rPr>
          <w:sz w:val="16"/>
          <w:szCs w:val="16"/>
        </w:rPr>
        <w:t xml:space="preserve"> Údaje národní účtů, pokud není uvedeno jinak.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Pr="00F5435A" w:rsidRDefault="00333234" w:rsidP="00F5435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Tendence makroekonomického vývoje a kvality života v České republice v roce 2014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34" w:rsidRPr="00F5435A" w:rsidRDefault="00333234" w:rsidP="00F5435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Tendence makroekonomického vývoje a kvality života v České republice v roce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BEF"/>
    <w:multiLevelType w:val="hybridMultilevel"/>
    <w:tmpl w:val="3B36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62B8"/>
    <w:multiLevelType w:val="multilevel"/>
    <w:tmpl w:val="DBE686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A7172B"/>
    <w:multiLevelType w:val="multilevel"/>
    <w:tmpl w:val="DE863A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BB57F8"/>
    <w:multiLevelType w:val="multilevel"/>
    <w:tmpl w:val="2074470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2A32BF"/>
    <w:multiLevelType w:val="multilevel"/>
    <w:tmpl w:val="2C7C09C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E94"/>
    <w:rsid w:val="00003687"/>
    <w:rsid w:val="00003A9E"/>
    <w:rsid w:val="00003C43"/>
    <w:rsid w:val="000047B7"/>
    <w:rsid w:val="00004BDD"/>
    <w:rsid w:val="00006CF8"/>
    <w:rsid w:val="00007498"/>
    <w:rsid w:val="0000767A"/>
    <w:rsid w:val="000104B9"/>
    <w:rsid w:val="00010702"/>
    <w:rsid w:val="0001159B"/>
    <w:rsid w:val="000118F0"/>
    <w:rsid w:val="00011ABE"/>
    <w:rsid w:val="00014DB4"/>
    <w:rsid w:val="0001573E"/>
    <w:rsid w:val="00017315"/>
    <w:rsid w:val="000173CC"/>
    <w:rsid w:val="000178A6"/>
    <w:rsid w:val="00017F05"/>
    <w:rsid w:val="0002016D"/>
    <w:rsid w:val="000202B9"/>
    <w:rsid w:val="000202C6"/>
    <w:rsid w:val="00020946"/>
    <w:rsid w:val="000217F1"/>
    <w:rsid w:val="0002366A"/>
    <w:rsid w:val="00023777"/>
    <w:rsid w:val="00024887"/>
    <w:rsid w:val="00024CBA"/>
    <w:rsid w:val="000264DE"/>
    <w:rsid w:val="00026998"/>
    <w:rsid w:val="0003066A"/>
    <w:rsid w:val="00032838"/>
    <w:rsid w:val="00032879"/>
    <w:rsid w:val="00032C12"/>
    <w:rsid w:val="00034B90"/>
    <w:rsid w:val="000353D4"/>
    <w:rsid w:val="00035FC6"/>
    <w:rsid w:val="00036889"/>
    <w:rsid w:val="00037667"/>
    <w:rsid w:val="000411E1"/>
    <w:rsid w:val="000441DE"/>
    <w:rsid w:val="00045541"/>
    <w:rsid w:val="000458C6"/>
    <w:rsid w:val="0004694F"/>
    <w:rsid w:val="0004735A"/>
    <w:rsid w:val="0005077D"/>
    <w:rsid w:val="00050C11"/>
    <w:rsid w:val="00052172"/>
    <w:rsid w:val="000548AB"/>
    <w:rsid w:val="00054B1C"/>
    <w:rsid w:val="00055059"/>
    <w:rsid w:val="000553E4"/>
    <w:rsid w:val="00060A26"/>
    <w:rsid w:val="00061443"/>
    <w:rsid w:val="00062EC5"/>
    <w:rsid w:val="00063BCF"/>
    <w:rsid w:val="00064256"/>
    <w:rsid w:val="00064D80"/>
    <w:rsid w:val="000666E0"/>
    <w:rsid w:val="000706A4"/>
    <w:rsid w:val="000708EE"/>
    <w:rsid w:val="00072118"/>
    <w:rsid w:val="000727C7"/>
    <w:rsid w:val="00072F46"/>
    <w:rsid w:val="00073039"/>
    <w:rsid w:val="00073173"/>
    <w:rsid w:val="0007406D"/>
    <w:rsid w:val="0007602A"/>
    <w:rsid w:val="00076196"/>
    <w:rsid w:val="00076B48"/>
    <w:rsid w:val="000774C1"/>
    <w:rsid w:val="000779AC"/>
    <w:rsid w:val="0008193E"/>
    <w:rsid w:val="000821A7"/>
    <w:rsid w:val="00083803"/>
    <w:rsid w:val="000848F4"/>
    <w:rsid w:val="0008716A"/>
    <w:rsid w:val="00087634"/>
    <w:rsid w:val="00090F47"/>
    <w:rsid w:val="00091237"/>
    <w:rsid w:val="000920EC"/>
    <w:rsid w:val="00092505"/>
    <w:rsid w:val="00095ACB"/>
    <w:rsid w:val="00096B97"/>
    <w:rsid w:val="000A0F46"/>
    <w:rsid w:val="000A1183"/>
    <w:rsid w:val="000A13D1"/>
    <w:rsid w:val="000A2121"/>
    <w:rsid w:val="000A3D94"/>
    <w:rsid w:val="000A4B3E"/>
    <w:rsid w:val="000B1398"/>
    <w:rsid w:val="000B1CFE"/>
    <w:rsid w:val="000B210A"/>
    <w:rsid w:val="000B249B"/>
    <w:rsid w:val="000B3DB9"/>
    <w:rsid w:val="000B3F02"/>
    <w:rsid w:val="000B48E7"/>
    <w:rsid w:val="000B7663"/>
    <w:rsid w:val="000C0E2B"/>
    <w:rsid w:val="000C11D3"/>
    <w:rsid w:val="000C12F5"/>
    <w:rsid w:val="000C152B"/>
    <w:rsid w:val="000C3408"/>
    <w:rsid w:val="000C776C"/>
    <w:rsid w:val="000D2E41"/>
    <w:rsid w:val="000D5E7A"/>
    <w:rsid w:val="000D5FAA"/>
    <w:rsid w:val="000D65A4"/>
    <w:rsid w:val="000D6946"/>
    <w:rsid w:val="000D6AEF"/>
    <w:rsid w:val="000E0F3D"/>
    <w:rsid w:val="000E19A8"/>
    <w:rsid w:val="000E2776"/>
    <w:rsid w:val="000E2A8A"/>
    <w:rsid w:val="000E51B0"/>
    <w:rsid w:val="000E78D2"/>
    <w:rsid w:val="000F0029"/>
    <w:rsid w:val="000F2D72"/>
    <w:rsid w:val="000F3332"/>
    <w:rsid w:val="000F33EE"/>
    <w:rsid w:val="000F401E"/>
    <w:rsid w:val="000F5445"/>
    <w:rsid w:val="000F5E7A"/>
    <w:rsid w:val="000F67B2"/>
    <w:rsid w:val="00100014"/>
    <w:rsid w:val="00102756"/>
    <w:rsid w:val="00102D79"/>
    <w:rsid w:val="00102F02"/>
    <w:rsid w:val="00103834"/>
    <w:rsid w:val="001041B6"/>
    <w:rsid w:val="001070EA"/>
    <w:rsid w:val="0011002A"/>
    <w:rsid w:val="0011110A"/>
    <w:rsid w:val="001118AF"/>
    <w:rsid w:val="0011256E"/>
    <w:rsid w:val="001157D5"/>
    <w:rsid w:val="00116DB9"/>
    <w:rsid w:val="00121167"/>
    <w:rsid w:val="001214CE"/>
    <w:rsid w:val="00121C39"/>
    <w:rsid w:val="00123255"/>
    <w:rsid w:val="001242CF"/>
    <w:rsid w:val="001247F5"/>
    <w:rsid w:val="00124D2D"/>
    <w:rsid w:val="00126F9E"/>
    <w:rsid w:val="001306B1"/>
    <w:rsid w:val="001307BE"/>
    <w:rsid w:val="00130C8F"/>
    <w:rsid w:val="001314F2"/>
    <w:rsid w:val="001317DA"/>
    <w:rsid w:val="00131B66"/>
    <w:rsid w:val="0013254D"/>
    <w:rsid w:val="00132665"/>
    <w:rsid w:val="00132CF6"/>
    <w:rsid w:val="00133A3B"/>
    <w:rsid w:val="00133AAC"/>
    <w:rsid w:val="00136561"/>
    <w:rsid w:val="00136CE4"/>
    <w:rsid w:val="001400E1"/>
    <w:rsid w:val="001405FA"/>
    <w:rsid w:val="001425C3"/>
    <w:rsid w:val="00142F16"/>
    <w:rsid w:val="00143B81"/>
    <w:rsid w:val="00143E03"/>
    <w:rsid w:val="00143E93"/>
    <w:rsid w:val="00150943"/>
    <w:rsid w:val="00151AC0"/>
    <w:rsid w:val="00152046"/>
    <w:rsid w:val="0015232F"/>
    <w:rsid w:val="00154059"/>
    <w:rsid w:val="00156318"/>
    <w:rsid w:val="0015639A"/>
    <w:rsid w:val="00157931"/>
    <w:rsid w:val="00157990"/>
    <w:rsid w:val="0016081D"/>
    <w:rsid w:val="00161312"/>
    <w:rsid w:val="00161EDA"/>
    <w:rsid w:val="001620D2"/>
    <w:rsid w:val="001620FA"/>
    <w:rsid w:val="00162853"/>
    <w:rsid w:val="00162EB2"/>
    <w:rsid w:val="00163793"/>
    <w:rsid w:val="0016545C"/>
    <w:rsid w:val="0016560B"/>
    <w:rsid w:val="00165A85"/>
    <w:rsid w:val="001707DE"/>
    <w:rsid w:val="00170B04"/>
    <w:rsid w:val="00170F47"/>
    <w:rsid w:val="001714F2"/>
    <w:rsid w:val="00171672"/>
    <w:rsid w:val="00171D29"/>
    <w:rsid w:val="00171D2A"/>
    <w:rsid w:val="00173485"/>
    <w:rsid w:val="00173642"/>
    <w:rsid w:val="00174CE8"/>
    <w:rsid w:val="00174FFB"/>
    <w:rsid w:val="001764D8"/>
    <w:rsid w:val="00176A8F"/>
    <w:rsid w:val="0017789F"/>
    <w:rsid w:val="001779F0"/>
    <w:rsid w:val="001804ED"/>
    <w:rsid w:val="00181338"/>
    <w:rsid w:val="00181893"/>
    <w:rsid w:val="0018225A"/>
    <w:rsid w:val="00182981"/>
    <w:rsid w:val="00184CF9"/>
    <w:rsid w:val="00185010"/>
    <w:rsid w:val="00186164"/>
    <w:rsid w:val="00186915"/>
    <w:rsid w:val="0018724F"/>
    <w:rsid w:val="001874CF"/>
    <w:rsid w:val="00187C76"/>
    <w:rsid w:val="00190D9B"/>
    <w:rsid w:val="00194331"/>
    <w:rsid w:val="0019492D"/>
    <w:rsid w:val="0019505A"/>
    <w:rsid w:val="00195444"/>
    <w:rsid w:val="001962A3"/>
    <w:rsid w:val="001971D0"/>
    <w:rsid w:val="0019731C"/>
    <w:rsid w:val="001A0075"/>
    <w:rsid w:val="001A250D"/>
    <w:rsid w:val="001A2BDB"/>
    <w:rsid w:val="001A2D19"/>
    <w:rsid w:val="001A443A"/>
    <w:rsid w:val="001A511C"/>
    <w:rsid w:val="001A552F"/>
    <w:rsid w:val="001A5DA4"/>
    <w:rsid w:val="001A7C15"/>
    <w:rsid w:val="001A7CD1"/>
    <w:rsid w:val="001B0AF0"/>
    <w:rsid w:val="001B1D89"/>
    <w:rsid w:val="001B2964"/>
    <w:rsid w:val="001B3110"/>
    <w:rsid w:val="001B44BC"/>
    <w:rsid w:val="001B4721"/>
    <w:rsid w:val="001B51F8"/>
    <w:rsid w:val="001B6545"/>
    <w:rsid w:val="001B666A"/>
    <w:rsid w:val="001B681B"/>
    <w:rsid w:val="001B74FB"/>
    <w:rsid w:val="001B77A1"/>
    <w:rsid w:val="001B7C99"/>
    <w:rsid w:val="001C0422"/>
    <w:rsid w:val="001C0E0E"/>
    <w:rsid w:val="001C1219"/>
    <w:rsid w:val="001C3178"/>
    <w:rsid w:val="001C357A"/>
    <w:rsid w:val="001C38BC"/>
    <w:rsid w:val="001C3A37"/>
    <w:rsid w:val="001C4384"/>
    <w:rsid w:val="001C573E"/>
    <w:rsid w:val="001C65FF"/>
    <w:rsid w:val="001C6B05"/>
    <w:rsid w:val="001C6E5E"/>
    <w:rsid w:val="001C70BF"/>
    <w:rsid w:val="001D234F"/>
    <w:rsid w:val="001D3651"/>
    <w:rsid w:val="001D47E5"/>
    <w:rsid w:val="001D5088"/>
    <w:rsid w:val="001D54E7"/>
    <w:rsid w:val="001D584C"/>
    <w:rsid w:val="001D66C1"/>
    <w:rsid w:val="001D77D5"/>
    <w:rsid w:val="001E03A3"/>
    <w:rsid w:val="001E0533"/>
    <w:rsid w:val="001E0BE1"/>
    <w:rsid w:val="001E0C65"/>
    <w:rsid w:val="001E23E3"/>
    <w:rsid w:val="001E33B9"/>
    <w:rsid w:val="001E387A"/>
    <w:rsid w:val="001E3DA4"/>
    <w:rsid w:val="001E48E5"/>
    <w:rsid w:val="001E4A25"/>
    <w:rsid w:val="001E561F"/>
    <w:rsid w:val="001E684C"/>
    <w:rsid w:val="001E701C"/>
    <w:rsid w:val="001E7C03"/>
    <w:rsid w:val="001F02AF"/>
    <w:rsid w:val="001F037F"/>
    <w:rsid w:val="001F0406"/>
    <w:rsid w:val="001F0EC9"/>
    <w:rsid w:val="001F274B"/>
    <w:rsid w:val="001F28F4"/>
    <w:rsid w:val="001F3C55"/>
    <w:rsid w:val="001F3C79"/>
    <w:rsid w:val="001F3E68"/>
    <w:rsid w:val="001F3E96"/>
    <w:rsid w:val="001F4597"/>
    <w:rsid w:val="001F55D7"/>
    <w:rsid w:val="001F7A31"/>
    <w:rsid w:val="00200D15"/>
    <w:rsid w:val="002029EF"/>
    <w:rsid w:val="00203074"/>
    <w:rsid w:val="00205103"/>
    <w:rsid w:val="00207730"/>
    <w:rsid w:val="00210400"/>
    <w:rsid w:val="00210CC2"/>
    <w:rsid w:val="00210F5B"/>
    <w:rsid w:val="00211036"/>
    <w:rsid w:val="00211262"/>
    <w:rsid w:val="002113A7"/>
    <w:rsid w:val="00211636"/>
    <w:rsid w:val="00211AC9"/>
    <w:rsid w:val="00212A98"/>
    <w:rsid w:val="0021355B"/>
    <w:rsid w:val="00214ED2"/>
    <w:rsid w:val="002155A9"/>
    <w:rsid w:val="002156B9"/>
    <w:rsid w:val="002200D8"/>
    <w:rsid w:val="002205F2"/>
    <w:rsid w:val="0022080E"/>
    <w:rsid w:val="0022139E"/>
    <w:rsid w:val="0022160A"/>
    <w:rsid w:val="0022272B"/>
    <w:rsid w:val="00222A99"/>
    <w:rsid w:val="00223667"/>
    <w:rsid w:val="00223678"/>
    <w:rsid w:val="00223E00"/>
    <w:rsid w:val="00223F33"/>
    <w:rsid w:val="00224911"/>
    <w:rsid w:val="002252E0"/>
    <w:rsid w:val="002255F6"/>
    <w:rsid w:val="00226466"/>
    <w:rsid w:val="00227993"/>
    <w:rsid w:val="0023229C"/>
    <w:rsid w:val="00232351"/>
    <w:rsid w:val="002329C3"/>
    <w:rsid w:val="00233472"/>
    <w:rsid w:val="00234111"/>
    <w:rsid w:val="00234280"/>
    <w:rsid w:val="002350E3"/>
    <w:rsid w:val="00235AFB"/>
    <w:rsid w:val="00236443"/>
    <w:rsid w:val="00237819"/>
    <w:rsid w:val="00240A5B"/>
    <w:rsid w:val="00241C02"/>
    <w:rsid w:val="00242569"/>
    <w:rsid w:val="0024261F"/>
    <w:rsid w:val="002436BA"/>
    <w:rsid w:val="00243E3B"/>
    <w:rsid w:val="002441B6"/>
    <w:rsid w:val="002444ED"/>
    <w:rsid w:val="00244A15"/>
    <w:rsid w:val="00244D40"/>
    <w:rsid w:val="0024620F"/>
    <w:rsid w:val="00246AE9"/>
    <w:rsid w:val="0024799E"/>
    <w:rsid w:val="0025186A"/>
    <w:rsid w:val="00251879"/>
    <w:rsid w:val="00251D59"/>
    <w:rsid w:val="00252FDC"/>
    <w:rsid w:val="00253719"/>
    <w:rsid w:val="002544F5"/>
    <w:rsid w:val="002547A6"/>
    <w:rsid w:val="0025540B"/>
    <w:rsid w:val="002555ED"/>
    <w:rsid w:val="002601FC"/>
    <w:rsid w:val="00260FA6"/>
    <w:rsid w:val="00261E29"/>
    <w:rsid w:val="00261E5B"/>
    <w:rsid w:val="00263470"/>
    <w:rsid w:val="00263733"/>
    <w:rsid w:val="002641A7"/>
    <w:rsid w:val="002650C1"/>
    <w:rsid w:val="00265536"/>
    <w:rsid w:val="00266591"/>
    <w:rsid w:val="00266F3E"/>
    <w:rsid w:val="002708BC"/>
    <w:rsid w:val="0027227B"/>
    <w:rsid w:val="00272464"/>
    <w:rsid w:val="002727EA"/>
    <w:rsid w:val="00273DCD"/>
    <w:rsid w:val="00274291"/>
    <w:rsid w:val="00276CFE"/>
    <w:rsid w:val="00277071"/>
    <w:rsid w:val="0027786C"/>
    <w:rsid w:val="00281416"/>
    <w:rsid w:val="00283D2E"/>
    <w:rsid w:val="00284F79"/>
    <w:rsid w:val="002852C6"/>
    <w:rsid w:val="00285CD3"/>
    <w:rsid w:val="0028686A"/>
    <w:rsid w:val="00286E66"/>
    <w:rsid w:val="00290910"/>
    <w:rsid w:val="002911C8"/>
    <w:rsid w:val="002919B5"/>
    <w:rsid w:val="00293441"/>
    <w:rsid w:val="00293FEA"/>
    <w:rsid w:val="0029493E"/>
    <w:rsid w:val="00296C2E"/>
    <w:rsid w:val="002A1B05"/>
    <w:rsid w:val="002A2083"/>
    <w:rsid w:val="002A3BD5"/>
    <w:rsid w:val="002A4277"/>
    <w:rsid w:val="002A43A2"/>
    <w:rsid w:val="002A4612"/>
    <w:rsid w:val="002A4FBE"/>
    <w:rsid w:val="002A5263"/>
    <w:rsid w:val="002A659A"/>
    <w:rsid w:val="002A6821"/>
    <w:rsid w:val="002A6841"/>
    <w:rsid w:val="002A74D2"/>
    <w:rsid w:val="002B28A4"/>
    <w:rsid w:val="002B342C"/>
    <w:rsid w:val="002B36C8"/>
    <w:rsid w:val="002B3DAF"/>
    <w:rsid w:val="002B7240"/>
    <w:rsid w:val="002B798E"/>
    <w:rsid w:val="002B79A0"/>
    <w:rsid w:val="002B7EC1"/>
    <w:rsid w:val="002C055E"/>
    <w:rsid w:val="002C43BD"/>
    <w:rsid w:val="002C5261"/>
    <w:rsid w:val="002C6091"/>
    <w:rsid w:val="002C69FA"/>
    <w:rsid w:val="002D0562"/>
    <w:rsid w:val="002D1B5A"/>
    <w:rsid w:val="002D22B5"/>
    <w:rsid w:val="002D3EE3"/>
    <w:rsid w:val="002D5E94"/>
    <w:rsid w:val="002D632D"/>
    <w:rsid w:val="002D7CA9"/>
    <w:rsid w:val="002E02A1"/>
    <w:rsid w:val="002E1C6A"/>
    <w:rsid w:val="002E1DE4"/>
    <w:rsid w:val="002E2CE4"/>
    <w:rsid w:val="002E7C20"/>
    <w:rsid w:val="002F1DB9"/>
    <w:rsid w:val="002F33F7"/>
    <w:rsid w:val="002F33FB"/>
    <w:rsid w:val="002F3C26"/>
    <w:rsid w:val="002F46A9"/>
    <w:rsid w:val="002F47F3"/>
    <w:rsid w:val="002F7C73"/>
    <w:rsid w:val="00300B28"/>
    <w:rsid w:val="00300E9F"/>
    <w:rsid w:val="00301357"/>
    <w:rsid w:val="003016B0"/>
    <w:rsid w:val="00301D04"/>
    <w:rsid w:val="00303FCA"/>
    <w:rsid w:val="003046B3"/>
    <w:rsid w:val="00304771"/>
    <w:rsid w:val="003048B8"/>
    <w:rsid w:val="00305736"/>
    <w:rsid w:val="00306C5B"/>
    <w:rsid w:val="0030780B"/>
    <w:rsid w:val="003078E0"/>
    <w:rsid w:val="003103DA"/>
    <w:rsid w:val="0031223A"/>
    <w:rsid w:val="00312C3D"/>
    <w:rsid w:val="00314331"/>
    <w:rsid w:val="00316C55"/>
    <w:rsid w:val="00317C76"/>
    <w:rsid w:val="00320214"/>
    <w:rsid w:val="003209D6"/>
    <w:rsid w:val="0032109A"/>
    <w:rsid w:val="0032214F"/>
    <w:rsid w:val="00322164"/>
    <w:rsid w:val="003229E0"/>
    <w:rsid w:val="003247BB"/>
    <w:rsid w:val="00324F61"/>
    <w:rsid w:val="0032513D"/>
    <w:rsid w:val="00326251"/>
    <w:rsid w:val="0032697E"/>
    <w:rsid w:val="00327290"/>
    <w:rsid w:val="00327DEE"/>
    <w:rsid w:val="00331BAC"/>
    <w:rsid w:val="003329CF"/>
    <w:rsid w:val="003329F3"/>
    <w:rsid w:val="00332E05"/>
    <w:rsid w:val="00333234"/>
    <w:rsid w:val="0033352E"/>
    <w:rsid w:val="00333690"/>
    <w:rsid w:val="00333D20"/>
    <w:rsid w:val="003340EF"/>
    <w:rsid w:val="00334A49"/>
    <w:rsid w:val="00334C45"/>
    <w:rsid w:val="00335BB0"/>
    <w:rsid w:val="0033627B"/>
    <w:rsid w:val="00336EAA"/>
    <w:rsid w:val="003406BD"/>
    <w:rsid w:val="00343D5B"/>
    <w:rsid w:val="00343F84"/>
    <w:rsid w:val="00344135"/>
    <w:rsid w:val="00347DF6"/>
    <w:rsid w:val="00350B0A"/>
    <w:rsid w:val="00350DED"/>
    <w:rsid w:val="00351A67"/>
    <w:rsid w:val="00351B63"/>
    <w:rsid w:val="00352B72"/>
    <w:rsid w:val="00352D04"/>
    <w:rsid w:val="00352E57"/>
    <w:rsid w:val="00353A57"/>
    <w:rsid w:val="00353E12"/>
    <w:rsid w:val="003541B0"/>
    <w:rsid w:val="00354366"/>
    <w:rsid w:val="00355885"/>
    <w:rsid w:val="0035605E"/>
    <w:rsid w:val="00357449"/>
    <w:rsid w:val="00360712"/>
    <w:rsid w:val="00361918"/>
    <w:rsid w:val="0036238B"/>
    <w:rsid w:val="0036282B"/>
    <w:rsid w:val="00365680"/>
    <w:rsid w:val="003657F3"/>
    <w:rsid w:val="00365A32"/>
    <w:rsid w:val="00370362"/>
    <w:rsid w:val="00370C57"/>
    <w:rsid w:val="003723F7"/>
    <w:rsid w:val="00374B10"/>
    <w:rsid w:val="00374F1E"/>
    <w:rsid w:val="00375F77"/>
    <w:rsid w:val="00376DEC"/>
    <w:rsid w:val="00377A5A"/>
    <w:rsid w:val="00380E04"/>
    <w:rsid w:val="00382658"/>
    <w:rsid w:val="00384D8F"/>
    <w:rsid w:val="00385D98"/>
    <w:rsid w:val="00385EC5"/>
    <w:rsid w:val="0038634F"/>
    <w:rsid w:val="00386BD0"/>
    <w:rsid w:val="0039066E"/>
    <w:rsid w:val="0039073D"/>
    <w:rsid w:val="00391689"/>
    <w:rsid w:val="00391C95"/>
    <w:rsid w:val="0039268B"/>
    <w:rsid w:val="00393241"/>
    <w:rsid w:val="00394659"/>
    <w:rsid w:val="00395378"/>
    <w:rsid w:val="00396593"/>
    <w:rsid w:val="00396DAC"/>
    <w:rsid w:val="003A0214"/>
    <w:rsid w:val="003A098C"/>
    <w:rsid w:val="003A0D5B"/>
    <w:rsid w:val="003A180C"/>
    <w:rsid w:val="003A1D17"/>
    <w:rsid w:val="003A1D74"/>
    <w:rsid w:val="003A2708"/>
    <w:rsid w:val="003A2B4D"/>
    <w:rsid w:val="003A2D2B"/>
    <w:rsid w:val="003A30EF"/>
    <w:rsid w:val="003A3B1C"/>
    <w:rsid w:val="003A478C"/>
    <w:rsid w:val="003A49F1"/>
    <w:rsid w:val="003A4F82"/>
    <w:rsid w:val="003A5525"/>
    <w:rsid w:val="003A6B38"/>
    <w:rsid w:val="003B0002"/>
    <w:rsid w:val="003B1109"/>
    <w:rsid w:val="003B1454"/>
    <w:rsid w:val="003B2E63"/>
    <w:rsid w:val="003B3189"/>
    <w:rsid w:val="003B3932"/>
    <w:rsid w:val="003B39C4"/>
    <w:rsid w:val="003B3A9D"/>
    <w:rsid w:val="003B4102"/>
    <w:rsid w:val="003B4442"/>
    <w:rsid w:val="003B5031"/>
    <w:rsid w:val="003B50F0"/>
    <w:rsid w:val="003B5A32"/>
    <w:rsid w:val="003B6105"/>
    <w:rsid w:val="003B6C43"/>
    <w:rsid w:val="003B7F51"/>
    <w:rsid w:val="003C03C7"/>
    <w:rsid w:val="003C04C4"/>
    <w:rsid w:val="003C0CB8"/>
    <w:rsid w:val="003C20E8"/>
    <w:rsid w:val="003C26F4"/>
    <w:rsid w:val="003C383F"/>
    <w:rsid w:val="003C4852"/>
    <w:rsid w:val="003C6715"/>
    <w:rsid w:val="003C6F0F"/>
    <w:rsid w:val="003C7D80"/>
    <w:rsid w:val="003D030B"/>
    <w:rsid w:val="003D34B4"/>
    <w:rsid w:val="003D3600"/>
    <w:rsid w:val="003D3825"/>
    <w:rsid w:val="003D4760"/>
    <w:rsid w:val="003D4E62"/>
    <w:rsid w:val="003E0663"/>
    <w:rsid w:val="003E133F"/>
    <w:rsid w:val="003E193E"/>
    <w:rsid w:val="003E31B2"/>
    <w:rsid w:val="003E41E3"/>
    <w:rsid w:val="003E59FD"/>
    <w:rsid w:val="003E68BC"/>
    <w:rsid w:val="003E699C"/>
    <w:rsid w:val="003E69F3"/>
    <w:rsid w:val="003E7136"/>
    <w:rsid w:val="003E782E"/>
    <w:rsid w:val="003E7A0B"/>
    <w:rsid w:val="003E7B05"/>
    <w:rsid w:val="003F2B0A"/>
    <w:rsid w:val="003F313C"/>
    <w:rsid w:val="003F37FC"/>
    <w:rsid w:val="003F3FC2"/>
    <w:rsid w:val="003F49A6"/>
    <w:rsid w:val="003F4E1F"/>
    <w:rsid w:val="003F5098"/>
    <w:rsid w:val="003F5568"/>
    <w:rsid w:val="003F5A95"/>
    <w:rsid w:val="003F6D19"/>
    <w:rsid w:val="004000D5"/>
    <w:rsid w:val="00401716"/>
    <w:rsid w:val="00401B7F"/>
    <w:rsid w:val="00401CA8"/>
    <w:rsid w:val="00402C25"/>
    <w:rsid w:val="00403598"/>
    <w:rsid w:val="00403697"/>
    <w:rsid w:val="004050D7"/>
    <w:rsid w:val="00405E1A"/>
    <w:rsid w:val="00407373"/>
    <w:rsid w:val="004078BD"/>
    <w:rsid w:val="00410132"/>
    <w:rsid w:val="004109BF"/>
    <w:rsid w:val="0041187E"/>
    <w:rsid w:val="004123BE"/>
    <w:rsid w:val="00414CE5"/>
    <w:rsid w:val="00416673"/>
    <w:rsid w:val="004168FC"/>
    <w:rsid w:val="004170FE"/>
    <w:rsid w:val="00417C5B"/>
    <w:rsid w:val="00420A35"/>
    <w:rsid w:val="0042160D"/>
    <w:rsid w:val="004223D7"/>
    <w:rsid w:val="00422776"/>
    <w:rsid w:val="0042681B"/>
    <w:rsid w:val="00426CEE"/>
    <w:rsid w:val="004274DD"/>
    <w:rsid w:val="0043068A"/>
    <w:rsid w:val="004306E0"/>
    <w:rsid w:val="00431862"/>
    <w:rsid w:val="004329BE"/>
    <w:rsid w:val="00434FA3"/>
    <w:rsid w:val="00435D30"/>
    <w:rsid w:val="004360E1"/>
    <w:rsid w:val="00436125"/>
    <w:rsid w:val="0043752B"/>
    <w:rsid w:val="00437C76"/>
    <w:rsid w:val="00442AAC"/>
    <w:rsid w:val="004441A0"/>
    <w:rsid w:val="004443BF"/>
    <w:rsid w:val="00446892"/>
    <w:rsid w:val="00450C30"/>
    <w:rsid w:val="00451A03"/>
    <w:rsid w:val="00455ECA"/>
    <w:rsid w:val="00460164"/>
    <w:rsid w:val="004601C1"/>
    <w:rsid w:val="0046039A"/>
    <w:rsid w:val="00461977"/>
    <w:rsid w:val="00461A44"/>
    <w:rsid w:val="004629FD"/>
    <w:rsid w:val="00463F4D"/>
    <w:rsid w:val="004643C6"/>
    <w:rsid w:val="00465019"/>
    <w:rsid w:val="0046613F"/>
    <w:rsid w:val="0046655D"/>
    <w:rsid w:val="00466B34"/>
    <w:rsid w:val="00467606"/>
    <w:rsid w:val="0046765E"/>
    <w:rsid w:val="004676E2"/>
    <w:rsid w:val="004701B6"/>
    <w:rsid w:val="00470CC7"/>
    <w:rsid w:val="00470CCA"/>
    <w:rsid w:val="00470F69"/>
    <w:rsid w:val="00471EDD"/>
    <w:rsid w:val="0047400C"/>
    <w:rsid w:val="004749D9"/>
    <w:rsid w:val="00476D29"/>
    <w:rsid w:val="00477A06"/>
    <w:rsid w:val="00477EAF"/>
    <w:rsid w:val="00477EE0"/>
    <w:rsid w:val="004801DD"/>
    <w:rsid w:val="00480FAB"/>
    <w:rsid w:val="0048139F"/>
    <w:rsid w:val="004827FE"/>
    <w:rsid w:val="00483ABA"/>
    <w:rsid w:val="00486283"/>
    <w:rsid w:val="004879E9"/>
    <w:rsid w:val="004902E2"/>
    <w:rsid w:val="00490988"/>
    <w:rsid w:val="00491218"/>
    <w:rsid w:val="00493362"/>
    <w:rsid w:val="00493907"/>
    <w:rsid w:val="00494D91"/>
    <w:rsid w:val="00494FA0"/>
    <w:rsid w:val="00495C38"/>
    <w:rsid w:val="00495D8B"/>
    <w:rsid w:val="00496C2F"/>
    <w:rsid w:val="0049740D"/>
    <w:rsid w:val="004A269A"/>
    <w:rsid w:val="004A29F2"/>
    <w:rsid w:val="004A30FB"/>
    <w:rsid w:val="004A35DD"/>
    <w:rsid w:val="004A37D3"/>
    <w:rsid w:val="004A48EE"/>
    <w:rsid w:val="004A5864"/>
    <w:rsid w:val="004A5865"/>
    <w:rsid w:val="004A5972"/>
    <w:rsid w:val="004A6C74"/>
    <w:rsid w:val="004A77DF"/>
    <w:rsid w:val="004B0295"/>
    <w:rsid w:val="004B040D"/>
    <w:rsid w:val="004B3CB7"/>
    <w:rsid w:val="004B3D55"/>
    <w:rsid w:val="004B55B7"/>
    <w:rsid w:val="004B6337"/>
    <w:rsid w:val="004B7046"/>
    <w:rsid w:val="004C00A6"/>
    <w:rsid w:val="004C0BBB"/>
    <w:rsid w:val="004C3867"/>
    <w:rsid w:val="004C3A73"/>
    <w:rsid w:val="004C4CD0"/>
    <w:rsid w:val="004C57B5"/>
    <w:rsid w:val="004C5C25"/>
    <w:rsid w:val="004C5EFF"/>
    <w:rsid w:val="004C6CFF"/>
    <w:rsid w:val="004C6ED6"/>
    <w:rsid w:val="004C70DC"/>
    <w:rsid w:val="004C7268"/>
    <w:rsid w:val="004D0211"/>
    <w:rsid w:val="004D1AEF"/>
    <w:rsid w:val="004D1C9C"/>
    <w:rsid w:val="004D504B"/>
    <w:rsid w:val="004D536E"/>
    <w:rsid w:val="004D5A97"/>
    <w:rsid w:val="004D726E"/>
    <w:rsid w:val="004E0040"/>
    <w:rsid w:val="004E1494"/>
    <w:rsid w:val="004E18BB"/>
    <w:rsid w:val="004E4116"/>
    <w:rsid w:val="004E4A75"/>
    <w:rsid w:val="004E4AC0"/>
    <w:rsid w:val="004E541A"/>
    <w:rsid w:val="004E5A5C"/>
    <w:rsid w:val="004E5B4E"/>
    <w:rsid w:val="004E5FE8"/>
    <w:rsid w:val="004E762E"/>
    <w:rsid w:val="004E76D6"/>
    <w:rsid w:val="004E7AF6"/>
    <w:rsid w:val="004F03A7"/>
    <w:rsid w:val="004F06F5"/>
    <w:rsid w:val="004F146A"/>
    <w:rsid w:val="004F191F"/>
    <w:rsid w:val="004F2A73"/>
    <w:rsid w:val="004F2D3A"/>
    <w:rsid w:val="004F33A0"/>
    <w:rsid w:val="004F447D"/>
    <w:rsid w:val="004F4C28"/>
    <w:rsid w:val="004F5CC5"/>
    <w:rsid w:val="004F7D36"/>
    <w:rsid w:val="005016AC"/>
    <w:rsid w:val="00501ABE"/>
    <w:rsid w:val="0050286E"/>
    <w:rsid w:val="00504FF6"/>
    <w:rsid w:val="005058A8"/>
    <w:rsid w:val="00505923"/>
    <w:rsid w:val="00510189"/>
    <w:rsid w:val="005108C0"/>
    <w:rsid w:val="00511873"/>
    <w:rsid w:val="0051266C"/>
    <w:rsid w:val="00512F27"/>
    <w:rsid w:val="00513818"/>
    <w:rsid w:val="00513B7E"/>
    <w:rsid w:val="00513C6F"/>
    <w:rsid w:val="00514474"/>
    <w:rsid w:val="005172F4"/>
    <w:rsid w:val="005202E0"/>
    <w:rsid w:val="005215EF"/>
    <w:rsid w:val="00521CC7"/>
    <w:rsid w:val="00522CB5"/>
    <w:rsid w:val="005231C6"/>
    <w:rsid w:val="00525137"/>
    <w:rsid w:val="005251DD"/>
    <w:rsid w:val="0053017A"/>
    <w:rsid w:val="00530492"/>
    <w:rsid w:val="00530FEF"/>
    <w:rsid w:val="00532AB1"/>
    <w:rsid w:val="00532C18"/>
    <w:rsid w:val="005339BC"/>
    <w:rsid w:val="00534675"/>
    <w:rsid w:val="00535359"/>
    <w:rsid w:val="005357A2"/>
    <w:rsid w:val="00535A51"/>
    <w:rsid w:val="00535BCB"/>
    <w:rsid w:val="00535EF0"/>
    <w:rsid w:val="00537171"/>
    <w:rsid w:val="0053734B"/>
    <w:rsid w:val="005378BB"/>
    <w:rsid w:val="00537AFD"/>
    <w:rsid w:val="00537CB4"/>
    <w:rsid w:val="00540A0C"/>
    <w:rsid w:val="00540BBC"/>
    <w:rsid w:val="005426C1"/>
    <w:rsid w:val="005431DC"/>
    <w:rsid w:val="00544EA1"/>
    <w:rsid w:val="00544EBB"/>
    <w:rsid w:val="005513D5"/>
    <w:rsid w:val="005523B9"/>
    <w:rsid w:val="00552887"/>
    <w:rsid w:val="00553225"/>
    <w:rsid w:val="00553D09"/>
    <w:rsid w:val="005545E0"/>
    <w:rsid w:val="00554865"/>
    <w:rsid w:val="00554E57"/>
    <w:rsid w:val="005550E9"/>
    <w:rsid w:val="00555182"/>
    <w:rsid w:val="00561CBF"/>
    <w:rsid w:val="00562749"/>
    <w:rsid w:val="00562DE9"/>
    <w:rsid w:val="005638A5"/>
    <w:rsid w:val="00566381"/>
    <w:rsid w:val="0056667C"/>
    <w:rsid w:val="00566A03"/>
    <w:rsid w:val="00566C62"/>
    <w:rsid w:val="005718E3"/>
    <w:rsid w:val="00572DA2"/>
    <w:rsid w:val="00572EA7"/>
    <w:rsid w:val="00574240"/>
    <w:rsid w:val="0057459E"/>
    <w:rsid w:val="00574F14"/>
    <w:rsid w:val="00575CDC"/>
    <w:rsid w:val="0058053D"/>
    <w:rsid w:val="00580E2E"/>
    <w:rsid w:val="00582178"/>
    <w:rsid w:val="00582677"/>
    <w:rsid w:val="00583078"/>
    <w:rsid w:val="00583D5B"/>
    <w:rsid w:val="00583FFD"/>
    <w:rsid w:val="00587CCD"/>
    <w:rsid w:val="00590528"/>
    <w:rsid w:val="005908AE"/>
    <w:rsid w:val="0059176E"/>
    <w:rsid w:val="00591A22"/>
    <w:rsid w:val="005925A8"/>
    <w:rsid w:val="00593152"/>
    <w:rsid w:val="00593CA3"/>
    <w:rsid w:val="00594161"/>
    <w:rsid w:val="005947A6"/>
    <w:rsid w:val="00594969"/>
    <w:rsid w:val="00594EAA"/>
    <w:rsid w:val="00596A83"/>
    <w:rsid w:val="00596C5E"/>
    <w:rsid w:val="005977BA"/>
    <w:rsid w:val="00597827"/>
    <w:rsid w:val="0059787F"/>
    <w:rsid w:val="00597C5E"/>
    <w:rsid w:val="005A08BD"/>
    <w:rsid w:val="005A1CEC"/>
    <w:rsid w:val="005A21E0"/>
    <w:rsid w:val="005A33A1"/>
    <w:rsid w:val="005A54EE"/>
    <w:rsid w:val="005A5884"/>
    <w:rsid w:val="005A6E4A"/>
    <w:rsid w:val="005A7500"/>
    <w:rsid w:val="005B1BDB"/>
    <w:rsid w:val="005B310D"/>
    <w:rsid w:val="005B3247"/>
    <w:rsid w:val="005B3409"/>
    <w:rsid w:val="005B34D1"/>
    <w:rsid w:val="005B4A14"/>
    <w:rsid w:val="005B55C6"/>
    <w:rsid w:val="005B6AFE"/>
    <w:rsid w:val="005B7B12"/>
    <w:rsid w:val="005C1D5E"/>
    <w:rsid w:val="005C2412"/>
    <w:rsid w:val="005C3F9F"/>
    <w:rsid w:val="005C4A94"/>
    <w:rsid w:val="005C53CB"/>
    <w:rsid w:val="005C59F6"/>
    <w:rsid w:val="005C760A"/>
    <w:rsid w:val="005C7F1E"/>
    <w:rsid w:val="005D1508"/>
    <w:rsid w:val="005D1AF2"/>
    <w:rsid w:val="005D4067"/>
    <w:rsid w:val="005D5802"/>
    <w:rsid w:val="005D5A35"/>
    <w:rsid w:val="005D5B8F"/>
    <w:rsid w:val="005D5D32"/>
    <w:rsid w:val="005D6CFC"/>
    <w:rsid w:val="005D73E2"/>
    <w:rsid w:val="005E0D10"/>
    <w:rsid w:val="005E1E4B"/>
    <w:rsid w:val="005E24EF"/>
    <w:rsid w:val="005E362D"/>
    <w:rsid w:val="005E492C"/>
    <w:rsid w:val="005E4BAA"/>
    <w:rsid w:val="005E5B56"/>
    <w:rsid w:val="005E6B78"/>
    <w:rsid w:val="005F2F28"/>
    <w:rsid w:val="005F4057"/>
    <w:rsid w:val="005F4088"/>
    <w:rsid w:val="005F4CFA"/>
    <w:rsid w:val="005F6119"/>
    <w:rsid w:val="00600A3D"/>
    <w:rsid w:val="0060107A"/>
    <w:rsid w:val="0060154D"/>
    <w:rsid w:val="00601AFF"/>
    <w:rsid w:val="00602D1D"/>
    <w:rsid w:val="006038F7"/>
    <w:rsid w:val="00604307"/>
    <w:rsid w:val="0060487F"/>
    <w:rsid w:val="006059EB"/>
    <w:rsid w:val="00606B93"/>
    <w:rsid w:val="006118AA"/>
    <w:rsid w:val="00612CCA"/>
    <w:rsid w:val="00614460"/>
    <w:rsid w:val="006148B8"/>
    <w:rsid w:val="006153E3"/>
    <w:rsid w:val="006158DF"/>
    <w:rsid w:val="00616CD8"/>
    <w:rsid w:val="00617D2D"/>
    <w:rsid w:val="00617D83"/>
    <w:rsid w:val="00617F45"/>
    <w:rsid w:val="0062002F"/>
    <w:rsid w:val="00620AC5"/>
    <w:rsid w:val="00621575"/>
    <w:rsid w:val="006215FC"/>
    <w:rsid w:val="0062290D"/>
    <w:rsid w:val="00624093"/>
    <w:rsid w:val="00626CE6"/>
    <w:rsid w:val="00627CE0"/>
    <w:rsid w:val="00630F66"/>
    <w:rsid w:val="0063332A"/>
    <w:rsid w:val="006347F9"/>
    <w:rsid w:val="00634C90"/>
    <w:rsid w:val="00635E79"/>
    <w:rsid w:val="0063756F"/>
    <w:rsid w:val="006404A7"/>
    <w:rsid w:val="006407F3"/>
    <w:rsid w:val="00640C2B"/>
    <w:rsid w:val="00642977"/>
    <w:rsid w:val="00643175"/>
    <w:rsid w:val="00644C5B"/>
    <w:rsid w:val="006451E4"/>
    <w:rsid w:val="006460B8"/>
    <w:rsid w:val="00651D5D"/>
    <w:rsid w:val="006520C7"/>
    <w:rsid w:val="006530B8"/>
    <w:rsid w:val="006535D6"/>
    <w:rsid w:val="00655F7D"/>
    <w:rsid w:val="00657E87"/>
    <w:rsid w:val="00660206"/>
    <w:rsid w:val="00660265"/>
    <w:rsid w:val="00660457"/>
    <w:rsid w:val="00660E1E"/>
    <w:rsid w:val="00663662"/>
    <w:rsid w:val="006637B1"/>
    <w:rsid w:val="00664C40"/>
    <w:rsid w:val="00665D67"/>
    <w:rsid w:val="00665D77"/>
    <w:rsid w:val="006660CD"/>
    <w:rsid w:val="00667556"/>
    <w:rsid w:val="006676D0"/>
    <w:rsid w:val="00667C83"/>
    <w:rsid w:val="00670300"/>
    <w:rsid w:val="006710C9"/>
    <w:rsid w:val="00671437"/>
    <w:rsid w:val="00675120"/>
    <w:rsid w:val="00675E37"/>
    <w:rsid w:val="00676E82"/>
    <w:rsid w:val="00680292"/>
    <w:rsid w:val="0068260E"/>
    <w:rsid w:val="0068373D"/>
    <w:rsid w:val="00683BFE"/>
    <w:rsid w:val="0068416C"/>
    <w:rsid w:val="00685E66"/>
    <w:rsid w:val="0068672C"/>
    <w:rsid w:val="00686B72"/>
    <w:rsid w:val="00686D87"/>
    <w:rsid w:val="00690A09"/>
    <w:rsid w:val="00693FEA"/>
    <w:rsid w:val="006945DF"/>
    <w:rsid w:val="00694B93"/>
    <w:rsid w:val="00695170"/>
    <w:rsid w:val="00695BEF"/>
    <w:rsid w:val="006960D6"/>
    <w:rsid w:val="00696AA5"/>
    <w:rsid w:val="006977F6"/>
    <w:rsid w:val="00697A13"/>
    <w:rsid w:val="006A0436"/>
    <w:rsid w:val="006A109C"/>
    <w:rsid w:val="006A23BA"/>
    <w:rsid w:val="006A2B36"/>
    <w:rsid w:val="006A3B4D"/>
    <w:rsid w:val="006A456E"/>
    <w:rsid w:val="006A672B"/>
    <w:rsid w:val="006B05C6"/>
    <w:rsid w:val="006B0BC1"/>
    <w:rsid w:val="006B2EE3"/>
    <w:rsid w:val="006B3F8A"/>
    <w:rsid w:val="006B5CA3"/>
    <w:rsid w:val="006B6A7E"/>
    <w:rsid w:val="006B78D8"/>
    <w:rsid w:val="006C090F"/>
    <w:rsid w:val="006C113F"/>
    <w:rsid w:val="006C2A26"/>
    <w:rsid w:val="006C38DD"/>
    <w:rsid w:val="006C4BB5"/>
    <w:rsid w:val="006C5561"/>
    <w:rsid w:val="006C5577"/>
    <w:rsid w:val="006C559A"/>
    <w:rsid w:val="006C58FA"/>
    <w:rsid w:val="006D042D"/>
    <w:rsid w:val="006D06EF"/>
    <w:rsid w:val="006D090F"/>
    <w:rsid w:val="006D15EB"/>
    <w:rsid w:val="006D1D8E"/>
    <w:rsid w:val="006D41A6"/>
    <w:rsid w:val="006D61F6"/>
    <w:rsid w:val="006D6AF7"/>
    <w:rsid w:val="006D7CCA"/>
    <w:rsid w:val="006E157B"/>
    <w:rsid w:val="006E15CB"/>
    <w:rsid w:val="006E1F4C"/>
    <w:rsid w:val="006E279A"/>
    <w:rsid w:val="006E2964"/>
    <w:rsid w:val="006E2F3F"/>
    <w:rsid w:val="006E313B"/>
    <w:rsid w:val="006E32B9"/>
    <w:rsid w:val="006E442A"/>
    <w:rsid w:val="006E5875"/>
    <w:rsid w:val="006E5CFD"/>
    <w:rsid w:val="006E5F51"/>
    <w:rsid w:val="006E6701"/>
    <w:rsid w:val="006E73B9"/>
    <w:rsid w:val="006F1E27"/>
    <w:rsid w:val="006F2BEE"/>
    <w:rsid w:val="006F3708"/>
    <w:rsid w:val="006F38BB"/>
    <w:rsid w:val="006F3E6B"/>
    <w:rsid w:val="006F4A59"/>
    <w:rsid w:val="006F4D1E"/>
    <w:rsid w:val="006F756C"/>
    <w:rsid w:val="006F75D2"/>
    <w:rsid w:val="007004E0"/>
    <w:rsid w:val="00700C69"/>
    <w:rsid w:val="007014C7"/>
    <w:rsid w:val="00701F7D"/>
    <w:rsid w:val="00702D6F"/>
    <w:rsid w:val="007054B9"/>
    <w:rsid w:val="007058F0"/>
    <w:rsid w:val="00705D98"/>
    <w:rsid w:val="00706E5E"/>
    <w:rsid w:val="00707891"/>
    <w:rsid w:val="007115E4"/>
    <w:rsid w:val="00711EF1"/>
    <w:rsid w:val="0071229A"/>
    <w:rsid w:val="007146CC"/>
    <w:rsid w:val="00720FA2"/>
    <w:rsid w:val="007211F5"/>
    <w:rsid w:val="0072459F"/>
    <w:rsid w:val="00724666"/>
    <w:rsid w:val="007253C1"/>
    <w:rsid w:val="00725534"/>
    <w:rsid w:val="00726043"/>
    <w:rsid w:val="0072704A"/>
    <w:rsid w:val="00730AE8"/>
    <w:rsid w:val="00734321"/>
    <w:rsid w:val="007351BA"/>
    <w:rsid w:val="007363A9"/>
    <w:rsid w:val="00736EB6"/>
    <w:rsid w:val="00740652"/>
    <w:rsid w:val="00740F02"/>
    <w:rsid w:val="00740FEC"/>
    <w:rsid w:val="00741493"/>
    <w:rsid w:val="007426B3"/>
    <w:rsid w:val="007426FD"/>
    <w:rsid w:val="00744376"/>
    <w:rsid w:val="007449EA"/>
    <w:rsid w:val="007457CF"/>
    <w:rsid w:val="00746DD9"/>
    <w:rsid w:val="00750310"/>
    <w:rsid w:val="0075057A"/>
    <w:rsid w:val="00751771"/>
    <w:rsid w:val="00751EA2"/>
    <w:rsid w:val="00752180"/>
    <w:rsid w:val="007521A1"/>
    <w:rsid w:val="0075245C"/>
    <w:rsid w:val="0075315D"/>
    <w:rsid w:val="00754253"/>
    <w:rsid w:val="007558D3"/>
    <w:rsid w:val="00755D3A"/>
    <w:rsid w:val="00755E71"/>
    <w:rsid w:val="007563E7"/>
    <w:rsid w:val="00756B64"/>
    <w:rsid w:val="00760141"/>
    <w:rsid w:val="007609C6"/>
    <w:rsid w:val="007610A0"/>
    <w:rsid w:val="007620F2"/>
    <w:rsid w:val="00764561"/>
    <w:rsid w:val="00764664"/>
    <w:rsid w:val="007655B1"/>
    <w:rsid w:val="007657B9"/>
    <w:rsid w:val="00765CCE"/>
    <w:rsid w:val="007674C6"/>
    <w:rsid w:val="00771236"/>
    <w:rsid w:val="00772F26"/>
    <w:rsid w:val="00774665"/>
    <w:rsid w:val="00774782"/>
    <w:rsid w:val="00776527"/>
    <w:rsid w:val="00780B8F"/>
    <w:rsid w:val="00781834"/>
    <w:rsid w:val="00781FA0"/>
    <w:rsid w:val="007821DB"/>
    <w:rsid w:val="00782818"/>
    <w:rsid w:val="007835F2"/>
    <w:rsid w:val="00784C4A"/>
    <w:rsid w:val="0078561F"/>
    <w:rsid w:val="00786303"/>
    <w:rsid w:val="00786DA5"/>
    <w:rsid w:val="00787432"/>
    <w:rsid w:val="007879F2"/>
    <w:rsid w:val="007910AE"/>
    <w:rsid w:val="00791CF8"/>
    <w:rsid w:val="00793BAE"/>
    <w:rsid w:val="00794E0A"/>
    <w:rsid w:val="00796187"/>
    <w:rsid w:val="00796642"/>
    <w:rsid w:val="007977D7"/>
    <w:rsid w:val="00797AD0"/>
    <w:rsid w:val="007A0F38"/>
    <w:rsid w:val="007A155D"/>
    <w:rsid w:val="007A2C57"/>
    <w:rsid w:val="007A327B"/>
    <w:rsid w:val="007A4606"/>
    <w:rsid w:val="007A69E3"/>
    <w:rsid w:val="007A7353"/>
    <w:rsid w:val="007B3DCC"/>
    <w:rsid w:val="007B4518"/>
    <w:rsid w:val="007B5031"/>
    <w:rsid w:val="007B5182"/>
    <w:rsid w:val="007B573F"/>
    <w:rsid w:val="007B6FDA"/>
    <w:rsid w:val="007B7A79"/>
    <w:rsid w:val="007C4691"/>
    <w:rsid w:val="007C471B"/>
    <w:rsid w:val="007C55AE"/>
    <w:rsid w:val="007C6BAA"/>
    <w:rsid w:val="007C7BEA"/>
    <w:rsid w:val="007D2051"/>
    <w:rsid w:val="007D2AD8"/>
    <w:rsid w:val="007D2C47"/>
    <w:rsid w:val="007D44C3"/>
    <w:rsid w:val="007D4885"/>
    <w:rsid w:val="007D7588"/>
    <w:rsid w:val="007E0F4B"/>
    <w:rsid w:val="007E1E50"/>
    <w:rsid w:val="007E386C"/>
    <w:rsid w:val="007E6455"/>
    <w:rsid w:val="007E770F"/>
    <w:rsid w:val="007E7E61"/>
    <w:rsid w:val="007F0845"/>
    <w:rsid w:val="007F141A"/>
    <w:rsid w:val="007F16F9"/>
    <w:rsid w:val="007F5F14"/>
    <w:rsid w:val="007F7B54"/>
    <w:rsid w:val="008005D7"/>
    <w:rsid w:val="00801FDD"/>
    <w:rsid w:val="0080255C"/>
    <w:rsid w:val="00803424"/>
    <w:rsid w:val="00804DDA"/>
    <w:rsid w:val="008056F7"/>
    <w:rsid w:val="008059A4"/>
    <w:rsid w:val="008064E9"/>
    <w:rsid w:val="0080798B"/>
    <w:rsid w:val="00807A2C"/>
    <w:rsid w:val="00810A52"/>
    <w:rsid w:val="00811257"/>
    <w:rsid w:val="0081187C"/>
    <w:rsid w:val="00811E24"/>
    <w:rsid w:val="00812E2B"/>
    <w:rsid w:val="00813A70"/>
    <w:rsid w:val="008155EA"/>
    <w:rsid w:val="00816259"/>
    <w:rsid w:val="0081645F"/>
    <w:rsid w:val="008178C2"/>
    <w:rsid w:val="008178CF"/>
    <w:rsid w:val="00817AE0"/>
    <w:rsid w:val="00817C98"/>
    <w:rsid w:val="00820C9F"/>
    <w:rsid w:val="00821FF6"/>
    <w:rsid w:val="00822495"/>
    <w:rsid w:val="0082409A"/>
    <w:rsid w:val="008241C2"/>
    <w:rsid w:val="008263CD"/>
    <w:rsid w:val="00827181"/>
    <w:rsid w:val="00827746"/>
    <w:rsid w:val="0083143E"/>
    <w:rsid w:val="0083159D"/>
    <w:rsid w:val="008334C5"/>
    <w:rsid w:val="008336D8"/>
    <w:rsid w:val="008339C4"/>
    <w:rsid w:val="008341A6"/>
    <w:rsid w:val="00834996"/>
    <w:rsid w:val="00834F0A"/>
    <w:rsid w:val="00834FAA"/>
    <w:rsid w:val="00835E23"/>
    <w:rsid w:val="00836086"/>
    <w:rsid w:val="008362FF"/>
    <w:rsid w:val="00841D9F"/>
    <w:rsid w:val="00842604"/>
    <w:rsid w:val="00843B81"/>
    <w:rsid w:val="00843D95"/>
    <w:rsid w:val="00843ECF"/>
    <w:rsid w:val="00846673"/>
    <w:rsid w:val="00846BD7"/>
    <w:rsid w:val="008518B7"/>
    <w:rsid w:val="0085281A"/>
    <w:rsid w:val="00853794"/>
    <w:rsid w:val="00853DA2"/>
    <w:rsid w:val="00853EAB"/>
    <w:rsid w:val="00853F4C"/>
    <w:rsid w:val="008545A1"/>
    <w:rsid w:val="00854865"/>
    <w:rsid w:val="008559FE"/>
    <w:rsid w:val="00855A99"/>
    <w:rsid w:val="00857339"/>
    <w:rsid w:val="00860288"/>
    <w:rsid w:val="008615C3"/>
    <w:rsid w:val="00862A7A"/>
    <w:rsid w:val="00863374"/>
    <w:rsid w:val="00863D9E"/>
    <w:rsid w:val="008665C1"/>
    <w:rsid w:val="008666C3"/>
    <w:rsid w:val="00867C4F"/>
    <w:rsid w:val="00867E29"/>
    <w:rsid w:val="008705E3"/>
    <w:rsid w:val="00870F2B"/>
    <w:rsid w:val="00871002"/>
    <w:rsid w:val="0087129A"/>
    <w:rsid w:val="008712FB"/>
    <w:rsid w:val="008715FE"/>
    <w:rsid w:val="00871782"/>
    <w:rsid w:val="008746E6"/>
    <w:rsid w:val="008752D2"/>
    <w:rsid w:val="00876086"/>
    <w:rsid w:val="008768D6"/>
    <w:rsid w:val="00876C5B"/>
    <w:rsid w:val="00877329"/>
    <w:rsid w:val="008775D1"/>
    <w:rsid w:val="008777BB"/>
    <w:rsid w:val="008852B1"/>
    <w:rsid w:val="0088555A"/>
    <w:rsid w:val="008866C2"/>
    <w:rsid w:val="0088733A"/>
    <w:rsid w:val="00887AEB"/>
    <w:rsid w:val="00891BE0"/>
    <w:rsid w:val="008945A1"/>
    <w:rsid w:val="00894A63"/>
    <w:rsid w:val="00895F20"/>
    <w:rsid w:val="0089668D"/>
    <w:rsid w:val="00896BDE"/>
    <w:rsid w:val="00897C0E"/>
    <w:rsid w:val="008A03E6"/>
    <w:rsid w:val="008A0861"/>
    <w:rsid w:val="008A0BB2"/>
    <w:rsid w:val="008A133B"/>
    <w:rsid w:val="008A1A90"/>
    <w:rsid w:val="008A1AB3"/>
    <w:rsid w:val="008A1D5C"/>
    <w:rsid w:val="008A3292"/>
    <w:rsid w:val="008A3A85"/>
    <w:rsid w:val="008A43E9"/>
    <w:rsid w:val="008A4CB1"/>
    <w:rsid w:val="008A5942"/>
    <w:rsid w:val="008A615E"/>
    <w:rsid w:val="008A632B"/>
    <w:rsid w:val="008A6BFE"/>
    <w:rsid w:val="008A7CE6"/>
    <w:rsid w:val="008B0683"/>
    <w:rsid w:val="008B06EF"/>
    <w:rsid w:val="008B0C8B"/>
    <w:rsid w:val="008B190E"/>
    <w:rsid w:val="008B1A8A"/>
    <w:rsid w:val="008B2CB6"/>
    <w:rsid w:val="008B7306"/>
    <w:rsid w:val="008B775F"/>
    <w:rsid w:val="008B7C02"/>
    <w:rsid w:val="008B7EF5"/>
    <w:rsid w:val="008B7F9E"/>
    <w:rsid w:val="008C0E88"/>
    <w:rsid w:val="008C1AA8"/>
    <w:rsid w:val="008C2717"/>
    <w:rsid w:val="008C2E5B"/>
    <w:rsid w:val="008C41F7"/>
    <w:rsid w:val="008C5FBF"/>
    <w:rsid w:val="008C6CB8"/>
    <w:rsid w:val="008C7815"/>
    <w:rsid w:val="008D0171"/>
    <w:rsid w:val="008D0FEC"/>
    <w:rsid w:val="008D0FF8"/>
    <w:rsid w:val="008D2811"/>
    <w:rsid w:val="008D2A16"/>
    <w:rsid w:val="008D2ECF"/>
    <w:rsid w:val="008D39A6"/>
    <w:rsid w:val="008D3F3D"/>
    <w:rsid w:val="008D49DC"/>
    <w:rsid w:val="008D53E3"/>
    <w:rsid w:val="008E30AD"/>
    <w:rsid w:val="008E31FF"/>
    <w:rsid w:val="008E33DD"/>
    <w:rsid w:val="008E517B"/>
    <w:rsid w:val="008E6113"/>
    <w:rsid w:val="008E6AB3"/>
    <w:rsid w:val="008E6AD3"/>
    <w:rsid w:val="008E71A6"/>
    <w:rsid w:val="008E77B6"/>
    <w:rsid w:val="008F032E"/>
    <w:rsid w:val="008F0F14"/>
    <w:rsid w:val="008F2B5D"/>
    <w:rsid w:val="008F371B"/>
    <w:rsid w:val="008F3A22"/>
    <w:rsid w:val="008F3CAE"/>
    <w:rsid w:val="008F41F7"/>
    <w:rsid w:val="008F471F"/>
    <w:rsid w:val="008F4FCE"/>
    <w:rsid w:val="008F79E1"/>
    <w:rsid w:val="008F7D28"/>
    <w:rsid w:val="009003A8"/>
    <w:rsid w:val="00900873"/>
    <w:rsid w:val="00901236"/>
    <w:rsid w:val="00902CBE"/>
    <w:rsid w:val="00902EFF"/>
    <w:rsid w:val="00903E06"/>
    <w:rsid w:val="00905425"/>
    <w:rsid w:val="009065B1"/>
    <w:rsid w:val="00910824"/>
    <w:rsid w:val="00910F93"/>
    <w:rsid w:val="00911F2B"/>
    <w:rsid w:val="00914426"/>
    <w:rsid w:val="00914EE3"/>
    <w:rsid w:val="00915DFE"/>
    <w:rsid w:val="00915F5B"/>
    <w:rsid w:val="0091675F"/>
    <w:rsid w:val="00917709"/>
    <w:rsid w:val="00917918"/>
    <w:rsid w:val="00917FD4"/>
    <w:rsid w:val="00920AC4"/>
    <w:rsid w:val="00921F14"/>
    <w:rsid w:val="009233EB"/>
    <w:rsid w:val="00923BAB"/>
    <w:rsid w:val="00923F10"/>
    <w:rsid w:val="009243A5"/>
    <w:rsid w:val="00925217"/>
    <w:rsid w:val="00925FDB"/>
    <w:rsid w:val="00926283"/>
    <w:rsid w:val="0093181C"/>
    <w:rsid w:val="009329C5"/>
    <w:rsid w:val="00932A93"/>
    <w:rsid w:val="009348E3"/>
    <w:rsid w:val="00934AE3"/>
    <w:rsid w:val="00935835"/>
    <w:rsid w:val="00935B60"/>
    <w:rsid w:val="009362AF"/>
    <w:rsid w:val="00937B11"/>
    <w:rsid w:val="00940F1F"/>
    <w:rsid w:val="00941250"/>
    <w:rsid w:val="00942629"/>
    <w:rsid w:val="0094427A"/>
    <w:rsid w:val="00945578"/>
    <w:rsid w:val="009459C5"/>
    <w:rsid w:val="00946D52"/>
    <w:rsid w:val="0094750F"/>
    <w:rsid w:val="0094760E"/>
    <w:rsid w:val="0095013A"/>
    <w:rsid w:val="00953AEF"/>
    <w:rsid w:val="009551E2"/>
    <w:rsid w:val="00955783"/>
    <w:rsid w:val="00955F37"/>
    <w:rsid w:val="009560B0"/>
    <w:rsid w:val="00957164"/>
    <w:rsid w:val="00957871"/>
    <w:rsid w:val="00960239"/>
    <w:rsid w:val="00964498"/>
    <w:rsid w:val="00965F36"/>
    <w:rsid w:val="0096650F"/>
    <w:rsid w:val="00967184"/>
    <w:rsid w:val="009700DB"/>
    <w:rsid w:val="009704BD"/>
    <w:rsid w:val="009712F3"/>
    <w:rsid w:val="00971C65"/>
    <w:rsid w:val="00972263"/>
    <w:rsid w:val="00972D8D"/>
    <w:rsid w:val="00973AAE"/>
    <w:rsid w:val="00974923"/>
    <w:rsid w:val="00974D48"/>
    <w:rsid w:val="00975655"/>
    <w:rsid w:val="009759B5"/>
    <w:rsid w:val="009773AE"/>
    <w:rsid w:val="00980621"/>
    <w:rsid w:val="00981EC7"/>
    <w:rsid w:val="00982072"/>
    <w:rsid w:val="0098358E"/>
    <w:rsid w:val="00983CBF"/>
    <w:rsid w:val="00983ECF"/>
    <w:rsid w:val="00984A20"/>
    <w:rsid w:val="00986485"/>
    <w:rsid w:val="00986745"/>
    <w:rsid w:val="00987109"/>
    <w:rsid w:val="0099012D"/>
    <w:rsid w:val="00996355"/>
    <w:rsid w:val="00996B72"/>
    <w:rsid w:val="00996E07"/>
    <w:rsid w:val="00997EEB"/>
    <w:rsid w:val="009A3909"/>
    <w:rsid w:val="009A4E12"/>
    <w:rsid w:val="009A4E89"/>
    <w:rsid w:val="009B052C"/>
    <w:rsid w:val="009B06E8"/>
    <w:rsid w:val="009B0EF2"/>
    <w:rsid w:val="009B1FDF"/>
    <w:rsid w:val="009B23A3"/>
    <w:rsid w:val="009B61D0"/>
    <w:rsid w:val="009B6FD3"/>
    <w:rsid w:val="009B70BD"/>
    <w:rsid w:val="009C2524"/>
    <w:rsid w:val="009C42CD"/>
    <w:rsid w:val="009C4DA1"/>
    <w:rsid w:val="009C7388"/>
    <w:rsid w:val="009C764D"/>
    <w:rsid w:val="009C7AE1"/>
    <w:rsid w:val="009D0355"/>
    <w:rsid w:val="009D0F98"/>
    <w:rsid w:val="009D1551"/>
    <w:rsid w:val="009D2859"/>
    <w:rsid w:val="009D3B5E"/>
    <w:rsid w:val="009D4173"/>
    <w:rsid w:val="009D5354"/>
    <w:rsid w:val="009D6095"/>
    <w:rsid w:val="009D6306"/>
    <w:rsid w:val="009D7385"/>
    <w:rsid w:val="009E0015"/>
    <w:rsid w:val="009E048A"/>
    <w:rsid w:val="009E16D0"/>
    <w:rsid w:val="009E1FBA"/>
    <w:rsid w:val="009E2C54"/>
    <w:rsid w:val="009E3710"/>
    <w:rsid w:val="009E3EB9"/>
    <w:rsid w:val="009E577B"/>
    <w:rsid w:val="009E7B1F"/>
    <w:rsid w:val="009F0A68"/>
    <w:rsid w:val="009F1131"/>
    <w:rsid w:val="009F18F2"/>
    <w:rsid w:val="009F19BA"/>
    <w:rsid w:val="009F3FD0"/>
    <w:rsid w:val="009F408C"/>
    <w:rsid w:val="009F41C4"/>
    <w:rsid w:val="009F4792"/>
    <w:rsid w:val="009F5846"/>
    <w:rsid w:val="009F7D77"/>
    <w:rsid w:val="00A0259C"/>
    <w:rsid w:val="00A030BD"/>
    <w:rsid w:val="00A0348B"/>
    <w:rsid w:val="00A10D66"/>
    <w:rsid w:val="00A117C1"/>
    <w:rsid w:val="00A11838"/>
    <w:rsid w:val="00A11C9D"/>
    <w:rsid w:val="00A127F7"/>
    <w:rsid w:val="00A13714"/>
    <w:rsid w:val="00A1420C"/>
    <w:rsid w:val="00A15AB6"/>
    <w:rsid w:val="00A2055B"/>
    <w:rsid w:val="00A2253C"/>
    <w:rsid w:val="00A23545"/>
    <w:rsid w:val="00A23A55"/>
    <w:rsid w:val="00A23E43"/>
    <w:rsid w:val="00A24F8C"/>
    <w:rsid w:val="00A25E57"/>
    <w:rsid w:val="00A262BF"/>
    <w:rsid w:val="00A271AD"/>
    <w:rsid w:val="00A276D5"/>
    <w:rsid w:val="00A30336"/>
    <w:rsid w:val="00A30529"/>
    <w:rsid w:val="00A30BB5"/>
    <w:rsid w:val="00A30E88"/>
    <w:rsid w:val="00A3128F"/>
    <w:rsid w:val="00A326D0"/>
    <w:rsid w:val="00A35287"/>
    <w:rsid w:val="00A35CB9"/>
    <w:rsid w:val="00A37441"/>
    <w:rsid w:val="00A378F8"/>
    <w:rsid w:val="00A40530"/>
    <w:rsid w:val="00A40B19"/>
    <w:rsid w:val="00A41F2C"/>
    <w:rsid w:val="00A424F8"/>
    <w:rsid w:val="00A44B0D"/>
    <w:rsid w:val="00A46826"/>
    <w:rsid w:val="00A46DE0"/>
    <w:rsid w:val="00A4778A"/>
    <w:rsid w:val="00A5067F"/>
    <w:rsid w:val="00A5104A"/>
    <w:rsid w:val="00A53936"/>
    <w:rsid w:val="00A55301"/>
    <w:rsid w:val="00A57B3C"/>
    <w:rsid w:val="00A602D9"/>
    <w:rsid w:val="00A6128E"/>
    <w:rsid w:val="00A62CE1"/>
    <w:rsid w:val="00A631FA"/>
    <w:rsid w:val="00A64143"/>
    <w:rsid w:val="00A64203"/>
    <w:rsid w:val="00A64348"/>
    <w:rsid w:val="00A651DB"/>
    <w:rsid w:val="00A66976"/>
    <w:rsid w:val="00A674E1"/>
    <w:rsid w:val="00A70FBC"/>
    <w:rsid w:val="00A721FB"/>
    <w:rsid w:val="00A72671"/>
    <w:rsid w:val="00A727BA"/>
    <w:rsid w:val="00A72D4B"/>
    <w:rsid w:val="00A732AE"/>
    <w:rsid w:val="00A74C7F"/>
    <w:rsid w:val="00A75744"/>
    <w:rsid w:val="00A75E40"/>
    <w:rsid w:val="00A77EB2"/>
    <w:rsid w:val="00A823B7"/>
    <w:rsid w:val="00A82A03"/>
    <w:rsid w:val="00A82B66"/>
    <w:rsid w:val="00A83B58"/>
    <w:rsid w:val="00A841AC"/>
    <w:rsid w:val="00A851B6"/>
    <w:rsid w:val="00A85332"/>
    <w:rsid w:val="00A85729"/>
    <w:rsid w:val="00A8574B"/>
    <w:rsid w:val="00A857C0"/>
    <w:rsid w:val="00A86068"/>
    <w:rsid w:val="00A872CE"/>
    <w:rsid w:val="00A90368"/>
    <w:rsid w:val="00A906AC"/>
    <w:rsid w:val="00A91893"/>
    <w:rsid w:val="00A96463"/>
    <w:rsid w:val="00A97E3F"/>
    <w:rsid w:val="00A97F75"/>
    <w:rsid w:val="00AA0A14"/>
    <w:rsid w:val="00AA23FB"/>
    <w:rsid w:val="00AA3855"/>
    <w:rsid w:val="00AA42AB"/>
    <w:rsid w:val="00AA559A"/>
    <w:rsid w:val="00AA7B05"/>
    <w:rsid w:val="00AB11AB"/>
    <w:rsid w:val="00AB2AF1"/>
    <w:rsid w:val="00AB440B"/>
    <w:rsid w:val="00AB5082"/>
    <w:rsid w:val="00AB50D4"/>
    <w:rsid w:val="00AB7037"/>
    <w:rsid w:val="00AB74C5"/>
    <w:rsid w:val="00AB76C0"/>
    <w:rsid w:val="00AB7DF2"/>
    <w:rsid w:val="00AC1E3F"/>
    <w:rsid w:val="00AC44CA"/>
    <w:rsid w:val="00AC4F18"/>
    <w:rsid w:val="00AC5926"/>
    <w:rsid w:val="00AD0B46"/>
    <w:rsid w:val="00AD186B"/>
    <w:rsid w:val="00AD2565"/>
    <w:rsid w:val="00AD27F2"/>
    <w:rsid w:val="00AD306C"/>
    <w:rsid w:val="00AD3424"/>
    <w:rsid w:val="00AD460D"/>
    <w:rsid w:val="00AD4F85"/>
    <w:rsid w:val="00AD59BB"/>
    <w:rsid w:val="00AD5D3A"/>
    <w:rsid w:val="00AD5D68"/>
    <w:rsid w:val="00AD6C73"/>
    <w:rsid w:val="00AD6D14"/>
    <w:rsid w:val="00AD7314"/>
    <w:rsid w:val="00AD799D"/>
    <w:rsid w:val="00AE06D0"/>
    <w:rsid w:val="00AE39DC"/>
    <w:rsid w:val="00AE6D73"/>
    <w:rsid w:val="00AE721E"/>
    <w:rsid w:val="00AE7968"/>
    <w:rsid w:val="00AF128B"/>
    <w:rsid w:val="00AF14DC"/>
    <w:rsid w:val="00AF2852"/>
    <w:rsid w:val="00AF2E94"/>
    <w:rsid w:val="00AF3225"/>
    <w:rsid w:val="00AF518B"/>
    <w:rsid w:val="00AF5275"/>
    <w:rsid w:val="00AF5F15"/>
    <w:rsid w:val="00AF6367"/>
    <w:rsid w:val="00AF648D"/>
    <w:rsid w:val="00AF659A"/>
    <w:rsid w:val="00AF6A79"/>
    <w:rsid w:val="00AF6F70"/>
    <w:rsid w:val="00AF724E"/>
    <w:rsid w:val="00AF73A9"/>
    <w:rsid w:val="00AF74FD"/>
    <w:rsid w:val="00AF7C2D"/>
    <w:rsid w:val="00B01C2C"/>
    <w:rsid w:val="00B0231C"/>
    <w:rsid w:val="00B04828"/>
    <w:rsid w:val="00B06DC2"/>
    <w:rsid w:val="00B06EE6"/>
    <w:rsid w:val="00B07952"/>
    <w:rsid w:val="00B07F24"/>
    <w:rsid w:val="00B106D8"/>
    <w:rsid w:val="00B12609"/>
    <w:rsid w:val="00B13134"/>
    <w:rsid w:val="00B133F1"/>
    <w:rsid w:val="00B13619"/>
    <w:rsid w:val="00B155A3"/>
    <w:rsid w:val="00B15DCD"/>
    <w:rsid w:val="00B160A4"/>
    <w:rsid w:val="00B16102"/>
    <w:rsid w:val="00B174DD"/>
    <w:rsid w:val="00B17567"/>
    <w:rsid w:val="00B17E71"/>
    <w:rsid w:val="00B17FCE"/>
    <w:rsid w:val="00B17FDE"/>
    <w:rsid w:val="00B208FC"/>
    <w:rsid w:val="00B20C65"/>
    <w:rsid w:val="00B23632"/>
    <w:rsid w:val="00B2424E"/>
    <w:rsid w:val="00B24707"/>
    <w:rsid w:val="00B24E42"/>
    <w:rsid w:val="00B27293"/>
    <w:rsid w:val="00B274E0"/>
    <w:rsid w:val="00B27737"/>
    <w:rsid w:val="00B31336"/>
    <w:rsid w:val="00B3229E"/>
    <w:rsid w:val="00B326B3"/>
    <w:rsid w:val="00B32DDB"/>
    <w:rsid w:val="00B35BEA"/>
    <w:rsid w:val="00B37A71"/>
    <w:rsid w:val="00B41BE6"/>
    <w:rsid w:val="00B41D75"/>
    <w:rsid w:val="00B435EF"/>
    <w:rsid w:val="00B43871"/>
    <w:rsid w:val="00B457E7"/>
    <w:rsid w:val="00B47430"/>
    <w:rsid w:val="00B47436"/>
    <w:rsid w:val="00B47FCC"/>
    <w:rsid w:val="00B51604"/>
    <w:rsid w:val="00B52D2D"/>
    <w:rsid w:val="00B53BC1"/>
    <w:rsid w:val="00B56082"/>
    <w:rsid w:val="00B561A6"/>
    <w:rsid w:val="00B60C8D"/>
    <w:rsid w:val="00B61046"/>
    <w:rsid w:val="00B61F2D"/>
    <w:rsid w:val="00B62960"/>
    <w:rsid w:val="00B63A11"/>
    <w:rsid w:val="00B63FD0"/>
    <w:rsid w:val="00B64D5A"/>
    <w:rsid w:val="00B65845"/>
    <w:rsid w:val="00B65C84"/>
    <w:rsid w:val="00B6608F"/>
    <w:rsid w:val="00B662E3"/>
    <w:rsid w:val="00B66C89"/>
    <w:rsid w:val="00B71C2D"/>
    <w:rsid w:val="00B737C7"/>
    <w:rsid w:val="00B74317"/>
    <w:rsid w:val="00B7638C"/>
    <w:rsid w:val="00B765F3"/>
    <w:rsid w:val="00B76D1E"/>
    <w:rsid w:val="00B812F0"/>
    <w:rsid w:val="00B822D2"/>
    <w:rsid w:val="00B832DF"/>
    <w:rsid w:val="00B83DDF"/>
    <w:rsid w:val="00B848B8"/>
    <w:rsid w:val="00B84A41"/>
    <w:rsid w:val="00B84D57"/>
    <w:rsid w:val="00B856A2"/>
    <w:rsid w:val="00B85E2C"/>
    <w:rsid w:val="00B86748"/>
    <w:rsid w:val="00B87EDC"/>
    <w:rsid w:val="00B91EC9"/>
    <w:rsid w:val="00B924CA"/>
    <w:rsid w:val="00B93384"/>
    <w:rsid w:val="00B93A86"/>
    <w:rsid w:val="00B94417"/>
    <w:rsid w:val="00B95940"/>
    <w:rsid w:val="00B95EF8"/>
    <w:rsid w:val="00B95F50"/>
    <w:rsid w:val="00B96BD9"/>
    <w:rsid w:val="00B978CD"/>
    <w:rsid w:val="00BA00BE"/>
    <w:rsid w:val="00BA4B2A"/>
    <w:rsid w:val="00BB19EC"/>
    <w:rsid w:val="00BB2116"/>
    <w:rsid w:val="00BB2C53"/>
    <w:rsid w:val="00BB32DA"/>
    <w:rsid w:val="00BB3972"/>
    <w:rsid w:val="00BB3A54"/>
    <w:rsid w:val="00BB4E21"/>
    <w:rsid w:val="00BB5CEB"/>
    <w:rsid w:val="00BC1728"/>
    <w:rsid w:val="00BC2AB7"/>
    <w:rsid w:val="00BC4CE0"/>
    <w:rsid w:val="00BC5111"/>
    <w:rsid w:val="00BC54E1"/>
    <w:rsid w:val="00BC682B"/>
    <w:rsid w:val="00BC6A12"/>
    <w:rsid w:val="00BC6B04"/>
    <w:rsid w:val="00BD053B"/>
    <w:rsid w:val="00BD0B9B"/>
    <w:rsid w:val="00BD1F94"/>
    <w:rsid w:val="00BD3428"/>
    <w:rsid w:val="00BD366B"/>
    <w:rsid w:val="00BD3915"/>
    <w:rsid w:val="00BD56BC"/>
    <w:rsid w:val="00BD59D1"/>
    <w:rsid w:val="00BD5D91"/>
    <w:rsid w:val="00BD64E1"/>
    <w:rsid w:val="00BD6615"/>
    <w:rsid w:val="00BD6D50"/>
    <w:rsid w:val="00BE0261"/>
    <w:rsid w:val="00BE09E4"/>
    <w:rsid w:val="00BE0DB0"/>
    <w:rsid w:val="00BE1C59"/>
    <w:rsid w:val="00BE3F09"/>
    <w:rsid w:val="00BE572B"/>
    <w:rsid w:val="00BE670A"/>
    <w:rsid w:val="00BE6906"/>
    <w:rsid w:val="00BE6AAB"/>
    <w:rsid w:val="00BE795E"/>
    <w:rsid w:val="00BF18F4"/>
    <w:rsid w:val="00BF1A69"/>
    <w:rsid w:val="00BF1B37"/>
    <w:rsid w:val="00BF1D58"/>
    <w:rsid w:val="00BF36F6"/>
    <w:rsid w:val="00BF3BC8"/>
    <w:rsid w:val="00BF3DF1"/>
    <w:rsid w:val="00BF4C31"/>
    <w:rsid w:val="00BF59A0"/>
    <w:rsid w:val="00BF6C56"/>
    <w:rsid w:val="00BF6DE7"/>
    <w:rsid w:val="00C00F20"/>
    <w:rsid w:val="00C0165A"/>
    <w:rsid w:val="00C020FE"/>
    <w:rsid w:val="00C03388"/>
    <w:rsid w:val="00C034E6"/>
    <w:rsid w:val="00C0353A"/>
    <w:rsid w:val="00C0784A"/>
    <w:rsid w:val="00C104F3"/>
    <w:rsid w:val="00C10982"/>
    <w:rsid w:val="00C10FAE"/>
    <w:rsid w:val="00C12A69"/>
    <w:rsid w:val="00C12B35"/>
    <w:rsid w:val="00C150BE"/>
    <w:rsid w:val="00C15A0C"/>
    <w:rsid w:val="00C15DCB"/>
    <w:rsid w:val="00C16198"/>
    <w:rsid w:val="00C20744"/>
    <w:rsid w:val="00C20C4D"/>
    <w:rsid w:val="00C21937"/>
    <w:rsid w:val="00C21D46"/>
    <w:rsid w:val="00C21F94"/>
    <w:rsid w:val="00C222A1"/>
    <w:rsid w:val="00C2250A"/>
    <w:rsid w:val="00C23D22"/>
    <w:rsid w:val="00C243B5"/>
    <w:rsid w:val="00C24E77"/>
    <w:rsid w:val="00C25608"/>
    <w:rsid w:val="00C2732D"/>
    <w:rsid w:val="00C273C6"/>
    <w:rsid w:val="00C27913"/>
    <w:rsid w:val="00C300C6"/>
    <w:rsid w:val="00C30530"/>
    <w:rsid w:val="00C3252C"/>
    <w:rsid w:val="00C336F4"/>
    <w:rsid w:val="00C34FDE"/>
    <w:rsid w:val="00C35C16"/>
    <w:rsid w:val="00C408C3"/>
    <w:rsid w:val="00C41233"/>
    <w:rsid w:val="00C41463"/>
    <w:rsid w:val="00C417ED"/>
    <w:rsid w:val="00C41A72"/>
    <w:rsid w:val="00C42294"/>
    <w:rsid w:val="00C4365E"/>
    <w:rsid w:val="00C4549D"/>
    <w:rsid w:val="00C45C2B"/>
    <w:rsid w:val="00C476C5"/>
    <w:rsid w:val="00C503B0"/>
    <w:rsid w:val="00C511C2"/>
    <w:rsid w:val="00C53D82"/>
    <w:rsid w:val="00C53F31"/>
    <w:rsid w:val="00C540C9"/>
    <w:rsid w:val="00C553F5"/>
    <w:rsid w:val="00C559DD"/>
    <w:rsid w:val="00C57FA7"/>
    <w:rsid w:val="00C60696"/>
    <w:rsid w:val="00C615F1"/>
    <w:rsid w:val="00C61627"/>
    <w:rsid w:val="00C640C6"/>
    <w:rsid w:val="00C64E60"/>
    <w:rsid w:val="00C657A4"/>
    <w:rsid w:val="00C662C1"/>
    <w:rsid w:val="00C6736C"/>
    <w:rsid w:val="00C67B02"/>
    <w:rsid w:val="00C708C0"/>
    <w:rsid w:val="00C71247"/>
    <w:rsid w:val="00C72261"/>
    <w:rsid w:val="00C72CFC"/>
    <w:rsid w:val="00C7315B"/>
    <w:rsid w:val="00C732D0"/>
    <w:rsid w:val="00C74002"/>
    <w:rsid w:val="00C7548A"/>
    <w:rsid w:val="00C75C7E"/>
    <w:rsid w:val="00C76D8E"/>
    <w:rsid w:val="00C77833"/>
    <w:rsid w:val="00C80C9B"/>
    <w:rsid w:val="00C8335E"/>
    <w:rsid w:val="00C84605"/>
    <w:rsid w:val="00C84CE3"/>
    <w:rsid w:val="00C84FE8"/>
    <w:rsid w:val="00C85705"/>
    <w:rsid w:val="00C860F2"/>
    <w:rsid w:val="00C86F05"/>
    <w:rsid w:val="00C87626"/>
    <w:rsid w:val="00C90CF4"/>
    <w:rsid w:val="00C91C19"/>
    <w:rsid w:val="00C929A0"/>
    <w:rsid w:val="00C93389"/>
    <w:rsid w:val="00C93679"/>
    <w:rsid w:val="00C937DB"/>
    <w:rsid w:val="00C93A94"/>
    <w:rsid w:val="00C94519"/>
    <w:rsid w:val="00C94E83"/>
    <w:rsid w:val="00C9531C"/>
    <w:rsid w:val="00C97768"/>
    <w:rsid w:val="00CA0CDD"/>
    <w:rsid w:val="00CA140F"/>
    <w:rsid w:val="00CA37CA"/>
    <w:rsid w:val="00CA3CB2"/>
    <w:rsid w:val="00CA3D39"/>
    <w:rsid w:val="00CA4232"/>
    <w:rsid w:val="00CA6BA1"/>
    <w:rsid w:val="00CA6CD5"/>
    <w:rsid w:val="00CB0414"/>
    <w:rsid w:val="00CB0C6E"/>
    <w:rsid w:val="00CB2150"/>
    <w:rsid w:val="00CB28EE"/>
    <w:rsid w:val="00CB3ACB"/>
    <w:rsid w:val="00CB3ECF"/>
    <w:rsid w:val="00CB43A7"/>
    <w:rsid w:val="00CB43BC"/>
    <w:rsid w:val="00CB5996"/>
    <w:rsid w:val="00CB5B25"/>
    <w:rsid w:val="00CB7452"/>
    <w:rsid w:val="00CB7A5E"/>
    <w:rsid w:val="00CB7D09"/>
    <w:rsid w:val="00CC2642"/>
    <w:rsid w:val="00CC2E15"/>
    <w:rsid w:val="00CC30FE"/>
    <w:rsid w:val="00CC3908"/>
    <w:rsid w:val="00CC3C77"/>
    <w:rsid w:val="00CC4DDF"/>
    <w:rsid w:val="00CC52A7"/>
    <w:rsid w:val="00CC62AD"/>
    <w:rsid w:val="00CD2B3C"/>
    <w:rsid w:val="00CD30F6"/>
    <w:rsid w:val="00CD4823"/>
    <w:rsid w:val="00CD4AD9"/>
    <w:rsid w:val="00CD4B29"/>
    <w:rsid w:val="00CD5242"/>
    <w:rsid w:val="00CD6EF1"/>
    <w:rsid w:val="00CD6FC4"/>
    <w:rsid w:val="00CE090E"/>
    <w:rsid w:val="00CE21C7"/>
    <w:rsid w:val="00CE57D8"/>
    <w:rsid w:val="00CE617A"/>
    <w:rsid w:val="00CE7E17"/>
    <w:rsid w:val="00CF1152"/>
    <w:rsid w:val="00CF27AC"/>
    <w:rsid w:val="00CF28C2"/>
    <w:rsid w:val="00CF316F"/>
    <w:rsid w:val="00CF3E37"/>
    <w:rsid w:val="00CF42BD"/>
    <w:rsid w:val="00CF50FC"/>
    <w:rsid w:val="00CF51EC"/>
    <w:rsid w:val="00CF6CD7"/>
    <w:rsid w:val="00D0037A"/>
    <w:rsid w:val="00D00DAF"/>
    <w:rsid w:val="00D00F76"/>
    <w:rsid w:val="00D017EC"/>
    <w:rsid w:val="00D01CDA"/>
    <w:rsid w:val="00D02200"/>
    <w:rsid w:val="00D02924"/>
    <w:rsid w:val="00D036AB"/>
    <w:rsid w:val="00D040DD"/>
    <w:rsid w:val="00D04A11"/>
    <w:rsid w:val="00D04E1B"/>
    <w:rsid w:val="00D05207"/>
    <w:rsid w:val="00D06438"/>
    <w:rsid w:val="00D06FB4"/>
    <w:rsid w:val="00D1067C"/>
    <w:rsid w:val="00D136D4"/>
    <w:rsid w:val="00D1391B"/>
    <w:rsid w:val="00D13ECF"/>
    <w:rsid w:val="00D14148"/>
    <w:rsid w:val="00D142E5"/>
    <w:rsid w:val="00D1611E"/>
    <w:rsid w:val="00D16E69"/>
    <w:rsid w:val="00D17F4F"/>
    <w:rsid w:val="00D205A9"/>
    <w:rsid w:val="00D217EE"/>
    <w:rsid w:val="00D22468"/>
    <w:rsid w:val="00D2282B"/>
    <w:rsid w:val="00D24DA0"/>
    <w:rsid w:val="00D25220"/>
    <w:rsid w:val="00D2620E"/>
    <w:rsid w:val="00D26579"/>
    <w:rsid w:val="00D26923"/>
    <w:rsid w:val="00D26B20"/>
    <w:rsid w:val="00D27856"/>
    <w:rsid w:val="00D279D3"/>
    <w:rsid w:val="00D30740"/>
    <w:rsid w:val="00D30788"/>
    <w:rsid w:val="00D309A7"/>
    <w:rsid w:val="00D309E7"/>
    <w:rsid w:val="00D31075"/>
    <w:rsid w:val="00D31311"/>
    <w:rsid w:val="00D31445"/>
    <w:rsid w:val="00D31932"/>
    <w:rsid w:val="00D32D31"/>
    <w:rsid w:val="00D34225"/>
    <w:rsid w:val="00D35A48"/>
    <w:rsid w:val="00D378CC"/>
    <w:rsid w:val="00D4042C"/>
    <w:rsid w:val="00D42312"/>
    <w:rsid w:val="00D43998"/>
    <w:rsid w:val="00D45046"/>
    <w:rsid w:val="00D45EEE"/>
    <w:rsid w:val="00D4615E"/>
    <w:rsid w:val="00D478E2"/>
    <w:rsid w:val="00D47948"/>
    <w:rsid w:val="00D52401"/>
    <w:rsid w:val="00D5264C"/>
    <w:rsid w:val="00D52EC9"/>
    <w:rsid w:val="00D547BA"/>
    <w:rsid w:val="00D54BC4"/>
    <w:rsid w:val="00D5561E"/>
    <w:rsid w:val="00D55626"/>
    <w:rsid w:val="00D556BC"/>
    <w:rsid w:val="00D5626D"/>
    <w:rsid w:val="00D56C22"/>
    <w:rsid w:val="00D5718D"/>
    <w:rsid w:val="00D57C38"/>
    <w:rsid w:val="00D60277"/>
    <w:rsid w:val="00D62536"/>
    <w:rsid w:val="00D62901"/>
    <w:rsid w:val="00D6470C"/>
    <w:rsid w:val="00D64853"/>
    <w:rsid w:val="00D64B04"/>
    <w:rsid w:val="00D64CB5"/>
    <w:rsid w:val="00D64E9A"/>
    <w:rsid w:val="00D6524A"/>
    <w:rsid w:val="00D65B29"/>
    <w:rsid w:val="00D65C09"/>
    <w:rsid w:val="00D66CBA"/>
    <w:rsid w:val="00D66D48"/>
    <w:rsid w:val="00D70E41"/>
    <w:rsid w:val="00D712E0"/>
    <w:rsid w:val="00D72379"/>
    <w:rsid w:val="00D73256"/>
    <w:rsid w:val="00D73A30"/>
    <w:rsid w:val="00D74A6A"/>
    <w:rsid w:val="00D74C65"/>
    <w:rsid w:val="00D74E76"/>
    <w:rsid w:val="00D75DC2"/>
    <w:rsid w:val="00D76F27"/>
    <w:rsid w:val="00D81703"/>
    <w:rsid w:val="00D82462"/>
    <w:rsid w:val="00D85A88"/>
    <w:rsid w:val="00D868CE"/>
    <w:rsid w:val="00D87D8D"/>
    <w:rsid w:val="00D90C1E"/>
    <w:rsid w:val="00D922B8"/>
    <w:rsid w:val="00D93A51"/>
    <w:rsid w:val="00D93F09"/>
    <w:rsid w:val="00D97BB8"/>
    <w:rsid w:val="00DA0C01"/>
    <w:rsid w:val="00DA24BD"/>
    <w:rsid w:val="00DA3FF9"/>
    <w:rsid w:val="00DA4AF6"/>
    <w:rsid w:val="00DA5CAB"/>
    <w:rsid w:val="00DA7613"/>
    <w:rsid w:val="00DB016E"/>
    <w:rsid w:val="00DB01A2"/>
    <w:rsid w:val="00DB06E9"/>
    <w:rsid w:val="00DB0BA5"/>
    <w:rsid w:val="00DB31DE"/>
    <w:rsid w:val="00DB378E"/>
    <w:rsid w:val="00DB3CFB"/>
    <w:rsid w:val="00DB3E9D"/>
    <w:rsid w:val="00DB47B9"/>
    <w:rsid w:val="00DB4FB8"/>
    <w:rsid w:val="00DB4FEB"/>
    <w:rsid w:val="00DB5104"/>
    <w:rsid w:val="00DB53CE"/>
    <w:rsid w:val="00DB549D"/>
    <w:rsid w:val="00DB7969"/>
    <w:rsid w:val="00DC00D7"/>
    <w:rsid w:val="00DC0BB4"/>
    <w:rsid w:val="00DC257F"/>
    <w:rsid w:val="00DC344C"/>
    <w:rsid w:val="00DC408A"/>
    <w:rsid w:val="00DC5B3B"/>
    <w:rsid w:val="00DC5B54"/>
    <w:rsid w:val="00DC6796"/>
    <w:rsid w:val="00DC78DF"/>
    <w:rsid w:val="00DD0821"/>
    <w:rsid w:val="00DD0E32"/>
    <w:rsid w:val="00DD1A36"/>
    <w:rsid w:val="00DD2130"/>
    <w:rsid w:val="00DD28A1"/>
    <w:rsid w:val="00DD3532"/>
    <w:rsid w:val="00DD373E"/>
    <w:rsid w:val="00DD57AD"/>
    <w:rsid w:val="00DE009B"/>
    <w:rsid w:val="00DE200E"/>
    <w:rsid w:val="00DE2084"/>
    <w:rsid w:val="00DE2ED9"/>
    <w:rsid w:val="00DE319A"/>
    <w:rsid w:val="00DE4D6E"/>
    <w:rsid w:val="00DE5CC4"/>
    <w:rsid w:val="00DF053A"/>
    <w:rsid w:val="00DF0DC3"/>
    <w:rsid w:val="00DF4A7C"/>
    <w:rsid w:val="00DF4F01"/>
    <w:rsid w:val="00DF5343"/>
    <w:rsid w:val="00DF5578"/>
    <w:rsid w:val="00DF6134"/>
    <w:rsid w:val="00DF6619"/>
    <w:rsid w:val="00DF7FEC"/>
    <w:rsid w:val="00E01149"/>
    <w:rsid w:val="00E01C0E"/>
    <w:rsid w:val="00E026C3"/>
    <w:rsid w:val="00E03B27"/>
    <w:rsid w:val="00E03BFF"/>
    <w:rsid w:val="00E03E80"/>
    <w:rsid w:val="00E04694"/>
    <w:rsid w:val="00E04A40"/>
    <w:rsid w:val="00E05B2B"/>
    <w:rsid w:val="00E05DDE"/>
    <w:rsid w:val="00E07F05"/>
    <w:rsid w:val="00E10497"/>
    <w:rsid w:val="00E127E1"/>
    <w:rsid w:val="00E13411"/>
    <w:rsid w:val="00E13688"/>
    <w:rsid w:val="00E144D2"/>
    <w:rsid w:val="00E15346"/>
    <w:rsid w:val="00E1629D"/>
    <w:rsid w:val="00E20525"/>
    <w:rsid w:val="00E215EA"/>
    <w:rsid w:val="00E22B14"/>
    <w:rsid w:val="00E22DF1"/>
    <w:rsid w:val="00E244A4"/>
    <w:rsid w:val="00E24619"/>
    <w:rsid w:val="00E25223"/>
    <w:rsid w:val="00E2575A"/>
    <w:rsid w:val="00E2612E"/>
    <w:rsid w:val="00E268AC"/>
    <w:rsid w:val="00E30BEA"/>
    <w:rsid w:val="00E31764"/>
    <w:rsid w:val="00E337D9"/>
    <w:rsid w:val="00E34E4A"/>
    <w:rsid w:val="00E365B3"/>
    <w:rsid w:val="00E37188"/>
    <w:rsid w:val="00E37C45"/>
    <w:rsid w:val="00E40AAA"/>
    <w:rsid w:val="00E40D33"/>
    <w:rsid w:val="00E40FF2"/>
    <w:rsid w:val="00E416D9"/>
    <w:rsid w:val="00E41D90"/>
    <w:rsid w:val="00E41F2B"/>
    <w:rsid w:val="00E438CF"/>
    <w:rsid w:val="00E43C41"/>
    <w:rsid w:val="00E450CE"/>
    <w:rsid w:val="00E459D3"/>
    <w:rsid w:val="00E45A00"/>
    <w:rsid w:val="00E45CE7"/>
    <w:rsid w:val="00E4631F"/>
    <w:rsid w:val="00E47D22"/>
    <w:rsid w:val="00E513F8"/>
    <w:rsid w:val="00E522BB"/>
    <w:rsid w:val="00E571F2"/>
    <w:rsid w:val="00E57429"/>
    <w:rsid w:val="00E577FC"/>
    <w:rsid w:val="00E57D11"/>
    <w:rsid w:val="00E603A8"/>
    <w:rsid w:val="00E607E4"/>
    <w:rsid w:val="00E60B29"/>
    <w:rsid w:val="00E62F7C"/>
    <w:rsid w:val="00E635DD"/>
    <w:rsid w:val="00E648B9"/>
    <w:rsid w:val="00E6711F"/>
    <w:rsid w:val="00E6715B"/>
    <w:rsid w:val="00E70960"/>
    <w:rsid w:val="00E71983"/>
    <w:rsid w:val="00E71A58"/>
    <w:rsid w:val="00E73C92"/>
    <w:rsid w:val="00E744C3"/>
    <w:rsid w:val="00E760AD"/>
    <w:rsid w:val="00E767BA"/>
    <w:rsid w:val="00E7724B"/>
    <w:rsid w:val="00E77B8A"/>
    <w:rsid w:val="00E8216E"/>
    <w:rsid w:val="00E82428"/>
    <w:rsid w:val="00E836A0"/>
    <w:rsid w:val="00E84B50"/>
    <w:rsid w:val="00E84F21"/>
    <w:rsid w:val="00E874D3"/>
    <w:rsid w:val="00E87A29"/>
    <w:rsid w:val="00E900D3"/>
    <w:rsid w:val="00E9077B"/>
    <w:rsid w:val="00E90AD8"/>
    <w:rsid w:val="00E910FB"/>
    <w:rsid w:val="00E921C7"/>
    <w:rsid w:val="00E92995"/>
    <w:rsid w:val="00E94612"/>
    <w:rsid w:val="00E94BE9"/>
    <w:rsid w:val="00E94C1F"/>
    <w:rsid w:val="00E94C99"/>
    <w:rsid w:val="00E94D06"/>
    <w:rsid w:val="00E95594"/>
    <w:rsid w:val="00E95797"/>
    <w:rsid w:val="00E9682F"/>
    <w:rsid w:val="00E96A8D"/>
    <w:rsid w:val="00E972BA"/>
    <w:rsid w:val="00E97535"/>
    <w:rsid w:val="00EA06CB"/>
    <w:rsid w:val="00EA0C68"/>
    <w:rsid w:val="00EA3EBE"/>
    <w:rsid w:val="00EA3FAC"/>
    <w:rsid w:val="00EA4153"/>
    <w:rsid w:val="00EA4370"/>
    <w:rsid w:val="00EA5CD6"/>
    <w:rsid w:val="00EA7135"/>
    <w:rsid w:val="00EA77C6"/>
    <w:rsid w:val="00EB0BFB"/>
    <w:rsid w:val="00EB1B8D"/>
    <w:rsid w:val="00EB20A0"/>
    <w:rsid w:val="00EB30B6"/>
    <w:rsid w:val="00EB4FA4"/>
    <w:rsid w:val="00EB5146"/>
    <w:rsid w:val="00EB5466"/>
    <w:rsid w:val="00EB55E9"/>
    <w:rsid w:val="00EB5641"/>
    <w:rsid w:val="00EB5846"/>
    <w:rsid w:val="00EB5CA9"/>
    <w:rsid w:val="00EB5ED4"/>
    <w:rsid w:val="00EB6537"/>
    <w:rsid w:val="00EB6A63"/>
    <w:rsid w:val="00EB6EF5"/>
    <w:rsid w:val="00EB70E1"/>
    <w:rsid w:val="00EB7EB5"/>
    <w:rsid w:val="00EC1F4E"/>
    <w:rsid w:val="00EC454B"/>
    <w:rsid w:val="00EC6153"/>
    <w:rsid w:val="00EC6972"/>
    <w:rsid w:val="00EC7F92"/>
    <w:rsid w:val="00ED0504"/>
    <w:rsid w:val="00ED0A79"/>
    <w:rsid w:val="00ED2CA5"/>
    <w:rsid w:val="00ED336F"/>
    <w:rsid w:val="00ED4F91"/>
    <w:rsid w:val="00ED54D6"/>
    <w:rsid w:val="00ED5726"/>
    <w:rsid w:val="00ED723D"/>
    <w:rsid w:val="00EE0384"/>
    <w:rsid w:val="00EE10AA"/>
    <w:rsid w:val="00EE1637"/>
    <w:rsid w:val="00EE3358"/>
    <w:rsid w:val="00EE3E78"/>
    <w:rsid w:val="00EE4318"/>
    <w:rsid w:val="00EE5E02"/>
    <w:rsid w:val="00EE617D"/>
    <w:rsid w:val="00EE61BF"/>
    <w:rsid w:val="00EE6748"/>
    <w:rsid w:val="00EE747C"/>
    <w:rsid w:val="00EF0E75"/>
    <w:rsid w:val="00EF10E5"/>
    <w:rsid w:val="00EF17BF"/>
    <w:rsid w:val="00EF1F5A"/>
    <w:rsid w:val="00EF385C"/>
    <w:rsid w:val="00EF466D"/>
    <w:rsid w:val="00EF4685"/>
    <w:rsid w:val="00EF4AB0"/>
    <w:rsid w:val="00EF5397"/>
    <w:rsid w:val="00EF623C"/>
    <w:rsid w:val="00F0129D"/>
    <w:rsid w:val="00F02E63"/>
    <w:rsid w:val="00F04811"/>
    <w:rsid w:val="00F0488C"/>
    <w:rsid w:val="00F0496E"/>
    <w:rsid w:val="00F04D10"/>
    <w:rsid w:val="00F058AB"/>
    <w:rsid w:val="00F05CBA"/>
    <w:rsid w:val="00F0625B"/>
    <w:rsid w:val="00F06769"/>
    <w:rsid w:val="00F07939"/>
    <w:rsid w:val="00F101FF"/>
    <w:rsid w:val="00F106E2"/>
    <w:rsid w:val="00F10A33"/>
    <w:rsid w:val="00F130A1"/>
    <w:rsid w:val="00F13374"/>
    <w:rsid w:val="00F15BEF"/>
    <w:rsid w:val="00F15F3F"/>
    <w:rsid w:val="00F16C0C"/>
    <w:rsid w:val="00F172BE"/>
    <w:rsid w:val="00F1776C"/>
    <w:rsid w:val="00F2037E"/>
    <w:rsid w:val="00F20EF6"/>
    <w:rsid w:val="00F2103E"/>
    <w:rsid w:val="00F214FC"/>
    <w:rsid w:val="00F23FFF"/>
    <w:rsid w:val="00F2441D"/>
    <w:rsid w:val="00F24F20"/>
    <w:rsid w:val="00F24FAA"/>
    <w:rsid w:val="00F25456"/>
    <w:rsid w:val="00F25568"/>
    <w:rsid w:val="00F26197"/>
    <w:rsid w:val="00F26426"/>
    <w:rsid w:val="00F26CF5"/>
    <w:rsid w:val="00F31F76"/>
    <w:rsid w:val="00F3364D"/>
    <w:rsid w:val="00F34509"/>
    <w:rsid w:val="00F35395"/>
    <w:rsid w:val="00F35ACD"/>
    <w:rsid w:val="00F36BF8"/>
    <w:rsid w:val="00F37760"/>
    <w:rsid w:val="00F378D9"/>
    <w:rsid w:val="00F37CC8"/>
    <w:rsid w:val="00F40185"/>
    <w:rsid w:val="00F403D1"/>
    <w:rsid w:val="00F4046E"/>
    <w:rsid w:val="00F41C50"/>
    <w:rsid w:val="00F42AF8"/>
    <w:rsid w:val="00F43921"/>
    <w:rsid w:val="00F4591F"/>
    <w:rsid w:val="00F45CB3"/>
    <w:rsid w:val="00F46FD1"/>
    <w:rsid w:val="00F4736B"/>
    <w:rsid w:val="00F47D05"/>
    <w:rsid w:val="00F50030"/>
    <w:rsid w:val="00F506B2"/>
    <w:rsid w:val="00F50854"/>
    <w:rsid w:val="00F51FC9"/>
    <w:rsid w:val="00F52B67"/>
    <w:rsid w:val="00F5435A"/>
    <w:rsid w:val="00F54B31"/>
    <w:rsid w:val="00F54FD3"/>
    <w:rsid w:val="00F55CC2"/>
    <w:rsid w:val="00F56CF5"/>
    <w:rsid w:val="00F56D14"/>
    <w:rsid w:val="00F61083"/>
    <w:rsid w:val="00F62807"/>
    <w:rsid w:val="00F631EA"/>
    <w:rsid w:val="00F636E3"/>
    <w:rsid w:val="00F63DDE"/>
    <w:rsid w:val="00F63FB7"/>
    <w:rsid w:val="00F6441A"/>
    <w:rsid w:val="00F64726"/>
    <w:rsid w:val="00F6561A"/>
    <w:rsid w:val="00F700C5"/>
    <w:rsid w:val="00F71BF5"/>
    <w:rsid w:val="00F727D5"/>
    <w:rsid w:val="00F72F44"/>
    <w:rsid w:val="00F739B6"/>
    <w:rsid w:val="00F73A0C"/>
    <w:rsid w:val="00F73C9E"/>
    <w:rsid w:val="00F771A5"/>
    <w:rsid w:val="00F80280"/>
    <w:rsid w:val="00F80EB9"/>
    <w:rsid w:val="00F81C3A"/>
    <w:rsid w:val="00F822CE"/>
    <w:rsid w:val="00F835FC"/>
    <w:rsid w:val="00F83E21"/>
    <w:rsid w:val="00F844AF"/>
    <w:rsid w:val="00F84E18"/>
    <w:rsid w:val="00F852E5"/>
    <w:rsid w:val="00F90487"/>
    <w:rsid w:val="00F90D12"/>
    <w:rsid w:val="00F90FA0"/>
    <w:rsid w:val="00F9250A"/>
    <w:rsid w:val="00F92B4F"/>
    <w:rsid w:val="00F942F1"/>
    <w:rsid w:val="00F95117"/>
    <w:rsid w:val="00F9668E"/>
    <w:rsid w:val="00FA05D7"/>
    <w:rsid w:val="00FA1C6C"/>
    <w:rsid w:val="00FA1C73"/>
    <w:rsid w:val="00FA309A"/>
    <w:rsid w:val="00FA51AB"/>
    <w:rsid w:val="00FA5557"/>
    <w:rsid w:val="00FA57FD"/>
    <w:rsid w:val="00FA5D63"/>
    <w:rsid w:val="00FA7644"/>
    <w:rsid w:val="00FB1324"/>
    <w:rsid w:val="00FB262B"/>
    <w:rsid w:val="00FB3C00"/>
    <w:rsid w:val="00FB3D7D"/>
    <w:rsid w:val="00FB56F1"/>
    <w:rsid w:val="00FB5FD4"/>
    <w:rsid w:val="00FB67DD"/>
    <w:rsid w:val="00FB67F3"/>
    <w:rsid w:val="00FB6D5D"/>
    <w:rsid w:val="00FC0AF4"/>
    <w:rsid w:val="00FC0D8A"/>
    <w:rsid w:val="00FC0E5F"/>
    <w:rsid w:val="00FC26DB"/>
    <w:rsid w:val="00FC4660"/>
    <w:rsid w:val="00FC5454"/>
    <w:rsid w:val="00FC56DE"/>
    <w:rsid w:val="00FD1627"/>
    <w:rsid w:val="00FD38B4"/>
    <w:rsid w:val="00FD473D"/>
    <w:rsid w:val="00FD4B88"/>
    <w:rsid w:val="00FD57DE"/>
    <w:rsid w:val="00FD61C8"/>
    <w:rsid w:val="00FD63CE"/>
    <w:rsid w:val="00FD647C"/>
    <w:rsid w:val="00FD7D49"/>
    <w:rsid w:val="00FE0BA6"/>
    <w:rsid w:val="00FE11B6"/>
    <w:rsid w:val="00FE1251"/>
    <w:rsid w:val="00FE2A4F"/>
    <w:rsid w:val="00FE2F78"/>
    <w:rsid w:val="00FE375F"/>
    <w:rsid w:val="00FE44B3"/>
    <w:rsid w:val="00FE4FCB"/>
    <w:rsid w:val="00FE694F"/>
    <w:rsid w:val="00FF0B85"/>
    <w:rsid w:val="00FF1044"/>
    <w:rsid w:val="00FF21B9"/>
    <w:rsid w:val="00FF28E0"/>
    <w:rsid w:val="00FF2FB4"/>
    <w:rsid w:val="00FF30B3"/>
    <w:rsid w:val="00FF3DF3"/>
    <w:rsid w:val="00FF4027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71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1"/>
    <w:qFormat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qFormat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qFormat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1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qFormat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71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locked/>
    <w:rsid w:val="00B313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4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C7D30-EAD7-4DE4-91E6-36189922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18</TotalTime>
  <Pages>13</Pages>
  <Words>7145</Words>
  <Characters>37472</Characters>
  <Application>Microsoft Office Word</Application>
  <DocSecurity>0</DocSecurity>
  <Lines>312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Dubská, Kučera, Kamenický</dc:creator>
  <cp:lastModifiedBy>Ing. Drahomíra Dubská, CSc.</cp:lastModifiedBy>
  <cp:revision>7</cp:revision>
  <cp:lastPrinted>2015-07-30T06:16:00Z</cp:lastPrinted>
  <dcterms:created xsi:type="dcterms:W3CDTF">2015-07-30T08:59:00Z</dcterms:created>
  <dcterms:modified xsi:type="dcterms:W3CDTF">2015-07-30T09:53:00Z</dcterms:modified>
</cp:coreProperties>
</file>