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drawings/drawing2.xml" ContentType="application/vnd.openxmlformats-officedocument.drawingml.chartshapes+xml"/>
  <Override PartName="/word/charts/chart17.xml" ContentType="application/vnd.openxmlformats-officedocument.drawingml.chart+xml"/>
  <Override PartName="/word/charts/chart18.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40" w:rsidRPr="009110F7" w:rsidRDefault="00D9195B" w:rsidP="00E67696">
      <w:pPr>
        <w:rPr>
          <w:lang w:eastAsia="ar-SA"/>
        </w:rPr>
        <w:sectPr w:rsidR="00A75E40" w:rsidRPr="009110F7" w:rsidSect="0085114D">
          <w:pgSz w:w="11906" w:h="16838" w:code="9"/>
          <w:pgMar w:top="1134" w:right="1134" w:bottom="1418" w:left="1134" w:header="709" w:footer="709" w:gutter="0"/>
          <w:pgNumType w:start="1"/>
          <w:cols w:space="708"/>
          <w:docGrid w:linePitch="360"/>
        </w:sectPr>
      </w:pPr>
      <w:bookmarkStart w:id="0" w:name="_GoBack"/>
      <w:bookmarkEnd w:id="0"/>
      <w:r>
        <w:pict>
          <v:group id="Group 24" o:spid="_x0000_s1030" style="position:absolute;left:0;text-align:left;margin-left:45pt;margin-top:36.75pt;width:177.15pt;height:43.65pt;z-index:251657728;mso-position-horizontal-relative:page;mso-position-vertical-relative:page" coordorigin="567,851" coordsize="2714,66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">
            <o:lock v:ext="edit" aspectratio="t"/>
            <v:rect id="Rectangle 9" o:spid="_x0000_s1031" style="position:absolute;left:1215;top:901;width:676;height:15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EiyUwgAA&#10;ANoAAAAPAAAAZHJzL2Rvd25yZXYueG1sRI9Ba8JAFITvgv9heYXezKY9RImuIkqh0HpoFHJ9Zp/J&#10;YvZtyK5J+u+7hUKPw8x8w2x2k23FQL03jhW8JCkI4sppw7WCy/ltsQLhA7LG1jEp+CYPu+18tsFc&#10;u5G/aChCLSKEfY4KmhC6XEpfNWTRJ64jjt7N9RZDlH0tdY9jhNtWvqZpJi0ajgsNdnRoqLoXD6vA&#10;yM/RFqfy6NJHdzbl8rry4UOp56dpvwYRaAr/4b/2u1aQwe+VeAPk9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USLJTCAAAA2gAAAA8AAAAAAAAAAAAAAAAAlwIAAGRycy9kb3du&#10;cmV2LnhtbFBLBQYAAAAABAAEAPUAAACGAwAAAAA=&#10;" fillcolor="#0071bc" stroked="f">
              <o:lock v:ext="edit" aspectratio="t"/>
            </v:rect>
            <v:rect id="Rectangle 10" o:spid="_x0000_s1032" style="position:absolute;left:567;top:1131;width:1324;height:15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XokPwQAA&#10;ANoAAAAPAAAAZHJzL2Rvd25yZXYueG1sRI9Bi8IwFITvgv8hPMGbpnpQqUZZVoSFXQ+2gtdn87YN&#10;27yUJtruvzeC4HGYmW+Yza63tbhT641jBbNpAoK4cNpwqeCcHyYrED4ga6wdk4J/8rDbDgcbTLXr&#10;+ET3LJQiQtinqKAKoUml9EVFFv3UNcTR+3WtxRBlW0rdYhfhtpbzJFlIi4bjQoUNfVZU/GU3q8DI&#10;n85mx8veJbcmN5fldeXDt1LjUf+xBhGoD+/wq/2lFSzheSXeALl9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l6JD8EAAADaAAAADwAAAAAAAAAAAAAAAACXAgAAZHJzL2Rvd25y&#10;ZXYueG1sUEsFBgAAAAAEAAQA9QAAAIUDAAAAAA==&#10;" fillcolor="#0071bc" stroked="f">
              <o:lock v:ext="edit" aspectratio="t"/>
            </v:rect>
            <v:rect id="Rectangle 11" o:spid="_x0000_s1033" style="position:absolute;left:1288;top:1361;width:603;height:15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" fillcolor="#0071bc" stroked="f">
              <o:lock v:ext="edit" aspectratio="t"/>
            </v:rect>
            <v:shape id="Freeform 12" o:spid="_x0000_s1034" style="position:absolute;left:1969;top:1311;width:600;height:207;visibility:visible;mso-wrap-style:square;v-text-anchor:top" coordsize="1200,41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0F73wQAA&#10;ANoAAAAPAAAAZHJzL2Rvd25yZXYueG1sRI9Ba8JAFITvBf/D8oTe6kYPpUbXEIKlDZ6Men9kn9lg&#10;9m3Ibk38926h0OMwM98w22yynbjT4FvHCpaLBARx7XTLjYLz6fPtA4QPyBo7x6TgQR6y3exli6l2&#10;Ix/pXoVGRAj7FBWYEPpUSl8bsugXrieO3tUNFkOUQyP1gGOE206ukuRdWmw5LhjsqTBU36ofq2Cf&#10;k6H83BcVl93l63I7rNryoNTrfMo3IAJN4T/81/7WCtbweyXeALl7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8dBe98EAAADaAAAADwAAAAAAAAAAAAAAAACXAgAAZHJzL2Rvd25y&#10;ZXYueG1sUEsFBgAAAAAEAAQA9QAAAIUDA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260,42;269,44;275,50;279,57;280,65;277,73;272,80;265,84;253,85;270,101;284,95;294,84;300,71;300,55;294,42;284,31;270,25;233,102;194,73;197,25;172,88;129,9;87,9;108,40;116,44;118,52;113,58;102,59;129,67;136,60;138,51;138,41;133,33;126,27;116,25;102,102;122,70;34,21;0,69;2,83;6,92;17,100;34,103;48,101;60,93;66,83;67,69;48,71;45,81;39,85;32,86;26,84;21,78;20,25" o:connectangles="0,0,0,0,0,0,0,0,0,0,0,0,0,0,0,0,0,0,0,0,0,0,0,0,0,0,0,0,0,0,0,0,0,0,0,0,0,0,0,0,0,0,0,0,0,0,0,0,0,0,0,0,0,0"/>
              <o:lock v:ext="edit" aspectratio="t" verticies="t"/>
            </v:shape>
            <v:shape id="Freeform 13" o:spid="_x0000_s1035" style="position:absolute;left:1962;top:1081;width:1319;height:208;visibility:visible;mso-wrap-style:square;v-text-anchor:top" coordsize="2637,4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75a+xAAA&#10;ANsAAAAPAAAAZHJzL2Rvd25yZXYueG1sRE9Na8JAEL0X+h+WKfQidVMFKdFNKJaCaAU1evA2ZKdJ&#10;aHY27G5N/PddQehtHu9zFvlgWnEh5xvLCl7HCQji0uqGKwXH4vPlDYQPyBpby6TgSh7y7PFhgam2&#10;Pe/pcgiViCHsU1RQh9ClUvqyJoN+bDviyH1bZzBE6CqpHfYx3LRykiQzabDh2FBjR8uayp/Dr1Gw&#10;LNqTm371m70bfazW520li+1Oqeen4X0OItAQ/sV390rH+RO4/RIPkNk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u+WvsQAAADbAAAADwAAAAAAAAAAAAAAAACXAgAAZHJzL2Rv&#10;d25yZXYueG1sUEsFBgAAAAAEAAQA9QAAAIgDA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611,102;583,25;536,69;502,27;472,26;450,41;444,68;454,91;480,104;500,79;485,85;473,81;465,69;467,54;477,45;492,44;432,25;401,25;340,30;319,23;301,27;291,41;292,58;305,69;322,77;319,86;304,85;293,99;317,104;336,97;344,80;339,63;319,54;311,47;318,40;333,45;226,42;226,102;172,102;167,89;79,102;42,25;21,24;7,34;3,52;10,64;32,74;36,83;24,87;9,79;20,104;42,101;55,88;55,68;47,59;25,50;27,42;38,41" o:connectangles="0,0,0,0,0,0,0,0,0,0,0,0,0,0,0,0,0,0,0,0,0,0,0,0,0,0,0,0,0,0,0,0,0,0,0,0,0,0,0,0,0,0,0,0,0,0,0,0,0,0,0,0,0,0,0,0,0,0"/>
              <o:lock v:ext="edit" aspectratio="t" verticies="t"/>
            </v:shape>
            <v:shape id="Freeform 14" o:spid="_x0000_s1036" style="position:absolute;left:1962;top:851;width:679;height:208;visibility:visible;mso-wrap-style:square;v-text-anchor:top" coordsize="1358,4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H/+kwgAA&#10;ANsAAAAPAAAAZHJzL2Rvd25yZXYueG1sRE9Na8JAEL0X/A/LCF5EN1qQEl2lKlFvpSqex+yYhGZn&#10;4+5q0n/fLRR6m8f7nMWqM7V4kvOVZQWTcQKCOLe64kLB+ZSN3kD4gKyxtkwKvsnDatl7WWCqbcuf&#10;9DyGQsQQ9ikqKENoUil9XpJBP7YNceRu1hkMEbpCaodtDDe1nCbJTBqsODaU2NCmpPzr+DAKprPL&#10;dZ8divVHvbsPnb5ts2G7VWrQ797nIAJ14V/85z7oOP8Vfn+JB8jl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gf/6TCAAAA2wAAAA8AAAAAAAAAAAAAAAAAlwIAAGRycy9kb3du&#10;cmV2LnhtbFBLBQYAAAAABAAEAPUAAACGAw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321,9;340,25;291,65;216,102;265,25;175,27;159,23;145,25;136,32;131,44;131,56;136,65;154,72;162,77;161,84;153,87;142,84;130,98;147,104;163,103;176,97;183,86;183,69;178,62;165,56;152,50;152,44;158,40;166,41;116,25;93,85;93,42;53,1;54,26;33,24;15,33;3,48;0,68;6,85;21,99;41,104;59,77;49,84;38,84;30,81;23,73;21,62;25,52;32,46;42,43;54,46" o:connectangles="0,0,0,0,0,0,0,0,0,0,0,0,0,0,0,0,0,0,0,0,0,0,0,0,0,0,0,0,0,0,0,0,0,0,0,0,0,0,0,0,0,0,0,0,0,0,0,0,0,0,0"/>
              <o:lock v:ext="edit" aspectratio="t" verticies="t"/>
            </v:shape>
            <w10:wrap type="square" anchorx="page" anchory="page"/>
            <w10:anchorlock/>
          </v:group>
        </w:pict>
      </w:r>
      <w:r>
        <w:pict>
          <v:shapetype id="_x0000_t202" coordsize="21600,21600" o:spt="202" path="m,l,21600r21600,l21600,xe">
            <v:stroke joinstyle="miter"/>
            <v:path gradientshapeok="t" o:connecttype="rect"/>
          </v:shapetype>
          <v:shape id="Textové pole 2" o:spid="_x0000_s1029" type="#_x0000_t202" style="position:absolute;left:0;text-align:left;margin-left:134.3pt;margin-top:643.55pt;width:403.95pt;height:72.85pt;z-index:251656704;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" filled="f" stroked="f">
            <v:textbox inset="0,0,0,0">
              <w:txbxContent>
                <w:p w:rsidR="00583E52" w:rsidRPr="006C5577" w:rsidRDefault="00583E52" w:rsidP="004924DC">
                  <w:r>
                    <w:t>Z</w:t>
                  </w:r>
                  <w:r w:rsidRPr="006C5577">
                    <w:t xml:space="preserve">pracoval: </w:t>
                  </w:r>
                  <w:r>
                    <w:t>o</w:t>
                  </w:r>
                  <w:r w:rsidRPr="006C5577">
                    <w:t>dbor</w:t>
                  </w:r>
                  <w:r>
                    <w:t xml:space="preserve"> Kancelář předsedy, oddělení svodných analýz</w:t>
                  </w:r>
                  <w:r w:rsidRPr="006C5577">
                    <w:t xml:space="preserve"> </w:t>
                  </w:r>
                </w:p>
                <w:p w:rsidR="00583E52" w:rsidRPr="006C5577" w:rsidRDefault="00583E52" w:rsidP="004924DC">
                  <w:r w:rsidRPr="006C5577">
                    <w:t xml:space="preserve">Ředitel odboru: </w:t>
                  </w:r>
                  <w:proofErr w:type="spellStart"/>
                  <w:r>
                    <w:t>Egor</w:t>
                  </w:r>
                  <w:proofErr w:type="spellEnd"/>
                  <w:r>
                    <w:t xml:space="preserve"> </w:t>
                  </w:r>
                  <w:proofErr w:type="spellStart"/>
                  <w:r>
                    <w:t>Sidorov</w:t>
                  </w:r>
                  <w:proofErr w:type="spellEnd"/>
                  <w:r>
                    <w:t>, </w:t>
                  </w:r>
                  <w:proofErr w:type="spellStart"/>
                  <w:r>
                    <w:t>Ph.D</w:t>
                  </w:r>
                  <w:proofErr w:type="spellEnd"/>
                  <w:r>
                    <w:t>.</w:t>
                  </w:r>
                </w:p>
                <w:p w:rsidR="00583E52" w:rsidRPr="006C5577" w:rsidRDefault="00583E52" w:rsidP="004924DC">
                  <w:r w:rsidRPr="006C5577">
                    <w:t xml:space="preserve">Kontaktní osoba: </w:t>
                  </w:r>
                  <w:r>
                    <w:t>Karolína Súkupová</w:t>
                  </w:r>
                  <w:r w:rsidRPr="006C5577">
                    <w:t>,</w:t>
                  </w:r>
                  <w:r>
                    <w:t xml:space="preserve"> e-mail: karolina.sukupova@czso.cz</w:t>
                  </w:r>
                </w:p>
              </w:txbxContent>
            </v:textbox>
            <w10:wrap anchorx="page" anchory="page"/>
            <w10:anchorlock/>
          </v:shape>
        </w:pict>
      </w:r>
      <w:r>
        <w:pict>
          <v:shape id="_x0000_s1028" type="#_x0000_t202" style="position:absolute;left:0;text-align:left;margin-left:134.65pt;margin-top:368.55pt;width:403.9pt;height:132.8pt;z-index:251655680;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" filled="f" stroked="f">
            <v:textbox style="mso-fit-shape-to-text:t" inset="0,0,0,0">
              <w:txbxContent>
                <w:p w:rsidR="00583E52" w:rsidRPr="004924DC" w:rsidRDefault="00583E52" w:rsidP="004924DC">
                  <w:pPr>
                    <w:pStyle w:val="TLIdentifikace-sted"/>
                  </w:pPr>
                  <w:r>
                    <w:t>souhrnná data o České republice</w:t>
                  </w:r>
                </w:p>
                <w:p w:rsidR="00583E52" w:rsidRPr="004924DC" w:rsidRDefault="00583E52" w:rsidP="004924DC">
                  <w:pPr>
                    <w:pStyle w:val="TLIdentifikace-sted"/>
                  </w:pPr>
                  <w:r>
                    <w:t>Praha, 21. 6. 2018</w:t>
                  </w:r>
                </w:p>
                <w:p w:rsidR="00583E52" w:rsidRPr="004924DC" w:rsidRDefault="00583E52" w:rsidP="004924DC">
                  <w:pPr>
                    <w:pStyle w:val="TLIdentifikace-sted"/>
                  </w:pPr>
                  <w:r w:rsidRPr="004924DC">
                    <w:t xml:space="preserve">Kód publikace: </w:t>
                  </w:r>
                  <w:r>
                    <w:t>320193-18</w:t>
                  </w:r>
                </w:p>
                <w:p w:rsidR="00583E52" w:rsidRPr="004924DC" w:rsidRDefault="00583E52" w:rsidP="004924DC">
                  <w:pPr>
                    <w:pStyle w:val="TLIdentifikace-sted"/>
                  </w:pPr>
                  <w:r w:rsidRPr="004924DC">
                    <w:t>Č.</w:t>
                  </w:r>
                  <w:r>
                    <w:t> </w:t>
                  </w:r>
                  <w:proofErr w:type="spellStart"/>
                  <w:r w:rsidRPr="004924DC">
                    <w:t>j</w:t>
                  </w:r>
                  <w:proofErr w:type="spellEnd"/>
                  <w:r w:rsidRPr="004924DC">
                    <w:t xml:space="preserve">.: </w:t>
                  </w:r>
                  <w:r>
                    <w:t>CSU – 01919/2018-01</w:t>
                  </w:r>
                </w:p>
                <w:p w:rsidR="00583E52" w:rsidRPr="004924DC" w:rsidRDefault="00583E52" w:rsidP="004924DC">
                  <w:pPr>
                    <w:pStyle w:val="TLIdentifikace-sted"/>
                  </w:pPr>
                  <w:r w:rsidRPr="004924DC">
                    <w:t>Pořadové číslo v</w:t>
                  </w:r>
                  <w:r>
                    <w:t> </w:t>
                  </w:r>
                  <w:r w:rsidRPr="004924DC">
                    <w:t xml:space="preserve">roce: </w:t>
                  </w:r>
                  <w:r>
                    <w:t>2</w:t>
                  </w:r>
                </w:p>
              </w:txbxContent>
            </v:textbox>
            <w10:wrap anchorx="page" anchory="page"/>
            <w10:anchorlock/>
          </v:shape>
        </w:pict>
      </w:r>
      <w:r>
        <w:pict>
          <v:shape id="_x0000_s1027" type="#_x0000_t202" style="position:absolute;left:0;text-align:left;margin-left:134.65pt;margin-top:116.25pt;width:403.9pt;height:173.85pt;z-index:251654656;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" filled="f" stroked="f">
            <v:textbox style="mso-fit-shape-to-text:t" inset="0,0,0,0">
              <w:txbxContent>
                <w:p w:rsidR="00583E52" w:rsidRPr="000E6FBD" w:rsidRDefault="00583E52" w:rsidP="000E6FBD">
                  <w:pPr>
                    <w:pStyle w:val="Nzev"/>
                  </w:pPr>
                  <w:r>
                    <w:t>Vývoj ekonomiky české republiky</w:t>
                  </w:r>
                </w:p>
                <w:p w:rsidR="00583E52" w:rsidRPr="0012192F" w:rsidRDefault="00583E52" w:rsidP="0012192F">
                  <w:pPr>
                    <w:pStyle w:val="Podtitul"/>
                  </w:pPr>
                </w:p>
                <w:p w:rsidR="00583E52" w:rsidRPr="0012192F" w:rsidRDefault="00583E52" w:rsidP="0012192F">
                  <w:pPr>
                    <w:pStyle w:val="Podtitul"/>
                  </w:pPr>
                  <w:r>
                    <w:t>1. čtvrtletí 2018</w:t>
                  </w:r>
                </w:p>
              </w:txbxContent>
            </v:textbox>
            <w10:wrap anchorx="page" anchory="page"/>
            <w10:anchorlock/>
          </v:shape>
        </w:pict>
      </w:r>
      <w:r>
        <w:pict>
          <v:shape id="_x0000_s1037" type="#_x0000_t202" style="position:absolute;left:0;text-align:left;margin-left:134.65pt;margin-top:759.8pt;width:403.95pt;height:14.15pt;z-index:251658752;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" filled="f" stroked="f">
            <v:textbox inset="0,0,0,0">
              <w:txbxContent>
                <w:p w:rsidR="00583E52" w:rsidRPr="004924DC" w:rsidRDefault="00583E52" w:rsidP="004924DC">
                  <w:r w:rsidRPr="004924DC">
                    <w:t xml:space="preserve">© Český statistický úřad, </w:t>
                  </w:r>
                  <w:r>
                    <w:t>Praha</w:t>
                  </w:r>
                  <w:r w:rsidRPr="004924DC">
                    <w:t xml:space="preserve">, </w:t>
                  </w:r>
                  <w:r>
                    <w:t>2018</w:t>
                  </w:r>
                </w:p>
                <w:p w:rsidR="00583E52" w:rsidRPr="005251DD" w:rsidRDefault="00583E52" w:rsidP="00665BA4"/>
                <w:p w:rsidR="00583E52" w:rsidRPr="005251DD" w:rsidRDefault="00583E52" w:rsidP="00FC684B"/>
                <w:p w:rsidR="00583E52" w:rsidRDefault="00583E52"/>
                <w:p w:rsidR="00583E52" w:rsidRPr="00097407" w:rsidRDefault="00583E52" w:rsidP="00665BA4">
                  <w:r w:rsidRPr="00097407">
                    <w:t xml:space="preserve">© </w:t>
                  </w:r>
                  <w:r w:rsidRPr="005251DD">
                    <w:t>Český statistický úřad</w:t>
                  </w:r>
                  <w:r>
                    <w:t xml:space="preserve"> / </w:t>
                  </w:r>
                  <w:r w:rsidRPr="009A1902">
                    <w:rPr>
                      <w:i/>
                    </w:rPr>
                    <w:t xml:space="preserve">Czech </w:t>
                  </w:r>
                  <w:r w:rsidRPr="009A1902">
                    <w:rPr>
                      <w:rFonts w:cs="Arial"/>
                      <w:i/>
                      <w:szCs w:val="20"/>
                    </w:rPr>
                    <w:t>Statistical Office</w:t>
                  </w:r>
                  <w:r w:rsidRPr="00097407">
                    <w:t>, místo, rok vydání</w:t>
                  </w:r>
                </w:p>
                <w:p w:rsidR="00583E52" w:rsidRPr="005251DD" w:rsidRDefault="00583E52" w:rsidP="00665BA4"/>
                <w:p w:rsidR="00583E52" w:rsidRPr="005251DD" w:rsidRDefault="00583E52" w:rsidP="00FC684B"/>
              </w:txbxContent>
            </v:textbox>
            <w10:wrap anchorx="page" anchory="page"/>
            <w10:anchorlock/>
          </v:shape>
        </w:pict>
      </w:r>
      <w:r>
        <w:pict>
          <v:line id="Přímá spojnice 33" o:spid="_x0000_s1026" style="position:absolute;left:0;text-align:left;z-index:251653632;visibility:visible;mso-wrap-distance-top:-6e-5mm;mso-wrap-distance-bottom:-6e-5mm;mso-position-horizontal-relative:page;mso-position-vertical-relative:page;mso-width-relative:margin;mso-height-relative:margin" from="134.65pt,737.1pt" to="538.6pt,73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" o:allowincell="f" strokecolor="windowText" strokeweight="1pt">
            <o:lock v:ext="edit" shapetype="f"/>
            <w10:wrap anchorx="page" anchory="page"/>
            <w10:anchorlock/>
          </v:line>
        </w:pict>
      </w:r>
      <w:r w:rsidR="00F63FB7" w:rsidRPr="009110F7">
        <w:br w:type="page"/>
      </w:r>
      <w:r w:rsidR="00D57677" w:rsidRPr="009110F7">
        <w:lastRenderedPageBreak/>
        <w:br w:type="page"/>
      </w:r>
      <w:r>
        <w:pict>
          <v:shape id="_x0000_s1038" type="#_x0000_t202" style="position:absolute;left:0;text-align:left;margin-left:57pt;margin-top:113.4pt;width:481.85pt;height:604.2pt;z-index:251659776;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" filled="f" stroked="f">
            <v:textbox style="mso-fit-shape-to-text:t" inset="0,0,0,0">
              <w:txbxContent>
                <w:p w:rsidR="00583E52" w:rsidRPr="006F5416" w:rsidRDefault="00583E52" w:rsidP="006F5416">
                  <w:pPr>
                    <w:pStyle w:val="TLKontaktyerven"/>
                  </w:pPr>
                  <w:r w:rsidRPr="006F5416">
                    <w:t>KONTAKTY V ÚSTŘEDÍ</w:t>
                  </w:r>
                </w:p>
                <w:p w:rsidR="00583E52" w:rsidRPr="007D40DF" w:rsidRDefault="00583E52" w:rsidP="00825C4D">
                  <w:pPr>
                    <w:pStyle w:val="TLKontakty"/>
                    <w:spacing w:after="80" w:line="240" w:lineRule="auto"/>
                    <w:contextualSpacing w:val="0"/>
                    <w:rPr>
                      <w:b w:val="0"/>
                      <w:color w:val="auto"/>
                    </w:rPr>
                  </w:pPr>
                  <w:r w:rsidRPr="00D66223">
                    <w:t>Český statistický úřad</w:t>
                  </w:r>
                  <w:r w:rsidRPr="007D40DF">
                    <w:rPr>
                      <w:b w:val="0"/>
                      <w:color w:val="auto"/>
                    </w:rPr>
                    <w:t xml:space="preserve"> | Na</w:t>
                  </w:r>
                  <w:r>
                    <w:rPr>
                      <w:b w:val="0"/>
                      <w:color w:val="auto"/>
                    </w:rPr>
                    <w:t xml:space="preserve"> padesátém 81, 100 82 Praha</w:t>
                  </w:r>
                  <w:r w:rsidRPr="007D40DF">
                    <w:rPr>
                      <w:b w:val="0"/>
                      <w:color w:val="auto"/>
                    </w:rPr>
                    <w:t> </w:t>
                  </w:r>
                  <w:r>
                    <w:rPr>
                      <w:b w:val="0"/>
                      <w:color w:val="auto"/>
                    </w:rPr>
                    <w:t xml:space="preserve">10, </w:t>
                  </w:r>
                  <w:r w:rsidRPr="007D40DF">
                    <w:rPr>
                      <w:b w:val="0"/>
                      <w:color w:val="auto"/>
                    </w:rPr>
                    <w:t xml:space="preserve">tel.: 274 051 111 | </w:t>
                  </w:r>
                  <w:r w:rsidRPr="007D40DF">
                    <w:rPr>
                      <w:color w:val="auto"/>
                    </w:rPr>
                    <w:t>www.czso.cz</w:t>
                  </w:r>
                </w:p>
                <w:p w:rsidR="00583E52" w:rsidRPr="00D235B7" w:rsidRDefault="00583E52" w:rsidP="00825C4D">
                  <w:pPr>
                    <w:pStyle w:val="TLKontakty"/>
                    <w:spacing w:after="80" w:line="240" w:lineRule="auto"/>
                    <w:contextualSpacing w:val="0"/>
                    <w:rPr>
                      <w:b w:val="0"/>
                      <w:color w:val="auto"/>
                    </w:rPr>
                  </w:pPr>
                  <w:r w:rsidRPr="00D235B7">
                    <w:rPr>
                      <w:color w:val="auto"/>
                    </w:rPr>
                    <w:t>Oddělení informačních služeb</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304, 274</w:t>
                  </w:r>
                  <w:r>
                    <w:rPr>
                      <w:b w:val="0"/>
                      <w:color w:val="auto"/>
                    </w:rPr>
                    <w:t> </w:t>
                  </w:r>
                  <w:r w:rsidRPr="00D235B7">
                    <w:rPr>
                      <w:b w:val="0"/>
                      <w:color w:val="auto"/>
                    </w:rPr>
                    <w:t>052 451 | e-mail: infoservis@czso.cz</w:t>
                  </w:r>
                </w:p>
                <w:p w:rsidR="00583E52" w:rsidRPr="00D235B7" w:rsidRDefault="00583E52" w:rsidP="00825C4D">
                  <w:pPr>
                    <w:pStyle w:val="TLKontakty"/>
                    <w:spacing w:after="80" w:line="240" w:lineRule="auto"/>
                    <w:contextualSpacing w:val="0"/>
                    <w:rPr>
                      <w:b w:val="0"/>
                      <w:color w:val="auto"/>
                    </w:rPr>
                  </w:pPr>
                  <w:r w:rsidRPr="00D235B7">
                    <w:rPr>
                      <w:color w:val="auto"/>
                    </w:rPr>
                    <w:t>Prodejna publikací ČSÚ</w:t>
                  </w:r>
                  <w:r w:rsidRPr="00D235B7">
                    <w:rPr>
                      <w:b w:val="0"/>
                      <w:color w:val="auto"/>
                    </w:rPr>
                    <w:t xml:space="preserve"> | tel.: 274</w:t>
                  </w:r>
                  <w:r>
                    <w:rPr>
                      <w:b w:val="0"/>
                      <w:color w:val="auto"/>
                    </w:rPr>
                    <w:t> </w:t>
                  </w:r>
                  <w:r w:rsidRPr="00D235B7">
                    <w:rPr>
                      <w:b w:val="0"/>
                      <w:color w:val="auto"/>
                    </w:rPr>
                    <w:t>052 361 | e-mail: prodejna@czso.cz</w:t>
                  </w:r>
                </w:p>
                <w:p w:rsidR="00583E52" w:rsidRPr="00D235B7" w:rsidRDefault="00583E52" w:rsidP="00825C4D">
                  <w:pPr>
                    <w:pStyle w:val="TLKontakty"/>
                    <w:spacing w:after="80" w:line="240" w:lineRule="auto"/>
                    <w:contextualSpacing w:val="0"/>
                    <w:rPr>
                      <w:b w:val="0"/>
                      <w:color w:val="auto"/>
                    </w:rPr>
                  </w:pPr>
                  <w:r w:rsidRPr="00D235B7">
                    <w:rPr>
                      <w:color w:val="auto"/>
                    </w:rPr>
                    <w:t>Evropská data (ESDS), mezinárodní srovnání</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347, 274</w:t>
                  </w:r>
                  <w:r>
                    <w:rPr>
                      <w:b w:val="0"/>
                      <w:color w:val="auto"/>
                    </w:rPr>
                    <w:t> </w:t>
                  </w:r>
                  <w:r w:rsidRPr="00D235B7">
                    <w:rPr>
                      <w:b w:val="0"/>
                      <w:color w:val="auto"/>
                    </w:rPr>
                    <w:t>052 757 | e-mail: esds@czso.cz</w:t>
                  </w:r>
                </w:p>
                <w:p w:rsidR="00583E52" w:rsidRPr="00D235B7" w:rsidRDefault="00583E52" w:rsidP="00825C4D">
                  <w:pPr>
                    <w:pStyle w:val="TLKontakty"/>
                    <w:spacing w:after="80" w:line="240" w:lineRule="auto"/>
                    <w:contextualSpacing w:val="0"/>
                    <w:rPr>
                      <w:b w:val="0"/>
                      <w:color w:val="auto"/>
                    </w:rPr>
                  </w:pPr>
                  <w:r w:rsidRPr="00D235B7">
                    <w:rPr>
                      <w:color w:val="auto"/>
                    </w:rPr>
                    <w:t>Ústřední statistická knihovna</w:t>
                  </w:r>
                  <w:r w:rsidRPr="00D235B7">
                    <w:rPr>
                      <w:b w:val="0"/>
                      <w:color w:val="auto"/>
                    </w:rPr>
                    <w:t xml:space="preserve"> | tel.: 274</w:t>
                  </w:r>
                  <w:r>
                    <w:rPr>
                      <w:b w:val="0"/>
                      <w:color w:val="auto"/>
                    </w:rPr>
                    <w:t> </w:t>
                  </w:r>
                  <w:r w:rsidRPr="00D235B7">
                    <w:rPr>
                      <w:b w:val="0"/>
                      <w:color w:val="auto"/>
                    </w:rPr>
                    <w:t>052 361 | e-mail: knihovna@czso.cz</w:t>
                  </w:r>
                </w:p>
                <w:p w:rsidR="00583E52" w:rsidRPr="004A61C5" w:rsidRDefault="00583E52" w:rsidP="00825C4D">
                  <w:pPr>
                    <w:pStyle w:val="TLKontakty"/>
                    <w:spacing w:after="80" w:line="240" w:lineRule="auto"/>
                    <w:contextualSpacing w:val="0"/>
                    <w:rPr>
                      <w:color w:val="auto"/>
                    </w:rPr>
                  </w:pPr>
                </w:p>
                <w:p w:rsidR="00583E52" w:rsidRPr="00D66223" w:rsidRDefault="00583E52" w:rsidP="00D66223">
                  <w:pPr>
                    <w:pStyle w:val="TLKontaktyerven"/>
                  </w:pPr>
                  <w:r w:rsidRPr="00D66223">
                    <w:t>INFORMAČNÍ SLUŽBY V REGIONECH</w:t>
                  </w:r>
                </w:p>
                <w:p w:rsidR="00583E52" w:rsidRPr="00992CF3" w:rsidRDefault="00583E52" w:rsidP="00825C4D">
                  <w:pPr>
                    <w:pStyle w:val="TLKontakty"/>
                    <w:spacing w:after="80" w:line="240" w:lineRule="auto"/>
                    <w:rPr>
                      <w:b w:val="0"/>
                      <w:color w:val="auto"/>
                    </w:rPr>
                  </w:pPr>
                  <w:r w:rsidRPr="00D66223">
                    <w:t>Hl. m. Praha</w:t>
                  </w:r>
                  <w:r w:rsidRPr="00992CF3">
                    <w:rPr>
                      <w:b w:val="0"/>
                      <w:color w:val="auto"/>
                    </w:rPr>
                    <w:t xml:space="preserve"> | Na</w:t>
                  </w:r>
                  <w:r>
                    <w:rPr>
                      <w:b w:val="0"/>
                      <w:color w:val="auto"/>
                    </w:rPr>
                    <w:t xml:space="preserve"> padesátém 81, 100 82 Praha 10, </w:t>
                  </w:r>
                  <w:r w:rsidRPr="00992CF3">
                    <w:rPr>
                      <w:b w:val="0"/>
                      <w:color w:val="auto"/>
                    </w:rPr>
                    <w:t>tel.</w:t>
                  </w:r>
                  <w:r w:rsidRPr="007D40DF">
                    <w:rPr>
                      <w:b w:val="0"/>
                      <w:color w:val="auto"/>
                    </w:rPr>
                    <w:t>:</w:t>
                  </w:r>
                  <w:r>
                    <w:rPr>
                      <w:b w:val="0"/>
                      <w:color w:val="auto"/>
                    </w:rPr>
                    <w:t xml:space="preserve"> 274 052 673, </w:t>
                  </w:r>
                  <w:r w:rsidRPr="00992CF3">
                    <w:rPr>
                      <w:b w:val="0"/>
                      <w:color w:val="auto"/>
                    </w:rPr>
                    <w:t>274</w:t>
                  </w:r>
                  <w:r>
                    <w:rPr>
                      <w:b w:val="0"/>
                      <w:color w:val="auto"/>
                    </w:rPr>
                    <w:t> </w:t>
                  </w:r>
                  <w:r w:rsidRPr="00992CF3">
                    <w:rPr>
                      <w:b w:val="0"/>
                      <w:color w:val="auto"/>
                    </w:rPr>
                    <w:t>054</w:t>
                  </w:r>
                  <w:r>
                    <w:rPr>
                      <w:b w:val="0"/>
                      <w:color w:val="auto"/>
                    </w:rPr>
                    <w:t> </w:t>
                  </w:r>
                  <w:r w:rsidRPr="00992CF3">
                    <w:rPr>
                      <w:b w:val="0"/>
                      <w:color w:val="auto"/>
                    </w:rPr>
                    <w:t>223</w:t>
                  </w:r>
                </w:p>
                <w:p w:rsidR="00583E52" w:rsidRPr="00992CF3" w:rsidRDefault="00583E52" w:rsidP="00825C4D">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rsidR="00583E52" w:rsidRPr="004A61C5" w:rsidRDefault="00583E52" w:rsidP="00825C4D">
                  <w:pPr>
                    <w:pStyle w:val="TLKontakty"/>
                    <w:spacing w:after="80" w:line="240" w:lineRule="auto"/>
                    <w:rPr>
                      <w:color w:val="auto"/>
                    </w:rPr>
                  </w:pPr>
                </w:p>
                <w:p w:rsidR="00583E52" w:rsidRPr="00992CF3" w:rsidRDefault="00583E52" w:rsidP="00825C4D">
                  <w:pPr>
                    <w:pStyle w:val="TLKontakty"/>
                    <w:spacing w:after="80" w:line="240" w:lineRule="auto"/>
                    <w:rPr>
                      <w:b w:val="0"/>
                      <w:color w:val="auto"/>
                    </w:rPr>
                  </w:pPr>
                  <w:r w:rsidRPr="00D66223">
                    <w:t>Středočeský kraj</w:t>
                  </w:r>
                  <w:r w:rsidRPr="00992CF3">
                    <w:rPr>
                      <w:b w:val="0"/>
                      <w:color w:val="auto"/>
                    </w:rPr>
                    <w:t xml:space="preserve"> | Na padesátém</w:t>
                  </w:r>
                  <w:r>
                    <w:rPr>
                      <w:b w:val="0"/>
                      <w:color w:val="auto"/>
                    </w:rPr>
                    <w:t> </w:t>
                  </w:r>
                  <w:r w:rsidRPr="00992CF3">
                    <w:rPr>
                      <w:b w:val="0"/>
                      <w:color w:val="auto"/>
                    </w:rPr>
                    <w:t>81, 100</w:t>
                  </w:r>
                  <w:r>
                    <w:rPr>
                      <w:b w:val="0"/>
                      <w:color w:val="auto"/>
                    </w:rPr>
                    <w:t> </w:t>
                  </w:r>
                  <w:r w:rsidRPr="00992CF3">
                    <w:rPr>
                      <w:b w:val="0"/>
                      <w:color w:val="auto"/>
                    </w:rPr>
                    <w:t>82 Praha</w:t>
                  </w:r>
                  <w:r>
                    <w:rPr>
                      <w:b w:val="0"/>
                      <w:color w:val="auto"/>
                    </w:rPr>
                    <w:t> </w:t>
                  </w:r>
                  <w:r w:rsidRPr="00992CF3">
                    <w:rPr>
                      <w:b w:val="0"/>
                      <w:color w:val="auto"/>
                    </w:rPr>
                    <w:t>10, tel.</w:t>
                  </w:r>
                  <w:r>
                    <w:rPr>
                      <w:b w:val="0"/>
                      <w:color w:val="auto"/>
                    </w:rPr>
                    <w:t xml:space="preserve">: </w:t>
                  </w:r>
                  <w:r w:rsidRPr="00992CF3">
                    <w:rPr>
                      <w:b w:val="0"/>
                      <w:color w:val="auto"/>
                    </w:rPr>
                    <w:t>274</w:t>
                  </w:r>
                  <w:r>
                    <w:rPr>
                      <w:b w:val="0"/>
                      <w:color w:val="auto"/>
                    </w:rPr>
                    <w:t> </w:t>
                  </w:r>
                  <w:r w:rsidRPr="00992CF3">
                    <w:rPr>
                      <w:b w:val="0"/>
                      <w:color w:val="auto"/>
                    </w:rPr>
                    <w:t>054 175</w:t>
                  </w:r>
                </w:p>
                <w:p w:rsidR="00583E52" w:rsidRPr="00992CF3" w:rsidRDefault="00583E52" w:rsidP="00825C4D">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rsidR="00583E52" w:rsidRPr="004A61C5" w:rsidRDefault="00583E52" w:rsidP="00825C4D">
                  <w:pPr>
                    <w:pStyle w:val="TLKontakty"/>
                    <w:spacing w:after="80" w:line="240" w:lineRule="auto"/>
                    <w:rPr>
                      <w:color w:val="auto"/>
                    </w:rPr>
                  </w:pPr>
                </w:p>
                <w:p w:rsidR="00583E52" w:rsidRPr="00992CF3" w:rsidRDefault="00583E52" w:rsidP="00825C4D">
                  <w:pPr>
                    <w:pStyle w:val="TLKontakty"/>
                    <w:spacing w:after="80" w:line="240" w:lineRule="auto"/>
                    <w:rPr>
                      <w:b w:val="0"/>
                      <w:color w:val="auto"/>
                    </w:rPr>
                  </w:pPr>
                  <w:r w:rsidRPr="00D66223">
                    <w:t>České Budějovice</w:t>
                  </w:r>
                  <w:r w:rsidRPr="00992CF3">
                    <w:rPr>
                      <w:b w:val="0"/>
                      <w:color w:val="auto"/>
                    </w:rPr>
                    <w:t xml:space="preserve"> | Žižkova</w:t>
                  </w:r>
                  <w:r>
                    <w:rPr>
                      <w:b w:val="0"/>
                      <w:color w:val="auto"/>
                    </w:rPr>
                    <w:t> </w:t>
                  </w:r>
                  <w:r w:rsidRPr="00992CF3">
                    <w:rPr>
                      <w:b w:val="0"/>
                      <w:color w:val="auto"/>
                    </w:rPr>
                    <w:t>1, 370</w:t>
                  </w:r>
                  <w:r>
                    <w:rPr>
                      <w:b w:val="0"/>
                      <w:color w:val="auto"/>
                    </w:rPr>
                    <w:t> </w:t>
                  </w:r>
                  <w:r w:rsidRPr="00992CF3">
                    <w:rPr>
                      <w:b w:val="0"/>
                      <w:color w:val="auto"/>
                    </w:rPr>
                    <w:t>77 České Budějovice</w:t>
                  </w:r>
                  <w:r>
                    <w:rPr>
                      <w:b w:val="0"/>
                      <w:color w:val="auto"/>
                    </w:rPr>
                    <w:t xml:space="preserve">, </w:t>
                  </w:r>
                  <w:r w:rsidRPr="00992CF3">
                    <w:rPr>
                      <w:b w:val="0"/>
                      <w:color w:val="auto"/>
                    </w:rPr>
                    <w:t>tel.</w:t>
                  </w:r>
                  <w:r>
                    <w:rPr>
                      <w:b w:val="0"/>
                      <w:color w:val="auto"/>
                    </w:rPr>
                    <w:t xml:space="preserve">: </w:t>
                  </w:r>
                  <w:r w:rsidRPr="00992CF3">
                    <w:rPr>
                      <w:b w:val="0"/>
                      <w:color w:val="auto"/>
                    </w:rPr>
                    <w:t>386</w:t>
                  </w:r>
                  <w:r>
                    <w:rPr>
                      <w:b w:val="0"/>
                      <w:color w:val="auto"/>
                    </w:rPr>
                    <w:t> </w:t>
                  </w:r>
                  <w:r w:rsidRPr="00992CF3">
                    <w:rPr>
                      <w:b w:val="0"/>
                      <w:color w:val="auto"/>
                    </w:rPr>
                    <w:t>718 440</w:t>
                  </w:r>
                </w:p>
                <w:p w:rsidR="00583E52" w:rsidRPr="00992CF3" w:rsidRDefault="00583E52" w:rsidP="00825C4D">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rsidR="00583E52" w:rsidRPr="004A61C5" w:rsidRDefault="00583E52" w:rsidP="00825C4D">
                  <w:pPr>
                    <w:pStyle w:val="TLKontakty"/>
                    <w:spacing w:after="80" w:line="240" w:lineRule="auto"/>
                    <w:rPr>
                      <w:color w:val="auto"/>
                    </w:rPr>
                  </w:pPr>
                </w:p>
                <w:p w:rsidR="00583E52" w:rsidRPr="00BC731E" w:rsidRDefault="00583E52" w:rsidP="00825C4D">
                  <w:pPr>
                    <w:pStyle w:val="TLKontakty"/>
                    <w:spacing w:after="80" w:line="240" w:lineRule="auto"/>
                    <w:rPr>
                      <w:b w:val="0"/>
                      <w:color w:val="auto"/>
                    </w:rPr>
                  </w:pPr>
                  <w:r w:rsidRPr="00D66223">
                    <w:t>Plzeň</w:t>
                  </w:r>
                  <w:r w:rsidRPr="004A61C5">
                    <w:rPr>
                      <w:b w:val="0"/>
                      <w:color w:val="auto"/>
                    </w:rPr>
                    <w:t xml:space="preserve"> | Slovanská alej</w:t>
                  </w:r>
                  <w:r>
                    <w:rPr>
                      <w:b w:val="0"/>
                      <w:color w:val="auto"/>
                    </w:rPr>
                    <w:t> </w:t>
                  </w:r>
                  <w:r w:rsidRPr="004A61C5">
                    <w:rPr>
                      <w:b w:val="0"/>
                      <w:color w:val="auto"/>
                    </w:rPr>
                    <w:t>36, 326</w:t>
                  </w:r>
                  <w:r>
                    <w:rPr>
                      <w:b w:val="0"/>
                      <w:color w:val="auto"/>
                    </w:rPr>
                    <w:t> </w:t>
                  </w:r>
                  <w:r w:rsidRPr="004A61C5">
                    <w:rPr>
                      <w:b w:val="0"/>
                      <w:color w:val="auto"/>
                    </w:rPr>
                    <w:t>64 Plzeň</w:t>
                  </w:r>
                  <w:r>
                    <w:rPr>
                      <w:b w:val="0"/>
                      <w:color w:val="auto"/>
                    </w:rPr>
                    <w:t xml:space="preserve">, </w:t>
                  </w:r>
                  <w:r w:rsidRPr="004A61C5">
                    <w:rPr>
                      <w:b w:val="0"/>
                      <w:color w:val="auto"/>
                    </w:rPr>
                    <w:t>tel.</w:t>
                  </w:r>
                  <w:r>
                    <w:rPr>
                      <w:b w:val="0"/>
                      <w:color w:val="auto"/>
                    </w:rPr>
                    <w:t xml:space="preserve">: </w:t>
                  </w:r>
                  <w:r w:rsidRPr="004A61C5">
                    <w:rPr>
                      <w:b w:val="0"/>
                      <w:color w:val="auto"/>
                    </w:rPr>
                    <w:t>377</w:t>
                  </w:r>
                  <w:r>
                    <w:rPr>
                      <w:b w:val="0"/>
                      <w:color w:val="auto"/>
                    </w:rPr>
                    <w:t> </w:t>
                  </w:r>
                  <w:r w:rsidRPr="004A61C5">
                    <w:rPr>
                      <w:b w:val="0"/>
                      <w:color w:val="auto"/>
                    </w:rPr>
                    <w:t>612</w:t>
                  </w:r>
                  <w:r>
                    <w:rPr>
                      <w:b w:val="0"/>
                      <w:color w:val="auto"/>
                    </w:rPr>
                    <w:t> </w:t>
                  </w:r>
                  <w:r w:rsidRPr="004A61C5">
                    <w:rPr>
                      <w:b w:val="0"/>
                      <w:color w:val="auto"/>
                    </w:rPr>
                    <w:t>108</w:t>
                  </w:r>
                  <w:r w:rsidRPr="00BC731E">
                    <w:rPr>
                      <w:b w:val="0"/>
                      <w:color w:val="auto"/>
                    </w:rPr>
                    <w:t>, 377 612 145</w:t>
                  </w:r>
                </w:p>
                <w:p w:rsidR="00583E52" w:rsidRPr="004A61C5" w:rsidRDefault="00583E52" w:rsidP="00825C4D">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rsidR="00583E52" w:rsidRPr="004A61C5" w:rsidRDefault="00583E52" w:rsidP="00825C4D">
                  <w:pPr>
                    <w:pStyle w:val="TLKontakty"/>
                    <w:spacing w:after="80" w:line="240" w:lineRule="auto"/>
                    <w:rPr>
                      <w:color w:val="auto"/>
                    </w:rPr>
                  </w:pPr>
                </w:p>
                <w:p w:rsidR="00583E52" w:rsidRPr="004A61C5" w:rsidRDefault="00583E52" w:rsidP="00825C4D">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w:t>
                  </w:r>
                  <w:r>
                    <w:rPr>
                      <w:b w:val="0"/>
                      <w:color w:val="auto"/>
                    </w:rPr>
                    <w:t> </w:t>
                  </w:r>
                  <w:r w:rsidRPr="00095135">
                    <w:rPr>
                      <w:b w:val="0"/>
                      <w:color w:val="auto"/>
                    </w:rPr>
                    <w:t>360/94, 360</w:t>
                  </w:r>
                  <w:r>
                    <w:rPr>
                      <w:b w:val="0"/>
                      <w:color w:val="auto"/>
                    </w:rPr>
                    <w:t> </w:t>
                  </w:r>
                  <w:r w:rsidRPr="00095135">
                    <w:rPr>
                      <w:b w:val="0"/>
                      <w:color w:val="auto"/>
                    </w:rPr>
                    <w:t>06 Karlovy Vary</w:t>
                  </w:r>
                  <w:r w:rsidRPr="004A61C5">
                    <w:rPr>
                      <w:b w:val="0"/>
                      <w:color w:val="auto"/>
                    </w:rPr>
                    <w:t>, tel.</w:t>
                  </w:r>
                  <w:r>
                    <w:rPr>
                      <w:b w:val="0"/>
                      <w:color w:val="auto"/>
                    </w:rPr>
                    <w:t xml:space="preserve">: </w:t>
                  </w:r>
                  <w:r w:rsidRPr="004A61C5">
                    <w:rPr>
                      <w:b w:val="0"/>
                      <w:color w:val="auto"/>
                    </w:rPr>
                    <w:t>353</w:t>
                  </w:r>
                  <w:r>
                    <w:rPr>
                      <w:b w:val="0"/>
                      <w:color w:val="auto"/>
                    </w:rPr>
                    <w:t> </w:t>
                  </w:r>
                  <w:r w:rsidRPr="004A61C5">
                    <w:rPr>
                      <w:b w:val="0"/>
                      <w:color w:val="auto"/>
                    </w:rPr>
                    <w:t>114</w:t>
                  </w:r>
                  <w:r>
                    <w:rPr>
                      <w:b w:val="0"/>
                      <w:color w:val="auto"/>
                    </w:rPr>
                    <w:t> </w:t>
                  </w:r>
                  <w:r w:rsidRPr="004A61C5">
                    <w:rPr>
                      <w:b w:val="0"/>
                      <w:color w:val="auto"/>
                    </w:rPr>
                    <w:t>529, 353</w:t>
                  </w:r>
                  <w:r>
                    <w:rPr>
                      <w:b w:val="0"/>
                      <w:color w:val="auto"/>
                    </w:rPr>
                    <w:t> </w:t>
                  </w:r>
                  <w:r w:rsidRPr="004A61C5">
                    <w:rPr>
                      <w:b w:val="0"/>
                      <w:color w:val="auto"/>
                    </w:rPr>
                    <w:t>114 525</w:t>
                  </w:r>
                </w:p>
                <w:p w:rsidR="00583E52" w:rsidRPr="004A61C5" w:rsidRDefault="00583E52" w:rsidP="00825C4D">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rsidR="00583E52" w:rsidRPr="004A61C5" w:rsidRDefault="00583E52" w:rsidP="00825C4D">
                  <w:pPr>
                    <w:pStyle w:val="TLKontakty"/>
                    <w:spacing w:after="80" w:line="240" w:lineRule="auto"/>
                    <w:rPr>
                      <w:color w:val="auto"/>
                    </w:rPr>
                  </w:pPr>
                </w:p>
                <w:p w:rsidR="00583E52" w:rsidRPr="004A61C5" w:rsidRDefault="00583E52" w:rsidP="00825C4D">
                  <w:pPr>
                    <w:pStyle w:val="TLKontakty"/>
                    <w:spacing w:after="80" w:line="240" w:lineRule="auto"/>
                    <w:rPr>
                      <w:b w:val="0"/>
                      <w:color w:val="auto"/>
                    </w:rPr>
                  </w:pPr>
                  <w:r w:rsidRPr="00D66223">
                    <w:t>Ústí nad Labem</w:t>
                  </w:r>
                  <w:r w:rsidRPr="004A61C5">
                    <w:rPr>
                      <w:b w:val="0"/>
                      <w:color w:val="auto"/>
                    </w:rPr>
                    <w:t xml:space="preserve"> | </w:t>
                  </w:r>
                  <w:proofErr w:type="spellStart"/>
                  <w:r w:rsidRPr="004A61C5">
                    <w:rPr>
                      <w:b w:val="0"/>
                      <w:color w:val="auto"/>
                    </w:rPr>
                    <w:t>Špálova</w:t>
                  </w:r>
                  <w:proofErr w:type="spellEnd"/>
                  <w:r>
                    <w:rPr>
                      <w:b w:val="0"/>
                      <w:color w:val="auto"/>
                    </w:rPr>
                    <w:t> </w:t>
                  </w:r>
                  <w:r w:rsidRPr="004A61C5">
                    <w:rPr>
                      <w:b w:val="0"/>
                      <w:color w:val="auto"/>
                    </w:rPr>
                    <w:t>2684, 400</w:t>
                  </w:r>
                  <w:r>
                    <w:rPr>
                      <w:b w:val="0"/>
                      <w:color w:val="auto"/>
                    </w:rPr>
                    <w:t> </w:t>
                  </w:r>
                  <w:r w:rsidRPr="004A61C5">
                    <w:rPr>
                      <w:b w:val="0"/>
                      <w:color w:val="auto"/>
                    </w:rPr>
                    <w:t>11 Ústí nad Labem</w:t>
                  </w:r>
                  <w:r>
                    <w:rPr>
                      <w:b w:val="0"/>
                      <w:color w:val="auto"/>
                    </w:rPr>
                    <w:t xml:space="preserve">, </w:t>
                  </w:r>
                  <w:r w:rsidRPr="004A61C5">
                    <w:rPr>
                      <w:b w:val="0"/>
                      <w:color w:val="auto"/>
                    </w:rPr>
                    <w:t>tel.</w:t>
                  </w:r>
                  <w:r>
                    <w:rPr>
                      <w:b w:val="0"/>
                      <w:color w:val="auto"/>
                    </w:rPr>
                    <w:t xml:space="preserve">: </w:t>
                  </w:r>
                  <w:r w:rsidRPr="004A61C5">
                    <w:rPr>
                      <w:b w:val="0"/>
                      <w:color w:val="auto"/>
                    </w:rPr>
                    <w:t>472</w:t>
                  </w:r>
                  <w:r>
                    <w:rPr>
                      <w:b w:val="0"/>
                      <w:color w:val="auto"/>
                    </w:rPr>
                    <w:t> </w:t>
                  </w:r>
                  <w:r w:rsidRPr="004A61C5">
                    <w:rPr>
                      <w:b w:val="0"/>
                      <w:color w:val="auto"/>
                    </w:rPr>
                    <w:t>706</w:t>
                  </w:r>
                  <w:r>
                    <w:rPr>
                      <w:b w:val="0"/>
                      <w:color w:val="auto"/>
                    </w:rPr>
                    <w:t> </w:t>
                  </w:r>
                  <w:r w:rsidRPr="004A61C5">
                    <w:rPr>
                      <w:b w:val="0"/>
                      <w:color w:val="auto"/>
                    </w:rPr>
                    <w:t>176,</w:t>
                  </w:r>
                  <w:r>
                    <w:rPr>
                      <w:b w:val="0"/>
                      <w:color w:val="auto"/>
                    </w:rPr>
                    <w:t xml:space="preserve"> </w:t>
                  </w:r>
                  <w:r w:rsidRPr="004A61C5">
                    <w:rPr>
                      <w:b w:val="0"/>
                      <w:color w:val="auto"/>
                    </w:rPr>
                    <w:t>472</w:t>
                  </w:r>
                  <w:r>
                    <w:rPr>
                      <w:b w:val="0"/>
                      <w:color w:val="auto"/>
                    </w:rPr>
                    <w:t> </w:t>
                  </w:r>
                  <w:r w:rsidRPr="004A61C5">
                    <w:rPr>
                      <w:b w:val="0"/>
                      <w:color w:val="auto"/>
                    </w:rPr>
                    <w:t>706 121</w:t>
                  </w:r>
                </w:p>
                <w:p w:rsidR="00583E52" w:rsidRPr="004A61C5" w:rsidRDefault="00583E52" w:rsidP="00825C4D">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rsidR="00583E52" w:rsidRPr="004A61C5" w:rsidRDefault="00583E52" w:rsidP="00825C4D">
                  <w:pPr>
                    <w:pStyle w:val="TLKontakty"/>
                    <w:spacing w:after="80" w:line="240" w:lineRule="auto"/>
                    <w:rPr>
                      <w:color w:val="auto"/>
                    </w:rPr>
                  </w:pPr>
                </w:p>
                <w:p w:rsidR="00583E52" w:rsidRPr="004A61C5" w:rsidRDefault="00583E52" w:rsidP="00825C4D">
                  <w:pPr>
                    <w:pStyle w:val="TLKontakty"/>
                    <w:spacing w:after="80" w:line="240" w:lineRule="auto"/>
                    <w:rPr>
                      <w:b w:val="0"/>
                      <w:color w:val="auto"/>
                    </w:rPr>
                  </w:pPr>
                  <w:r w:rsidRPr="00D66223">
                    <w:t>Liberec</w:t>
                  </w:r>
                  <w:r w:rsidRPr="004A61C5">
                    <w:rPr>
                      <w:b w:val="0"/>
                      <w:color w:val="auto"/>
                    </w:rPr>
                    <w:t xml:space="preserve"> | </w:t>
                  </w:r>
                  <w:r>
                    <w:rPr>
                      <w:b w:val="0"/>
                      <w:color w:val="auto"/>
                    </w:rPr>
                    <w:t>n</w:t>
                  </w:r>
                  <w:r w:rsidRPr="004A61C5">
                    <w:rPr>
                      <w:b w:val="0"/>
                      <w:color w:val="auto"/>
                    </w:rPr>
                    <w:t>ám. Dr.</w:t>
                  </w:r>
                  <w:r>
                    <w:rPr>
                      <w:b w:val="0"/>
                      <w:color w:val="auto"/>
                    </w:rPr>
                    <w:t> </w:t>
                  </w:r>
                  <w:r w:rsidRPr="004A61C5">
                    <w:rPr>
                      <w:b w:val="0"/>
                      <w:color w:val="auto"/>
                    </w:rPr>
                    <w:t>Edvarda Beneše</w:t>
                  </w:r>
                  <w:r>
                    <w:rPr>
                      <w:b w:val="0"/>
                      <w:color w:val="auto"/>
                    </w:rPr>
                    <w:t> </w:t>
                  </w:r>
                  <w:r w:rsidRPr="004A61C5">
                    <w:rPr>
                      <w:b w:val="0"/>
                      <w:color w:val="auto"/>
                    </w:rPr>
                    <w:t>585/26, 460</w:t>
                  </w:r>
                  <w:r>
                    <w:rPr>
                      <w:b w:val="0"/>
                      <w:color w:val="auto"/>
                    </w:rPr>
                    <w:t> </w:t>
                  </w:r>
                  <w:r w:rsidRPr="004A61C5">
                    <w:rPr>
                      <w:b w:val="0"/>
                      <w:color w:val="auto"/>
                    </w:rPr>
                    <w:t>01 Liberec</w:t>
                  </w:r>
                  <w:r>
                    <w:rPr>
                      <w:b w:val="0"/>
                      <w:color w:val="auto"/>
                    </w:rPr>
                    <w:t> </w:t>
                  </w:r>
                  <w:r w:rsidRPr="004A61C5">
                    <w:rPr>
                      <w:b w:val="0"/>
                      <w:color w:val="auto"/>
                    </w:rPr>
                    <w:t>1, tel.</w:t>
                  </w:r>
                  <w:r>
                    <w:rPr>
                      <w:b w:val="0"/>
                      <w:color w:val="auto"/>
                    </w:rPr>
                    <w:t xml:space="preserve">: </w:t>
                  </w:r>
                  <w:r w:rsidRPr="004A61C5">
                    <w:rPr>
                      <w:b w:val="0"/>
                      <w:color w:val="auto"/>
                    </w:rPr>
                    <w:t>485</w:t>
                  </w:r>
                  <w:r>
                    <w:rPr>
                      <w:b w:val="0"/>
                      <w:color w:val="auto"/>
                    </w:rPr>
                    <w:t> </w:t>
                  </w:r>
                  <w:r w:rsidRPr="004A61C5">
                    <w:rPr>
                      <w:b w:val="0"/>
                      <w:color w:val="auto"/>
                    </w:rPr>
                    <w:t>238 811</w:t>
                  </w:r>
                </w:p>
                <w:p w:rsidR="00583E52" w:rsidRPr="004A61C5" w:rsidRDefault="00583E52" w:rsidP="00825C4D">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rsidR="00583E52" w:rsidRPr="004A61C5" w:rsidRDefault="00583E52" w:rsidP="00825C4D">
                  <w:pPr>
                    <w:pStyle w:val="TLKontakty"/>
                    <w:spacing w:after="80" w:line="240" w:lineRule="auto"/>
                    <w:rPr>
                      <w:b w:val="0"/>
                      <w:color w:val="auto"/>
                    </w:rPr>
                  </w:pPr>
                </w:p>
                <w:p w:rsidR="00583E52" w:rsidRPr="004A61C5" w:rsidRDefault="00583E52" w:rsidP="00825C4D">
                  <w:pPr>
                    <w:pStyle w:val="TLKontakty"/>
                    <w:spacing w:after="80" w:line="240" w:lineRule="auto"/>
                    <w:rPr>
                      <w:b w:val="0"/>
                      <w:color w:val="auto"/>
                    </w:rPr>
                  </w:pPr>
                  <w:r w:rsidRPr="00D66223">
                    <w:t>Hradec Králové</w:t>
                  </w:r>
                  <w:r w:rsidRPr="004A61C5">
                    <w:rPr>
                      <w:b w:val="0"/>
                      <w:color w:val="auto"/>
                    </w:rPr>
                    <w:t xml:space="preserve"> | Myslivečkova</w:t>
                  </w:r>
                  <w:r>
                    <w:rPr>
                      <w:b w:val="0"/>
                      <w:color w:val="auto"/>
                    </w:rPr>
                    <w:t> </w:t>
                  </w:r>
                  <w:r w:rsidRPr="004A61C5">
                    <w:rPr>
                      <w:b w:val="0"/>
                      <w:color w:val="auto"/>
                    </w:rPr>
                    <w:t>914, 500</w:t>
                  </w:r>
                  <w:r>
                    <w:rPr>
                      <w:b w:val="0"/>
                      <w:color w:val="auto"/>
                    </w:rPr>
                    <w:t> </w:t>
                  </w:r>
                  <w:r w:rsidRPr="004A61C5">
                    <w:rPr>
                      <w:b w:val="0"/>
                      <w:color w:val="auto"/>
                    </w:rPr>
                    <w:t>03 Hradec Králové</w:t>
                  </w:r>
                  <w:r>
                    <w:rPr>
                      <w:b w:val="0"/>
                      <w:color w:val="auto"/>
                    </w:rPr>
                    <w:t> </w:t>
                  </w:r>
                  <w:r w:rsidRPr="004A61C5">
                    <w:rPr>
                      <w:b w:val="0"/>
                      <w:color w:val="auto"/>
                    </w:rPr>
                    <w:t xml:space="preserve">3, </w:t>
                  </w:r>
                  <w:r>
                    <w:rPr>
                      <w:b w:val="0"/>
                      <w:color w:val="auto"/>
                    </w:rPr>
                    <w:t>tel.</w:t>
                  </w:r>
                  <w:r w:rsidRPr="007D40DF">
                    <w:rPr>
                      <w:b w:val="0"/>
                      <w:color w:val="auto"/>
                    </w:rPr>
                    <w:t>:</w:t>
                  </w:r>
                  <w:r>
                    <w:rPr>
                      <w:b w:val="0"/>
                      <w:color w:val="auto"/>
                    </w:rPr>
                    <w:t xml:space="preserve"> </w:t>
                  </w:r>
                  <w:r w:rsidRPr="004A61C5">
                    <w:rPr>
                      <w:b w:val="0"/>
                      <w:color w:val="auto"/>
                    </w:rPr>
                    <w:t>495</w:t>
                  </w:r>
                  <w:r>
                    <w:rPr>
                      <w:b w:val="0"/>
                      <w:color w:val="auto"/>
                    </w:rPr>
                    <w:t> </w:t>
                  </w:r>
                  <w:r w:rsidRPr="004A61C5">
                    <w:rPr>
                      <w:b w:val="0"/>
                      <w:color w:val="auto"/>
                    </w:rPr>
                    <w:t>762</w:t>
                  </w:r>
                  <w:r>
                    <w:rPr>
                      <w:b w:val="0"/>
                      <w:color w:val="auto"/>
                    </w:rPr>
                    <w:t> </w:t>
                  </w:r>
                  <w:r w:rsidRPr="004A61C5">
                    <w:rPr>
                      <w:b w:val="0"/>
                      <w:color w:val="auto"/>
                    </w:rPr>
                    <w:t>322,</w:t>
                  </w:r>
                  <w:r>
                    <w:rPr>
                      <w:b w:val="0"/>
                      <w:color w:val="auto"/>
                    </w:rPr>
                    <w:t xml:space="preserve"> </w:t>
                  </w:r>
                  <w:r w:rsidRPr="004A61C5">
                    <w:rPr>
                      <w:b w:val="0"/>
                      <w:color w:val="auto"/>
                    </w:rPr>
                    <w:t>495</w:t>
                  </w:r>
                  <w:r>
                    <w:rPr>
                      <w:b w:val="0"/>
                      <w:color w:val="auto"/>
                    </w:rPr>
                    <w:t> </w:t>
                  </w:r>
                  <w:r w:rsidRPr="004A61C5">
                    <w:rPr>
                      <w:b w:val="0"/>
                      <w:color w:val="auto"/>
                    </w:rPr>
                    <w:t>762 317</w:t>
                  </w:r>
                </w:p>
                <w:p w:rsidR="00583E52" w:rsidRPr="004A61C5" w:rsidRDefault="00583E52" w:rsidP="00825C4D">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rsidR="00583E52" w:rsidRPr="004A61C5" w:rsidRDefault="00583E52" w:rsidP="00825C4D">
                  <w:pPr>
                    <w:pStyle w:val="TLKontakty"/>
                    <w:spacing w:after="80" w:line="240" w:lineRule="auto"/>
                    <w:rPr>
                      <w:color w:val="auto"/>
                    </w:rPr>
                  </w:pPr>
                </w:p>
                <w:p w:rsidR="00583E52" w:rsidRPr="004A61C5" w:rsidRDefault="00583E52" w:rsidP="00825C4D">
                  <w:pPr>
                    <w:pStyle w:val="TLKontakty"/>
                    <w:spacing w:after="80" w:line="240" w:lineRule="auto"/>
                    <w:rPr>
                      <w:b w:val="0"/>
                      <w:color w:val="auto"/>
                    </w:rPr>
                  </w:pPr>
                  <w:r w:rsidRPr="00D66223">
                    <w:t>Pardubice</w:t>
                  </w:r>
                  <w:r w:rsidRPr="004A61C5">
                    <w:rPr>
                      <w:b w:val="0"/>
                      <w:color w:val="auto"/>
                    </w:rPr>
                    <w:t xml:space="preserve"> | V</w:t>
                  </w:r>
                  <w:r>
                    <w:rPr>
                      <w:b w:val="0"/>
                      <w:color w:val="auto"/>
                    </w:rPr>
                    <w:t> </w:t>
                  </w:r>
                  <w:r w:rsidRPr="004A61C5">
                    <w:rPr>
                      <w:b w:val="0"/>
                      <w:color w:val="auto"/>
                    </w:rPr>
                    <w:t>Ráji</w:t>
                  </w:r>
                  <w:r>
                    <w:rPr>
                      <w:b w:val="0"/>
                      <w:color w:val="auto"/>
                    </w:rPr>
                    <w:t> </w:t>
                  </w:r>
                  <w:r w:rsidRPr="004A61C5">
                    <w:rPr>
                      <w:b w:val="0"/>
                      <w:color w:val="auto"/>
                    </w:rPr>
                    <w:t>872, 531</w:t>
                  </w:r>
                  <w:r>
                    <w:rPr>
                      <w:b w:val="0"/>
                      <w:color w:val="auto"/>
                    </w:rPr>
                    <w:t> </w:t>
                  </w:r>
                  <w:r w:rsidRPr="004A61C5">
                    <w:rPr>
                      <w:b w:val="0"/>
                      <w:color w:val="auto"/>
                    </w:rPr>
                    <w:t>53 Pardubice</w:t>
                  </w:r>
                  <w:r>
                    <w:rPr>
                      <w:b w:val="0"/>
                      <w:color w:val="auto"/>
                    </w:rPr>
                    <w:t xml:space="preserve">, </w:t>
                  </w:r>
                  <w:r w:rsidRPr="004A61C5">
                    <w:rPr>
                      <w:b w:val="0"/>
                      <w:color w:val="auto"/>
                    </w:rPr>
                    <w:t>tel.</w:t>
                  </w:r>
                  <w:r>
                    <w:rPr>
                      <w:b w:val="0"/>
                      <w:color w:val="auto"/>
                    </w:rPr>
                    <w:t>:</w:t>
                  </w:r>
                  <w:r w:rsidRPr="004A61C5">
                    <w:rPr>
                      <w:b w:val="0"/>
                      <w:color w:val="auto"/>
                    </w:rPr>
                    <w:t xml:space="preserve"> 466</w:t>
                  </w:r>
                  <w:r>
                    <w:rPr>
                      <w:b w:val="0"/>
                      <w:color w:val="auto"/>
                    </w:rPr>
                    <w:t> </w:t>
                  </w:r>
                  <w:r w:rsidRPr="004A61C5">
                    <w:rPr>
                      <w:b w:val="0"/>
                      <w:color w:val="auto"/>
                    </w:rPr>
                    <w:t>743</w:t>
                  </w:r>
                  <w:r>
                    <w:rPr>
                      <w:b w:val="0"/>
                      <w:color w:val="auto"/>
                    </w:rPr>
                    <w:t> </w:t>
                  </w:r>
                  <w:r w:rsidRPr="004A61C5">
                    <w:rPr>
                      <w:b w:val="0"/>
                      <w:color w:val="auto"/>
                    </w:rPr>
                    <w:t>480, 466</w:t>
                  </w:r>
                  <w:r>
                    <w:rPr>
                      <w:b w:val="0"/>
                      <w:color w:val="auto"/>
                    </w:rPr>
                    <w:t> </w:t>
                  </w:r>
                  <w:r w:rsidRPr="004A61C5">
                    <w:rPr>
                      <w:b w:val="0"/>
                      <w:color w:val="auto"/>
                    </w:rPr>
                    <w:t>743 418</w:t>
                  </w:r>
                </w:p>
                <w:p w:rsidR="00583E52" w:rsidRPr="004A61C5" w:rsidRDefault="00583E52" w:rsidP="00825C4D">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rsidR="00583E52" w:rsidRPr="004A61C5" w:rsidRDefault="00583E52" w:rsidP="00825C4D">
                  <w:pPr>
                    <w:pStyle w:val="TLKontakty"/>
                    <w:spacing w:after="80" w:line="240" w:lineRule="auto"/>
                    <w:rPr>
                      <w:b w:val="0"/>
                      <w:color w:val="auto"/>
                    </w:rPr>
                  </w:pPr>
                </w:p>
                <w:p w:rsidR="00583E52" w:rsidRPr="004A61C5" w:rsidRDefault="00583E52" w:rsidP="00825C4D">
                  <w:pPr>
                    <w:pStyle w:val="TLKontakty"/>
                    <w:spacing w:after="80" w:line="240" w:lineRule="auto"/>
                    <w:rPr>
                      <w:b w:val="0"/>
                      <w:color w:val="auto"/>
                    </w:rPr>
                  </w:pPr>
                  <w:r w:rsidRPr="00D66223">
                    <w:t>Jihlava</w:t>
                  </w:r>
                  <w:r w:rsidRPr="004A61C5">
                    <w:rPr>
                      <w:b w:val="0"/>
                      <w:color w:val="auto"/>
                    </w:rPr>
                    <w:t xml:space="preserve"> | Ke</w:t>
                  </w:r>
                  <w:r>
                    <w:rPr>
                      <w:b w:val="0"/>
                      <w:color w:val="auto"/>
                    </w:rPr>
                    <w:t> </w:t>
                  </w:r>
                  <w:r w:rsidRPr="004A61C5">
                    <w:rPr>
                      <w:b w:val="0"/>
                      <w:color w:val="auto"/>
                    </w:rPr>
                    <w:t>Skalce</w:t>
                  </w:r>
                  <w:r>
                    <w:rPr>
                      <w:b w:val="0"/>
                      <w:color w:val="auto"/>
                    </w:rPr>
                    <w:t> </w:t>
                  </w:r>
                  <w:r w:rsidRPr="004A61C5">
                    <w:rPr>
                      <w:b w:val="0"/>
                      <w:color w:val="auto"/>
                    </w:rPr>
                    <w:t>30,</w:t>
                  </w:r>
                  <w:r>
                    <w:rPr>
                      <w:b w:val="0"/>
                      <w:color w:val="auto"/>
                    </w:rPr>
                    <w:t xml:space="preserve"> 586 01 Jihlava, tel.: </w:t>
                  </w:r>
                  <w:r w:rsidRPr="004A61C5">
                    <w:rPr>
                      <w:b w:val="0"/>
                      <w:color w:val="auto"/>
                    </w:rPr>
                    <w:t>567</w:t>
                  </w:r>
                  <w:r>
                    <w:rPr>
                      <w:b w:val="0"/>
                      <w:color w:val="auto"/>
                    </w:rPr>
                    <w:t> </w:t>
                  </w:r>
                  <w:r w:rsidRPr="004A61C5">
                    <w:rPr>
                      <w:b w:val="0"/>
                      <w:color w:val="auto"/>
                    </w:rPr>
                    <w:t>109</w:t>
                  </w:r>
                  <w:r>
                    <w:rPr>
                      <w:b w:val="0"/>
                      <w:color w:val="auto"/>
                    </w:rPr>
                    <w:t> </w:t>
                  </w:r>
                  <w:r w:rsidRPr="00BC731E">
                    <w:rPr>
                      <w:b w:val="0"/>
                      <w:color w:val="auto"/>
                    </w:rPr>
                    <w:t>062, 567</w:t>
                  </w:r>
                  <w:r>
                    <w:rPr>
                      <w:b w:val="0"/>
                      <w:color w:val="auto"/>
                    </w:rPr>
                    <w:t> </w:t>
                  </w:r>
                  <w:r w:rsidRPr="00BC731E">
                    <w:rPr>
                      <w:b w:val="0"/>
                      <w:color w:val="auto"/>
                    </w:rPr>
                    <w:t>109 073</w:t>
                  </w:r>
                </w:p>
                <w:p w:rsidR="00583E52" w:rsidRPr="004A61C5" w:rsidRDefault="00583E52" w:rsidP="00825C4D">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rsidR="00583E52" w:rsidRDefault="00583E52" w:rsidP="00825C4D">
                  <w:pPr>
                    <w:pStyle w:val="TLKontakty"/>
                    <w:spacing w:after="80" w:line="240" w:lineRule="auto"/>
                  </w:pPr>
                </w:p>
                <w:p w:rsidR="00583E52" w:rsidRPr="00BC731E" w:rsidRDefault="00583E52" w:rsidP="00825C4D">
                  <w:pPr>
                    <w:pStyle w:val="TLKontakty"/>
                    <w:spacing w:after="80" w:line="240" w:lineRule="auto"/>
                    <w:rPr>
                      <w:b w:val="0"/>
                      <w:color w:val="auto"/>
                    </w:rPr>
                  </w:pPr>
                  <w:r w:rsidRPr="00D66223">
                    <w:t>Brno</w:t>
                  </w:r>
                  <w:r w:rsidRPr="004A61C5">
                    <w:rPr>
                      <w:b w:val="0"/>
                      <w:color w:val="auto"/>
                    </w:rPr>
                    <w:t xml:space="preserve"> | Jezuitská</w:t>
                  </w:r>
                  <w:r>
                    <w:rPr>
                      <w:b w:val="0"/>
                      <w:color w:val="auto"/>
                    </w:rPr>
                    <w:t> </w:t>
                  </w:r>
                  <w:r w:rsidRPr="004A61C5">
                    <w:rPr>
                      <w:b w:val="0"/>
                      <w:color w:val="auto"/>
                    </w:rPr>
                    <w:t>2, 601</w:t>
                  </w:r>
                  <w:r>
                    <w:rPr>
                      <w:b w:val="0"/>
                      <w:color w:val="auto"/>
                    </w:rPr>
                    <w:t> </w:t>
                  </w:r>
                  <w:r w:rsidRPr="004A61C5">
                    <w:rPr>
                      <w:b w:val="0"/>
                      <w:color w:val="auto"/>
                    </w:rPr>
                    <w:t xml:space="preserve">59 Brno, </w:t>
                  </w:r>
                  <w:r>
                    <w:rPr>
                      <w:b w:val="0"/>
                      <w:color w:val="auto"/>
                    </w:rPr>
                    <w:t xml:space="preserve">tel: </w:t>
                  </w:r>
                  <w:r w:rsidRPr="004A61C5">
                    <w:rPr>
                      <w:b w:val="0"/>
                      <w:color w:val="auto"/>
                    </w:rPr>
                    <w:t>542</w:t>
                  </w:r>
                  <w:r>
                    <w:rPr>
                      <w:b w:val="0"/>
                      <w:color w:val="auto"/>
                    </w:rPr>
                    <w:t> </w:t>
                  </w:r>
                  <w:r w:rsidRPr="004A61C5">
                    <w:rPr>
                      <w:b w:val="0"/>
                      <w:color w:val="auto"/>
                    </w:rPr>
                    <w:t>528</w:t>
                  </w:r>
                  <w:r>
                    <w:rPr>
                      <w:b w:val="0"/>
                      <w:color w:val="auto"/>
                    </w:rPr>
                    <w:t> </w:t>
                  </w:r>
                  <w:r w:rsidRPr="00BC731E">
                    <w:rPr>
                      <w:b w:val="0"/>
                      <w:color w:val="auto"/>
                    </w:rPr>
                    <w:t>115, 542</w:t>
                  </w:r>
                  <w:r>
                    <w:rPr>
                      <w:b w:val="0"/>
                      <w:color w:val="auto"/>
                    </w:rPr>
                    <w:t> </w:t>
                  </w:r>
                  <w:r w:rsidRPr="00BC731E">
                    <w:rPr>
                      <w:b w:val="0"/>
                      <w:color w:val="auto"/>
                    </w:rPr>
                    <w:t>528 200</w:t>
                  </w:r>
                </w:p>
                <w:p w:rsidR="00583E52" w:rsidRPr="004A61C5" w:rsidRDefault="00583E52" w:rsidP="00825C4D">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rsidR="00583E52" w:rsidRPr="004A61C5" w:rsidRDefault="00583E52" w:rsidP="00825C4D">
                  <w:pPr>
                    <w:pStyle w:val="TLKontakty"/>
                    <w:spacing w:after="80" w:line="240" w:lineRule="auto"/>
                    <w:rPr>
                      <w:b w:val="0"/>
                      <w:color w:val="auto"/>
                    </w:rPr>
                  </w:pPr>
                </w:p>
                <w:p w:rsidR="00583E52" w:rsidRPr="005E7C78" w:rsidRDefault="00583E52" w:rsidP="00825C4D">
                  <w:pPr>
                    <w:pStyle w:val="TLKontakty"/>
                    <w:spacing w:after="80" w:line="240" w:lineRule="auto"/>
                    <w:rPr>
                      <w:b w:val="0"/>
                      <w:color w:val="auto"/>
                    </w:rPr>
                  </w:pPr>
                  <w:r w:rsidRPr="00D66223">
                    <w:t>Olomouc</w:t>
                  </w:r>
                  <w:r w:rsidRPr="005E7C78">
                    <w:rPr>
                      <w:b w:val="0"/>
                      <w:color w:val="auto"/>
                    </w:rPr>
                    <w:t xml:space="preserve"> | </w:t>
                  </w:r>
                  <w:proofErr w:type="spellStart"/>
                  <w:r w:rsidRPr="005E7C78">
                    <w:rPr>
                      <w:b w:val="0"/>
                      <w:color w:val="auto"/>
                    </w:rPr>
                    <w:t>Jeremenkova</w:t>
                  </w:r>
                  <w:proofErr w:type="spellEnd"/>
                  <w:r>
                    <w:rPr>
                      <w:b w:val="0"/>
                      <w:color w:val="auto"/>
                    </w:rPr>
                    <w:t> </w:t>
                  </w:r>
                  <w:r w:rsidRPr="005E7C78">
                    <w:rPr>
                      <w:b w:val="0"/>
                      <w:color w:val="auto"/>
                    </w:rPr>
                    <w:t>1142/42, 772</w:t>
                  </w:r>
                  <w:r>
                    <w:rPr>
                      <w:b w:val="0"/>
                      <w:color w:val="auto"/>
                    </w:rPr>
                    <w:t> </w:t>
                  </w:r>
                  <w:r w:rsidRPr="005E7C78">
                    <w:rPr>
                      <w:b w:val="0"/>
                      <w:color w:val="auto"/>
                    </w:rPr>
                    <w:t xml:space="preserve">11 Olomouc, </w:t>
                  </w:r>
                  <w:r>
                    <w:rPr>
                      <w:b w:val="0"/>
                      <w:color w:val="auto"/>
                    </w:rPr>
                    <w:t xml:space="preserve">tel.: </w:t>
                  </w:r>
                  <w:r w:rsidRPr="005E7C78">
                    <w:rPr>
                      <w:b w:val="0"/>
                      <w:color w:val="auto"/>
                    </w:rPr>
                    <w:t>585</w:t>
                  </w:r>
                  <w:r>
                    <w:rPr>
                      <w:b w:val="0"/>
                      <w:color w:val="auto"/>
                    </w:rPr>
                    <w:t> </w:t>
                  </w:r>
                  <w:r w:rsidRPr="005E7C78">
                    <w:rPr>
                      <w:b w:val="0"/>
                      <w:color w:val="auto"/>
                    </w:rPr>
                    <w:t>731</w:t>
                  </w:r>
                  <w:r>
                    <w:rPr>
                      <w:b w:val="0"/>
                      <w:color w:val="auto"/>
                    </w:rPr>
                    <w:t> </w:t>
                  </w:r>
                  <w:r w:rsidRPr="00BC731E">
                    <w:rPr>
                      <w:b w:val="0"/>
                      <w:color w:val="auto"/>
                    </w:rPr>
                    <w:t>516, 585</w:t>
                  </w:r>
                  <w:r>
                    <w:rPr>
                      <w:b w:val="0"/>
                      <w:color w:val="auto"/>
                    </w:rPr>
                    <w:t> </w:t>
                  </w:r>
                  <w:r w:rsidRPr="00BC731E">
                    <w:rPr>
                      <w:b w:val="0"/>
                      <w:color w:val="auto"/>
                    </w:rPr>
                    <w:t>731 511</w:t>
                  </w:r>
                </w:p>
                <w:p w:rsidR="00583E52" w:rsidRPr="005E7C78" w:rsidRDefault="00583E52" w:rsidP="00825C4D">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rsidR="00583E52" w:rsidRPr="005E7C78" w:rsidRDefault="00583E52" w:rsidP="00825C4D">
                  <w:pPr>
                    <w:pStyle w:val="TLKontakty"/>
                    <w:spacing w:after="80" w:line="240" w:lineRule="auto"/>
                    <w:rPr>
                      <w:b w:val="0"/>
                      <w:color w:val="auto"/>
                    </w:rPr>
                  </w:pPr>
                </w:p>
                <w:p w:rsidR="00583E52" w:rsidRPr="005E7C78" w:rsidRDefault="00583E52" w:rsidP="00825C4D">
                  <w:pPr>
                    <w:pStyle w:val="TLKontakty"/>
                    <w:spacing w:after="80" w:line="240" w:lineRule="auto"/>
                    <w:rPr>
                      <w:b w:val="0"/>
                      <w:color w:val="auto"/>
                    </w:rPr>
                  </w:pPr>
                  <w:r w:rsidRPr="00D66223">
                    <w:t>Zlín</w:t>
                  </w:r>
                  <w:r w:rsidRPr="005E7C78">
                    <w:rPr>
                      <w:b w:val="0"/>
                      <w:color w:val="auto"/>
                    </w:rPr>
                    <w:t xml:space="preserve"> | tř.</w:t>
                  </w:r>
                  <w:r>
                    <w:rPr>
                      <w:b w:val="0"/>
                      <w:color w:val="auto"/>
                    </w:rPr>
                    <w:t> </w:t>
                  </w:r>
                  <w:r w:rsidRPr="005E7C78">
                    <w:rPr>
                      <w:b w:val="0"/>
                      <w:color w:val="auto"/>
                    </w:rPr>
                    <w:t>Tomáše Bati</w:t>
                  </w:r>
                  <w:r>
                    <w:rPr>
                      <w:b w:val="0"/>
                      <w:color w:val="auto"/>
                    </w:rPr>
                    <w:t> </w:t>
                  </w:r>
                  <w:r w:rsidRPr="005E7C78">
                    <w:rPr>
                      <w:b w:val="0"/>
                      <w:color w:val="auto"/>
                    </w:rPr>
                    <w:t>1565, 761</w:t>
                  </w:r>
                  <w:r>
                    <w:rPr>
                      <w:b w:val="0"/>
                      <w:color w:val="auto"/>
                    </w:rPr>
                    <w:t> </w:t>
                  </w:r>
                  <w:r w:rsidRPr="005E7C78">
                    <w:rPr>
                      <w:b w:val="0"/>
                      <w:color w:val="auto"/>
                    </w:rPr>
                    <w:t xml:space="preserve">76 Zlín, </w:t>
                  </w:r>
                  <w:r w:rsidRPr="00BC731E">
                    <w:rPr>
                      <w:b w:val="0"/>
                      <w:color w:val="auto"/>
                    </w:rPr>
                    <w:t>tel.: 577</w:t>
                  </w:r>
                  <w:r>
                    <w:rPr>
                      <w:b w:val="0"/>
                      <w:color w:val="auto"/>
                    </w:rPr>
                    <w:t> </w:t>
                  </w:r>
                  <w:r w:rsidRPr="00BC731E">
                    <w:rPr>
                      <w:b w:val="0"/>
                      <w:color w:val="auto"/>
                    </w:rPr>
                    <w:t>004 932, 5</w:t>
                  </w:r>
                  <w:r w:rsidRPr="005E7C78">
                    <w:rPr>
                      <w:b w:val="0"/>
                      <w:color w:val="auto"/>
                    </w:rPr>
                    <w:t>77</w:t>
                  </w:r>
                  <w:r>
                    <w:rPr>
                      <w:b w:val="0"/>
                      <w:color w:val="auto"/>
                    </w:rPr>
                    <w:t> </w:t>
                  </w:r>
                  <w:r w:rsidRPr="005E7C78">
                    <w:rPr>
                      <w:b w:val="0"/>
                      <w:color w:val="auto"/>
                    </w:rPr>
                    <w:t>004</w:t>
                  </w:r>
                  <w:r>
                    <w:rPr>
                      <w:b w:val="0"/>
                      <w:color w:val="auto"/>
                    </w:rPr>
                    <w:t> </w:t>
                  </w:r>
                  <w:r w:rsidRPr="005E7C78">
                    <w:rPr>
                      <w:b w:val="0"/>
                      <w:color w:val="auto"/>
                    </w:rPr>
                    <w:t>935</w:t>
                  </w:r>
                </w:p>
                <w:p w:rsidR="00583E52" w:rsidRDefault="00583E52" w:rsidP="00825C4D">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rsidR="00583E52" w:rsidRPr="005E7C78" w:rsidRDefault="00583E52" w:rsidP="00095135">
                  <w:pPr>
                    <w:pStyle w:val="TLKontakty"/>
                    <w:spacing w:after="80" w:line="240" w:lineRule="auto"/>
                    <w:rPr>
                      <w:b w:val="0"/>
                      <w:color w:val="auto"/>
                    </w:rPr>
                  </w:pPr>
                </w:p>
                <w:p w:rsidR="00583E52" w:rsidRPr="005E7C78" w:rsidRDefault="00583E52" w:rsidP="00095135">
                  <w:pPr>
                    <w:pStyle w:val="TLKontakty"/>
                    <w:spacing w:after="80" w:line="240" w:lineRule="auto"/>
                    <w:rPr>
                      <w:b w:val="0"/>
                      <w:color w:val="auto"/>
                    </w:rPr>
                  </w:pPr>
                  <w:r w:rsidRPr="00D66223">
                    <w:t>Ostrava</w:t>
                  </w:r>
                  <w:r w:rsidRPr="005E7C78">
                    <w:rPr>
                      <w:b w:val="0"/>
                      <w:color w:val="auto"/>
                    </w:rPr>
                    <w:t xml:space="preserve"> | </w:t>
                  </w:r>
                  <w:proofErr w:type="spellStart"/>
                  <w:r w:rsidRPr="005E7C78">
                    <w:rPr>
                      <w:b w:val="0"/>
                      <w:color w:val="auto"/>
                    </w:rPr>
                    <w:t>Repinova</w:t>
                  </w:r>
                  <w:proofErr w:type="spellEnd"/>
                  <w:r>
                    <w:rPr>
                      <w:b w:val="0"/>
                      <w:color w:val="auto"/>
                    </w:rPr>
                    <w:t> </w:t>
                  </w:r>
                  <w:r w:rsidRPr="005E7C78">
                    <w:rPr>
                      <w:b w:val="0"/>
                      <w:color w:val="auto"/>
                    </w:rPr>
                    <w:t>17, 702</w:t>
                  </w:r>
                  <w:r>
                    <w:rPr>
                      <w:b w:val="0"/>
                      <w:color w:val="auto"/>
                    </w:rPr>
                    <w:t> </w:t>
                  </w:r>
                  <w:r w:rsidRPr="005E7C78">
                    <w:rPr>
                      <w:b w:val="0"/>
                      <w:color w:val="auto"/>
                    </w:rPr>
                    <w:t>03 Ostrava,</w:t>
                  </w:r>
                  <w:r>
                    <w:rPr>
                      <w:b w:val="0"/>
                      <w:color w:val="auto"/>
                    </w:rPr>
                    <w:t xml:space="preserve"> tel: </w:t>
                  </w:r>
                  <w:r w:rsidRPr="005E7C78">
                    <w:rPr>
                      <w:b w:val="0"/>
                      <w:color w:val="auto"/>
                    </w:rPr>
                    <w:t>595</w:t>
                  </w:r>
                  <w:r>
                    <w:rPr>
                      <w:b w:val="0"/>
                      <w:color w:val="auto"/>
                    </w:rPr>
                    <w:t> </w:t>
                  </w:r>
                  <w:r w:rsidRPr="005E7C78">
                    <w:rPr>
                      <w:b w:val="0"/>
                      <w:color w:val="auto"/>
                    </w:rPr>
                    <w:t>131</w:t>
                  </w:r>
                  <w:r>
                    <w:rPr>
                      <w:b w:val="0"/>
                      <w:color w:val="auto"/>
                    </w:rPr>
                    <w:t> </w:t>
                  </w:r>
                  <w:r w:rsidRPr="005E7C78">
                    <w:rPr>
                      <w:b w:val="0"/>
                      <w:color w:val="auto"/>
                    </w:rPr>
                    <w:t>230, 595</w:t>
                  </w:r>
                  <w:r>
                    <w:rPr>
                      <w:b w:val="0"/>
                      <w:color w:val="auto"/>
                    </w:rPr>
                    <w:t> </w:t>
                  </w:r>
                  <w:r w:rsidRPr="005E7C78">
                    <w:rPr>
                      <w:b w:val="0"/>
                      <w:color w:val="auto"/>
                    </w:rPr>
                    <w:t>131</w:t>
                  </w:r>
                  <w:r>
                    <w:rPr>
                      <w:b w:val="0"/>
                      <w:color w:val="auto"/>
                    </w:rPr>
                    <w:t> </w:t>
                  </w:r>
                  <w:r w:rsidRPr="005E7C78">
                    <w:rPr>
                      <w:b w:val="0"/>
                      <w:color w:val="auto"/>
                    </w:rPr>
                    <w:t>232</w:t>
                  </w:r>
                </w:p>
                <w:p w:rsidR="00583E52" w:rsidRPr="00095135" w:rsidRDefault="00583E52"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v:textbox>
            <w10:wrap anchorx="page" anchory="page"/>
            <w10:anchorlock/>
          </v:shape>
        </w:pict>
      </w:r>
      <w:r>
        <w:pict>
          <v:shape id="_x0000_s1040" type="#_x0000_t202" style="position:absolute;left:0;text-align:left;margin-left:56.7pt;margin-top:747pt;width:481.9pt;height:28.35pt;z-index:251661824;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" filled="f" stroked="f">
            <v:textbox inset="0,0,0,0">
              <w:txbxContent>
                <w:p w:rsidR="00583E52" w:rsidRPr="00321924" w:rsidRDefault="00583E52" w:rsidP="00A16E1D">
                  <w:pPr>
                    <w:jc w:val="left"/>
                  </w:pPr>
                  <w:r w:rsidRPr="00321924">
                    <w:br/>
                    <w:t xml:space="preserve">© Český statistický úřad, </w:t>
                  </w:r>
                  <w:r>
                    <w:t>Praha, 2018</w:t>
                  </w:r>
                </w:p>
                <w:p w:rsidR="00583E52" w:rsidRDefault="00583E52"/>
                <w:p w:rsidR="00583E52" w:rsidRPr="00841D9F" w:rsidRDefault="00583E52" w:rsidP="000A3A2C">
                  <w:r w:rsidRPr="00841D9F">
                    <w:rPr>
                      <w:szCs w:val="26"/>
                    </w:rPr>
                    <w:t>ISBN XX-XXXX-XXX-X</w:t>
                  </w:r>
                  <w:r>
                    <w:rPr>
                      <w:szCs w:val="26"/>
                    </w:rPr>
                    <w:t> </w:t>
                  </w:r>
                  <w:r w:rsidRPr="00841D9F">
                    <w:rPr>
                      <w:szCs w:val="26"/>
                    </w:rPr>
                    <w:t xml:space="preserve"> </w:t>
                  </w:r>
                  <w:r w:rsidRPr="00841D9F">
                    <w:t>(pouze u</w:t>
                  </w:r>
                  <w:r>
                    <w:t> </w:t>
                  </w:r>
                  <w:r w:rsidRPr="00841D9F">
                    <w:t>nepravidelných a ročních publikací)</w:t>
                  </w:r>
                </w:p>
                <w:p w:rsidR="00583E52" w:rsidRPr="00AF2852" w:rsidRDefault="00583E52" w:rsidP="000A3A2C">
                  <w:r w:rsidRPr="00841D9F">
                    <w:t>© Český sta</w:t>
                  </w:r>
                  <w:r>
                    <w:t xml:space="preserve">tistický úřad / </w:t>
                  </w:r>
                  <w:r w:rsidRPr="009A1902">
                    <w:rPr>
                      <w:i/>
                    </w:rPr>
                    <w:t xml:space="preserve">Czech </w:t>
                  </w:r>
                  <w:r w:rsidRPr="009A1902">
                    <w:rPr>
                      <w:rFonts w:cs="Arial"/>
                      <w:i/>
                      <w:szCs w:val="20"/>
                    </w:rPr>
                    <w:t>Statistical Office</w:t>
                  </w:r>
                  <w:r>
                    <w:t>, místo, rok vydání</w:t>
                  </w:r>
                </w:p>
              </w:txbxContent>
            </v:textbox>
            <w10:wrap anchorx="page" anchory="page"/>
            <w10:anchorlock/>
          </v:shape>
        </w:pict>
      </w:r>
      <w:r>
        <w:pict>
          <v:shape id="_x0000_s1039" type="#_x0000_t202" style="position:absolute;left:0;text-align:left;margin-left:56.95pt;margin-top:56.95pt;width:481.85pt;height:43.75pt;z-index:251660800;visibility:visible;mso-position-horizontal-relative:page;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" filled="f" stroked="f">
            <v:textbox style="mso-fit-shape-to-text:t" inset="0,0,0,0">
              <w:txbxContent>
                <w:p w:rsidR="00583E52" w:rsidRPr="009A1902" w:rsidRDefault="00583E52" w:rsidP="000A3A2C">
                  <w:pPr>
                    <w:rPr>
                      <w:b/>
                      <w:bCs/>
                      <w:i/>
                      <w:sz w:val="24"/>
                    </w:rPr>
                  </w:pPr>
                  <w:r w:rsidRPr="00B95F50">
                    <w:rPr>
                      <w:b/>
                      <w:color w:val="0071BC"/>
                      <w:sz w:val="24"/>
                    </w:rPr>
                    <w:t>Zajímají Vás nejnovější údaje o</w:t>
                  </w:r>
                  <w:r>
                    <w:rPr>
                      <w:b/>
                      <w:color w:val="0071BC"/>
                      <w:sz w:val="24"/>
                    </w:rPr>
                    <w:t> </w:t>
                  </w:r>
                  <w:r w:rsidRPr="00B95F50">
                    <w:rPr>
                      <w:b/>
                      <w:color w:val="0071BC"/>
                      <w:sz w:val="24"/>
                    </w:rPr>
                    <w:t xml:space="preserve">inflaci, HDP, obyvatelstvu, průměrných mzdách </w:t>
                  </w:r>
                  <w:r>
                    <w:rPr>
                      <w:b/>
                      <w:color w:val="0071BC"/>
                      <w:sz w:val="24"/>
                    </w:rPr>
                    <w:br/>
                  </w:r>
                  <w:r w:rsidRPr="00B95F50">
                    <w:rPr>
                      <w:b/>
                      <w:color w:val="0071BC"/>
                      <w:sz w:val="24"/>
                    </w:rPr>
                    <w:t>a</w:t>
                  </w:r>
                  <w:r>
                    <w:rPr>
                      <w:b/>
                      <w:color w:val="0071BC"/>
                      <w:sz w:val="24"/>
                    </w:rPr>
                    <w:t> </w:t>
                  </w:r>
                  <w:r w:rsidRPr="00B95F50">
                    <w:rPr>
                      <w:b/>
                      <w:color w:val="0071BC"/>
                      <w:sz w:val="24"/>
                    </w:rPr>
                    <w:t xml:space="preserve">mnohé další? Najdete je na stránkách ČSÚ na internetu: </w:t>
                  </w:r>
                  <w:r>
                    <w:rPr>
                      <w:b/>
                      <w:bCs/>
                      <w:sz w:val="24"/>
                    </w:rPr>
                    <w:t>www.czso.cz</w:t>
                  </w:r>
                </w:p>
              </w:txbxContent>
            </v:textbox>
            <w10:wrap anchorx="page" anchory="page"/>
            <w10:anchorlock/>
          </v:shape>
        </w:pict>
      </w:r>
    </w:p>
    <w:sdt>
      <w:sdtPr>
        <w:rPr>
          <w:b w:val="0"/>
          <w:color w:val="auto"/>
          <w:sz w:val="20"/>
        </w:rPr>
        <w:id w:val="5357999"/>
        <w:docPartObj>
          <w:docPartGallery w:val="Table of Contents"/>
          <w:docPartUnique/>
        </w:docPartObj>
      </w:sdtPr>
      <w:sdtContent>
        <w:p w:rsidR="00867DAB" w:rsidRPr="009110F7" w:rsidRDefault="00867DAB" w:rsidP="00867DAB">
          <w:pPr>
            <w:pStyle w:val="Obsah"/>
          </w:pPr>
          <w:r w:rsidRPr="009110F7">
            <w:t>Obsah</w:t>
          </w:r>
        </w:p>
        <w:p w:rsidR="007A3CAF" w:rsidRDefault="00D9195B">
          <w:pPr>
            <w:pStyle w:val="Obsah1"/>
            <w:rPr>
              <w:rFonts w:asciiTheme="minorHAnsi" w:eastAsiaTheme="minorEastAsia" w:hAnsiTheme="minorHAnsi" w:cstheme="minorBidi"/>
              <w:noProof/>
              <w:sz w:val="22"/>
              <w:szCs w:val="22"/>
            </w:rPr>
          </w:pPr>
          <w:r w:rsidRPr="009110F7">
            <w:fldChar w:fldCharType="begin"/>
          </w:r>
          <w:r w:rsidR="00867DAB" w:rsidRPr="009110F7">
            <w:instrText xml:space="preserve"> TOC \o "1-3" \h \z \u </w:instrText>
          </w:r>
          <w:r w:rsidRPr="009110F7">
            <w:fldChar w:fldCharType="separate"/>
          </w:r>
          <w:hyperlink w:anchor="_Toc517166408" w:history="1">
            <w:r w:rsidR="007A3CAF" w:rsidRPr="005C4B34">
              <w:rPr>
                <w:rStyle w:val="Hypertextovodkaz"/>
                <w:noProof/>
              </w:rPr>
              <w:t>1. Shrnutí</w:t>
            </w:r>
            <w:r w:rsidR="007A3CAF">
              <w:rPr>
                <w:noProof/>
                <w:webHidden/>
              </w:rPr>
              <w:tab/>
            </w:r>
            <w:r>
              <w:rPr>
                <w:noProof/>
                <w:webHidden/>
              </w:rPr>
              <w:fldChar w:fldCharType="begin"/>
            </w:r>
            <w:r w:rsidR="007A3CAF">
              <w:rPr>
                <w:noProof/>
                <w:webHidden/>
              </w:rPr>
              <w:instrText xml:space="preserve"> PAGEREF _Toc517166408 \h </w:instrText>
            </w:r>
            <w:r>
              <w:rPr>
                <w:noProof/>
                <w:webHidden/>
              </w:rPr>
            </w:r>
            <w:r>
              <w:rPr>
                <w:noProof/>
                <w:webHidden/>
              </w:rPr>
              <w:fldChar w:fldCharType="separate"/>
            </w:r>
            <w:r w:rsidR="007A3CAF">
              <w:rPr>
                <w:noProof/>
                <w:webHidden/>
              </w:rPr>
              <w:t>4</w:t>
            </w:r>
            <w:r>
              <w:rPr>
                <w:noProof/>
                <w:webHidden/>
              </w:rPr>
              <w:fldChar w:fldCharType="end"/>
            </w:r>
          </w:hyperlink>
        </w:p>
        <w:p w:rsidR="007A3CAF" w:rsidRDefault="00D9195B">
          <w:pPr>
            <w:pStyle w:val="Obsah1"/>
            <w:rPr>
              <w:rFonts w:asciiTheme="minorHAnsi" w:eastAsiaTheme="minorEastAsia" w:hAnsiTheme="minorHAnsi" w:cstheme="minorBidi"/>
              <w:noProof/>
              <w:sz w:val="22"/>
              <w:szCs w:val="22"/>
            </w:rPr>
          </w:pPr>
          <w:hyperlink w:anchor="_Toc517166409" w:history="1">
            <w:r w:rsidR="007A3CAF" w:rsidRPr="005C4B34">
              <w:rPr>
                <w:rStyle w:val="Hypertextovodkaz"/>
                <w:noProof/>
              </w:rPr>
              <w:t>2. Souhrnná výkonnost</w:t>
            </w:r>
            <w:r w:rsidR="007A3CAF">
              <w:rPr>
                <w:noProof/>
                <w:webHidden/>
              </w:rPr>
              <w:tab/>
            </w:r>
            <w:r>
              <w:rPr>
                <w:noProof/>
                <w:webHidden/>
              </w:rPr>
              <w:fldChar w:fldCharType="begin"/>
            </w:r>
            <w:r w:rsidR="007A3CAF">
              <w:rPr>
                <w:noProof/>
                <w:webHidden/>
              </w:rPr>
              <w:instrText xml:space="preserve"> PAGEREF _Toc517166409 \h </w:instrText>
            </w:r>
            <w:r>
              <w:rPr>
                <w:noProof/>
                <w:webHidden/>
              </w:rPr>
            </w:r>
            <w:r>
              <w:rPr>
                <w:noProof/>
                <w:webHidden/>
              </w:rPr>
              <w:fldChar w:fldCharType="separate"/>
            </w:r>
            <w:r w:rsidR="007A3CAF">
              <w:rPr>
                <w:noProof/>
                <w:webHidden/>
              </w:rPr>
              <w:t>5</w:t>
            </w:r>
            <w:r>
              <w:rPr>
                <w:noProof/>
                <w:webHidden/>
              </w:rPr>
              <w:fldChar w:fldCharType="end"/>
            </w:r>
          </w:hyperlink>
        </w:p>
        <w:p w:rsidR="007A3CAF" w:rsidRDefault="00D9195B">
          <w:pPr>
            <w:pStyle w:val="Obsah1"/>
            <w:rPr>
              <w:rFonts w:asciiTheme="minorHAnsi" w:eastAsiaTheme="minorEastAsia" w:hAnsiTheme="minorHAnsi" w:cstheme="minorBidi"/>
              <w:noProof/>
              <w:sz w:val="22"/>
              <w:szCs w:val="22"/>
            </w:rPr>
          </w:pPr>
          <w:hyperlink w:anchor="_Toc517166410" w:history="1">
            <w:r w:rsidR="007A3CAF" w:rsidRPr="005C4B34">
              <w:rPr>
                <w:rStyle w:val="Hypertextovodkaz"/>
                <w:noProof/>
              </w:rPr>
              <w:t>3. Výkonnost odvětví</w:t>
            </w:r>
            <w:r w:rsidR="007A3CAF">
              <w:rPr>
                <w:noProof/>
                <w:webHidden/>
              </w:rPr>
              <w:tab/>
            </w:r>
            <w:r>
              <w:rPr>
                <w:noProof/>
                <w:webHidden/>
              </w:rPr>
              <w:fldChar w:fldCharType="begin"/>
            </w:r>
            <w:r w:rsidR="007A3CAF">
              <w:rPr>
                <w:noProof/>
                <w:webHidden/>
              </w:rPr>
              <w:instrText xml:space="preserve"> PAGEREF _Toc517166410 \h </w:instrText>
            </w:r>
            <w:r>
              <w:rPr>
                <w:noProof/>
                <w:webHidden/>
              </w:rPr>
            </w:r>
            <w:r>
              <w:rPr>
                <w:noProof/>
                <w:webHidden/>
              </w:rPr>
              <w:fldChar w:fldCharType="separate"/>
            </w:r>
            <w:r w:rsidR="007A3CAF">
              <w:rPr>
                <w:noProof/>
                <w:webHidden/>
              </w:rPr>
              <w:t>9</w:t>
            </w:r>
            <w:r>
              <w:rPr>
                <w:noProof/>
                <w:webHidden/>
              </w:rPr>
              <w:fldChar w:fldCharType="end"/>
            </w:r>
          </w:hyperlink>
        </w:p>
        <w:p w:rsidR="007A3CAF" w:rsidRDefault="00D9195B">
          <w:pPr>
            <w:pStyle w:val="Obsah1"/>
            <w:rPr>
              <w:rFonts w:asciiTheme="minorHAnsi" w:eastAsiaTheme="minorEastAsia" w:hAnsiTheme="minorHAnsi" w:cstheme="minorBidi"/>
              <w:noProof/>
              <w:sz w:val="22"/>
              <w:szCs w:val="22"/>
            </w:rPr>
          </w:pPr>
          <w:hyperlink w:anchor="_Toc517166411" w:history="1">
            <w:r w:rsidR="007A3CAF" w:rsidRPr="005C4B34">
              <w:rPr>
                <w:rStyle w:val="Hypertextovodkaz"/>
                <w:noProof/>
              </w:rPr>
              <w:t>4. Vnější vztahy</w:t>
            </w:r>
            <w:r w:rsidR="007A3CAF">
              <w:rPr>
                <w:noProof/>
                <w:webHidden/>
              </w:rPr>
              <w:tab/>
            </w:r>
            <w:r>
              <w:rPr>
                <w:noProof/>
                <w:webHidden/>
              </w:rPr>
              <w:fldChar w:fldCharType="begin"/>
            </w:r>
            <w:r w:rsidR="007A3CAF">
              <w:rPr>
                <w:noProof/>
                <w:webHidden/>
              </w:rPr>
              <w:instrText xml:space="preserve"> PAGEREF _Toc517166411 \h </w:instrText>
            </w:r>
            <w:r>
              <w:rPr>
                <w:noProof/>
                <w:webHidden/>
              </w:rPr>
            </w:r>
            <w:r>
              <w:rPr>
                <w:noProof/>
                <w:webHidden/>
              </w:rPr>
              <w:fldChar w:fldCharType="separate"/>
            </w:r>
            <w:r w:rsidR="007A3CAF">
              <w:rPr>
                <w:noProof/>
                <w:webHidden/>
              </w:rPr>
              <w:t>15</w:t>
            </w:r>
            <w:r>
              <w:rPr>
                <w:noProof/>
                <w:webHidden/>
              </w:rPr>
              <w:fldChar w:fldCharType="end"/>
            </w:r>
          </w:hyperlink>
        </w:p>
        <w:p w:rsidR="007A3CAF" w:rsidRDefault="00D9195B">
          <w:pPr>
            <w:pStyle w:val="Obsah1"/>
            <w:rPr>
              <w:rFonts w:asciiTheme="minorHAnsi" w:eastAsiaTheme="minorEastAsia" w:hAnsiTheme="minorHAnsi" w:cstheme="minorBidi"/>
              <w:noProof/>
              <w:sz w:val="22"/>
              <w:szCs w:val="22"/>
            </w:rPr>
          </w:pPr>
          <w:hyperlink w:anchor="_Toc517166412" w:history="1">
            <w:r w:rsidR="007A3CAF" w:rsidRPr="005C4B34">
              <w:rPr>
                <w:rStyle w:val="Hypertextovodkaz"/>
                <w:noProof/>
              </w:rPr>
              <w:t>5. Ceny</w:t>
            </w:r>
            <w:r w:rsidR="007A3CAF">
              <w:rPr>
                <w:noProof/>
                <w:webHidden/>
              </w:rPr>
              <w:tab/>
            </w:r>
            <w:r>
              <w:rPr>
                <w:noProof/>
                <w:webHidden/>
              </w:rPr>
              <w:fldChar w:fldCharType="begin"/>
            </w:r>
            <w:r w:rsidR="007A3CAF">
              <w:rPr>
                <w:noProof/>
                <w:webHidden/>
              </w:rPr>
              <w:instrText xml:space="preserve"> PAGEREF _Toc517166412 \h </w:instrText>
            </w:r>
            <w:r>
              <w:rPr>
                <w:noProof/>
                <w:webHidden/>
              </w:rPr>
            </w:r>
            <w:r>
              <w:rPr>
                <w:noProof/>
                <w:webHidden/>
              </w:rPr>
              <w:fldChar w:fldCharType="separate"/>
            </w:r>
            <w:r w:rsidR="007A3CAF">
              <w:rPr>
                <w:noProof/>
                <w:webHidden/>
              </w:rPr>
              <w:t>17</w:t>
            </w:r>
            <w:r>
              <w:rPr>
                <w:noProof/>
                <w:webHidden/>
              </w:rPr>
              <w:fldChar w:fldCharType="end"/>
            </w:r>
          </w:hyperlink>
        </w:p>
        <w:p w:rsidR="007A3CAF" w:rsidRDefault="00D9195B">
          <w:pPr>
            <w:pStyle w:val="Obsah1"/>
            <w:rPr>
              <w:rFonts w:asciiTheme="minorHAnsi" w:eastAsiaTheme="minorEastAsia" w:hAnsiTheme="minorHAnsi" w:cstheme="minorBidi"/>
              <w:noProof/>
              <w:sz w:val="22"/>
              <w:szCs w:val="22"/>
            </w:rPr>
          </w:pPr>
          <w:hyperlink w:anchor="_Toc517166413" w:history="1">
            <w:r w:rsidR="007A3CAF" w:rsidRPr="005C4B34">
              <w:rPr>
                <w:rStyle w:val="Hypertextovodkaz"/>
                <w:noProof/>
              </w:rPr>
              <w:t>6. Trh práce</w:t>
            </w:r>
            <w:r w:rsidR="007A3CAF">
              <w:rPr>
                <w:noProof/>
                <w:webHidden/>
              </w:rPr>
              <w:tab/>
            </w:r>
            <w:r>
              <w:rPr>
                <w:noProof/>
                <w:webHidden/>
              </w:rPr>
              <w:fldChar w:fldCharType="begin"/>
            </w:r>
            <w:r w:rsidR="007A3CAF">
              <w:rPr>
                <w:noProof/>
                <w:webHidden/>
              </w:rPr>
              <w:instrText xml:space="preserve"> PAGEREF _Toc517166413 \h </w:instrText>
            </w:r>
            <w:r>
              <w:rPr>
                <w:noProof/>
                <w:webHidden/>
              </w:rPr>
            </w:r>
            <w:r>
              <w:rPr>
                <w:noProof/>
                <w:webHidden/>
              </w:rPr>
              <w:fldChar w:fldCharType="separate"/>
            </w:r>
            <w:r w:rsidR="007A3CAF">
              <w:rPr>
                <w:noProof/>
                <w:webHidden/>
              </w:rPr>
              <w:t>21</w:t>
            </w:r>
            <w:r>
              <w:rPr>
                <w:noProof/>
                <w:webHidden/>
              </w:rPr>
              <w:fldChar w:fldCharType="end"/>
            </w:r>
          </w:hyperlink>
        </w:p>
        <w:p w:rsidR="007A3CAF" w:rsidRDefault="00D9195B">
          <w:pPr>
            <w:pStyle w:val="Obsah1"/>
            <w:rPr>
              <w:rFonts w:asciiTheme="minorHAnsi" w:eastAsiaTheme="minorEastAsia" w:hAnsiTheme="minorHAnsi" w:cstheme="minorBidi"/>
              <w:noProof/>
              <w:sz w:val="22"/>
              <w:szCs w:val="22"/>
            </w:rPr>
          </w:pPr>
          <w:hyperlink w:anchor="_Toc517166414" w:history="1">
            <w:r w:rsidR="007A3CAF" w:rsidRPr="005C4B34">
              <w:rPr>
                <w:rStyle w:val="Hypertextovodkaz"/>
                <w:noProof/>
              </w:rPr>
              <w:t>7. Měnové podmínky</w:t>
            </w:r>
            <w:r w:rsidR="007A3CAF">
              <w:rPr>
                <w:noProof/>
                <w:webHidden/>
              </w:rPr>
              <w:tab/>
            </w:r>
            <w:r>
              <w:rPr>
                <w:noProof/>
                <w:webHidden/>
              </w:rPr>
              <w:fldChar w:fldCharType="begin"/>
            </w:r>
            <w:r w:rsidR="007A3CAF">
              <w:rPr>
                <w:noProof/>
                <w:webHidden/>
              </w:rPr>
              <w:instrText xml:space="preserve"> PAGEREF _Toc517166414 \h </w:instrText>
            </w:r>
            <w:r>
              <w:rPr>
                <w:noProof/>
                <w:webHidden/>
              </w:rPr>
            </w:r>
            <w:r>
              <w:rPr>
                <w:noProof/>
                <w:webHidden/>
              </w:rPr>
              <w:fldChar w:fldCharType="separate"/>
            </w:r>
            <w:r w:rsidR="007A3CAF">
              <w:rPr>
                <w:noProof/>
                <w:webHidden/>
              </w:rPr>
              <w:t>24</w:t>
            </w:r>
            <w:r>
              <w:rPr>
                <w:noProof/>
                <w:webHidden/>
              </w:rPr>
              <w:fldChar w:fldCharType="end"/>
            </w:r>
          </w:hyperlink>
        </w:p>
        <w:p w:rsidR="007A3CAF" w:rsidRDefault="00D9195B">
          <w:pPr>
            <w:pStyle w:val="Obsah1"/>
            <w:rPr>
              <w:rFonts w:asciiTheme="minorHAnsi" w:eastAsiaTheme="minorEastAsia" w:hAnsiTheme="minorHAnsi" w:cstheme="minorBidi"/>
              <w:noProof/>
              <w:sz w:val="22"/>
              <w:szCs w:val="22"/>
            </w:rPr>
          </w:pPr>
          <w:hyperlink w:anchor="_Toc517166415" w:history="1">
            <w:r w:rsidR="007A3CAF" w:rsidRPr="005C4B34">
              <w:rPr>
                <w:rStyle w:val="Hypertextovodkaz"/>
                <w:noProof/>
              </w:rPr>
              <w:t>8. Státní rozpočet</w:t>
            </w:r>
            <w:r w:rsidR="007A3CAF">
              <w:rPr>
                <w:noProof/>
                <w:webHidden/>
              </w:rPr>
              <w:tab/>
            </w:r>
            <w:r>
              <w:rPr>
                <w:noProof/>
                <w:webHidden/>
              </w:rPr>
              <w:fldChar w:fldCharType="begin"/>
            </w:r>
            <w:r w:rsidR="007A3CAF">
              <w:rPr>
                <w:noProof/>
                <w:webHidden/>
              </w:rPr>
              <w:instrText xml:space="preserve"> PAGEREF _Toc517166415 \h </w:instrText>
            </w:r>
            <w:r>
              <w:rPr>
                <w:noProof/>
                <w:webHidden/>
              </w:rPr>
            </w:r>
            <w:r>
              <w:rPr>
                <w:noProof/>
                <w:webHidden/>
              </w:rPr>
              <w:fldChar w:fldCharType="separate"/>
            </w:r>
            <w:r w:rsidR="007A3CAF">
              <w:rPr>
                <w:noProof/>
                <w:webHidden/>
              </w:rPr>
              <w:t>26</w:t>
            </w:r>
            <w:r>
              <w:rPr>
                <w:noProof/>
                <w:webHidden/>
              </w:rPr>
              <w:fldChar w:fldCharType="end"/>
            </w:r>
          </w:hyperlink>
        </w:p>
        <w:p w:rsidR="00867DAB" w:rsidRPr="009110F7" w:rsidRDefault="00D9195B">
          <w:r w:rsidRPr="009110F7">
            <w:fldChar w:fldCharType="end"/>
          </w:r>
        </w:p>
      </w:sdtContent>
    </w:sdt>
    <w:p w:rsidR="00003F5C" w:rsidRPr="009110F7" w:rsidRDefault="00003F5C" w:rsidP="00003F5C">
      <w:pPr>
        <w:pStyle w:val="Textpoznpodarou"/>
        <w:jc w:val="both"/>
        <w:rPr>
          <w:rFonts w:cs="Arial"/>
          <w:color w:val="000000"/>
        </w:rPr>
      </w:pPr>
    </w:p>
    <w:p w:rsidR="00003F5C" w:rsidRPr="009110F7" w:rsidRDefault="00003F5C" w:rsidP="00003F5C">
      <w:pPr>
        <w:pStyle w:val="Textpoznpodarou"/>
        <w:jc w:val="both"/>
        <w:rPr>
          <w:rFonts w:cs="Arial"/>
          <w:color w:val="000000"/>
        </w:rPr>
      </w:pPr>
    </w:p>
    <w:p w:rsidR="00003F5C" w:rsidRPr="009110F7" w:rsidRDefault="00003F5C" w:rsidP="00003F5C">
      <w:pPr>
        <w:pStyle w:val="Textpoznpodarou"/>
        <w:jc w:val="both"/>
        <w:rPr>
          <w:rFonts w:cs="Arial"/>
          <w:color w:val="000000"/>
        </w:rPr>
      </w:pPr>
    </w:p>
    <w:p w:rsidR="00003F5C" w:rsidRPr="009110F7" w:rsidRDefault="00003F5C" w:rsidP="00003F5C">
      <w:pPr>
        <w:pStyle w:val="Textpoznpodarou"/>
        <w:jc w:val="both"/>
        <w:rPr>
          <w:rFonts w:cs="Arial"/>
          <w:color w:val="000000"/>
        </w:rPr>
      </w:pPr>
    </w:p>
    <w:p w:rsidR="00003F5C" w:rsidRPr="009110F7" w:rsidRDefault="00003F5C" w:rsidP="00003F5C">
      <w:pPr>
        <w:pStyle w:val="Textpoznpodarou"/>
        <w:jc w:val="both"/>
        <w:rPr>
          <w:rFonts w:cs="Arial"/>
          <w:color w:val="000000"/>
        </w:rPr>
      </w:pPr>
    </w:p>
    <w:p w:rsidR="00003F5C" w:rsidRPr="009110F7" w:rsidRDefault="00003F5C" w:rsidP="00003F5C">
      <w:pPr>
        <w:pStyle w:val="Textpoznpodarou"/>
        <w:jc w:val="both"/>
        <w:rPr>
          <w:rFonts w:cs="Arial"/>
          <w:color w:val="000000"/>
        </w:rPr>
      </w:pPr>
    </w:p>
    <w:p w:rsidR="00003F5C" w:rsidRPr="009110F7" w:rsidRDefault="00003F5C" w:rsidP="00003F5C">
      <w:pPr>
        <w:pStyle w:val="Textpoznpodarou"/>
        <w:jc w:val="both"/>
        <w:rPr>
          <w:rFonts w:cs="Arial"/>
          <w:color w:val="000000"/>
        </w:rPr>
      </w:pPr>
      <w:r w:rsidRPr="009110F7">
        <w:rPr>
          <w:rFonts w:cs="Arial"/>
          <w:color w:val="000000"/>
        </w:rPr>
        <w:t>Zdroje dat v celé analýze: ČSÚ, MF</w:t>
      </w:r>
      <w:r w:rsidR="00A45489" w:rsidRPr="009110F7">
        <w:rPr>
          <w:rFonts w:cs="Arial"/>
          <w:color w:val="000000"/>
        </w:rPr>
        <w:t> </w:t>
      </w:r>
      <w:r w:rsidRPr="009110F7">
        <w:rPr>
          <w:rFonts w:cs="Arial"/>
          <w:color w:val="000000"/>
        </w:rPr>
        <w:t xml:space="preserve">ČR, ČNB, MPSV, ČSSZ, </w:t>
      </w:r>
      <w:proofErr w:type="spellStart"/>
      <w:r w:rsidRPr="009110F7">
        <w:rPr>
          <w:rFonts w:cs="Arial"/>
          <w:color w:val="000000"/>
        </w:rPr>
        <w:t>Eurostat</w:t>
      </w:r>
      <w:proofErr w:type="spellEnd"/>
      <w:r w:rsidRPr="009110F7">
        <w:rPr>
          <w:rFonts w:cs="Arial"/>
          <w:color w:val="000000"/>
        </w:rPr>
        <w:t>, propočty ČSÚ.</w:t>
      </w:r>
    </w:p>
    <w:p w:rsidR="00003F5C" w:rsidRPr="009110F7" w:rsidRDefault="00003F5C" w:rsidP="00003F5C">
      <w:pPr>
        <w:pStyle w:val="Textpoznpodarou"/>
        <w:jc w:val="both"/>
        <w:rPr>
          <w:rFonts w:cs="Arial"/>
          <w:color w:val="000000"/>
        </w:rPr>
      </w:pPr>
      <w:r w:rsidRPr="009110F7">
        <w:rPr>
          <w:rFonts w:cs="Arial"/>
          <w:color w:val="000000"/>
        </w:rPr>
        <w:t xml:space="preserve">Poslední informace uváděné v této publikaci pocházejí </w:t>
      </w:r>
      <w:r w:rsidR="00716F48" w:rsidRPr="009110F7">
        <w:rPr>
          <w:rFonts w:cs="Arial"/>
          <w:color w:val="000000"/>
        </w:rPr>
        <w:t>z</w:t>
      </w:r>
      <w:r w:rsidR="00A45489" w:rsidRPr="009110F7">
        <w:rPr>
          <w:rFonts w:cs="Arial"/>
          <w:color w:val="000000"/>
        </w:rPr>
        <w:t>e</w:t>
      </w:r>
      <w:r w:rsidR="00716F48" w:rsidRPr="009110F7">
        <w:rPr>
          <w:rFonts w:cs="Arial"/>
          <w:color w:val="000000"/>
        </w:rPr>
        <w:t> </w:t>
      </w:r>
      <w:r w:rsidRPr="009110F7">
        <w:rPr>
          <w:rFonts w:cs="Arial"/>
          <w:color w:val="000000"/>
        </w:rPr>
        <w:t>1</w:t>
      </w:r>
      <w:r w:rsidR="00716F48" w:rsidRPr="009110F7">
        <w:rPr>
          <w:rFonts w:cs="Arial"/>
          <w:color w:val="000000"/>
        </w:rPr>
        <w:t>4. </w:t>
      </w:r>
      <w:r w:rsidRPr="009110F7">
        <w:rPr>
          <w:rFonts w:cs="Arial"/>
          <w:color w:val="000000"/>
        </w:rPr>
        <w:t>června 2018.</w:t>
      </w:r>
    </w:p>
    <w:p w:rsidR="00EE4B1B" w:rsidRPr="009110F7" w:rsidRDefault="00087F2B" w:rsidP="001554C2">
      <w:pPr>
        <w:pStyle w:val="Nadpis11"/>
      </w:pPr>
      <w:r w:rsidRPr="009110F7">
        <w:br w:type="page"/>
      </w:r>
      <w:bookmarkStart w:id="1" w:name="_Toc444112494"/>
      <w:bookmarkStart w:id="2" w:name="_Toc511215208"/>
      <w:r w:rsidR="001554C2" w:rsidRPr="009110F7">
        <w:lastRenderedPageBreak/>
        <w:t xml:space="preserve"> </w:t>
      </w:r>
      <w:bookmarkStart w:id="3" w:name="_Toc517166408"/>
      <w:r w:rsidR="001554C2" w:rsidRPr="009110F7">
        <w:t>1. Shrnutí</w:t>
      </w:r>
      <w:bookmarkEnd w:id="1"/>
      <w:bookmarkEnd w:id="2"/>
      <w:bookmarkEnd w:id="3"/>
    </w:p>
    <w:p w:rsidR="00167CB9" w:rsidRPr="009110F7" w:rsidRDefault="00E2251C" w:rsidP="006B0514">
      <w:pPr>
        <w:pStyle w:val="Normalodrka"/>
        <w:spacing w:after="100"/>
      </w:pPr>
      <w:r w:rsidRPr="009110F7">
        <w:t xml:space="preserve">Po mimořádně vydařené </w:t>
      </w:r>
      <w:r w:rsidR="00716F48" w:rsidRPr="009110F7">
        <w:t>2. </w:t>
      </w:r>
      <w:r w:rsidRPr="009110F7">
        <w:t>polovině roku 2017</w:t>
      </w:r>
      <w:r w:rsidRPr="009110F7">
        <w:rPr>
          <w:b/>
        </w:rPr>
        <w:t xml:space="preserve"> </w:t>
      </w:r>
      <w:r w:rsidRPr="009110F7">
        <w:t>se meziroční růst hrubého domácího produktu</w:t>
      </w:r>
      <w:r w:rsidR="00297D51" w:rsidRPr="009110F7">
        <w:t xml:space="preserve"> (HDP) zpomalil </w:t>
      </w:r>
      <w:r w:rsidR="00716F48" w:rsidRPr="009110F7">
        <w:t>a </w:t>
      </w:r>
      <w:r w:rsidR="00297D51" w:rsidRPr="009110F7">
        <w:t>dosáhl 4,</w:t>
      </w:r>
      <w:r w:rsidR="00167CB9" w:rsidRPr="009110F7">
        <w:t>4 </w:t>
      </w:r>
      <w:r w:rsidR="00297D51" w:rsidRPr="009110F7">
        <w:t>%</w:t>
      </w:r>
      <w:r w:rsidR="00446D44" w:rsidRPr="009110F7">
        <w:rPr>
          <w:rStyle w:val="Znakapoznpodarou"/>
          <w:spacing w:val="-4"/>
          <w:szCs w:val="20"/>
        </w:rPr>
        <w:footnoteReference w:id="1"/>
      </w:r>
      <w:r w:rsidR="00297D51" w:rsidRPr="009110F7">
        <w:t xml:space="preserve">. Hospodářský růst poháněla především domácí poptávka. Růst výdajů na konečnou spotřebu se udržel na vysoké úrovni minulého roku </w:t>
      </w:r>
      <w:r w:rsidR="00716F48" w:rsidRPr="009110F7">
        <w:t>a </w:t>
      </w:r>
      <w:r w:rsidR="00297D51" w:rsidRPr="009110F7">
        <w:t xml:space="preserve">investiční aktivita posílila. </w:t>
      </w:r>
      <w:r w:rsidR="00680D37" w:rsidRPr="009110F7">
        <w:t>Příspěvek bilance zahraničního obchodu byl v </w:t>
      </w:r>
      <w:r w:rsidR="00716F48" w:rsidRPr="009110F7">
        <w:t>1. </w:t>
      </w:r>
      <w:r w:rsidR="00680D37" w:rsidRPr="009110F7">
        <w:t xml:space="preserve">čtvrtletí záporný, poprvé od roku 2013. Projevilo se oslabení zahraniční poptávky, vliv měla </w:t>
      </w:r>
      <w:r w:rsidR="00716F48" w:rsidRPr="009110F7">
        <w:t>i </w:t>
      </w:r>
      <w:r w:rsidR="00680D37" w:rsidRPr="009110F7">
        <w:t xml:space="preserve">zvýšená domácí poptávka po dovozu. </w:t>
      </w:r>
      <w:r w:rsidR="00297D51" w:rsidRPr="009110F7">
        <w:t>Navzdory zpomalení patř</w:t>
      </w:r>
      <w:r w:rsidR="00680D37" w:rsidRPr="009110F7">
        <w:t>ila</w:t>
      </w:r>
      <w:r w:rsidR="00297D51" w:rsidRPr="009110F7">
        <w:t xml:space="preserve"> ČR mezi země s nejvyšším meziročním růstem. </w:t>
      </w:r>
      <w:proofErr w:type="spellStart"/>
      <w:r w:rsidR="00297D51" w:rsidRPr="009110F7">
        <w:t>Mezičtvrtletní</w:t>
      </w:r>
      <w:proofErr w:type="spellEnd"/>
      <w:r w:rsidR="00297D51" w:rsidRPr="009110F7">
        <w:t xml:space="preserve"> dy</w:t>
      </w:r>
      <w:r w:rsidR="00680D37" w:rsidRPr="009110F7">
        <w:t>namika HDP však zpomalila na</w:t>
      </w:r>
      <w:r w:rsidR="008E6DCB" w:rsidRPr="009110F7">
        <w:t> </w:t>
      </w:r>
      <w:r w:rsidR="00680D37" w:rsidRPr="009110F7">
        <w:t>0,</w:t>
      </w:r>
      <w:r w:rsidR="00167CB9" w:rsidRPr="009110F7">
        <w:t>4 </w:t>
      </w:r>
      <w:r w:rsidR="00680D37" w:rsidRPr="009110F7">
        <w:t>%.</w:t>
      </w:r>
    </w:p>
    <w:p w:rsidR="004B7125" w:rsidRPr="009110F7" w:rsidRDefault="00AD5AD2" w:rsidP="006B0514">
      <w:pPr>
        <w:pStyle w:val="Normalodrka"/>
        <w:spacing w:after="100"/>
      </w:pPr>
      <w:r w:rsidRPr="009110F7">
        <w:rPr>
          <w:rFonts w:cs="Arial"/>
          <w:szCs w:val="20"/>
        </w:rPr>
        <w:t xml:space="preserve">Hrubá přidaná hodnota se meziročně zvýšila </w:t>
      </w:r>
      <w:r w:rsidR="00716F48" w:rsidRPr="009110F7">
        <w:rPr>
          <w:rFonts w:cs="Arial"/>
          <w:szCs w:val="20"/>
        </w:rPr>
        <w:t>o </w:t>
      </w:r>
      <w:r w:rsidRPr="009110F7">
        <w:rPr>
          <w:rFonts w:cs="Arial"/>
          <w:szCs w:val="20"/>
        </w:rPr>
        <w:t>4,</w:t>
      </w:r>
      <w:r w:rsidR="00167CB9" w:rsidRPr="009110F7">
        <w:rPr>
          <w:rFonts w:cs="Arial"/>
          <w:szCs w:val="20"/>
        </w:rPr>
        <w:t>5 </w:t>
      </w:r>
      <w:r w:rsidRPr="009110F7">
        <w:rPr>
          <w:rFonts w:cs="Arial"/>
          <w:szCs w:val="20"/>
        </w:rPr>
        <w:t xml:space="preserve">%. Na jejím růstu se téměř z třetiny podílel zpracovatelský průmysl. Jeho role </w:t>
      </w:r>
      <w:r w:rsidR="00103DCB" w:rsidRPr="009110F7">
        <w:rPr>
          <w:rFonts w:cs="Arial"/>
          <w:szCs w:val="20"/>
        </w:rPr>
        <w:t xml:space="preserve">však ve srovnání s rokem 2017 oslabila ve prospěch služeb </w:t>
      </w:r>
      <w:r w:rsidR="00716F48" w:rsidRPr="009110F7">
        <w:rPr>
          <w:rFonts w:cs="Arial"/>
          <w:szCs w:val="20"/>
        </w:rPr>
        <w:t>a </w:t>
      </w:r>
      <w:r w:rsidR="00103DCB" w:rsidRPr="009110F7">
        <w:rPr>
          <w:rFonts w:cs="Arial"/>
          <w:szCs w:val="20"/>
        </w:rPr>
        <w:t>také stavebnictví, jemuž na počátku roku výrazně pomohly příznivé povětrnostní podmínky.</w:t>
      </w:r>
    </w:p>
    <w:p w:rsidR="00167CB9" w:rsidRPr="009110F7" w:rsidRDefault="00680D37" w:rsidP="006B0514">
      <w:pPr>
        <w:pStyle w:val="Normalodrka"/>
        <w:spacing w:after="100"/>
      </w:pPr>
      <w:r w:rsidRPr="009110F7">
        <w:t xml:space="preserve">Hodnota vývozu zboží </w:t>
      </w:r>
      <w:r w:rsidR="003E52D8" w:rsidRPr="009110F7">
        <w:t xml:space="preserve">meziročně </w:t>
      </w:r>
      <w:r w:rsidRPr="009110F7">
        <w:t xml:space="preserve">poklesla </w:t>
      </w:r>
      <w:r w:rsidR="00716F48" w:rsidRPr="009110F7">
        <w:t>o </w:t>
      </w:r>
      <w:r w:rsidRPr="009110F7">
        <w:t>1,</w:t>
      </w:r>
      <w:r w:rsidR="00167CB9" w:rsidRPr="009110F7">
        <w:t>5 </w:t>
      </w:r>
      <w:r w:rsidRPr="009110F7">
        <w:t>%.</w:t>
      </w:r>
      <w:r w:rsidR="003E52D8" w:rsidRPr="009110F7">
        <w:t xml:space="preserve"> Významně se snížila hodnota exportu motorových vozidel </w:t>
      </w:r>
      <w:r w:rsidR="00716F48" w:rsidRPr="009110F7">
        <w:t>a </w:t>
      </w:r>
      <w:r w:rsidR="003E52D8" w:rsidRPr="009110F7">
        <w:t xml:space="preserve">zpomalil </w:t>
      </w:r>
      <w:r w:rsidR="00716F48" w:rsidRPr="009110F7">
        <w:t>i </w:t>
      </w:r>
      <w:r w:rsidR="003E52D8" w:rsidRPr="009110F7">
        <w:t xml:space="preserve">růst vývozu ostatních klíčových produktů. </w:t>
      </w:r>
      <w:r w:rsidR="00416DAC" w:rsidRPr="009110F7">
        <w:t>M</w:t>
      </w:r>
      <w:r w:rsidR="003E52D8" w:rsidRPr="009110F7">
        <w:t>eziroční</w:t>
      </w:r>
      <w:r w:rsidR="00416DAC" w:rsidRPr="009110F7">
        <w:t xml:space="preserve"> srovnání bylo výrazně ovlivněno mimořádně vydařeným </w:t>
      </w:r>
      <w:r w:rsidR="00716F48" w:rsidRPr="009110F7">
        <w:t>1. </w:t>
      </w:r>
      <w:r w:rsidR="00416DAC" w:rsidRPr="009110F7">
        <w:t>čtvrtletím roku 2017, část poklesu nominální hodnoty vývozu lze vysvětlit i</w:t>
      </w:r>
      <w:r w:rsidR="00FB208B" w:rsidRPr="009110F7">
        <w:t> </w:t>
      </w:r>
      <w:r w:rsidR="00416DAC" w:rsidRPr="009110F7">
        <w:t>meziročním posílením kurzu koruny vůči euru. Dovoz klesl méně výrazn</w:t>
      </w:r>
      <w:r w:rsidR="001B4F0E" w:rsidRPr="009110F7">
        <w:t>ě</w:t>
      </w:r>
      <w:r w:rsidR="00416DAC" w:rsidRPr="009110F7">
        <w:t xml:space="preserve"> než vývoz (0,</w:t>
      </w:r>
      <w:r w:rsidR="00167CB9" w:rsidRPr="009110F7">
        <w:t>5 </w:t>
      </w:r>
      <w:r w:rsidR="00416DAC" w:rsidRPr="009110F7">
        <w:t>%). Výsledná bilance zahraničního obchodu se zbožím dosáhla přebytku 57,</w:t>
      </w:r>
      <w:r w:rsidR="00167CB9" w:rsidRPr="009110F7">
        <w:t>8 </w:t>
      </w:r>
      <w:r w:rsidR="00416DAC" w:rsidRPr="009110F7">
        <w:t xml:space="preserve">mld. korun, ten se však meziročně snížil </w:t>
      </w:r>
      <w:r w:rsidR="00716F48" w:rsidRPr="009110F7">
        <w:t>o </w:t>
      </w:r>
      <w:r w:rsidR="00416DAC" w:rsidRPr="009110F7">
        <w:t>9,</w:t>
      </w:r>
      <w:r w:rsidR="00167CB9" w:rsidRPr="009110F7">
        <w:t>2 </w:t>
      </w:r>
      <w:r w:rsidR="00416DAC" w:rsidRPr="009110F7">
        <w:t>mld. korun.</w:t>
      </w:r>
    </w:p>
    <w:p w:rsidR="00167CB9" w:rsidRPr="009110F7" w:rsidRDefault="00416DAC" w:rsidP="006B0514">
      <w:pPr>
        <w:pStyle w:val="Normalodrka"/>
        <w:spacing w:after="100"/>
      </w:pPr>
      <w:r w:rsidRPr="009110F7">
        <w:t xml:space="preserve">V porovnání s rokem 2017 se zmírnil </w:t>
      </w:r>
      <w:r w:rsidR="00FB208B" w:rsidRPr="009110F7">
        <w:t xml:space="preserve">meziroční </w:t>
      </w:r>
      <w:r w:rsidRPr="009110F7">
        <w:t xml:space="preserve">růst spotřebitelských cen </w:t>
      </w:r>
      <w:r w:rsidR="00716F48" w:rsidRPr="009110F7">
        <w:t>a </w:t>
      </w:r>
      <w:r w:rsidRPr="009110F7">
        <w:t>v </w:t>
      </w:r>
      <w:r w:rsidR="00716F48" w:rsidRPr="009110F7">
        <w:t>1. </w:t>
      </w:r>
      <w:r w:rsidRPr="009110F7">
        <w:t>čtvrtletí 2018 dosáhl 1,9</w:t>
      </w:r>
      <w:r w:rsidR="00FB208B" w:rsidRPr="009110F7">
        <w:t> </w:t>
      </w:r>
      <w:r w:rsidRPr="009110F7">
        <w:t>%</w:t>
      </w:r>
      <w:r w:rsidR="00FB208B" w:rsidRPr="009110F7">
        <w:t xml:space="preserve">. Růst cen potravin totiž nedosahoval tak vysoké úrovně jako v minulém roce </w:t>
      </w:r>
      <w:r w:rsidR="00716F48" w:rsidRPr="009110F7">
        <w:t>a </w:t>
      </w:r>
      <w:r w:rsidR="00FB208B" w:rsidRPr="009110F7">
        <w:t xml:space="preserve">k útlumu došlo i v dynamice cen dopravy. Naopak ceny bydlení </w:t>
      </w:r>
      <w:r w:rsidR="00716F48" w:rsidRPr="009110F7">
        <w:t>a </w:t>
      </w:r>
      <w:r w:rsidR="00FB208B" w:rsidRPr="009110F7">
        <w:t xml:space="preserve">energií se staly nejvýznamnějším faktorem ovlivňujícím celkový růst indexu spotřebitelských cen. Rostly nájmy </w:t>
      </w:r>
      <w:r w:rsidR="00716F48" w:rsidRPr="009110F7">
        <w:t>a </w:t>
      </w:r>
      <w:r w:rsidR="00FB208B" w:rsidRPr="009110F7">
        <w:t xml:space="preserve">poprvé od začátku roku 2016 i ceny energií. Ceny průmyslových výrobců stagnovaly, pokračující konjunktura však podpořila další zrychlení růstu cen tržních služeb. Kurz koruny posilující vůči euru </w:t>
      </w:r>
      <w:r w:rsidR="00716F48" w:rsidRPr="009110F7">
        <w:t>i </w:t>
      </w:r>
      <w:r w:rsidR="00FB208B" w:rsidRPr="009110F7">
        <w:t xml:space="preserve">dolaru stále výrazně ovlivňoval klesající ceny vývozu </w:t>
      </w:r>
      <w:r w:rsidR="00716F48" w:rsidRPr="009110F7">
        <w:t>a </w:t>
      </w:r>
      <w:r w:rsidR="00FB208B" w:rsidRPr="009110F7">
        <w:t>dovozu.</w:t>
      </w:r>
    </w:p>
    <w:p w:rsidR="004B7125" w:rsidRPr="009110F7" w:rsidRDefault="00090694" w:rsidP="006B0514">
      <w:pPr>
        <w:pStyle w:val="Normalodrka"/>
        <w:spacing w:after="100"/>
      </w:pPr>
      <w:r w:rsidRPr="00090694">
        <w:rPr>
          <w:spacing w:val="-2"/>
        </w:rPr>
        <w:t>Trh práce poskytoval na počátku roku 2018 mimořádně příznivé podmínky pro zaměstnance i lidi hledající</w:t>
      </w:r>
      <w:r w:rsidR="00A96116" w:rsidRPr="009110F7">
        <w:t xml:space="preserve"> práci. </w:t>
      </w:r>
      <w:r w:rsidR="00A96116" w:rsidRPr="009110F7">
        <w:rPr>
          <w:rFonts w:cs="Arial"/>
          <w:color w:val="0D0D0D" w:themeColor="text1" w:themeTint="F2"/>
          <w:spacing w:val="-4"/>
        </w:rPr>
        <w:t xml:space="preserve">Počet pracovníků byl </w:t>
      </w:r>
      <w:r w:rsidR="001B4F0E" w:rsidRPr="009110F7">
        <w:rPr>
          <w:rFonts w:cs="Arial"/>
          <w:color w:val="0D0D0D" w:themeColor="text1" w:themeTint="F2"/>
          <w:spacing w:val="-4"/>
        </w:rPr>
        <w:t>v </w:t>
      </w:r>
      <w:r w:rsidR="00716F48" w:rsidRPr="009110F7">
        <w:rPr>
          <w:rFonts w:cs="Arial"/>
          <w:color w:val="0D0D0D" w:themeColor="text1" w:themeTint="F2"/>
          <w:szCs w:val="20"/>
        </w:rPr>
        <w:t>1. </w:t>
      </w:r>
      <w:r w:rsidR="00A96116" w:rsidRPr="009110F7">
        <w:rPr>
          <w:rFonts w:cs="Arial"/>
          <w:color w:val="0D0D0D" w:themeColor="text1" w:themeTint="F2"/>
          <w:szCs w:val="20"/>
        </w:rPr>
        <w:t xml:space="preserve">čtvrtletí 2018 </w:t>
      </w:r>
      <w:r w:rsidR="00A96116" w:rsidRPr="009110F7">
        <w:rPr>
          <w:rFonts w:cs="Arial"/>
          <w:color w:val="0D0D0D" w:themeColor="text1" w:themeTint="F2"/>
          <w:spacing w:val="-4"/>
        </w:rPr>
        <w:t>meziročně o 1,</w:t>
      </w:r>
      <w:r w:rsidR="00167CB9" w:rsidRPr="009110F7">
        <w:rPr>
          <w:rFonts w:cs="Arial"/>
          <w:color w:val="0D0D0D" w:themeColor="text1" w:themeTint="F2"/>
          <w:spacing w:val="-4"/>
        </w:rPr>
        <w:t>7 </w:t>
      </w:r>
      <w:r w:rsidR="00A96116" w:rsidRPr="009110F7">
        <w:rPr>
          <w:rFonts w:cs="Arial"/>
          <w:color w:val="0D0D0D" w:themeColor="text1" w:themeTint="F2"/>
          <w:spacing w:val="-4"/>
        </w:rPr>
        <w:t>% vyšší</w:t>
      </w:r>
      <w:r w:rsidR="007B3DCB" w:rsidRPr="009110F7">
        <w:rPr>
          <w:rStyle w:val="Znakapoznpodarou"/>
          <w:color w:val="0D0D0D" w:themeColor="text1" w:themeTint="F2"/>
          <w:spacing w:val="-4"/>
        </w:rPr>
        <w:footnoteReference w:id="2"/>
      </w:r>
      <w:r w:rsidR="007B3DCB" w:rsidRPr="009110F7">
        <w:rPr>
          <w:rFonts w:cs="Arial"/>
          <w:color w:val="0D0D0D" w:themeColor="text1" w:themeTint="F2"/>
          <w:spacing w:val="-4"/>
        </w:rPr>
        <w:t xml:space="preserve">. Tempo růstu zaměstnanosti neochabovalo. Při stále omezenějším rezervoáru potenciálních pracovních sil z tuzemska byla silná </w:t>
      </w:r>
      <w:r w:rsidR="00892872" w:rsidRPr="009110F7">
        <w:t>poptávk</w:t>
      </w:r>
      <w:r w:rsidR="009C3E8F" w:rsidRPr="009110F7">
        <w:t>a</w:t>
      </w:r>
      <w:r w:rsidR="00892872" w:rsidRPr="009110F7">
        <w:t xml:space="preserve"> po pracovní síle patrně stále více saturována zahraničními pracovníky. </w:t>
      </w:r>
      <w:r w:rsidR="004C6E0E" w:rsidRPr="009110F7">
        <w:t xml:space="preserve">Míra nezaměstnanosti úspěšně testovala další rekordní hranice. </w:t>
      </w:r>
      <w:r w:rsidR="00716F48" w:rsidRPr="009110F7">
        <w:t>O </w:t>
      </w:r>
      <w:r w:rsidR="004C6E0E" w:rsidRPr="009110F7">
        <w:t>její meziroční redukci se z poloviny zasloužili dlouhodobě nezaměstnaní. Během dubna počet volných pracovních míst v nabídce úřadů práce poprvé v historii překroči</w:t>
      </w:r>
      <w:r w:rsidR="009C3E8F" w:rsidRPr="009110F7">
        <w:t>l</w:t>
      </w:r>
      <w:r w:rsidR="004C6E0E" w:rsidRPr="009110F7">
        <w:t xml:space="preserve"> četnost uchazečů </w:t>
      </w:r>
      <w:r w:rsidR="00716F48" w:rsidRPr="009110F7">
        <w:t>o </w:t>
      </w:r>
      <w:r w:rsidR="004C6E0E" w:rsidRPr="009110F7">
        <w:t xml:space="preserve">práci. Více </w:t>
      </w:r>
      <w:r w:rsidR="004C6E0E" w:rsidRPr="009110F7">
        <w:rPr>
          <w:rFonts w:cs="Arial"/>
          <w:color w:val="0D0D0D" w:themeColor="text1" w:themeTint="F2"/>
          <w:szCs w:val="20"/>
        </w:rPr>
        <w:t>než tři čtvrtiny meziročního přírůstku tvořila místa s minimálními deklarovanými nároky na kvalifikaci. Růst průměrných mezd akceleroval na 8,</w:t>
      </w:r>
      <w:r w:rsidR="00167CB9" w:rsidRPr="009110F7">
        <w:rPr>
          <w:rFonts w:cs="Arial"/>
          <w:color w:val="0D0D0D" w:themeColor="text1" w:themeTint="F2"/>
          <w:szCs w:val="20"/>
        </w:rPr>
        <w:t>6 </w:t>
      </w:r>
      <w:r w:rsidR="004C6E0E" w:rsidRPr="009110F7">
        <w:rPr>
          <w:rFonts w:cs="Arial"/>
          <w:color w:val="0D0D0D" w:themeColor="text1" w:themeTint="F2"/>
          <w:szCs w:val="20"/>
        </w:rPr>
        <w:t xml:space="preserve">%, </w:t>
      </w:r>
      <w:r w:rsidR="004C6E0E" w:rsidRPr="009110F7">
        <w:t>významnou roli při jeho stimulaci sehrál stát. Kupní síla mezd vzros</w:t>
      </w:r>
      <w:r w:rsidR="001B4F0E" w:rsidRPr="009110F7">
        <w:t>t</w:t>
      </w:r>
      <w:r w:rsidR="004C6E0E" w:rsidRPr="009110F7">
        <w:t xml:space="preserve">la </w:t>
      </w:r>
      <w:r w:rsidR="00716F48" w:rsidRPr="009110F7">
        <w:t>o </w:t>
      </w:r>
      <w:r w:rsidR="004C6E0E" w:rsidRPr="009110F7">
        <w:t>6,</w:t>
      </w:r>
      <w:r w:rsidR="00167CB9" w:rsidRPr="009110F7">
        <w:t>6 </w:t>
      </w:r>
      <w:r w:rsidR="007A775D">
        <w:t>%, nejvíce po</w:t>
      </w:r>
      <w:r w:rsidR="004C6E0E" w:rsidRPr="009110F7">
        <w:t xml:space="preserve"> </w:t>
      </w:r>
      <w:r w:rsidR="00716F48" w:rsidRPr="009110F7">
        <w:t>1. </w:t>
      </w:r>
      <w:r w:rsidR="004C6E0E" w:rsidRPr="009110F7">
        <w:t>čtvrtletí 2003.</w:t>
      </w:r>
    </w:p>
    <w:p w:rsidR="004B7125" w:rsidRPr="009110F7" w:rsidRDefault="00FB208B" w:rsidP="006B0514">
      <w:pPr>
        <w:pStyle w:val="Normalodrka"/>
        <w:spacing w:after="100"/>
      </w:pPr>
      <w:r w:rsidRPr="009110F7">
        <w:t xml:space="preserve">Opětovně se zvyšovaly </w:t>
      </w:r>
      <w:proofErr w:type="spellStart"/>
      <w:r w:rsidRPr="009110F7">
        <w:t>měnověpolitické</w:t>
      </w:r>
      <w:proofErr w:type="spellEnd"/>
      <w:r w:rsidRPr="009110F7">
        <w:t xml:space="preserve"> sazby. Ty se promítaly do rostoucích mezibankovních úrokových sazeb. Podmínky na běžných účtech pro domácnosti </w:t>
      </w:r>
      <w:r w:rsidR="00716F48" w:rsidRPr="009110F7">
        <w:t>i </w:t>
      </w:r>
      <w:r w:rsidRPr="009110F7">
        <w:t xml:space="preserve">podniky však zůstávají neměnné. </w:t>
      </w:r>
      <w:r w:rsidR="00B52151" w:rsidRPr="009110F7">
        <w:t>Úvěrové podmínky zatím zůst</w:t>
      </w:r>
      <w:r w:rsidR="001B4F0E" w:rsidRPr="009110F7">
        <w:t>a</w:t>
      </w:r>
      <w:r w:rsidR="00B52151" w:rsidRPr="009110F7">
        <w:t xml:space="preserve">ly příznivé, mírně nahoru se posouvaly sazby úvěrů pro firmy </w:t>
      </w:r>
      <w:r w:rsidR="00716F48" w:rsidRPr="009110F7">
        <w:t>a </w:t>
      </w:r>
      <w:r w:rsidR="00B52151" w:rsidRPr="009110F7">
        <w:t xml:space="preserve">rovněž úroky hypoték. Objem spotřebitelských půjček </w:t>
      </w:r>
      <w:r w:rsidR="00716F48" w:rsidRPr="009110F7">
        <w:t>i </w:t>
      </w:r>
      <w:r w:rsidR="00B52151" w:rsidRPr="009110F7">
        <w:t>úvěrů na bydlení poskytnutých domácnostem rostl pomaleji než v minulém roce.</w:t>
      </w:r>
    </w:p>
    <w:p w:rsidR="002E37D1" w:rsidRPr="009110F7" w:rsidRDefault="008B3F7B" w:rsidP="008A0ADD">
      <w:pPr>
        <w:pStyle w:val="Normalodrka"/>
      </w:pPr>
      <w:r w:rsidRPr="009110F7">
        <w:rPr>
          <w:rFonts w:cs="Arial"/>
          <w:spacing w:val="-4"/>
          <w:szCs w:val="20"/>
        </w:rPr>
        <w:t xml:space="preserve">Hospodaření státního rozpočtu (SR) skončilo loni dle pokladního plnění kladným </w:t>
      </w:r>
      <w:r w:rsidR="004F253F" w:rsidRPr="009110F7">
        <w:rPr>
          <w:rFonts w:cs="Arial"/>
          <w:spacing w:val="-4"/>
          <w:szCs w:val="20"/>
        </w:rPr>
        <w:t>saldem (</w:t>
      </w:r>
      <w:r w:rsidRPr="009110F7">
        <w:rPr>
          <w:rFonts w:cs="Arial"/>
          <w:spacing w:val="-4"/>
          <w:szCs w:val="20"/>
        </w:rPr>
        <w:t>16,</w:t>
      </w:r>
      <w:r w:rsidR="00167CB9" w:rsidRPr="009110F7">
        <w:rPr>
          <w:rFonts w:cs="Arial"/>
          <w:spacing w:val="-4"/>
          <w:szCs w:val="20"/>
        </w:rPr>
        <w:t>3 </w:t>
      </w:r>
      <w:r w:rsidRPr="009110F7">
        <w:rPr>
          <w:rFonts w:cs="Arial"/>
          <w:spacing w:val="-4"/>
          <w:szCs w:val="20"/>
        </w:rPr>
        <w:t>mld. korun</w:t>
      </w:r>
      <w:r w:rsidR="004F253F" w:rsidRPr="009110F7">
        <w:rPr>
          <w:rFonts w:cs="Arial"/>
          <w:spacing w:val="-4"/>
          <w:szCs w:val="20"/>
        </w:rPr>
        <w:t>)</w:t>
      </w:r>
      <w:r w:rsidRPr="009110F7">
        <w:rPr>
          <w:rFonts w:cs="Arial"/>
          <w:spacing w:val="-4"/>
          <w:szCs w:val="20"/>
        </w:rPr>
        <w:t xml:space="preserve">. Přebytkové hospodaření udržel SR na počátku roku již pošesté v řadě. </w:t>
      </w:r>
      <w:r w:rsidR="002E37D1" w:rsidRPr="009110F7">
        <w:rPr>
          <w:rFonts w:cs="Arial"/>
          <w:spacing w:val="-4"/>
        </w:rPr>
        <w:t>Příznivý vývoj ekonomiky se odrážel v celostátním výběru daňových příjmů, jehož meziroční tempo vzrostlo na 9,</w:t>
      </w:r>
      <w:r w:rsidR="00167CB9" w:rsidRPr="009110F7">
        <w:rPr>
          <w:rFonts w:cs="Arial"/>
          <w:spacing w:val="-4"/>
        </w:rPr>
        <w:t>1 </w:t>
      </w:r>
      <w:r w:rsidR="002E37D1" w:rsidRPr="009110F7">
        <w:rPr>
          <w:rFonts w:cs="Arial"/>
          <w:spacing w:val="-4"/>
        </w:rPr>
        <w:t xml:space="preserve">%. Vlivem příznivé situace na pracovním trhu sílil </w:t>
      </w:r>
      <w:r w:rsidR="00716F48" w:rsidRPr="009110F7">
        <w:rPr>
          <w:rFonts w:cs="Arial"/>
          <w:spacing w:val="-4"/>
        </w:rPr>
        <w:t>i </w:t>
      </w:r>
      <w:r w:rsidR="002E37D1" w:rsidRPr="009110F7">
        <w:rPr>
          <w:rFonts w:cs="Arial"/>
          <w:spacing w:val="-4"/>
        </w:rPr>
        <w:t xml:space="preserve">výběr pojistného. </w:t>
      </w:r>
      <w:r w:rsidR="002E37D1" w:rsidRPr="009110F7">
        <w:t xml:space="preserve">Důchodový účet se tak v rámci </w:t>
      </w:r>
      <w:r w:rsidR="00716F48" w:rsidRPr="009110F7">
        <w:t>1. </w:t>
      </w:r>
      <w:r w:rsidR="002E37D1" w:rsidRPr="009110F7">
        <w:t xml:space="preserve">čtvrtletí poprvé po deseti letech vymanil z deficitů. </w:t>
      </w:r>
      <w:r w:rsidR="00016420" w:rsidRPr="009110F7">
        <w:t xml:space="preserve">Investiční výdaje proti rekordně nízké loňské základně mírně vzrostly. Jejich podíl na celkových výdajích SR ale zůstal druhý nejnižší za posledních třináct let. </w:t>
      </w:r>
      <w:r w:rsidR="004F253F" w:rsidRPr="009110F7">
        <w:t>Rozkolísaný vývoj</w:t>
      </w:r>
      <w:r w:rsidR="00B77543" w:rsidRPr="009110F7">
        <w:t xml:space="preserve"> s</w:t>
      </w:r>
      <w:r w:rsidR="004F253F" w:rsidRPr="009110F7">
        <w:t>t</w:t>
      </w:r>
      <w:r w:rsidR="00B77543" w:rsidRPr="009110F7">
        <w:t>át</w:t>
      </w:r>
      <w:r w:rsidR="004F253F" w:rsidRPr="009110F7">
        <w:t xml:space="preserve">ního dluhu pokračoval, na konci </w:t>
      </w:r>
      <w:r w:rsidR="00716F48" w:rsidRPr="009110F7">
        <w:t>1. </w:t>
      </w:r>
      <w:r w:rsidR="004F253F" w:rsidRPr="009110F7">
        <w:t>čtvrtletí se rovnal 1 71</w:t>
      </w:r>
      <w:r w:rsidR="00167CB9" w:rsidRPr="009110F7">
        <w:t>2 </w:t>
      </w:r>
      <w:r w:rsidR="004F253F" w:rsidRPr="009110F7">
        <w:t>mld. korun. Dle posledních údajů dosáhla na konci roku 2017 celková zadluženost sektoru vládních institucí 34,</w:t>
      </w:r>
      <w:r w:rsidR="00167CB9" w:rsidRPr="009110F7">
        <w:t>6 </w:t>
      </w:r>
      <w:r w:rsidR="004F253F" w:rsidRPr="009110F7">
        <w:t>% HDP. Vládní sektor dosáhl již druhým rokem v řadě přebytku hospodaření (+1,</w:t>
      </w:r>
      <w:r w:rsidR="00167CB9" w:rsidRPr="009110F7">
        <w:t>6 </w:t>
      </w:r>
      <w:r w:rsidR="004F253F" w:rsidRPr="009110F7">
        <w:t xml:space="preserve">% HDP), šlo </w:t>
      </w:r>
      <w:r w:rsidR="00716F48" w:rsidRPr="009110F7">
        <w:t>o </w:t>
      </w:r>
      <w:r w:rsidR="004F253F" w:rsidRPr="009110F7">
        <w:t>třetí nejlepší výsledek mezi státy EU.</w:t>
      </w:r>
    </w:p>
    <w:p w:rsidR="00C62828" w:rsidRPr="009110F7" w:rsidRDefault="00C62828" w:rsidP="00C62828">
      <w:pPr>
        <w:pStyle w:val="Nadpis11"/>
      </w:pPr>
      <w:bookmarkStart w:id="4" w:name="_Toc517166409"/>
      <w:r w:rsidRPr="009110F7">
        <w:lastRenderedPageBreak/>
        <w:t>2. Souhrnná výkonnost</w:t>
      </w:r>
      <w:bookmarkEnd w:id="4"/>
    </w:p>
    <w:tbl>
      <w:tblPr>
        <w:tblW w:w="9639" w:type="dxa"/>
        <w:tblInd w:w="-15" w:type="dxa"/>
        <w:tblCellMar>
          <w:left w:w="0" w:type="dxa"/>
          <w:right w:w="0" w:type="dxa"/>
        </w:tblCellMar>
        <w:tblLook w:val="00A0"/>
      </w:tblPr>
      <w:tblGrid>
        <w:gridCol w:w="1888"/>
        <w:gridCol w:w="250"/>
        <w:gridCol w:w="7501"/>
      </w:tblGrid>
      <w:tr w:rsidR="00C62828" w:rsidRPr="009110F7" w:rsidTr="008D127E">
        <w:trPr>
          <w:trHeight w:val="145"/>
        </w:trPr>
        <w:tc>
          <w:tcPr>
            <w:tcW w:w="1888" w:type="dxa"/>
            <w:shd w:val="clear" w:color="auto" w:fill="auto"/>
            <w:tcMar>
              <w:left w:w="0" w:type="dxa"/>
            </w:tcMar>
          </w:tcPr>
          <w:p w:rsidR="00C62828" w:rsidRPr="009110F7" w:rsidRDefault="00C62828" w:rsidP="008A0ADD">
            <w:pPr>
              <w:pStyle w:val="Marginlie"/>
            </w:pPr>
            <w:r w:rsidRPr="009110F7">
              <w:t xml:space="preserve">Meziroční tempo růstu HDP po výrazném </w:t>
            </w:r>
            <w:r>
              <w:t>2.</w:t>
            </w:r>
            <w:r w:rsidR="008A0ADD">
              <w:t> </w:t>
            </w:r>
            <w:r w:rsidRPr="009110F7">
              <w:t>pololetí 2017 zpomalilo.</w:t>
            </w:r>
          </w:p>
        </w:tc>
        <w:tc>
          <w:tcPr>
            <w:tcW w:w="250" w:type="dxa"/>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446D44">
            <w:r w:rsidRPr="009110F7">
              <w:t>Hrubý domácí produkt (HDP) v </w:t>
            </w:r>
            <w:r w:rsidR="00716F48" w:rsidRPr="009110F7">
              <w:t>1. </w:t>
            </w:r>
            <w:r w:rsidRPr="009110F7">
              <w:t xml:space="preserve">čtvrtletí meziročně reálně vzrostl </w:t>
            </w:r>
            <w:r w:rsidR="00716F48" w:rsidRPr="009110F7">
              <w:t>o </w:t>
            </w:r>
            <w:r w:rsidRPr="009110F7">
              <w:t>4,</w:t>
            </w:r>
            <w:r w:rsidR="00167CB9" w:rsidRPr="009110F7">
              <w:t>4 </w:t>
            </w:r>
            <w:r w:rsidRPr="009110F7">
              <w:t>%</w:t>
            </w:r>
            <w:r w:rsidRPr="009110F7">
              <w:rPr>
                <w:rStyle w:val="Znakapoznpodarou"/>
                <w:rFonts w:cs="Arial"/>
              </w:rPr>
              <w:footnoteReference w:id="3"/>
            </w:r>
            <w:r w:rsidRPr="009110F7">
              <w:t xml:space="preserve">. Vysoká meziroční dynamika </w:t>
            </w:r>
            <w:r w:rsidR="00034DF7">
              <w:t xml:space="preserve">druhé </w:t>
            </w:r>
            <w:r w:rsidRPr="009110F7">
              <w:t>poloviny loňského roku se tak neudržela. Vloni meziroční růst překonal 5% hranici díky součinnost</w:t>
            </w:r>
            <w:r w:rsidR="00034DF7">
              <w:t>i</w:t>
            </w:r>
            <w:r w:rsidRPr="009110F7">
              <w:t xml:space="preserve"> </w:t>
            </w:r>
            <w:r w:rsidR="009741FC" w:rsidRPr="009110F7">
              <w:t>všech</w:t>
            </w:r>
            <w:r w:rsidRPr="009110F7">
              <w:t xml:space="preserve"> složek HDP. </w:t>
            </w:r>
            <w:r w:rsidR="00716F48" w:rsidRPr="009110F7">
              <w:t>V 1. </w:t>
            </w:r>
            <w:r w:rsidRPr="009110F7">
              <w:t xml:space="preserve">čtvrtletí roku 2018 však znatelně oslabila zahraniční poptávka (naopak růst domácí spotřeby byl do jisté míry saturován dovozem). Ačkoli dlouhodobá role spotřeby opět posílila, dominantním růstovým faktorem se staly investiční výdaje. Oslabila </w:t>
            </w:r>
            <w:r w:rsidR="00716F48" w:rsidRPr="009110F7">
              <w:t>i </w:t>
            </w:r>
            <w:proofErr w:type="spellStart"/>
            <w:r w:rsidRPr="009110F7">
              <w:t>mezičtvrtletní</w:t>
            </w:r>
            <w:proofErr w:type="spellEnd"/>
            <w:r w:rsidRPr="009110F7">
              <w:t xml:space="preserve"> dynamika a</w:t>
            </w:r>
            <w:r w:rsidR="00446D44" w:rsidRPr="009110F7">
              <w:t> </w:t>
            </w:r>
            <w:r w:rsidRPr="009110F7">
              <w:t xml:space="preserve">HDP se oproti 4. čtvrtletí 2017 zvýšil </w:t>
            </w:r>
            <w:r w:rsidR="00716F48" w:rsidRPr="009110F7">
              <w:t>o </w:t>
            </w:r>
            <w:r w:rsidRPr="009110F7">
              <w:t>0,</w:t>
            </w:r>
            <w:r w:rsidR="00167CB9" w:rsidRPr="009110F7">
              <w:t>4 </w:t>
            </w:r>
            <w:r w:rsidRPr="009110F7">
              <w:t xml:space="preserve">%. </w:t>
            </w:r>
            <w:r w:rsidR="00716F48" w:rsidRPr="009110F7">
              <w:t>I </w:t>
            </w:r>
            <w:r w:rsidRPr="009110F7">
              <w:t xml:space="preserve">v tomto případě k růstu přispívala domácí poptávka </w:t>
            </w:r>
            <w:r w:rsidR="00716F48" w:rsidRPr="009110F7">
              <w:t>a </w:t>
            </w:r>
            <w:r w:rsidRPr="009110F7">
              <w:t xml:space="preserve">zahraniční jej tlumila. Hrubá přidaná hodnota (HPH) meziročně vzrostla </w:t>
            </w:r>
            <w:r w:rsidR="00716F48" w:rsidRPr="009110F7">
              <w:t>o </w:t>
            </w:r>
            <w:r w:rsidRPr="009110F7">
              <w:t>4,</w:t>
            </w:r>
            <w:r w:rsidR="00167CB9" w:rsidRPr="009110F7">
              <w:t>5 </w:t>
            </w:r>
            <w:r w:rsidRPr="009110F7">
              <w:t xml:space="preserve">%, </w:t>
            </w:r>
            <w:proofErr w:type="spellStart"/>
            <w:r w:rsidRPr="009110F7">
              <w:t>mezičtvrtletně</w:t>
            </w:r>
            <w:proofErr w:type="spellEnd"/>
            <w:r w:rsidRPr="009110F7">
              <w:t xml:space="preserve"> </w:t>
            </w:r>
            <w:r w:rsidR="00716F48" w:rsidRPr="009110F7">
              <w:t>o </w:t>
            </w:r>
            <w:r w:rsidRPr="009110F7">
              <w:t>0,</w:t>
            </w:r>
            <w:r w:rsidR="00167CB9" w:rsidRPr="009110F7">
              <w:t>7 </w:t>
            </w:r>
            <w:r w:rsidRPr="009110F7">
              <w:t xml:space="preserve">% (výrazný rozdíl mezi dynamikou HDP </w:t>
            </w:r>
            <w:r w:rsidR="00716F48" w:rsidRPr="009110F7">
              <w:t>a </w:t>
            </w:r>
            <w:r w:rsidRPr="009110F7">
              <w:t xml:space="preserve">HPH byl způsoben </w:t>
            </w:r>
            <w:proofErr w:type="spellStart"/>
            <w:r w:rsidRPr="009110F7">
              <w:t>mezičtvrtletně</w:t>
            </w:r>
            <w:proofErr w:type="spellEnd"/>
            <w:r w:rsidRPr="009110F7">
              <w:t xml:space="preserve"> nižším výběrem spotřební daně z tabákových výrobků). Růst HPH byl výrazně podpořen zpracovatelským průmyslem, zvýšená domácí poptávka se však projevila na příspěvku odvětví služeb, který tvořil více než polovinu celkového meziročního přírůstku HPH.</w:t>
            </w:r>
          </w:p>
        </w:tc>
      </w:tr>
      <w:tr w:rsidR="00C62828" w:rsidRPr="009110F7" w:rsidTr="008D127E">
        <w:trPr>
          <w:trHeight w:val="170"/>
        </w:trPr>
        <w:tc>
          <w:tcPr>
            <w:tcW w:w="1888" w:type="dxa"/>
            <w:vMerge w:val="restart"/>
            <w:shd w:val="clear" w:color="auto" w:fill="auto"/>
            <w:tcMar>
              <w:left w:w="0" w:type="dxa"/>
            </w:tcMar>
          </w:tcPr>
          <w:p w:rsidR="00C62828" w:rsidRPr="009110F7" w:rsidRDefault="00C62828" w:rsidP="00965797">
            <w:pPr>
              <w:pStyle w:val="Marginlie"/>
            </w:pPr>
          </w:p>
        </w:tc>
        <w:tc>
          <w:tcPr>
            <w:tcW w:w="250" w:type="dxa"/>
            <w:vMerge w:val="restart"/>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8A0ADD">
            <w:pPr>
              <w:spacing w:after="0"/>
              <w:rPr>
                <w:b/>
                <w:szCs w:val="20"/>
              </w:rPr>
            </w:pPr>
            <w:r w:rsidRPr="009110F7">
              <w:rPr>
                <w:rFonts w:cs="Arial"/>
                <w:b/>
                <w:bCs/>
                <w:color w:val="000000"/>
                <w:szCs w:val="20"/>
              </w:rPr>
              <w:t>Graf</w:t>
            </w:r>
            <w:r w:rsidR="005B770C">
              <w:rPr>
                <w:rFonts w:cs="Arial"/>
                <w:b/>
                <w:bCs/>
                <w:color w:val="000000"/>
                <w:szCs w:val="20"/>
              </w:rPr>
              <w:t> </w:t>
            </w:r>
            <w:r w:rsidR="00167CB9" w:rsidRPr="009110F7">
              <w:rPr>
                <w:rFonts w:cs="Arial"/>
                <w:b/>
                <w:bCs/>
                <w:color w:val="000000"/>
                <w:szCs w:val="20"/>
              </w:rPr>
              <w:t>č. </w:t>
            </w:r>
            <w:r w:rsidR="00716F48" w:rsidRPr="009110F7">
              <w:rPr>
                <w:rFonts w:cs="Arial"/>
                <w:b/>
                <w:bCs/>
                <w:color w:val="000000"/>
                <w:szCs w:val="20"/>
              </w:rPr>
              <w:t>1</w:t>
            </w:r>
            <w:r w:rsidR="008A0ADD">
              <w:rPr>
                <w:rFonts w:cs="Arial"/>
                <w:b/>
                <w:bCs/>
                <w:color w:val="000000"/>
                <w:szCs w:val="20"/>
              </w:rPr>
              <w:t xml:space="preserve">  </w:t>
            </w:r>
            <w:r w:rsidRPr="009110F7">
              <w:rPr>
                <w:rFonts w:cs="Arial"/>
                <w:b/>
                <w:szCs w:val="20"/>
                <w:lang w:eastAsia="en-US"/>
              </w:rPr>
              <w:t xml:space="preserve">HDP (objemové indexy, očištěno </w:t>
            </w:r>
            <w:r w:rsidR="00716F48" w:rsidRPr="009110F7">
              <w:rPr>
                <w:rFonts w:cs="Arial"/>
                <w:b/>
                <w:szCs w:val="20"/>
                <w:lang w:eastAsia="en-US"/>
              </w:rPr>
              <w:t>o </w:t>
            </w:r>
            <w:r w:rsidRPr="009110F7">
              <w:rPr>
                <w:rFonts w:cs="Arial"/>
                <w:b/>
                <w:szCs w:val="20"/>
                <w:lang w:eastAsia="en-US"/>
              </w:rPr>
              <w:t>sezónní a kalendářní vlivy, v</w:t>
            </w:r>
            <w:r w:rsidR="00167CB9" w:rsidRPr="009110F7">
              <w:rPr>
                <w:rFonts w:cs="Arial"/>
                <w:b/>
                <w:szCs w:val="20"/>
                <w:lang w:eastAsia="en-US"/>
              </w:rPr>
              <w:t> %</w:t>
            </w:r>
            <w:r w:rsidRPr="009110F7">
              <w:rPr>
                <w:rFonts w:cs="Arial"/>
                <w:b/>
                <w:szCs w:val="20"/>
                <w:lang w:eastAsia="en-US"/>
              </w:rPr>
              <w:t>)</w:t>
            </w:r>
          </w:p>
        </w:tc>
      </w:tr>
      <w:tr w:rsidR="00C62828" w:rsidRPr="009110F7" w:rsidTr="008D127E">
        <w:trPr>
          <w:trHeight w:val="170"/>
        </w:trPr>
        <w:tc>
          <w:tcPr>
            <w:tcW w:w="1888" w:type="dxa"/>
            <w:vMerge/>
            <w:shd w:val="clear" w:color="auto" w:fill="auto"/>
            <w:tcMar>
              <w:left w:w="0" w:type="dxa"/>
            </w:tcMar>
          </w:tcPr>
          <w:p w:rsidR="00C62828" w:rsidRPr="009110F7" w:rsidRDefault="00C62828" w:rsidP="00965797">
            <w:pPr>
              <w:pStyle w:val="Marginlie"/>
            </w:pPr>
          </w:p>
        </w:tc>
        <w:tc>
          <w:tcPr>
            <w:tcW w:w="250" w:type="dxa"/>
            <w:vMerge/>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965797">
            <w:pPr>
              <w:spacing w:after="0"/>
            </w:pPr>
            <w:r w:rsidRPr="009110F7">
              <w:rPr>
                <w:noProof/>
              </w:rPr>
              <w:drawing>
                <wp:inline distT="0" distB="0" distL="0" distR="0">
                  <wp:extent cx="4737600" cy="3553200"/>
                  <wp:effectExtent l="19050" t="0" r="0" b="0"/>
                  <wp:docPr id="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C62828" w:rsidRPr="009110F7" w:rsidTr="008D127E">
        <w:trPr>
          <w:trHeight w:val="170"/>
        </w:trPr>
        <w:tc>
          <w:tcPr>
            <w:tcW w:w="1888" w:type="dxa"/>
            <w:vMerge/>
            <w:shd w:val="clear" w:color="auto" w:fill="auto"/>
            <w:tcMar>
              <w:left w:w="0" w:type="dxa"/>
            </w:tcMar>
          </w:tcPr>
          <w:p w:rsidR="00C62828" w:rsidRPr="009110F7" w:rsidRDefault="00C62828" w:rsidP="00965797">
            <w:pPr>
              <w:pStyle w:val="Marginlie"/>
            </w:pPr>
          </w:p>
        </w:tc>
        <w:tc>
          <w:tcPr>
            <w:tcW w:w="250" w:type="dxa"/>
            <w:vMerge/>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965797">
            <w:pPr>
              <w:rPr>
                <w:sz w:val="14"/>
                <w:szCs w:val="14"/>
              </w:rPr>
            </w:pPr>
            <w:r w:rsidRPr="009110F7">
              <w:rPr>
                <w:sz w:val="14"/>
                <w:szCs w:val="14"/>
              </w:rPr>
              <w:t xml:space="preserve">Zdroj: ČSÚ, </w:t>
            </w:r>
            <w:proofErr w:type="spellStart"/>
            <w:r w:rsidRPr="009110F7">
              <w:rPr>
                <w:sz w:val="14"/>
                <w:szCs w:val="14"/>
              </w:rPr>
              <w:t>Eurostat</w:t>
            </w:r>
            <w:proofErr w:type="spellEnd"/>
          </w:p>
        </w:tc>
      </w:tr>
      <w:tr w:rsidR="00C62828" w:rsidRPr="009110F7" w:rsidTr="008D127E">
        <w:trPr>
          <w:trHeight w:val="145"/>
        </w:trPr>
        <w:tc>
          <w:tcPr>
            <w:tcW w:w="1888" w:type="dxa"/>
            <w:shd w:val="clear" w:color="auto" w:fill="auto"/>
            <w:tcMar>
              <w:left w:w="0" w:type="dxa"/>
            </w:tcMar>
          </w:tcPr>
          <w:p w:rsidR="00C62828" w:rsidRPr="009110F7" w:rsidRDefault="00C62828" w:rsidP="00965797">
            <w:pPr>
              <w:pStyle w:val="Marginlie"/>
            </w:pPr>
            <w:r w:rsidRPr="009110F7">
              <w:t>Meziroční dynamika růstu HDP v EU mírně zpomalila.</w:t>
            </w:r>
          </w:p>
        </w:tc>
        <w:tc>
          <w:tcPr>
            <w:tcW w:w="250" w:type="dxa"/>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167CB9" w:rsidRPr="009110F7" w:rsidRDefault="00C62828" w:rsidP="00965797">
            <w:pPr>
              <w:spacing w:after="0"/>
            </w:pPr>
            <w:r w:rsidRPr="009110F7">
              <w:t>Meziroční růst HDP v Evropské unii v </w:t>
            </w:r>
            <w:r w:rsidR="00716F48" w:rsidRPr="009110F7">
              <w:t>1. </w:t>
            </w:r>
            <w:r w:rsidRPr="009110F7">
              <w:t>čtvrtletí dosáhl 2,</w:t>
            </w:r>
            <w:r w:rsidR="00167CB9" w:rsidRPr="009110F7">
              <w:t>4 </w:t>
            </w:r>
            <w:r w:rsidRPr="009110F7">
              <w:t>%</w:t>
            </w:r>
            <w:r w:rsidRPr="009110F7">
              <w:rPr>
                <w:rStyle w:val="Znakapoznpodarou"/>
                <w:spacing w:val="-2"/>
              </w:rPr>
              <w:footnoteReference w:id="4"/>
            </w:r>
            <w:r w:rsidRPr="009110F7">
              <w:t xml:space="preserve"> </w:t>
            </w:r>
            <w:r w:rsidR="00716F48" w:rsidRPr="009110F7">
              <w:t>a </w:t>
            </w:r>
            <w:r w:rsidRPr="009110F7">
              <w:t xml:space="preserve">oproti </w:t>
            </w:r>
            <w:r w:rsidR="00716F48" w:rsidRPr="009110F7">
              <w:t>2. </w:t>
            </w:r>
            <w:r w:rsidRPr="009110F7">
              <w:t xml:space="preserve">pololetí loňského roku mírně zpomalil. </w:t>
            </w:r>
            <w:proofErr w:type="spellStart"/>
            <w:r w:rsidRPr="009110F7">
              <w:t>Mezičtvrtletní</w:t>
            </w:r>
            <w:proofErr w:type="spellEnd"/>
            <w:r w:rsidRPr="009110F7">
              <w:t xml:space="preserve"> dynamika dosáhla 0,</w:t>
            </w:r>
            <w:r w:rsidR="00167CB9" w:rsidRPr="009110F7">
              <w:t>4 </w:t>
            </w:r>
            <w:r w:rsidRPr="009110F7">
              <w:t>%</w:t>
            </w:r>
            <w:r w:rsidR="009741FC" w:rsidRPr="009110F7">
              <w:t>, stejně jako v ČR.</w:t>
            </w:r>
            <w:r w:rsidRPr="009110F7">
              <w:t xml:space="preserve"> Podle dostupných údajů nejrychleji rostl HDP v Lotyšsku (5,</w:t>
            </w:r>
            <w:r w:rsidR="00167CB9" w:rsidRPr="009110F7">
              <w:t>1 </w:t>
            </w:r>
            <w:r w:rsidRPr="009110F7">
              <w:t>%)</w:t>
            </w:r>
            <w:r w:rsidR="00754A70">
              <w:t>,</w:t>
            </w:r>
            <w:r w:rsidRPr="009110F7">
              <w:t xml:space="preserve"> Polsku (5,0 %) </w:t>
            </w:r>
            <w:r w:rsidR="00716F48" w:rsidRPr="009110F7">
              <w:t>a </w:t>
            </w:r>
            <w:r w:rsidRPr="009110F7">
              <w:t>Slovinsku (5,</w:t>
            </w:r>
            <w:r w:rsidR="00167CB9" w:rsidRPr="009110F7">
              <w:t>0 </w:t>
            </w:r>
            <w:r w:rsidRPr="009110F7">
              <w:t xml:space="preserve">%). Meziroční pokles </w:t>
            </w:r>
            <w:r w:rsidR="00716F48" w:rsidRPr="009110F7">
              <w:t>o </w:t>
            </w:r>
            <w:r w:rsidRPr="009110F7">
              <w:t>0,</w:t>
            </w:r>
            <w:r w:rsidR="00167CB9" w:rsidRPr="009110F7">
              <w:t>5 </w:t>
            </w:r>
            <w:r w:rsidRPr="009110F7">
              <w:t>% nastal v Dánsku (první pokles v zemi EU od konce roku 2016). Jen mírně rostl HDP ve Velké Británii (1,</w:t>
            </w:r>
            <w:r w:rsidR="00167CB9" w:rsidRPr="009110F7">
              <w:t>2 </w:t>
            </w:r>
            <w:r w:rsidRPr="009110F7">
              <w:t xml:space="preserve">%, tempo zpomalovalo od začátku roku 2017) </w:t>
            </w:r>
            <w:r w:rsidR="00716F48" w:rsidRPr="009110F7">
              <w:t>a </w:t>
            </w:r>
            <w:r w:rsidRPr="009110F7">
              <w:t>Itálii (1,</w:t>
            </w:r>
            <w:r w:rsidR="00167CB9" w:rsidRPr="009110F7">
              <w:t>4 </w:t>
            </w:r>
            <w:r w:rsidRPr="009110F7">
              <w:t xml:space="preserve">%). Ekonomikám našich nejbližších obchodních partnerů se </w:t>
            </w:r>
            <w:r w:rsidR="009741FC" w:rsidRPr="009110F7">
              <w:t xml:space="preserve">rovněž </w:t>
            </w:r>
            <w:r w:rsidRPr="009110F7">
              <w:t>dařilo. Kromě výše uvedeného Polska si solidní růst udrželo Slovensko (3,</w:t>
            </w:r>
            <w:r w:rsidR="00167CB9" w:rsidRPr="009110F7">
              <w:t>6 </w:t>
            </w:r>
            <w:r w:rsidRPr="009110F7">
              <w:t xml:space="preserve">%), meziroční dynamika </w:t>
            </w:r>
            <w:r w:rsidR="009741FC" w:rsidRPr="009110F7">
              <w:t xml:space="preserve">však </w:t>
            </w:r>
            <w:r w:rsidRPr="009110F7">
              <w:t>zpomalila v Německu (2,</w:t>
            </w:r>
            <w:r w:rsidR="00167CB9" w:rsidRPr="009110F7">
              <w:t>3 </w:t>
            </w:r>
            <w:r w:rsidRPr="009110F7">
              <w:t xml:space="preserve">%, především pod vlivem </w:t>
            </w:r>
            <w:r w:rsidR="009741FC" w:rsidRPr="009110F7">
              <w:t xml:space="preserve">mírnějšího růstu </w:t>
            </w:r>
            <w:r w:rsidRPr="009110F7">
              <w:t>domácí spotřeby).</w:t>
            </w:r>
          </w:p>
          <w:p w:rsidR="00C62828" w:rsidRPr="009110F7" w:rsidRDefault="00C62828" w:rsidP="00965797">
            <w:pPr>
              <w:spacing w:after="0"/>
            </w:pPr>
          </w:p>
        </w:tc>
      </w:tr>
      <w:tr w:rsidR="00C62828" w:rsidRPr="009110F7" w:rsidTr="008D127E">
        <w:trPr>
          <w:trHeight w:val="170"/>
        </w:trPr>
        <w:tc>
          <w:tcPr>
            <w:tcW w:w="1888" w:type="dxa"/>
            <w:vMerge w:val="restart"/>
            <w:shd w:val="clear" w:color="auto" w:fill="auto"/>
            <w:tcMar>
              <w:left w:w="0" w:type="dxa"/>
            </w:tcMar>
          </w:tcPr>
          <w:p w:rsidR="00C62828" w:rsidRPr="009110F7" w:rsidRDefault="00C62828" w:rsidP="00965797">
            <w:pPr>
              <w:pStyle w:val="Marginlie"/>
            </w:pPr>
          </w:p>
        </w:tc>
        <w:tc>
          <w:tcPr>
            <w:tcW w:w="250" w:type="dxa"/>
            <w:vMerge w:val="restart"/>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8A0ADD">
            <w:pPr>
              <w:spacing w:after="0"/>
              <w:rPr>
                <w:b/>
                <w:szCs w:val="20"/>
              </w:rPr>
            </w:pPr>
            <w:r w:rsidRPr="009110F7">
              <w:rPr>
                <w:b/>
                <w:spacing w:val="-4"/>
                <w:szCs w:val="20"/>
                <w:lang w:eastAsia="en-US"/>
              </w:rPr>
              <w:t>Graf</w:t>
            </w:r>
            <w:r w:rsidR="005B770C">
              <w:rPr>
                <w:b/>
                <w:spacing w:val="-4"/>
                <w:szCs w:val="20"/>
                <w:lang w:eastAsia="en-US"/>
              </w:rPr>
              <w:t> </w:t>
            </w:r>
            <w:r w:rsidR="00167CB9" w:rsidRPr="009110F7">
              <w:rPr>
                <w:b/>
                <w:spacing w:val="-4"/>
                <w:szCs w:val="20"/>
                <w:lang w:eastAsia="en-US"/>
              </w:rPr>
              <w:t>č. </w:t>
            </w:r>
            <w:r w:rsidR="00716F48" w:rsidRPr="009110F7">
              <w:rPr>
                <w:b/>
                <w:spacing w:val="-4"/>
                <w:szCs w:val="20"/>
                <w:lang w:eastAsia="en-US"/>
              </w:rPr>
              <w:t>2</w:t>
            </w:r>
            <w:r w:rsidR="005B770C">
              <w:rPr>
                <w:b/>
                <w:spacing w:val="-4"/>
                <w:szCs w:val="20"/>
                <w:lang w:eastAsia="en-US"/>
              </w:rPr>
              <w:t xml:space="preserve"> </w:t>
            </w:r>
            <w:r w:rsidR="008A0ADD">
              <w:rPr>
                <w:b/>
                <w:spacing w:val="-4"/>
                <w:szCs w:val="20"/>
                <w:lang w:eastAsia="en-US"/>
              </w:rPr>
              <w:t xml:space="preserve"> </w:t>
            </w:r>
            <w:r w:rsidRPr="009110F7">
              <w:rPr>
                <w:rFonts w:cs="Arial"/>
                <w:b/>
                <w:szCs w:val="20"/>
                <w:lang w:eastAsia="en-US"/>
              </w:rPr>
              <w:t xml:space="preserve">HDP (objemové indexy, očištěno </w:t>
            </w:r>
            <w:r w:rsidR="00716F48" w:rsidRPr="009110F7">
              <w:rPr>
                <w:rFonts w:cs="Arial"/>
                <w:b/>
                <w:szCs w:val="20"/>
                <w:lang w:eastAsia="en-US"/>
              </w:rPr>
              <w:t>o </w:t>
            </w:r>
            <w:r w:rsidRPr="009110F7">
              <w:rPr>
                <w:rFonts w:cs="Arial"/>
                <w:b/>
                <w:szCs w:val="20"/>
                <w:lang w:eastAsia="en-US"/>
              </w:rPr>
              <w:t>sezónní a kalendářní vlivy, meziročně v %, pravá osa) a indikátory důvěry (2005</w:t>
            </w:r>
            <w:r w:rsidR="005B770C">
              <w:rPr>
                <w:rFonts w:cs="Arial"/>
                <w:b/>
                <w:szCs w:val="20"/>
                <w:lang w:eastAsia="en-US"/>
              </w:rPr>
              <w:t xml:space="preserve"> </w:t>
            </w:r>
            <w:r w:rsidRPr="009110F7">
              <w:rPr>
                <w:rFonts w:cs="Arial"/>
                <w:b/>
                <w:szCs w:val="20"/>
                <w:lang w:eastAsia="en-US"/>
              </w:rPr>
              <w:t>=</w:t>
            </w:r>
            <w:r w:rsidR="005B770C">
              <w:rPr>
                <w:rFonts w:cs="Arial"/>
                <w:b/>
                <w:szCs w:val="20"/>
                <w:lang w:eastAsia="en-US"/>
              </w:rPr>
              <w:t xml:space="preserve"> </w:t>
            </w:r>
            <w:r w:rsidRPr="009110F7">
              <w:rPr>
                <w:rFonts w:cs="Arial"/>
                <w:b/>
                <w:szCs w:val="20"/>
                <w:lang w:eastAsia="en-US"/>
              </w:rPr>
              <w:t>100, levá osa)</w:t>
            </w:r>
          </w:p>
        </w:tc>
      </w:tr>
      <w:tr w:rsidR="00C62828" w:rsidRPr="009110F7" w:rsidTr="008D127E">
        <w:trPr>
          <w:trHeight w:val="170"/>
        </w:trPr>
        <w:tc>
          <w:tcPr>
            <w:tcW w:w="1888" w:type="dxa"/>
            <w:vMerge/>
            <w:shd w:val="clear" w:color="auto" w:fill="auto"/>
            <w:tcMar>
              <w:left w:w="0" w:type="dxa"/>
            </w:tcMar>
          </w:tcPr>
          <w:p w:rsidR="00C62828" w:rsidRPr="009110F7" w:rsidRDefault="00C62828" w:rsidP="00965797">
            <w:pPr>
              <w:pStyle w:val="Marginlie"/>
            </w:pPr>
          </w:p>
        </w:tc>
        <w:tc>
          <w:tcPr>
            <w:tcW w:w="250" w:type="dxa"/>
            <w:vMerge/>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965797">
            <w:pPr>
              <w:spacing w:after="0"/>
            </w:pPr>
            <w:r w:rsidRPr="009110F7">
              <w:rPr>
                <w:noProof/>
              </w:rPr>
              <w:drawing>
                <wp:inline distT="0" distB="0" distL="0" distR="0">
                  <wp:extent cx="4737600" cy="3553200"/>
                  <wp:effectExtent l="0" t="0" r="0" b="0"/>
                  <wp:docPr id="10"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C62828" w:rsidRPr="009110F7" w:rsidTr="008D127E">
        <w:trPr>
          <w:trHeight w:val="170"/>
        </w:trPr>
        <w:tc>
          <w:tcPr>
            <w:tcW w:w="1888" w:type="dxa"/>
            <w:vMerge/>
            <w:shd w:val="clear" w:color="auto" w:fill="auto"/>
            <w:tcMar>
              <w:left w:w="0" w:type="dxa"/>
            </w:tcMar>
          </w:tcPr>
          <w:p w:rsidR="00C62828" w:rsidRPr="009110F7" w:rsidRDefault="00C62828" w:rsidP="00965797">
            <w:pPr>
              <w:pStyle w:val="Marginlie"/>
            </w:pPr>
          </w:p>
        </w:tc>
        <w:tc>
          <w:tcPr>
            <w:tcW w:w="250" w:type="dxa"/>
            <w:vMerge/>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965797">
            <w:pPr>
              <w:rPr>
                <w:sz w:val="14"/>
                <w:szCs w:val="14"/>
              </w:rPr>
            </w:pPr>
            <w:r w:rsidRPr="009110F7">
              <w:rPr>
                <w:sz w:val="14"/>
                <w:szCs w:val="14"/>
              </w:rPr>
              <w:t>Zdroj: ČSÚ</w:t>
            </w:r>
          </w:p>
        </w:tc>
      </w:tr>
      <w:tr w:rsidR="00C62828" w:rsidRPr="009110F7" w:rsidTr="008D127E">
        <w:trPr>
          <w:trHeight w:val="145"/>
        </w:trPr>
        <w:tc>
          <w:tcPr>
            <w:tcW w:w="1888" w:type="dxa"/>
            <w:shd w:val="clear" w:color="auto" w:fill="auto"/>
            <w:tcMar>
              <w:left w:w="0" w:type="dxa"/>
            </w:tcMar>
          </w:tcPr>
          <w:p w:rsidR="00C62828" w:rsidRPr="009110F7" w:rsidRDefault="00C62828" w:rsidP="00965797">
            <w:pPr>
              <w:pStyle w:val="Marginlie"/>
            </w:pPr>
            <w:r w:rsidRPr="009110F7">
              <w:t xml:space="preserve">Spotřeba domácností vzrostla </w:t>
            </w:r>
            <w:r w:rsidR="00716F48" w:rsidRPr="009110F7">
              <w:t>o </w:t>
            </w:r>
            <w:r w:rsidRPr="009110F7">
              <w:t>4,</w:t>
            </w:r>
            <w:r w:rsidR="00167CB9" w:rsidRPr="009110F7">
              <w:t>1 </w:t>
            </w:r>
            <w:r w:rsidRPr="009110F7">
              <w:t>%.</w:t>
            </w:r>
          </w:p>
        </w:tc>
        <w:tc>
          <w:tcPr>
            <w:tcW w:w="250" w:type="dxa"/>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446D44">
            <w:r w:rsidRPr="009110F7">
              <w:t>Výdaje na konečnou spotřebu se v </w:t>
            </w:r>
            <w:r w:rsidR="00716F48" w:rsidRPr="009110F7">
              <w:t>1. </w:t>
            </w:r>
            <w:r w:rsidRPr="009110F7">
              <w:t xml:space="preserve">čtvrtletí meziročně zvýšily </w:t>
            </w:r>
            <w:r w:rsidR="00716F48" w:rsidRPr="009110F7">
              <w:t>o </w:t>
            </w:r>
            <w:r w:rsidRPr="009110F7">
              <w:t>4,</w:t>
            </w:r>
            <w:r w:rsidR="00167CB9" w:rsidRPr="009110F7">
              <w:t>0 </w:t>
            </w:r>
            <w:r w:rsidRPr="009110F7">
              <w:t>% (</w:t>
            </w:r>
            <w:proofErr w:type="spellStart"/>
            <w:r w:rsidRPr="009110F7">
              <w:t>mezičtvrtletní</w:t>
            </w:r>
            <w:proofErr w:type="spellEnd"/>
            <w:r w:rsidRPr="009110F7">
              <w:t xml:space="preserve"> přírůstek dosáhl 1,</w:t>
            </w:r>
            <w:r w:rsidR="00167CB9" w:rsidRPr="009110F7">
              <w:t>0 </w:t>
            </w:r>
            <w:r w:rsidRPr="009110F7">
              <w:t>%).</w:t>
            </w:r>
            <w:r w:rsidR="00161553" w:rsidRPr="009110F7">
              <w:t xml:space="preserve"> </w:t>
            </w:r>
            <w:r w:rsidR="00184017" w:rsidRPr="009110F7">
              <w:t>S</w:t>
            </w:r>
            <w:r w:rsidRPr="009110F7">
              <w:t xml:space="preserve">potřeba domácností </w:t>
            </w:r>
            <w:r w:rsidR="00184017" w:rsidRPr="009110F7">
              <w:t>meziročně vzrostla o</w:t>
            </w:r>
            <w:r w:rsidR="00446D44" w:rsidRPr="009110F7">
              <w:t> </w:t>
            </w:r>
            <w:r w:rsidRPr="009110F7">
              <w:t>4,</w:t>
            </w:r>
            <w:r w:rsidR="00167CB9" w:rsidRPr="009110F7">
              <w:t>1 </w:t>
            </w:r>
            <w:r w:rsidRPr="009110F7">
              <w:t>%, tempo výdajů vládních institucí zrychlilo na 3,</w:t>
            </w:r>
            <w:r w:rsidR="00167CB9" w:rsidRPr="009110F7">
              <w:t>6 </w:t>
            </w:r>
            <w:r w:rsidRPr="009110F7">
              <w:t xml:space="preserve">% (nejvyšší hodnota od konce roku 2003, především díky </w:t>
            </w:r>
            <w:proofErr w:type="spellStart"/>
            <w:r w:rsidRPr="009110F7">
              <w:t>mezičtvrtletnímu</w:t>
            </w:r>
            <w:proofErr w:type="spellEnd"/>
            <w:r w:rsidRPr="009110F7">
              <w:t xml:space="preserve"> nárůstu o</w:t>
            </w:r>
            <w:r w:rsidR="00A44B0D" w:rsidRPr="009110F7">
              <w:t> </w:t>
            </w:r>
            <w:r w:rsidRPr="009110F7">
              <w:t>1,</w:t>
            </w:r>
            <w:r w:rsidR="00167CB9" w:rsidRPr="009110F7">
              <w:t>4 </w:t>
            </w:r>
            <w:r w:rsidRPr="009110F7">
              <w:t>%, který navázal na zrychlení v závěru minulého roku). Výdaje vládních institucí byly totiž zčásti ovlivněny dočerpáváním prostředků z evropských fondů v polovině programového období. Výsledný příspěvek spotřeby domácností k meziročnímu růstu HDP činil 1,4</w:t>
            </w:r>
            <w:r w:rsidR="00446D44" w:rsidRPr="009110F7">
              <w:t> </w:t>
            </w:r>
            <w:r w:rsidR="00167CB9" w:rsidRPr="009110F7">
              <w:t>p. </w:t>
            </w:r>
            <w:proofErr w:type="spellStart"/>
            <w:r w:rsidR="00167CB9" w:rsidRPr="009110F7">
              <w:t>b</w:t>
            </w:r>
            <w:proofErr w:type="spellEnd"/>
            <w:r w:rsidR="00167CB9" w:rsidRPr="009110F7">
              <w:t>.</w:t>
            </w:r>
            <w:r w:rsidRPr="009110F7">
              <w:rPr>
                <w:rStyle w:val="Znakapoznpodarou"/>
              </w:rPr>
              <w:footnoteReference w:id="5"/>
            </w:r>
            <w:r w:rsidRPr="009110F7">
              <w:t>, u vládních institucí dosáhl 0,</w:t>
            </w:r>
            <w:r w:rsidR="00167CB9" w:rsidRPr="009110F7">
              <w:t>7 p. </w:t>
            </w:r>
            <w:proofErr w:type="spellStart"/>
            <w:r w:rsidR="00167CB9" w:rsidRPr="009110F7">
              <w:t>b</w:t>
            </w:r>
            <w:proofErr w:type="spellEnd"/>
            <w:r w:rsidR="00167CB9" w:rsidRPr="009110F7">
              <w:t>.</w:t>
            </w:r>
            <w:r w:rsidRPr="009110F7">
              <w:t xml:space="preserve"> (nejvyšší hodnota od </w:t>
            </w:r>
            <w:r w:rsidR="00716F48" w:rsidRPr="009110F7">
              <w:t>4. </w:t>
            </w:r>
            <w:r w:rsidRPr="009110F7">
              <w:t xml:space="preserve">čtvrtletí 2003). Rozdíl mezi příspěvky po vyloučení dovozu pro konečné užití </w:t>
            </w:r>
            <w:r w:rsidR="00716F48" w:rsidRPr="009110F7">
              <w:t>a </w:t>
            </w:r>
            <w:r w:rsidRPr="009110F7">
              <w:t>před vyloučením poukazuje na pokračující saturaci části domácí spotřeby dovozem. Domácnosti své výdaje soustředily více na předměty dlouhodobé spotřeby (meziroční nárůst 6,</w:t>
            </w:r>
            <w:r w:rsidR="00167CB9" w:rsidRPr="009110F7">
              <w:t>3 </w:t>
            </w:r>
            <w:r w:rsidRPr="009110F7">
              <w:t>%</w:t>
            </w:r>
            <w:r w:rsidRPr="009110F7">
              <w:rPr>
                <w:rStyle w:val="Znakapoznpodarou"/>
              </w:rPr>
              <w:footnoteReference w:id="6"/>
            </w:r>
            <w:r w:rsidRPr="009110F7">
              <w:t xml:space="preserve">) </w:t>
            </w:r>
            <w:r w:rsidR="00716F48" w:rsidRPr="009110F7">
              <w:t>a </w:t>
            </w:r>
            <w:r w:rsidRPr="009110F7">
              <w:t>služby (3,</w:t>
            </w:r>
            <w:r w:rsidR="00167CB9" w:rsidRPr="009110F7">
              <w:t>1 </w:t>
            </w:r>
            <w:r w:rsidRPr="009110F7">
              <w:t xml:space="preserve">%). Růst výdajů na předměty střednědobé </w:t>
            </w:r>
            <w:r w:rsidR="00716F48" w:rsidRPr="009110F7">
              <w:t>a </w:t>
            </w:r>
            <w:r w:rsidRPr="009110F7">
              <w:t>krátkodobé spotřeby zpomalil, stále se však udržuje na relativně vysokých hodnotách (3,</w:t>
            </w:r>
            <w:r w:rsidR="00167CB9" w:rsidRPr="009110F7">
              <w:t>6 </w:t>
            </w:r>
            <w:r w:rsidRPr="009110F7">
              <w:t xml:space="preserve">% </w:t>
            </w:r>
            <w:r w:rsidR="00716F48" w:rsidRPr="009110F7">
              <w:t>a </w:t>
            </w:r>
            <w:r w:rsidRPr="009110F7">
              <w:t>3,</w:t>
            </w:r>
            <w:r w:rsidR="00167CB9" w:rsidRPr="009110F7">
              <w:t>9 </w:t>
            </w:r>
            <w:r w:rsidRPr="009110F7">
              <w:t xml:space="preserve">%). </w:t>
            </w:r>
          </w:p>
        </w:tc>
      </w:tr>
      <w:tr w:rsidR="00C62828" w:rsidRPr="009110F7" w:rsidTr="008D127E">
        <w:trPr>
          <w:trHeight w:val="145"/>
        </w:trPr>
        <w:tc>
          <w:tcPr>
            <w:tcW w:w="1888" w:type="dxa"/>
            <w:shd w:val="clear" w:color="auto" w:fill="auto"/>
            <w:tcMar>
              <w:left w:w="0" w:type="dxa"/>
            </w:tcMar>
          </w:tcPr>
          <w:p w:rsidR="00C62828" w:rsidRPr="009110F7" w:rsidRDefault="00C62828" w:rsidP="00965797">
            <w:pPr>
              <w:pStyle w:val="Marginlie"/>
            </w:pPr>
            <w:r w:rsidRPr="009110F7">
              <w:t xml:space="preserve">Výdaje na mzdy </w:t>
            </w:r>
            <w:r w:rsidR="00716F48" w:rsidRPr="009110F7">
              <w:t>a </w:t>
            </w:r>
            <w:r w:rsidRPr="009110F7">
              <w:t>platy se díky mírné inflaci reálně navýšily nejvíce v</w:t>
            </w:r>
            <w:r w:rsidR="0029588F" w:rsidRPr="009110F7">
              <w:t> </w:t>
            </w:r>
            <w:r w:rsidRPr="009110F7">
              <w:t>historii</w:t>
            </w:r>
            <w:r w:rsidR="0029588F" w:rsidRPr="009110F7">
              <w:t xml:space="preserve"> sledování</w:t>
            </w:r>
            <w:r w:rsidRPr="009110F7">
              <w:t>.</w:t>
            </w:r>
          </w:p>
        </w:tc>
        <w:tc>
          <w:tcPr>
            <w:tcW w:w="250" w:type="dxa"/>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446D44">
            <w:r w:rsidRPr="009110F7">
              <w:t xml:space="preserve">Celková výše výdajů na mzdy </w:t>
            </w:r>
            <w:r w:rsidR="00716F48" w:rsidRPr="009110F7">
              <w:t>a </w:t>
            </w:r>
            <w:r w:rsidRPr="009110F7">
              <w:t>platy v </w:t>
            </w:r>
            <w:r w:rsidR="00716F48" w:rsidRPr="009110F7">
              <w:t>1. </w:t>
            </w:r>
            <w:r w:rsidRPr="009110F7">
              <w:t xml:space="preserve">čtvrtletí meziročně </w:t>
            </w:r>
            <w:r w:rsidR="005547EB">
              <w:t>vzrost</w:t>
            </w:r>
            <w:r w:rsidRPr="009110F7">
              <w:t xml:space="preserve">la </w:t>
            </w:r>
            <w:r w:rsidR="00716F48" w:rsidRPr="009110F7">
              <w:t>o </w:t>
            </w:r>
            <w:r w:rsidRPr="009110F7">
              <w:t>10,</w:t>
            </w:r>
            <w:r w:rsidR="00167CB9" w:rsidRPr="009110F7">
              <w:t>4 </w:t>
            </w:r>
            <w:r w:rsidRPr="009110F7">
              <w:t xml:space="preserve">% (nejvíc od </w:t>
            </w:r>
            <w:r w:rsidR="00716F48" w:rsidRPr="009110F7">
              <w:t>1. </w:t>
            </w:r>
            <w:r w:rsidRPr="009110F7">
              <w:t xml:space="preserve">čtvrtletí 2008). Reálně se výdaje na mzdy </w:t>
            </w:r>
            <w:r w:rsidR="00716F48" w:rsidRPr="009110F7">
              <w:t>a </w:t>
            </w:r>
            <w:r w:rsidRPr="009110F7">
              <w:t xml:space="preserve">platy zvýšily </w:t>
            </w:r>
            <w:r w:rsidR="00716F48" w:rsidRPr="009110F7">
              <w:t>o </w:t>
            </w:r>
            <w:r w:rsidRPr="009110F7">
              <w:t>7,</w:t>
            </w:r>
            <w:r w:rsidR="00167CB9" w:rsidRPr="009110F7">
              <w:t>9 </w:t>
            </w:r>
            <w:r w:rsidRPr="009110F7">
              <w:t>%</w:t>
            </w:r>
            <w:r w:rsidRPr="009110F7">
              <w:rPr>
                <w:rStyle w:val="Znakapoznpodarou"/>
                <w:spacing w:val="-2"/>
              </w:rPr>
              <w:footnoteReference w:id="7"/>
            </w:r>
            <w:r w:rsidRPr="009110F7">
              <w:t>, což je nejvíce za celou dostupnou časovou řadu (od roku 1997). Současná konjunktura se totiž od té v letech 2007–2008</w:t>
            </w:r>
            <w:r w:rsidR="00161553" w:rsidRPr="009110F7">
              <w:t xml:space="preserve"> </w:t>
            </w:r>
            <w:r w:rsidRPr="009110F7">
              <w:t>liší nižší úrovní cenového růstu (například</w:t>
            </w:r>
            <w:r w:rsidR="0029588F" w:rsidRPr="009110F7">
              <w:t xml:space="preserve"> v 1. čtvrtletí 2008 se</w:t>
            </w:r>
            <w:r w:rsidRPr="009110F7">
              <w:t xml:space="preserve"> meziroční 10,4% nominální nárůst výdajů na mzdy </w:t>
            </w:r>
            <w:r w:rsidR="00716F48" w:rsidRPr="009110F7">
              <w:t>a </w:t>
            </w:r>
            <w:r w:rsidRPr="009110F7">
              <w:t>platy v reálném vyjádření zredukoval na 4,</w:t>
            </w:r>
            <w:r w:rsidR="00167CB9" w:rsidRPr="009110F7">
              <w:t>4 </w:t>
            </w:r>
            <w:r w:rsidRPr="009110F7">
              <w:t>%). Zaměstnanost se v </w:t>
            </w:r>
            <w:r w:rsidR="00716F48" w:rsidRPr="009110F7">
              <w:t>1. </w:t>
            </w:r>
            <w:r w:rsidRPr="009110F7">
              <w:t xml:space="preserve">čtvrtletí meziročně zvýšila </w:t>
            </w:r>
            <w:r w:rsidR="00716F48" w:rsidRPr="009110F7">
              <w:t>o </w:t>
            </w:r>
            <w:r w:rsidRPr="009110F7">
              <w:t>1,</w:t>
            </w:r>
            <w:r w:rsidR="00167CB9" w:rsidRPr="009110F7">
              <w:t>7 </w:t>
            </w:r>
            <w:r w:rsidRPr="009110F7">
              <w:t>%</w:t>
            </w:r>
            <w:r w:rsidRPr="009110F7">
              <w:rPr>
                <w:rStyle w:val="Znakapoznpodarou"/>
                <w:spacing w:val="-2"/>
              </w:rPr>
              <w:footnoteReference w:id="8"/>
            </w:r>
            <w:r w:rsidRPr="009110F7">
              <w:t xml:space="preserve">, takže většina nárůstu mzdových prostředků </w:t>
            </w:r>
            <w:r w:rsidR="0029588F" w:rsidRPr="009110F7">
              <w:t>se projevila s</w:t>
            </w:r>
            <w:r w:rsidRPr="009110F7">
              <w:t>amotn</w:t>
            </w:r>
            <w:r w:rsidR="0029588F" w:rsidRPr="009110F7">
              <w:t>ým</w:t>
            </w:r>
            <w:r w:rsidRPr="009110F7">
              <w:t xml:space="preserve"> zvýšení</w:t>
            </w:r>
            <w:r w:rsidR="0029588F" w:rsidRPr="009110F7">
              <w:t>m</w:t>
            </w:r>
            <w:r w:rsidRPr="009110F7">
              <w:t xml:space="preserve"> mezd </w:t>
            </w:r>
            <w:r w:rsidR="00716F48" w:rsidRPr="009110F7">
              <w:t>a </w:t>
            </w:r>
            <w:r w:rsidRPr="009110F7">
              <w:t>platů. Vysoká úroveň růstu mzdových výdajů se udržela u zpracovatelského průmyslu (9,</w:t>
            </w:r>
            <w:r w:rsidR="00167CB9" w:rsidRPr="009110F7">
              <w:t>1 </w:t>
            </w:r>
            <w:r w:rsidRPr="009110F7">
              <w:t xml:space="preserve">%) </w:t>
            </w:r>
            <w:r w:rsidR="00716F48" w:rsidRPr="009110F7">
              <w:t>a </w:t>
            </w:r>
            <w:r w:rsidRPr="009110F7">
              <w:t xml:space="preserve">doprovázel ji nárůst zaměstnanosti </w:t>
            </w:r>
            <w:r w:rsidR="00716F48" w:rsidRPr="009110F7">
              <w:t>o </w:t>
            </w:r>
            <w:r w:rsidRPr="009110F7">
              <w:t>2,</w:t>
            </w:r>
            <w:r w:rsidR="00167CB9" w:rsidRPr="009110F7">
              <w:t>3 </w:t>
            </w:r>
            <w:r w:rsidRPr="009110F7">
              <w:t xml:space="preserve">%. </w:t>
            </w:r>
            <w:r w:rsidR="00716F48" w:rsidRPr="009110F7">
              <w:t>O </w:t>
            </w:r>
            <w:r w:rsidRPr="009110F7">
              <w:t>9,</w:t>
            </w:r>
            <w:r w:rsidR="00167CB9" w:rsidRPr="009110F7">
              <w:t>5 </w:t>
            </w:r>
            <w:r w:rsidRPr="009110F7">
              <w:t xml:space="preserve">% se zvýšily výdaje na mzdy v obchodě, dopravě, ubytování </w:t>
            </w:r>
            <w:r w:rsidR="00716F48" w:rsidRPr="009110F7">
              <w:t>a </w:t>
            </w:r>
            <w:r w:rsidRPr="009110F7">
              <w:t xml:space="preserve">pohostinství </w:t>
            </w:r>
            <w:r w:rsidRPr="009110F7">
              <w:lastRenderedPageBreak/>
              <w:t>(nárůst zaměstnanosti dosáhl 1,</w:t>
            </w:r>
            <w:r w:rsidR="00167CB9" w:rsidRPr="009110F7">
              <w:t>1 </w:t>
            </w:r>
            <w:r w:rsidRPr="009110F7">
              <w:t xml:space="preserve">%). Růst výdajů na mzdy </w:t>
            </w:r>
            <w:r w:rsidR="00716F48" w:rsidRPr="009110F7">
              <w:t>a </w:t>
            </w:r>
            <w:r w:rsidRPr="009110F7">
              <w:t xml:space="preserve">platy zrychlil u informačních </w:t>
            </w:r>
            <w:r w:rsidR="00716F48" w:rsidRPr="009110F7">
              <w:t>a </w:t>
            </w:r>
            <w:r w:rsidRPr="009110F7">
              <w:t>komunikačních činností na 10,</w:t>
            </w:r>
            <w:r w:rsidR="00167CB9" w:rsidRPr="009110F7">
              <w:t>2 </w:t>
            </w:r>
            <w:r w:rsidRPr="009110F7">
              <w:t xml:space="preserve">% (zde pokračoval silný růst zaměstnanosti </w:t>
            </w:r>
            <w:r w:rsidR="00716F48" w:rsidRPr="009110F7">
              <w:t>o </w:t>
            </w:r>
            <w:r w:rsidRPr="009110F7">
              <w:t>4,</w:t>
            </w:r>
            <w:r w:rsidR="00167CB9" w:rsidRPr="009110F7">
              <w:t>1 </w:t>
            </w:r>
            <w:r w:rsidRPr="009110F7">
              <w:t>%)</w:t>
            </w:r>
            <w:r w:rsidR="0029588F" w:rsidRPr="009110F7">
              <w:t>. Dále</w:t>
            </w:r>
            <w:r w:rsidRPr="009110F7">
              <w:t xml:space="preserve"> 4,0% nárůst zaměstnanosti </w:t>
            </w:r>
            <w:r w:rsidR="00716F48" w:rsidRPr="009110F7">
              <w:t>u </w:t>
            </w:r>
            <w:r w:rsidRPr="009110F7">
              <w:t xml:space="preserve">služeb v oblasti nemovitostí přispěl </w:t>
            </w:r>
            <w:r w:rsidR="00716F48" w:rsidRPr="009110F7">
              <w:t>i </w:t>
            </w:r>
            <w:r w:rsidRPr="009110F7">
              <w:t xml:space="preserve">ke zrychlení mzdových výdajů </w:t>
            </w:r>
            <w:r w:rsidR="00716F48" w:rsidRPr="009110F7">
              <w:t>o </w:t>
            </w:r>
            <w:r w:rsidRPr="009110F7">
              <w:t>12,</w:t>
            </w:r>
            <w:r w:rsidR="00167CB9" w:rsidRPr="009110F7">
              <w:t>4 </w:t>
            </w:r>
            <w:r w:rsidRPr="009110F7">
              <w:t>%. Odvětví s dominancí stát</w:t>
            </w:r>
            <w:r w:rsidR="005547EB">
              <w:t>u</w:t>
            </w:r>
            <w:r w:rsidRPr="009110F7">
              <w:t xml:space="preserve"> ovlivnilo listopadové navýšení </w:t>
            </w:r>
            <w:r w:rsidR="0029588F" w:rsidRPr="009110F7">
              <w:t>mzdových tarifů</w:t>
            </w:r>
            <w:r w:rsidRPr="009110F7">
              <w:t>, které společně s nárůstem zaměstnanosti o 2,</w:t>
            </w:r>
            <w:r w:rsidR="00167CB9" w:rsidRPr="009110F7">
              <w:t>6 </w:t>
            </w:r>
            <w:r w:rsidRPr="009110F7">
              <w:t>% vedlo k meziročnímu navýšení vyplácených prostředků o</w:t>
            </w:r>
            <w:r w:rsidR="00446D44" w:rsidRPr="009110F7">
              <w:t> </w:t>
            </w:r>
            <w:r w:rsidRPr="009110F7">
              <w:t>15,</w:t>
            </w:r>
            <w:r w:rsidR="00167CB9" w:rsidRPr="009110F7">
              <w:t>3 </w:t>
            </w:r>
            <w:r w:rsidRPr="009110F7">
              <w:t xml:space="preserve">%. Pozitivní výsledky ve stavebnictví vyústily </w:t>
            </w:r>
            <w:r w:rsidR="00716F48" w:rsidRPr="009110F7">
              <w:t>i </w:t>
            </w:r>
            <w:r w:rsidRPr="009110F7">
              <w:t xml:space="preserve">do mzdového růstu (nárůst výdajů na mzdy o 7,1 % při současném poklesu zaměstnanosti </w:t>
            </w:r>
            <w:r w:rsidR="00716F48" w:rsidRPr="009110F7">
              <w:t>o </w:t>
            </w:r>
            <w:r w:rsidRPr="009110F7">
              <w:t>0,</w:t>
            </w:r>
            <w:r w:rsidR="00167CB9" w:rsidRPr="009110F7">
              <w:t>4 </w:t>
            </w:r>
            <w:r w:rsidRPr="009110F7">
              <w:t>%).</w:t>
            </w:r>
            <w:r w:rsidR="00161553" w:rsidRPr="009110F7">
              <w:t xml:space="preserve"> </w:t>
            </w:r>
          </w:p>
        </w:tc>
      </w:tr>
      <w:tr w:rsidR="00C62828" w:rsidRPr="009110F7" w:rsidTr="008D127E">
        <w:trPr>
          <w:trHeight w:val="170"/>
        </w:trPr>
        <w:tc>
          <w:tcPr>
            <w:tcW w:w="1888" w:type="dxa"/>
            <w:vMerge w:val="restart"/>
            <w:shd w:val="clear" w:color="auto" w:fill="auto"/>
            <w:tcMar>
              <w:left w:w="0" w:type="dxa"/>
            </w:tcMar>
          </w:tcPr>
          <w:p w:rsidR="00C62828" w:rsidRPr="009110F7" w:rsidRDefault="00C62828" w:rsidP="00965797">
            <w:pPr>
              <w:pStyle w:val="Marginlie"/>
            </w:pPr>
          </w:p>
        </w:tc>
        <w:tc>
          <w:tcPr>
            <w:tcW w:w="250" w:type="dxa"/>
            <w:vMerge w:val="restart"/>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965797">
            <w:pPr>
              <w:spacing w:after="0"/>
              <w:rPr>
                <w:b/>
                <w:szCs w:val="20"/>
              </w:rPr>
            </w:pPr>
            <w:r w:rsidRPr="009110F7">
              <w:rPr>
                <w:b/>
                <w:szCs w:val="20"/>
              </w:rPr>
              <w:t>Graf</w:t>
            </w:r>
            <w:r w:rsidR="00686718">
              <w:rPr>
                <w:b/>
                <w:szCs w:val="20"/>
              </w:rPr>
              <w:t> </w:t>
            </w:r>
            <w:r w:rsidR="00167CB9" w:rsidRPr="009110F7">
              <w:rPr>
                <w:b/>
                <w:szCs w:val="20"/>
              </w:rPr>
              <w:t>č. </w:t>
            </w:r>
            <w:r w:rsidR="00716F48" w:rsidRPr="009110F7">
              <w:rPr>
                <w:b/>
                <w:szCs w:val="20"/>
              </w:rPr>
              <w:t>3</w:t>
            </w:r>
            <w:r w:rsidR="007E1788">
              <w:rPr>
                <w:b/>
                <w:szCs w:val="20"/>
              </w:rPr>
              <w:t xml:space="preserve">  </w:t>
            </w:r>
            <w:r w:rsidRPr="009110F7">
              <w:rPr>
                <w:rFonts w:cs="Arial"/>
                <w:b/>
                <w:szCs w:val="20"/>
                <w:lang w:eastAsia="en-US"/>
              </w:rPr>
              <w:t xml:space="preserve">Příspěvky výdajových složek </w:t>
            </w:r>
            <w:r w:rsidR="00716F48" w:rsidRPr="009110F7">
              <w:rPr>
                <w:rFonts w:cs="Arial"/>
                <w:b/>
                <w:szCs w:val="20"/>
                <w:lang w:eastAsia="en-US"/>
              </w:rPr>
              <w:t>k </w:t>
            </w:r>
            <w:r w:rsidRPr="009110F7">
              <w:rPr>
                <w:rFonts w:cs="Arial"/>
                <w:b/>
                <w:szCs w:val="20"/>
                <w:lang w:eastAsia="en-US"/>
              </w:rPr>
              <w:t>reálné změně HDP* (objemové indexy, meziroční růst, příspěvky v </w:t>
            </w:r>
            <w:r w:rsidR="00167CB9" w:rsidRPr="009110F7">
              <w:rPr>
                <w:rFonts w:cs="Arial"/>
                <w:b/>
                <w:szCs w:val="20"/>
                <w:lang w:eastAsia="en-US"/>
              </w:rPr>
              <w:t>p. </w:t>
            </w:r>
            <w:proofErr w:type="spellStart"/>
            <w:r w:rsidR="00167CB9" w:rsidRPr="009110F7">
              <w:rPr>
                <w:rFonts w:cs="Arial"/>
                <w:b/>
                <w:szCs w:val="20"/>
                <w:lang w:eastAsia="en-US"/>
              </w:rPr>
              <w:t>b</w:t>
            </w:r>
            <w:proofErr w:type="spellEnd"/>
            <w:r w:rsidR="00167CB9" w:rsidRPr="009110F7">
              <w:rPr>
                <w:rFonts w:cs="Arial"/>
                <w:b/>
                <w:szCs w:val="20"/>
                <w:lang w:eastAsia="en-US"/>
              </w:rPr>
              <w:t>.</w:t>
            </w:r>
            <w:r w:rsidRPr="009110F7">
              <w:rPr>
                <w:rFonts w:cs="Arial"/>
                <w:b/>
                <w:szCs w:val="20"/>
                <w:lang w:eastAsia="en-US"/>
              </w:rPr>
              <w:t>, HDP v</w:t>
            </w:r>
            <w:r w:rsidR="00167CB9" w:rsidRPr="009110F7">
              <w:rPr>
                <w:rFonts w:cs="Arial"/>
                <w:b/>
                <w:szCs w:val="20"/>
                <w:lang w:eastAsia="en-US"/>
              </w:rPr>
              <w:t> %</w:t>
            </w:r>
            <w:r w:rsidRPr="009110F7">
              <w:rPr>
                <w:rFonts w:cs="Arial"/>
                <w:b/>
                <w:szCs w:val="20"/>
                <w:lang w:eastAsia="en-US"/>
              </w:rPr>
              <w:t>)</w:t>
            </w:r>
          </w:p>
        </w:tc>
      </w:tr>
      <w:tr w:rsidR="00C62828" w:rsidRPr="009110F7" w:rsidTr="008D127E">
        <w:trPr>
          <w:trHeight w:val="170"/>
        </w:trPr>
        <w:tc>
          <w:tcPr>
            <w:tcW w:w="1888" w:type="dxa"/>
            <w:vMerge/>
            <w:shd w:val="clear" w:color="auto" w:fill="auto"/>
            <w:tcMar>
              <w:left w:w="0" w:type="dxa"/>
            </w:tcMar>
          </w:tcPr>
          <w:p w:rsidR="00C62828" w:rsidRPr="009110F7" w:rsidRDefault="00C62828" w:rsidP="00965797">
            <w:pPr>
              <w:pStyle w:val="Marginlie"/>
            </w:pPr>
          </w:p>
        </w:tc>
        <w:tc>
          <w:tcPr>
            <w:tcW w:w="250" w:type="dxa"/>
            <w:vMerge/>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965797">
            <w:pPr>
              <w:spacing w:after="0"/>
            </w:pPr>
            <w:r w:rsidRPr="009110F7">
              <w:rPr>
                <w:noProof/>
              </w:rPr>
              <w:drawing>
                <wp:inline distT="0" distB="0" distL="0" distR="0">
                  <wp:extent cx="4737600" cy="3553200"/>
                  <wp:effectExtent l="0" t="0" r="0" b="0"/>
                  <wp:docPr id="1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C62828" w:rsidRPr="009110F7" w:rsidTr="008D127E">
        <w:trPr>
          <w:trHeight w:val="170"/>
        </w:trPr>
        <w:tc>
          <w:tcPr>
            <w:tcW w:w="1888" w:type="dxa"/>
            <w:vMerge/>
            <w:shd w:val="clear" w:color="auto" w:fill="auto"/>
            <w:tcMar>
              <w:left w:w="0" w:type="dxa"/>
            </w:tcMar>
          </w:tcPr>
          <w:p w:rsidR="00C62828" w:rsidRPr="009110F7" w:rsidRDefault="00C62828" w:rsidP="00965797">
            <w:pPr>
              <w:pStyle w:val="Marginlie"/>
            </w:pPr>
          </w:p>
        </w:tc>
        <w:tc>
          <w:tcPr>
            <w:tcW w:w="250" w:type="dxa"/>
            <w:vMerge/>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965797">
            <w:pPr>
              <w:spacing w:after="0"/>
              <w:rPr>
                <w:sz w:val="14"/>
                <w:szCs w:val="14"/>
              </w:rPr>
            </w:pPr>
            <w:r w:rsidRPr="009110F7">
              <w:rPr>
                <w:sz w:val="14"/>
                <w:szCs w:val="14"/>
              </w:rPr>
              <w:t>Zdroj: ČSÚ</w:t>
            </w:r>
          </w:p>
          <w:p w:rsidR="00C62828" w:rsidRPr="009110F7" w:rsidRDefault="00C62828" w:rsidP="00965797">
            <w:pPr>
              <w:rPr>
                <w:sz w:val="14"/>
                <w:szCs w:val="14"/>
              </w:rPr>
            </w:pPr>
            <w:r w:rsidRPr="009110F7">
              <w:rPr>
                <w:sz w:val="14"/>
                <w:szCs w:val="14"/>
              </w:rPr>
              <w:t>*po vyloučení dovozu pro konečné užití</w:t>
            </w:r>
          </w:p>
        </w:tc>
      </w:tr>
      <w:tr w:rsidR="00C62828" w:rsidRPr="009110F7" w:rsidTr="008D127E">
        <w:trPr>
          <w:trHeight w:val="145"/>
        </w:trPr>
        <w:tc>
          <w:tcPr>
            <w:tcW w:w="1888" w:type="dxa"/>
            <w:shd w:val="clear" w:color="auto" w:fill="auto"/>
            <w:tcMar>
              <w:left w:w="0" w:type="dxa"/>
            </w:tcMar>
          </w:tcPr>
          <w:p w:rsidR="00C62828" w:rsidRPr="009110F7" w:rsidRDefault="00C62828" w:rsidP="00965797">
            <w:pPr>
              <w:pStyle w:val="Marginlie"/>
            </w:pPr>
            <w:r w:rsidRPr="009110F7">
              <w:t>Investice byly klíčovým faktorem růstu.</w:t>
            </w:r>
          </w:p>
        </w:tc>
        <w:tc>
          <w:tcPr>
            <w:tcW w:w="250" w:type="dxa"/>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A44B0D">
            <w:r w:rsidRPr="009110F7">
              <w:t>Výdaje na tvorbu hrubého fixního kapitálu v </w:t>
            </w:r>
            <w:r w:rsidR="00716F48" w:rsidRPr="009110F7">
              <w:t>1. </w:t>
            </w:r>
            <w:r w:rsidRPr="009110F7">
              <w:t xml:space="preserve">čtvrtletí meziročně vzrostly </w:t>
            </w:r>
            <w:r w:rsidR="00716F48" w:rsidRPr="009110F7">
              <w:t>o </w:t>
            </w:r>
            <w:r w:rsidRPr="009110F7">
              <w:t>10,</w:t>
            </w:r>
            <w:r w:rsidR="00167CB9" w:rsidRPr="009110F7">
              <w:t>5 </w:t>
            </w:r>
            <w:r w:rsidRPr="009110F7">
              <w:t>% a</w:t>
            </w:r>
            <w:r w:rsidR="00A44B0D" w:rsidRPr="009110F7">
              <w:t> </w:t>
            </w:r>
            <w:r w:rsidRPr="009110F7">
              <w:t>k celkovému růstu HDP přispěly 2,</w:t>
            </w:r>
            <w:r w:rsidR="00167CB9" w:rsidRPr="009110F7">
              <w:t>3 p. </w:t>
            </w:r>
            <w:proofErr w:type="spellStart"/>
            <w:r w:rsidR="00167CB9" w:rsidRPr="009110F7">
              <w:t>b</w:t>
            </w:r>
            <w:proofErr w:type="spellEnd"/>
            <w:r w:rsidR="00167CB9" w:rsidRPr="009110F7">
              <w:t>.</w:t>
            </w:r>
            <w:r w:rsidRPr="009110F7">
              <w:t xml:space="preserve"> V meziročním srovnání se zčásti projevila nižší základna stejného období minulého roku, </w:t>
            </w:r>
            <w:proofErr w:type="spellStart"/>
            <w:r w:rsidRPr="009110F7">
              <w:t>mezičtvrtletní</w:t>
            </w:r>
            <w:proofErr w:type="spellEnd"/>
            <w:r w:rsidRPr="009110F7">
              <w:t xml:space="preserve"> dynamika (3,5</w:t>
            </w:r>
            <w:r w:rsidR="00A44B0D" w:rsidRPr="009110F7">
              <w:t> </w:t>
            </w:r>
            <w:r w:rsidRPr="009110F7">
              <w:t>%) však potvrzuje výrazné oživení investiční aktivity. Věcné členění investičních výdajů</w:t>
            </w:r>
            <w:r w:rsidRPr="009110F7">
              <w:rPr>
                <w:rStyle w:val="Znakapoznpodarou"/>
              </w:rPr>
              <w:footnoteReference w:id="9"/>
            </w:r>
            <w:r w:rsidRPr="009110F7">
              <w:t xml:space="preserve"> nepřímo ukazuje, že v </w:t>
            </w:r>
            <w:r w:rsidR="00716F48" w:rsidRPr="009110F7">
              <w:t>1. </w:t>
            </w:r>
            <w:r w:rsidRPr="009110F7">
              <w:t xml:space="preserve">čtvrtletí se výdaje týkaly všech sektorů ekonomiky. Investiční výdaje na obydlí, která jsou hlavním investičním záměrem domácností, meziročně vzrostly </w:t>
            </w:r>
            <w:r w:rsidR="00716F48" w:rsidRPr="009110F7">
              <w:t>o </w:t>
            </w:r>
            <w:r w:rsidRPr="009110F7">
              <w:t>9,</w:t>
            </w:r>
            <w:r w:rsidR="00167CB9" w:rsidRPr="009110F7">
              <w:t>7 </w:t>
            </w:r>
            <w:r w:rsidRPr="009110F7">
              <w:t>%. Oživení investiční aktivity vládního sektoru se projevilo u</w:t>
            </w:r>
            <w:r w:rsidR="00A44B0D" w:rsidRPr="009110F7">
              <w:t> </w:t>
            </w:r>
            <w:r w:rsidRPr="009110F7">
              <w:t xml:space="preserve">ostatních budov </w:t>
            </w:r>
            <w:r w:rsidR="00716F48" w:rsidRPr="009110F7">
              <w:t>a </w:t>
            </w:r>
            <w:r w:rsidRPr="009110F7">
              <w:t xml:space="preserve">staveb, které navázaly na konec minulého roku </w:t>
            </w:r>
            <w:r w:rsidR="00716F48" w:rsidRPr="009110F7">
              <w:t>a </w:t>
            </w:r>
            <w:r w:rsidRPr="009110F7">
              <w:t xml:space="preserve">výdaje na ně se meziročně zvýšily </w:t>
            </w:r>
            <w:r w:rsidR="00716F48" w:rsidRPr="009110F7">
              <w:t>o </w:t>
            </w:r>
            <w:r w:rsidRPr="009110F7">
              <w:t>11,</w:t>
            </w:r>
            <w:r w:rsidR="00167CB9" w:rsidRPr="009110F7">
              <w:t>1 </w:t>
            </w:r>
            <w:r w:rsidRPr="009110F7">
              <w:t xml:space="preserve">%. Růst výdajů na dopravní prostředky </w:t>
            </w:r>
            <w:r w:rsidR="00716F48" w:rsidRPr="009110F7">
              <w:t>a </w:t>
            </w:r>
            <w:r w:rsidRPr="009110F7">
              <w:t>zařízení zrychlil na 10,</w:t>
            </w:r>
            <w:r w:rsidR="00167CB9" w:rsidRPr="009110F7">
              <w:t>3 </w:t>
            </w:r>
            <w:r w:rsidRPr="009110F7">
              <w:t xml:space="preserve">% (přitom jde </w:t>
            </w:r>
            <w:r w:rsidR="00716F48" w:rsidRPr="009110F7">
              <w:t>o </w:t>
            </w:r>
            <w:r w:rsidRPr="009110F7">
              <w:t xml:space="preserve">srovnání </w:t>
            </w:r>
            <w:r w:rsidR="00716F48" w:rsidRPr="009110F7">
              <w:t>s 1. </w:t>
            </w:r>
            <w:r w:rsidRPr="009110F7">
              <w:t>čtvrtletím 2017, kdy tyto výdaje rostly o</w:t>
            </w:r>
            <w:r w:rsidR="00A44B0D" w:rsidRPr="009110F7">
              <w:t> </w:t>
            </w:r>
            <w:r w:rsidRPr="009110F7">
              <w:t>17,</w:t>
            </w:r>
            <w:r w:rsidR="00167CB9" w:rsidRPr="009110F7">
              <w:t>9 </w:t>
            </w:r>
            <w:r w:rsidRPr="009110F7">
              <w:t xml:space="preserve">%). Investice do ICT </w:t>
            </w:r>
            <w:r w:rsidR="00716F48" w:rsidRPr="009110F7">
              <w:t>a </w:t>
            </w:r>
            <w:r w:rsidRPr="009110F7">
              <w:t xml:space="preserve">ostatních strojů </w:t>
            </w:r>
            <w:r w:rsidR="00716F48" w:rsidRPr="009110F7">
              <w:t>a </w:t>
            </w:r>
            <w:r w:rsidRPr="009110F7">
              <w:t xml:space="preserve">zařízení vzrostly </w:t>
            </w:r>
            <w:r w:rsidR="00716F48" w:rsidRPr="009110F7">
              <w:t>o </w:t>
            </w:r>
            <w:r w:rsidRPr="009110F7">
              <w:t>9,</w:t>
            </w:r>
            <w:r w:rsidR="00167CB9" w:rsidRPr="009110F7">
              <w:t>2 </w:t>
            </w:r>
            <w:r w:rsidRPr="009110F7">
              <w:t xml:space="preserve">% </w:t>
            </w:r>
            <w:r w:rsidR="00716F48" w:rsidRPr="009110F7">
              <w:t>a </w:t>
            </w:r>
            <w:r w:rsidRPr="009110F7">
              <w:t>5,2% nárůstu dosáhly investice do produktů duševního vlastnictví.</w:t>
            </w:r>
          </w:p>
        </w:tc>
      </w:tr>
      <w:tr w:rsidR="00C62828" w:rsidRPr="009110F7" w:rsidTr="008D127E">
        <w:trPr>
          <w:trHeight w:val="145"/>
        </w:trPr>
        <w:tc>
          <w:tcPr>
            <w:tcW w:w="1888" w:type="dxa"/>
            <w:shd w:val="clear" w:color="auto" w:fill="auto"/>
            <w:tcMar>
              <w:left w:w="0" w:type="dxa"/>
            </w:tcMar>
          </w:tcPr>
          <w:p w:rsidR="00C62828" w:rsidRPr="009110F7" w:rsidRDefault="00C62828" w:rsidP="00965797">
            <w:pPr>
              <w:pStyle w:val="Marginlie"/>
            </w:pPr>
            <w:r w:rsidRPr="009110F7">
              <w:t>Bilance zahraničního obchodu poprvé od roku 2013 tlumila růst HDP.</w:t>
            </w:r>
          </w:p>
        </w:tc>
        <w:tc>
          <w:tcPr>
            <w:tcW w:w="250" w:type="dxa"/>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A44B0D">
            <w:r w:rsidRPr="009110F7">
              <w:t>Celková bilance zahraničního obchodu v </w:t>
            </w:r>
            <w:r w:rsidR="00716F48" w:rsidRPr="009110F7">
              <w:t>1. </w:t>
            </w:r>
            <w:r w:rsidRPr="009110F7">
              <w:t>čtvrtletí 2018 dosáhla 82,</w:t>
            </w:r>
            <w:r w:rsidR="00167CB9" w:rsidRPr="009110F7">
              <w:t>2 </w:t>
            </w:r>
            <w:r w:rsidRPr="009110F7">
              <w:t>mld. korun</w:t>
            </w:r>
            <w:r w:rsidRPr="009110F7">
              <w:rPr>
                <w:rStyle w:val="Znakapoznpodarou"/>
              </w:rPr>
              <w:footnoteReference w:id="10"/>
            </w:r>
            <w:r w:rsidRPr="009110F7">
              <w:t xml:space="preserve"> a</w:t>
            </w:r>
            <w:r w:rsidR="00A44B0D" w:rsidRPr="009110F7">
              <w:t> </w:t>
            </w:r>
            <w:r w:rsidRPr="009110F7">
              <w:t xml:space="preserve">meziročně se snížila </w:t>
            </w:r>
            <w:r w:rsidR="00716F48" w:rsidRPr="009110F7">
              <w:t>o </w:t>
            </w:r>
            <w:r w:rsidRPr="009110F7">
              <w:t>11,</w:t>
            </w:r>
            <w:r w:rsidR="00167CB9" w:rsidRPr="009110F7">
              <w:t>2 </w:t>
            </w:r>
            <w:r w:rsidRPr="009110F7">
              <w:t xml:space="preserve">mld. korun. Poprvé od </w:t>
            </w:r>
            <w:r w:rsidR="00716F48" w:rsidRPr="009110F7">
              <w:t>3. </w:t>
            </w:r>
            <w:r w:rsidRPr="009110F7">
              <w:t xml:space="preserve">čtvrtletí 2013 tak zahraniční obchod nepřispíval kladně k růstu HDP (příspěvek činil </w:t>
            </w:r>
            <w:r w:rsidR="00CA37FF">
              <w:t>-</w:t>
            </w:r>
            <w:r w:rsidRPr="009110F7">
              <w:t>0,</w:t>
            </w:r>
            <w:r w:rsidR="00167CB9" w:rsidRPr="009110F7">
              <w:t>6 p. </w:t>
            </w:r>
            <w:proofErr w:type="spellStart"/>
            <w:r w:rsidR="00167CB9" w:rsidRPr="009110F7">
              <w:t>b</w:t>
            </w:r>
            <w:proofErr w:type="spellEnd"/>
            <w:r w:rsidR="00167CB9" w:rsidRPr="009110F7">
              <w:t>.</w:t>
            </w:r>
            <w:r w:rsidRPr="009110F7">
              <w:t xml:space="preserve">). Pokles lze přičíst </w:t>
            </w:r>
            <w:r w:rsidRPr="009110F7">
              <w:lastRenderedPageBreak/>
              <w:t>výlučně obchodu se zbožím, jehož přebytek činil 52,</w:t>
            </w:r>
            <w:r w:rsidR="00167CB9" w:rsidRPr="009110F7">
              <w:t>4 </w:t>
            </w:r>
            <w:r w:rsidRPr="009110F7">
              <w:t xml:space="preserve">mld. korun </w:t>
            </w:r>
            <w:r w:rsidR="00716F48" w:rsidRPr="009110F7">
              <w:t>a </w:t>
            </w:r>
            <w:r w:rsidRPr="009110F7">
              <w:t xml:space="preserve">meziročně se snížil </w:t>
            </w:r>
            <w:r w:rsidR="00716F48" w:rsidRPr="009110F7">
              <w:t>o </w:t>
            </w:r>
            <w:r w:rsidRPr="009110F7">
              <w:t>14,</w:t>
            </w:r>
            <w:r w:rsidR="00167CB9" w:rsidRPr="009110F7">
              <w:t>0 </w:t>
            </w:r>
            <w:r w:rsidRPr="009110F7">
              <w:t xml:space="preserve">mld. korun. Naopak službám se podařilo přebytek zvýšit </w:t>
            </w:r>
            <w:r w:rsidR="00716F48" w:rsidRPr="009110F7">
              <w:t>o </w:t>
            </w:r>
            <w:r w:rsidRPr="009110F7">
              <w:t>2,</w:t>
            </w:r>
            <w:r w:rsidR="00167CB9" w:rsidRPr="009110F7">
              <w:t>8 </w:t>
            </w:r>
            <w:r w:rsidRPr="009110F7">
              <w:t>mld. na 29,</w:t>
            </w:r>
            <w:r w:rsidR="00167CB9" w:rsidRPr="009110F7">
              <w:t>8 </w:t>
            </w:r>
            <w:r w:rsidRPr="009110F7">
              <w:t xml:space="preserve">mld. korun. Cenová hladina klesala </w:t>
            </w:r>
            <w:r w:rsidR="00716F48" w:rsidRPr="009110F7">
              <w:t>u </w:t>
            </w:r>
            <w:r w:rsidRPr="009110F7">
              <w:t xml:space="preserve">vývozu </w:t>
            </w:r>
            <w:r w:rsidR="00716F48" w:rsidRPr="009110F7">
              <w:t>i </w:t>
            </w:r>
            <w:r w:rsidRPr="009110F7">
              <w:t>dovozu, silnější pokles cen dovozu však způsobil, že směnné relace v </w:t>
            </w:r>
            <w:r w:rsidR="00716F48" w:rsidRPr="009110F7">
              <w:t>1. </w:t>
            </w:r>
            <w:r w:rsidRPr="009110F7">
              <w:t xml:space="preserve">čtvrtletí byly kladné </w:t>
            </w:r>
            <w:r w:rsidR="00716F48" w:rsidRPr="009110F7">
              <w:t>a </w:t>
            </w:r>
            <w:r w:rsidRPr="009110F7">
              <w:t>dosáhly 101,</w:t>
            </w:r>
            <w:r w:rsidR="00167CB9" w:rsidRPr="009110F7">
              <w:t>1 </w:t>
            </w:r>
            <w:r w:rsidRPr="009110F7">
              <w:t>%. Výše reálného hrubého domácího důchodu ukázala, že zisk ze směnných relací v 1.</w:t>
            </w:r>
            <w:r w:rsidR="00A44B0D" w:rsidRPr="009110F7">
              <w:t> </w:t>
            </w:r>
            <w:r w:rsidRPr="009110F7">
              <w:t>čtvrtletí dosáhl 5,</w:t>
            </w:r>
            <w:r w:rsidR="00167CB9" w:rsidRPr="009110F7">
              <w:t>7 </w:t>
            </w:r>
            <w:r w:rsidRPr="009110F7">
              <w:t>mld. korun.</w:t>
            </w:r>
          </w:p>
        </w:tc>
      </w:tr>
      <w:tr w:rsidR="00C62828" w:rsidRPr="009110F7" w:rsidTr="008D127E">
        <w:trPr>
          <w:trHeight w:val="145"/>
        </w:trPr>
        <w:tc>
          <w:tcPr>
            <w:tcW w:w="1888" w:type="dxa"/>
            <w:shd w:val="clear" w:color="auto" w:fill="auto"/>
            <w:tcMar>
              <w:left w:w="0" w:type="dxa"/>
            </w:tcMar>
          </w:tcPr>
          <w:p w:rsidR="00C62828" w:rsidRPr="009110F7" w:rsidRDefault="00C62828" w:rsidP="00965797">
            <w:pPr>
              <w:pStyle w:val="Marginlie"/>
            </w:pPr>
            <w:r w:rsidRPr="009110F7">
              <w:lastRenderedPageBreak/>
              <w:t>Vliv zpracovatelského průmyslu na ekonomický růst je stále vysoký, tentokrát však nejvýrazněji působila odvětví služeb.</w:t>
            </w:r>
          </w:p>
        </w:tc>
        <w:tc>
          <w:tcPr>
            <w:tcW w:w="250" w:type="dxa"/>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8A0ADD">
            <w:r w:rsidRPr="009110F7">
              <w:t>Meziroční růst hrubé přidané hodnoty v </w:t>
            </w:r>
            <w:r w:rsidR="00716F48" w:rsidRPr="009110F7">
              <w:t>1. </w:t>
            </w:r>
            <w:r w:rsidRPr="009110F7">
              <w:t>čtvrtletí dosáhl 4,</w:t>
            </w:r>
            <w:r w:rsidR="00167CB9" w:rsidRPr="009110F7">
              <w:t>5 </w:t>
            </w:r>
            <w:r w:rsidRPr="009110F7">
              <w:t>%. Zpracovatelský průmysl, který dominuje struktuře české ekonomiky, k tomu přispěl 1,</w:t>
            </w:r>
            <w:r w:rsidR="00167CB9" w:rsidRPr="009110F7">
              <w:t>6 p. </w:t>
            </w:r>
            <w:proofErr w:type="spellStart"/>
            <w:r w:rsidR="00167CB9" w:rsidRPr="009110F7">
              <w:t>b</w:t>
            </w:r>
            <w:proofErr w:type="spellEnd"/>
            <w:r w:rsidR="00167CB9" w:rsidRPr="009110F7">
              <w:t>.</w:t>
            </w:r>
            <w:r w:rsidRPr="009110F7">
              <w:t xml:space="preserve">, když jeho HPH vzrostla </w:t>
            </w:r>
            <w:r w:rsidR="00716F48" w:rsidRPr="009110F7">
              <w:t>o </w:t>
            </w:r>
            <w:r w:rsidRPr="009110F7">
              <w:t>6,</w:t>
            </w:r>
            <w:r w:rsidR="00167CB9" w:rsidRPr="009110F7">
              <w:t>1 </w:t>
            </w:r>
            <w:r w:rsidRPr="009110F7">
              <w:t>%. To je ve srovnání s minulým rokem mírnější přírůstek. Ostatní průmyslová odvětví růst spíše tlumila (</w:t>
            </w:r>
            <w:r w:rsidR="00CA37FF">
              <w:t>-</w:t>
            </w:r>
            <w:r w:rsidRPr="009110F7">
              <w:t>0,</w:t>
            </w:r>
            <w:r w:rsidR="00167CB9" w:rsidRPr="009110F7">
              <w:t>1 p. </w:t>
            </w:r>
            <w:proofErr w:type="spellStart"/>
            <w:r w:rsidR="00167CB9" w:rsidRPr="009110F7">
              <w:t>b</w:t>
            </w:r>
            <w:proofErr w:type="spellEnd"/>
            <w:r w:rsidR="00167CB9" w:rsidRPr="009110F7">
              <w:t>.</w:t>
            </w:r>
            <w:r w:rsidRPr="009110F7">
              <w:t>). Naopak stavebnictví se v </w:t>
            </w:r>
            <w:r w:rsidR="00716F48" w:rsidRPr="009110F7">
              <w:t>1. </w:t>
            </w:r>
            <w:r w:rsidRPr="009110F7">
              <w:t xml:space="preserve">čtvrtletí dařilo. Jeho HPH vzrostla </w:t>
            </w:r>
            <w:r w:rsidR="00716F48" w:rsidRPr="009110F7">
              <w:t>o </w:t>
            </w:r>
            <w:r w:rsidRPr="009110F7">
              <w:t>7,</w:t>
            </w:r>
            <w:r w:rsidR="00167CB9" w:rsidRPr="009110F7">
              <w:t>6 </w:t>
            </w:r>
            <w:r w:rsidRPr="009110F7">
              <w:t xml:space="preserve">% </w:t>
            </w:r>
            <w:r w:rsidR="00716F48" w:rsidRPr="009110F7">
              <w:t>a</w:t>
            </w:r>
            <w:r w:rsidR="007E1788" w:rsidRPr="009110F7">
              <w:t xml:space="preserve"> </w:t>
            </w:r>
            <w:r w:rsidRPr="009110F7">
              <w:t>k celkovému růst</w:t>
            </w:r>
            <w:r w:rsidR="00446D44" w:rsidRPr="009110F7">
              <w:t>u</w:t>
            </w:r>
            <w:r w:rsidRPr="009110F7">
              <w:t xml:space="preserve"> přispělo 0,</w:t>
            </w:r>
            <w:r w:rsidR="00167CB9" w:rsidRPr="009110F7">
              <w:t>4 p. </w:t>
            </w:r>
            <w:proofErr w:type="spellStart"/>
            <w:r w:rsidR="00167CB9" w:rsidRPr="009110F7">
              <w:t>b</w:t>
            </w:r>
            <w:proofErr w:type="spellEnd"/>
            <w:r w:rsidR="00167CB9" w:rsidRPr="009110F7">
              <w:t>.</w:t>
            </w:r>
            <w:r w:rsidRPr="009110F7">
              <w:t xml:space="preserve"> Oživení bylo možné díky příznivým povětrnostním podmínkám na počátku roku a zvýšené aktivitě v rámci infrastrukturních projektů </w:t>
            </w:r>
            <w:r w:rsidR="00716F48" w:rsidRPr="009110F7">
              <w:t>i </w:t>
            </w:r>
            <w:r w:rsidRPr="009110F7">
              <w:t>pozemního stavitelství. Zvýšená domácí poptávka byla rozhodujícím impul</w:t>
            </w:r>
            <w:r w:rsidR="00BB1AF4">
              <w:t>z</w:t>
            </w:r>
            <w:r w:rsidRPr="009110F7">
              <w:t>em pro odvětví služeb, která celkem k růstu HPH přispěla 2,</w:t>
            </w:r>
            <w:r w:rsidR="00167CB9" w:rsidRPr="009110F7">
              <w:t>5 p. </w:t>
            </w:r>
            <w:proofErr w:type="spellStart"/>
            <w:r w:rsidR="00167CB9" w:rsidRPr="009110F7">
              <w:t>b</w:t>
            </w:r>
            <w:proofErr w:type="spellEnd"/>
            <w:r w:rsidR="00167CB9" w:rsidRPr="009110F7">
              <w:t>.</w:t>
            </w:r>
            <w:r w:rsidRPr="009110F7">
              <w:t xml:space="preserve"> Obchod, doprava, ubytování a pohostinství přispěly 0,</w:t>
            </w:r>
            <w:r w:rsidR="00167CB9" w:rsidRPr="009110F7">
              <w:t>9 p. </w:t>
            </w:r>
            <w:proofErr w:type="spellStart"/>
            <w:r w:rsidR="00167CB9" w:rsidRPr="009110F7">
              <w:t>b</w:t>
            </w:r>
            <w:proofErr w:type="spellEnd"/>
            <w:r w:rsidR="00167CB9" w:rsidRPr="009110F7">
              <w:t>.</w:t>
            </w:r>
            <w:r w:rsidRPr="009110F7">
              <w:t xml:space="preserve"> (meziroční přírůstek 5,</w:t>
            </w:r>
            <w:r w:rsidR="00167CB9" w:rsidRPr="009110F7">
              <w:t>0 </w:t>
            </w:r>
            <w:r w:rsidRPr="009110F7">
              <w:t>%). Peněžnictví a pojišťovnictví přispělo k růstu HPH 0,</w:t>
            </w:r>
            <w:r w:rsidR="00167CB9" w:rsidRPr="009110F7">
              <w:t>4 p. </w:t>
            </w:r>
            <w:proofErr w:type="spellStart"/>
            <w:r w:rsidR="00167CB9" w:rsidRPr="009110F7">
              <w:t>b</w:t>
            </w:r>
            <w:proofErr w:type="spellEnd"/>
            <w:r w:rsidR="00167CB9" w:rsidRPr="009110F7">
              <w:t>.</w:t>
            </w:r>
            <w:r w:rsidRPr="009110F7">
              <w:t xml:space="preserve"> (</w:t>
            </w:r>
            <w:r w:rsidR="00716F48" w:rsidRPr="009110F7">
              <w:t>a </w:t>
            </w:r>
            <w:r w:rsidRPr="009110F7">
              <w:t xml:space="preserve">meziročně vzrostlo </w:t>
            </w:r>
            <w:r w:rsidR="00716F48" w:rsidRPr="009110F7">
              <w:t>o </w:t>
            </w:r>
            <w:r w:rsidRPr="009110F7">
              <w:t>9,</w:t>
            </w:r>
            <w:r w:rsidR="00167CB9" w:rsidRPr="009110F7">
              <w:t>7 </w:t>
            </w:r>
            <w:r w:rsidRPr="009110F7">
              <w:t>%). Shodně 0,</w:t>
            </w:r>
            <w:r w:rsidR="00167CB9" w:rsidRPr="009110F7">
              <w:t>3 p. </w:t>
            </w:r>
            <w:proofErr w:type="spellStart"/>
            <w:r w:rsidR="00167CB9" w:rsidRPr="009110F7">
              <w:t>b</w:t>
            </w:r>
            <w:proofErr w:type="spellEnd"/>
            <w:r w:rsidR="00167CB9" w:rsidRPr="009110F7">
              <w:t>.</w:t>
            </w:r>
            <w:r w:rsidR="005570D6">
              <w:t xml:space="preserve"> přispěly </w:t>
            </w:r>
            <w:r w:rsidRPr="009110F7">
              <w:t xml:space="preserve">k růstu informační </w:t>
            </w:r>
            <w:r w:rsidR="00716F48" w:rsidRPr="009110F7">
              <w:t>a </w:t>
            </w:r>
            <w:r w:rsidRPr="009110F7">
              <w:t>komunikační činnosti (růst HPH o 6,6 %), činnosti v oblasti nemovitostí (3,</w:t>
            </w:r>
            <w:r w:rsidR="00167CB9" w:rsidRPr="009110F7">
              <w:t>6 </w:t>
            </w:r>
            <w:r w:rsidRPr="009110F7">
              <w:t>%), profesní, vědecké, technické a administrativní činnosti (4,</w:t>
            </w:r>
            <w:r w:rsidR="00167CB9" w:rsidRPr="009110F7">
              <w:t>8 </w:t>
            </w:r>
            <w:r w:rsidRPr="009110F7">
              <w:t xml:space="preserve">%) </w:t>
            </w:r>
            <w:r w:rsidR="00716F48" w:rsidRPr="009110F7">
              <w:t>a </w:t>
            </w:r>
            <w:r w:rsidRPr="009110F7">
              <w:t>služby s dominancí státu (1,</w:t>
            </w:r>
            <w:r w:rsidR="00167CB9" w:rsidRPr="009110F7">
              <w:t>9 </w:t>
            </w:r>
            <w:r w:rsidRPr="009110F7">
              <w:t>%).</w:t>
            </w:r>
          </w:p>
        </w:tc>
      </w:tr>
      <w:tr w:rsidR="00C62828" w:rsidRPr="009110F7" w:rsidTr="008D127E">
        <w:trPr>
          <w:trHeight w:val="170"/>
        </w:trPr>
        <w:tc>
          <w:tcPr>
            <w:tcW w:w="1888" w:type="dxa"/>
            <w:vMerge w:val="restart"/>
            <w:shd w:val="clear" w:color="auto" w:fill="auto"/>
            <w:tcMar>
              <w:left w:w="0" w:type="dxa"/>
            </w:tcMar>
          </w:tcPr>
          <w:p w:rsidR="00C62828" w:rsidRPr="009110F7" w:rsidRDefault="00C62828" w:rsidP="00965797">
            <w:pPr>
              <w:pStyle w:val="Marginlie"/>
            </w:pPr>
          </w:p>
        </w:tc>
        <w:tc>
          <w:tcPr>
            <w:tcW w:w="250" w:type="dxa"/>
            <w:vMerge w:val="restart"/>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965797">
            <w:pPr>
              <w:spacing w:after="0"/>
              <w:rPr>
                <w:szCs w:val="20"/>
              </w:rPr>
            </w:pPr>
            <w:r w:rsidRPr="009110F7">
              <w:rPr>
                <w:b/>
                <w:szCs w:val="20"/>
              </w:rPr>
              <w:t>Graf</w:t>
            </w:r>
            <w:r w:rsidR="007E1788">
              <w:rPr>
                <w:b/>
                <w:szCs w:val="20"/>
              </w:rPr>
              <w:t> </w:t>
            </w:r>
            <w:r w:rsidR="00167CB9" w:rsidRPr="009110F7">
              <w:rPr>
                <w:b/>
                <w:szCs w:val="20"/>
              </w:rPr>
              <w:t>č. </w:t>
            </w:r>
            <w:r w:rsidR="00716F48" w:rsidRPr="009110F7">
              <w:rPr>
                <w:b/>
                <w:szCs w:val="20"/>
              </w:rPr>
              <w:t>4</w:t>
            </w:r>
            <w:r w:rsidR="007E1788">
              <w:rPr>
                <w:b/>
                <w:szCs w:val="20"/>
              </w:rPr>
              <w:t xml:space="preserve">  </w:t>
            </w:r>
            <w:r w:rsidRPr="009110F7">
              <w:rPr>
                <w:rFonts w:cs="Arial"/>
                <w:b/>
                <w:szCs w:val="20"/>
                <w:lang w:eastAsia="en-US"/>
              </w:rPr>
              <w:t xml:space="preserve">Příspěvky odvětví </w:t>
            </w:r>
            <w:r w:rsidR="00716F48" w:rsidRPr="009110F7">
              <w:rPr>
                <w:rFonts w:cs="Arial"/>
                <w:b/>
                <w:szCs w:val="20"/>
                <w:lang w:eastAsia="en-US"/>
              </w:rPr>
              <w:t>k </w:t>
            </w:r>
            <w:r w:rsidRPr="009110F7">
              <w:rPr>
                <w:rFonts w:cs="Arial"/>
                <w:b/>
                <w:szCs w:val="20"/>
                <w:lang w:eastAsia="en-US"/>
              </w:rPr>
              <w:t>reálné změně HPH (objemové indexy, meziroční příspěvky v </w:t>
            </w:r>
            <w:r w:rsidR="00167CB9" w:rsidRPr="009110F7">
              <w:rPr>
                <w:rFonts w:cs="Arial"/>
                <w:b/>
                <w:szCs w:val="20"/>
                <w:lang w:eastAsia="en-US"/>
              </w:rPr>
              <w:t>p. </w:t>
            </w:r>
            <w:proofErr w:type="spellStart"/>
            <w:r w:rsidR="00167CB9" w:rsidRPr="009110F7">
              <w:rPr>
                <w:rFonts w:cs="Arial"/>
                <w:b/>
                <w:szCs w:val="20"/>
                <w:lang w:eastAsia="en-US"/>
              </w:rPr>
              <w:t>b</w:t>
            </w:r>
            <w:proofErr w:type="spellEnd"/>
            <w:r w:rsidR="00167CB9" w:rsidRPr="009110F7">
              <w:rPr>
                <w:rFonts w:cs="Arial"/>
                <w:b/>
                <w:szCs w:val="20"/>
                <w:lang w:eastAsia="en-US"/>
              </w:rPr>
              <w:t>.</w:t>
            </w:r>
            <w:r w:rsidRPr="009110F7">
              <w:rPr>
                <w:rFonts w:cs="Arial"/>
                <w:b/>
                <w:szCs w:val="20"/>
                <w:lang w:eastAsia="en-US"/>
              </w:rPr>
              <w:t>, HPH v</w:t>
            </w:r>
            <w:r w:rsidR="00167CB9" w:rsidRPr="009110F7">
              <w:rPr>
                <w:rFonts w:cs="Arial"/>
                <w:b/>
                <w:szCs w:val="20"/>
                <w:lang w:eastAsia="en-US"/>
              </w:rPr>
              <w:t> %</w:t>
            </w:r>
            <w:r w:rsidRPr="009110F7">
              <w:rPr>
                <w:rFonts w:cs="Arial"/>
                <w:b/>
                <w:szCs w:val="20"/>
                <w:lang w:eastAsia="en-US"/>
              </w:rPr>
              <w:t>)</w:t>
            </w:r>
          </w:p>
        </w:tc>
      </w:tr>
      <w:tr w:rsidR="00C62828" w:rsidRPr="009110F7" w:rsidTr="008D127E">
        <w:trPr>
          <w:trHeight w:val="170"/>
        </w:trPr>
        <w:tc>
          <w:tcPr>
            <w:tcW w:w="1888" w:type="dxa"/>
            <w:vMerge/>
            <w:shd w:val="clear" w:color="auto" w:fill="auto"/>
            <w:tcMar>
              <w:left w:w="0" w:type="dxa"/>
            </w:tcMar>
          </w:tcPr>
          <w:p w:rsidR="00C62828" w:rsidRPr="009110F7" w:rsidRDefault="00C62828" w:rsidP="00965797">
            <w:pPr>
              <w:pStyle w:val="Marginlie"/>
            </w:pPr>
          </w:p>
        </w:tc>
        <w:tc>
          <w:tcPr>
            <w:tcW w:w="250" w:type="dxa"/>
            <w:vMerge/>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965797">
            <w:pPr>
              <w:spacing w:after="0"/>
            </w:pPr>
            <w:r w:rsidRPr="009110F7">
              <w:rPr>
                <w:noProof/>
              </w:rPr>
              <w:drawing>
                <wp:inline distT="0" distB="0" distL="0" distR="0">
                  <wp:extent cx="4737600" cy="3553200"/>
                  <wp:effectExtent l="0" t="0" r="0" b="0"/>
                  <wp:docPr id="1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C62828" w:rsidRPr="009110F7" w:rsidTr="008D127E">
        <w:trPr>
          <w:trHeight w:val="170"/>
        </w:trPr>
        <w:tc>
          <w:tcPr>
            <w:tcW w:w="1888" w:type="dxa"/>
            <w:vMerge/>
            <w:shd w:val="clear" w:color="auto" w:fill="auto"/>
            <w:tcMar>
              <w:left w:w="0" w:type="dxa"/>
            </w:tcMar>
          </w:tcPr>
          <w:p w:rsidR="00C62828" w:rsidRPr="009110F7" w:rsidRDefault="00C62828" w:rsidP="00965797">
            <w:pPr>
              <w:pStyle w:val="Marginlie"/>
            </w:pPr>
          </w:p>
        </w:tc>
        <w:tc>
          <w:tcPr>
            <w:tcW w:w="250" w:type="dxa"/>
            <w:vMerge/>
            <w:shd w:val="clear" w:color="auto" w:fill="auto"/>
            <w:tcMar>
              <w:left w:w="0" w:type="dxa"/>
            </w:tcMar>
          </w:tcPr>
          <w:p w:rsidR="00C62828" w:rsidRPr="009110F7" w:rsidRDefault="00C62828" w:rsidP="00965797">
            <w:pPr>
              <w:pStyle w:val="Textpoznpodarou"/>
              <w:jc w:val="both"/>
              <w:rPr>
                <w:spacing w:val="-4"/>
              </w:rPr>
            </w:pPr>
          </w:p>
        </w:tc>
        <w:tc>
          <w:tcPr>
            <w:tcW w:w="7501" w:type="dxa"/>
            <w:shd w:val="clear" w:color="auto" w:fill="auto"/>
            <w:tcMar>
              <w:left w:w="0" w:type="dxa"/>
            </w:tcMar>
          </w:tcPr>
          <w:p w:rsidR="00C62828" w:rsidRPr="009110F7" w:rsidRDefault="00C62828" w:rsidP="00965797">
            <w:pPr>
              <w:rPr>
                <w:sz w:val="14"/>
                <w:szCs w:val="14"/>
              </w:rPr>
            </w:pPr>
            <w:r w:rsidRPr="009110F7">
              <w:rPr>
                <w:sz w:val="14"/>
                <w:szCs w:val="14"/>
              </w:rPr>
              <w:t>Zdroj: ČSÚ</w:t>
            </w:r>
          </w:p>
        </w:tc>
      </w:tr>
    </w:tbl>
    <w:p w:rsidR="00C62828" w:rsidRPr="009110F7" w:rsidRDefault="00C62828" w:rsidP="00935BD4">
      <w:pPr>
        <w:pStyle w:val="Normalodrka"/>
        <w:numPr>
          <w:ilvl w:val="0"/>
          <w:numId w:val="0"/>
        </w:numPr>
        <w:ind w:left="357"/>
      </w:pPr>
    </w:p>
    <w:p w:rsidR="00935BD4" w:rsidRDefault="00935BD4" w:rsidP="00935BD4">
      <w:pPr>
        <w:pStyle w:val="Normalodrka"/>
        <w:numPr>
          <w:ilvl w:val="0"/>
          <w:numId w:val="0"/>
        </w:numPr>
        <w:ind w:left="357"/>
      </w:pPr>
    </w:p>
    <w:p w:rsidR="008A0ADD" w:rsidRPr="009110F7" w:rsidRDefault="008A0ADD" w:rsidP="00935BD4">
      <w:pPr>
        <w:pStyle w:val="Normalodrka"/>
        <w:numPr>
          <w:ilvl w:val="0"/>
          <w:numId w:val="0"/>
        </w:numPr>
        <w:ind w:left="357"/>
      </w:pPr>
    </w:p>
    <w:p w:rsidR="00935BD4" w:rsidRPr="009110F7" w:rsidRDefault="00935BD4" w:rsidP="001554C2">
      <w:pPr>
        <w:pStyle w:val="Nadpis11"/>
      </w:pPr>
      <w:bookmarkStart w:id="5" w:name="_Toc517166410"/>
      <w:r w:rsidRPr="009110F7">
        <w:lastRenderedPageBreak/>
        <w:t>3</w:t>
      </w:r>
      <w:r w:rsidR="001554C2" w:rsidRPr="009110F7">
        <w:t xml:space="preserve">. </w:t>
      </w:r>
      <w:bookmarkStart w:id="6" w:name="_Toc454185150"/>
      <w:bookmarkStart w:id="7" w:name="_Toc493683635"/>
      <w:r w:rsidRPr="009110F7">
        <w:t>Výkonnost odvětví</w:t>
      </w:r>
      <w:bookmarkEnd w:id="5"/>
      <w:bookmarkEnd w:id="6"/>
      <w:bookmarkEnd w:id="7"/>
    </w:p>
    <w:tbl>
      <w:tblPr>
        <w:tblW w:w="9644" w:type="dxa"/>
        <w:tblInd w:w="-15" w:type="dxa"/>
        <w:tblCellMar>
          <w:left w:w="0" w:type="dxa"/>
          <w:right w:w="0" w:type="dxa"/>
        </w:tblCellMar>
        <w:tblLook w:val="00A0"/>
      </w:tblPr>
      <w:tblGrid>
        <w:gridCol w:w="1849"/>
        <w:gridCol w:w="30"/>
        <w:gridCol w:w="213"/>
        <w:gridCol w:w="34"/>
        <w:gridCol w:w="7518"/>
      </w:tblGrid>
      <w:tr w:rsidR="008C7569" w:rsidRPr="009110F7" w:rsidTr="009B3764">
        <w:trPr>
          <w:trHeight w:val="145"/>
        </w:trPr>
        <w:tc>
          <w:tcPr>
            <w:tcW w:w="1879" w:type="dxa"/>
            <w:gridSpan w:val="2"/>
            <w:shd w:val="clear" w:color="auto" w:fill="auto"/>
            <w:tcMar>
              <w:left w:w="0" w:type="dxa"/>
            </w:tcMar>
          </w:tcPr>
          <w:p w:rsidR="008C7569" w:rsidRPr="009110F7" w:rsidRDefault="00D21D6D" w:rsidP="008417B5">
            <w:pPr>
              <w:pStyle w:val="Marginlie"/>
            </w:pPr>
            <w:r w:rsidRPr="009110F7">
              <w:t xml:space="preserve">Celkový výkon odvětví ekonomiky mírně zpomaloval. </w:t>
            </w:r>
            <w:proofErr w:type="spellStart"/>
            <w:r w:rsidR="00307DB3" w:rsidRPr="009110F7">
              <w:t>Mezičtvrtletní</w:t>
            </w:r>
            <w:proofErr w:type="spellEnd"/>
            <w:r w:rsidRPr="009110F7">
              <w:t xml:space="preserve"> tempo růstu HPH bylo </w:t>
            </w:r>
            <w:r w:rsidR="00307DB3" w:rsidRPr="009110F7">
              <w:t>v </w:t>
            </w:r>
            <w:r w:rsidRPr="009110F7">
              <w:t xml:space="preserve">1. čtvrtletí nejslabší od počátku </w:t>
            </w:r>
            <w:r w:rsidR="00307DB3" w:rsidRPr="009110F7">
              <w:t>l</w:t>
            </w:r>
            <w:r w:rsidRPr="009110F7">
              <w:t>oňského roku.</w:t>
            </w:r>
          </w:p>
          <w:p w:rsidR="00D21D6D" w:rsidRPr="009110F7" w:rsidRDefault="00D21D6D" w:rsidP="008417B5">
            <w:pPr>
              <w:pStyle w:val="Marginlie"/>
            </w:pPr>
          </w:p>
          <w:p w:rsidR="00D21D6D" w:rsidRPr="009110F7" w:rsidRDefault="00D21D6D" w:rsidP="008417B5">
            <w:pPr>
              <w:pStyle w:val="Marginlie"/>
            </w:pPr>
          </w:p>
          <w:p w:rsidR="00D21D6D" w:rsidRPr="009110F7" w:rsidRDefault="00D21D6D" w:rsidP="008417B5">
            <w:pPr>
              <w:pStyle w:val="Marginlie"/>
            </w:pPr>
          </w:p>
          <w:p w:rsidR="00D21D6D" w:rsidRPr="009110F7" w:rsidRDefault="00E578A2" w:rsidP="008417B5">
            <w:pPr>
              <w:pStyle w:val="Marginlie"/>
            </w:pPr>
            <w:r w:rsidRPr="009110F7">
              <w:t>Růst HPH se týkal téměř všech hlavních odvětví</w:t>
            </w:r>
            <w:r w:rsidR="00D21D6D" w:rsidRPr="009110F7">
              <w:t>, negativně působily jen těž</w:t>
            </w:r>
            <w:r w:rsidR="00C21430" w:rsidRPr="009110F7">
              <w:t>e</w:t>
            </w:r>
            <w:r w:rsidRPr="009110F7">
              <w:t>bní průmysl a </w:t>
            </w:r>
            <w:r w:rsidR="00D21D6D" w:rsidRPr="009110F7">
              <w:t>energetika.</w:t>
            </w:r>
          </w:p>
        </w:tc>
        <w:tc>
          <w:tcPr>
            <w:tcW w:w="247" w:type="dxa"/>
            <w:gridSpan w:val="2"/>
            <w:shd w:val="clear" w:color="auto" w:fill="auto"/>
            <w:tcMar>
              <w:left w:w="0" w:type="dxa"/>
            </w:tcMar>
          </w:tcPr>
          <w:p w:rsidR="008C7569" w:rsidRPr="009110F7" w:rsidRDefault="008C7569" w:rsidP="008417B5">
            <w:pPr>
              <w:pStyle w:val="Textpoznpodarou"/>
              <w:jc w:val="both"/>
              <w:rPr>
                <w:spacing w:val="-4"/>
              </w:rPr>
            </w:pPr>
          </w:p>
        </w:tc>
        <w:tc>
          <w:tcPr>
            <w:tcW w:w="7518" w:type="dxa"/>
            <w:shd w:val="clear" w:color="auto" w:fill="auto"/>
            <w:tcMar>
              <w:left w:w="0" w:type="dxa"/>
            </w:tcMar>
          </w:tcPr>
          <w:p w:rsidR="008C7569" w:rsidRPr="009110F7" w:rsidRDefault="00716F48" w:rsidP="008417B5">
            <w:r w:rsidRPr="009110F7">
              <w:t>O </w:t>
            </w:r>
            <w:r w:rsidR="008C7569" w:rsidRPr="009110F7">
              <w:t>přetrvávající dobré kondici tuzemské ekonomiky na počátku roku svědčí vývoj hrubé přidané hodnoty (HPH)</w:t>
            </w:r>
            <w:r w:rsidR="008C7569" w:rsidRPr="009110F7">
              <w:rPr>
                <w:rStyle w:val="Znakapoznpodarou"/>
                <w:spacing w:val="-4"/>
              </w:rPr>
              <w:footnoteReference w:id="11"/>
            </w:r>
            <w:r w:rsidR="008C7569" w:rsidRPr="009110F7">
              <w:t>. Ta proti poslednímu čtvrtletí 2017 posílila o</w:t>
            </w:r>
            <w:r w:rsidR="008C7569" w:rsidRPr="009110F7">
              <w:rPr>
                <w:color w:val="000000" w:themeColor="text1"/>
                <w:spacing w:val="-4"/>
              </w:rPr>
              <w:t> </w:t>
            </w:r>
            <w:r w:rsidR="008C7569" w:rsidRPr="009110F7">
              <w:t>0,7</w:t>
            </w:r>
            <w:r w:rsidR="008C7569" w:rsidRPr="009110F7">
              <w:rPr>
                <w:color w:val="000000" w:themeColor="text1"/>
                <w:spacing w:val="-4"/>
              </w:rPr>
              <w:t> </w:t>
            </w:r>
            <w:r w:rsidR="008C7569" w:rsidRPr="009110F7">
              <w:t>%. Odhlédneme-li od krátkodobé akcelerace v první polovině loňského roku, nevybočil letošní růst HPH z dynamiky posledních dvou let</w:t>
            </w:r>
            <w:r w:rsidR="00D21D6D" w:rsidRPr="009110F7">
              <w:t>.</w:t>
            </w:r>
            <w:r w:rsidR="008C7569" w:rsidRPr="009110F7">
              <w:t xml:space="preserve"> </w:t>
            </w:r>
            <w:r w:rsidR="00307DB3" w:rsidRPr="009110F7">
              <w:t>Přesto by</w:t>
            </w:r>
            <w:r w:rsidR="007A775D">
              <w:t>l nejslabší za posledních pět čtvrtletí</w:t>
            </w:r>
            <w:r w:rsidR="00307DB3" w:rsidRPr="009110F7">
              <w:t xml:space="preserve">. </w:t>
            </w:r>
            <w:r w:rsidRPr="009110F7">
              <w:t>O </w:t>
            </w:r>
            <w:r w:rsidR="008C7569" w:rsidRPr="009110F7">
              <w:t>růst se v </w:t>
            </w:r>
            <w:r w:rsidRPr="009110F7">
              <w:t>1. </w:t>
            </w:r>
            <w:r w:rsidR="008C7569" w:rsidRPr="009110F7">
              <w:t xml:space="preserve">čtvrtletí </w:t>
            </w:r>
            <w:r w:rsidR="00307DB3" w:rsidRPr="009110F7">
              <w:t xml:space="preserve">postaraly </w:t>
            </w:r>
            <w:r w:rsidR="008C7569" w:rsidRPr="009110F7">
              <w:t xml:space="preserve">primárně služby </w:t>
            </w:r>
            <w:r w:rsidRPr="009110F7">
              <w:t>a </w:t>
            </w:r>
            <w:r w:rsidR="008C7569" w:rsidRPr="009110F7">
              <w:t>též stavebnictví, jehož výkon stimulovaly vyšší průměrné teploty (hlavně v první polovině zimního období</w:t>
            </w:r>
            <w:r w:rsidR="008C7569" w:rsidRPr="009110F7">
              <w:rPr>
                <w:rStyle w:val="Znakapoznpodarou"/>
              </w:rPr>
              <w:footnoteReference w:id="12"/>
            </w:r>
            <w:r w:rsidR="008C7569" w:rsidRPr="009110F7">
              <w:t xml:space="preserve">). V meziročním vyjádření se letos HPH navýšila </w:t>
            </w:r>
            <w:r w:rsidRPr="009110F7">
              <w:t>o </w:t>
            </w:r>
            <w:r w:rsidR="008C7569" w:rsidRPr="009110F7">
              <w:t>4,</w:t>
            </w:r>
            <w:r w:rsidR="00167CB9" w:rsidRPr="009110F7">
              <w:t>5 </w:t>
            </w:r>
            <w:r w:rsidR="008C7569" w:rsidRPr="009110F7">
              <w:t xml:space="preserve">% </w:t>
            </w:r>
            <w:r w:rsidR="008C7569" w:rsidRPr="009110F7">
              <w:rPr>
                <w:rFonts w:cs="Arial"/>
                <w:spacing w:val="-4"/>
              </w:rPr>
              <w:t>–</w:t>
            </w:r>
            <w:r w:rsidR="008C7569" w:rsidRPr="009110F7">
              <w:t xml:space="preserve"> bezmála dvojnásobným tempem než v EU </w:t>
            </w:r>
            <w:r w:rsidRPr="009110F7">
              <w:t>a </w:t>
            </w:r>
            <w:r w:rsidR="007A775D">
              <w:t>zároveň rychleji</w:t>
            </w:r>
            <w:r w:rsidR="008C7569" w:rsidRPr="009110F7">
              <w:t xml:space="preserve"> než u všech našich sousedů. Růst podobně jako v loňském roce prolínal prakticky všemi hlavními odvětvími, jen </w:t>
            </w:r>
            <w:r w:rsidRPr="009110F7">
              <w:t>v </w:t>
            </w:r>
            <w:r w:rsidR="0047276D" w:rsidRPr="009110F7">
              <w:t>těžbě</w:t>
            </w:r>
            <w:r w:rsidR="008C7569" w:rsidRPr="009110F7">
              <w:t xml:space="preserve"> a</w:t>
            </w:r>
            <w:r w:rsidR="008C7569" w:rsidRPr="009110F7">
              <w:rPr>
                <w:color w:val="000000" w:themeColor="text1"/>
                <w:spacing w:val="-4"/>
              </w:rPr>
              <w:t> </w:t>
            </w:r>
            <w:r w:rsidR="008C7569" w:rsidRPr="009110F7">
              <w:t>ener</w:t>
            </w:r>
            <w:r w:rsidR="0047276D" w:rsidRPr="009110F7">
              <w:t>getice</w:t>
            </w:r>
            <w:r w:rsidR="008C7569" w:rsidRPr="009110F7">
              <w:t xml:space="preserve"> HPH klesala (</w:t>
            </w:r>
            <w:r w:rsidR="00CA37FF">
              <w:t>-</w:t>
            </w:r>
            <w:r w:rsidR="008C7569" w:rsidRPr="009110F7">
              <w:t>2,</w:t>
            </w:r>
            <w:r w:rsidR="00167CB9" w:rsidRPr="009110F7">
              <w:t>9 </w:t>
            </w:r>
            <w:r w:rsidR="008C7569" w:rsidRPr="009110F7">
              <w:t>%). Již třetí čtvrtletí v řadě přispěla k meziročně vyšší HPH odvětví ter</w:t>
            </w:r>
            <w:r w:rsidR="004059D2" w:rsidRPr="009110F7">
              <w:t>c</w:t>
            </w:r>
            <w:r w:rsidR="008C7569" w:rsidRPr="009110F7">
              <w:t>iárního sektoru více než samotný zpracovatelský průmysl</w:t>
            </w:r>
            <w:r w:rsidR="00CC76BD">
              <w:t>. J</w:t>
            </w:r>
            <w:r w:rsidR="008C7569" w:rsidRPr="009110F7">
              <w:t>eho role však stá</w:t>
            </w:r>
            <w:r w:rsidR="0047276D" w:rsidRPr="009110F7">
              <w:t xml:space="preserve">le zůstala významná, neboť </w:t>
            </w:r>
            <w:r w:rsidR="008C7569" w:rsidRPr="009110F7">
              <w:t>v 1.</w:t>
            </w:r>
            <w:r w:rsidR="0047276D" w:rsidRPr="009110F7">
              <w:t> </w:t>
            </w:r>
            <w:r w:rsidR="008C7569" w:rsidRPr="009110F7">
              <w:t>čtvrtletí zajistil téměř třetinu růstu HPH v ekonomice. Ve většině států EU je role služeb ještě významnější.</w:t>
            </w:r>
          </w:p>
        </w:tc>
      </w:tr>
      <w:tr w:rsidR="008C7569" w:rsidRPr="009110F7" w:rsidTr="009B3764">
        <w:trPr>
          <w:trHeight w:val="170"/>
        </w:trPr>
        <w:tc>
          <w:tcPr>
            <w:tcW w:w="1879" w:type="dxa"/>
            <w:gridSpan w:val="2"/>
            <w:shd w:val="clear" w:color="auto" w:fill="auto"/>
            <w:tcMar>
              <w:left w:w="0" w:type="dxa"/>
            </w:tcMar>
          </w:tcPr>
          <w:p w:rsidR="008C7569" w:rsidRPr="009110F7" w:rsidRDefault="008C7569" w:rsidP="008417B5">
            <w:pPr>
              <w:pStyle w:val="Marginlie"/>
            </w:pPr>
            <w:r w:rsidRPr="009110F7">
              <w:t>Nejdynamičtějším odvětvím služeb zůstává již třetím rokem v řadě finančnictví. Výkon zpracovatelského průmyslu mírně zvolnil.</w:t>
            </w:r>
          </w:p>
        </w:tc>
        <w:tc>
          <w:tcPr>
            <w:tcW w:w="247" w:type="dxa"/>
            <w:gridSpan w:val="2"/>
            <w:shd w:val="clear" w:color="auto" w:fill="auto"/>
            <w:tcMar>
              <w:left w:w="0" w:type="dxa"/>
            </w:tcMar>
          </w:tcPr>
          <w:p w:rsidR="008C7569" w:rsidRPr="009110F7" w:rsidRDefault="008C7569" w:rsidP="008417B5">
            <w:pPr>
              <w:pStyle w:val="Textpoznpodarou"/>
              <w:jc w:val="both"/>
              <w:rPr>
                <w:spacing w:val="-4"/>
              </w:rPr>
            </w:pPr>
          </w:p>
        </w:tc>
        <w:tc>
          <w:tcPr>
            <w:tcW w:w="7518" w:type="dxa"/>
            <w:shd w:val="clear" w:color="auto" w:fill="auto"/>
            <w:tcMar>
              <w:left w:w="0" w:type="dxa"/>
            </w:tcMar>
          </w:tcPr>
          <w:p w:rsidR="008C7569" w:rsidRPr="009110F7" w:rsidRDefault="00716F48" w:rsidP="004059D2">
            <w:pPr>
              <w:rPr>
                <w:rFonts w:cs="Arial"/>
                <w:spacing w:val="-4"/>
              </w:rPr>
            </w:pPr>
            <w:r w:rsidRPr="009110F7">
              <w:rPr>
                <w:rFonts w:cs="Arial"/>
                <w:spacing w:val="-4"/>
              </w:rPr>
              <w:t>V </w:t>
            </w:r>
            <w:r w:rsidR="004059D2" w:rsidRPr="009110F7">
              <w:rPr>
                <w:rFonts w:cs="Arial"/>
                <w:spacing w:val="-4"/>
              </w:rPr>
              <w:t xml:space="preserve">rámci služeb byl meziročně růst </w:t>
            </w:r>
            <w:r w:rsidR="008C7569" w:rsidRPr="009110F7">
              <w:rPr>
                <w:rFonts w:cs="Arial"/>
                <w:spacing w:val="-4"/>
              </w:rPr>
              <w:t xml:space="preserve">HPH nejvíce </w:t>
            </w:r>
            <w:r w:rsidR="004059D2" w:rsidRPr="009110F7">
              <w:rPr>
                <w:rFonts w:cs="Arial"/>
                <w:spacing w:val="-4"/>
              </w:rPr>
              <w:t xml:space="preserve">podpořen </w:t>
            </w:r>
            <w:r w:rsidR="008C7569" w:rsidRPr="009110F7">
              <w:rPr>
                <w:rFonts w:cs="Arial"/>
                <w:spacing w:val="-4"/>
              </w:rPr>
              <w:t>váhově dominantní</w:t>
            </w:r>
            <w:r w:rsidR="004059D2" w:rsidRPr="009110F7">
              <w:rPr>
                <w:rFonts w:cs="Arial"/>
                <w:spacing w:val="-4"/>
              </w:rPr>
              <w:t>m</w:t>
            </w:r>
            <w:r w:rsidR="008C7569" w:rsidRPr="009110F7">
              <w:rPr>
                <w:rFonts w:cs="Arial"/>
                <w:spacing w:val="-4"/>
              </w:rPr>
              <w:t xml:space="preserve"> uskupení</w:t>
            </w:r>
            <w:r w:rsidR="004059D2" w:rsidRPr="009110F7">
              <w:rPr>
                <w:rFonts w:cs="Arial"/>
                <w:spacing w:val="-4"/>
              </w:rPr>
              <w:t>m</w:t>
            </w:r>
            <w:r w:rsidR="008C7569" w:rsidRPr="009110F7">
              <w:rPr>
                <w:rFonts w:cs="Arial"/>
                <w:spacing w:val="-4"/>
              </w:rPr>
              <w:t xml:space="preserve"> obchod, doprava, ubytování </w:t>
            </w:r>
            <w:r w:rsidRPr="009110F7">
              <w:rPr>
                <w:rFonts w:cs="Arial"/>
                <w:spacing w:val="-4"/>
              </w:rPr>
              <w:t>a </w:t>
            </w:r>
            <w:r w:rsidR="008C7569" w:rsidRPr="009110F7">
              <w:rPr>
                <w:rFonts w:cs="Arial"/>
                <w:spacing w:val="-4"/>
              </w:rPr>
              <w:t xml:space="preserve">pohostinství. Nejdynamičtějším odvětvím terciární sféry však již třetím rokem v řadě zůstalo peněžnictví </w:t>
            </w:r>
            <w:r w:rsidRPr="009110F7">
              <w:rPr>
                <w:rFonts w:cs="Arial"/>
                <w:spacing w:val="-4"/>
              </w:rPr>
              <w:t>a </w:t>
            </w:r>
            <w:r w:rsidR="008C7569" w:rsidRPr="009110F7">
              <w:rPr>
                <w:rFonts w:cs="Arial"/>
                <w:spacing w:val="-4"/>
              </w:rPr>
              <w:t>pojišťovnictví, jež letos oproti počátku loňského roku vytvořilo HPH</w:t>
            </w:r>
            <w:r w:rsidR="00161553" w:rsidRPr="009110F7">
              <w:rPr>
                <w:rFonts w:cs="Arial"/>
                <w:spacing w:val="-4"/>
              </w:rPr>
              <w:t xml:space="preserve"> </w:t>
            </w:r>
            <w:r w:rsidRPr="009110F7">
              <w:rPr>
                <w:rFonts w:cs="Arial"/>
                <w:spacing w:val="-4"/>
              </w:rPr>
              <w:t>o </w:t>
            </w:r>
            <w:r w:rsidR="008C7569" w:rsidRPr="009110F7">
              <w:rPr>
                <w:rFonts w:cs="Arial"/>
                <w:spacing w:val="-4"/>
              </w:rPr>
              <w:t>desetinu vyšší. Zpracovatelský průmysl za silným</w:t>
            </w:r>
            <w:r w:rsidR="00617985">
              <w:rPr>
                <w:rFonts w:cs="Arial"/>
                <w:spacing w:val="-4"/>
              </w:rPr>
              <w:t>i</w:t>
            </w:r>
            <w:r w:rsidR="008C7569" w:rsidRPr="009110F7">
              <w:rPr>
                <w:rFonts w:cs="Arial"/>
                <w:spacing w:val="-4"/>
              </w:rPr>
              <w:t xml:space="preserve"> loňskými výsledky mírně zaostal, jeho tempo (+6,</w:t>
            </w:r>
            <w:r w:rsidR="00167CB9" w:rsidRPr="009110F7">
              <w:rPr>
                <w:rFonts w:cs="Arial"/>
                <w:spacing w:val="-4"/>
              </w:rPr>
              <w:t>1 </w:t>
            </w:r>
            <w:r w:rsidR="008C7569" w:rsidRPr="009110F7">
              <w:rPr>
                <w:rFonts w:cs="Arial"/>
                <w:spacing w:val="-4"/>
              </w:rPr>
              <w:t>%) však bylo ve srovnání s ostatními odvětvím</w:t>
            </w:r>
            <w:r w:rsidR="00617985">
              <w:rPr>
                <w:rFonts w:cs="Arial"/>
                <w:spacing w:val="-4"/>
              </w:rPr>
              <w:t>i</w:t>
            </w:r>
            <w:r w:rsidR="008C7569" w:rsidRPr="009110F7">
              <w:rPr>
                <w:rFonts w:cs="Arial"/>
                <w:spacing w:val="-4"/>
              </w:rPr>
              <w:t xml:space="preserve"> nadále nadprůměrné. Mimořádné faktory stály za akcelerací stavebnict</w:t>
            </w:r>
            <w:r w:rsidR="006968C1" w:rsidRPr="009110F7">
              <w:rPr>
                <w:rFonts w:cs="Arial"/>
                <w:spacing w:val="-4"/>
              </w:rPr>
              <w:t>ví (+7,</w:t>
            </w:r>
            <w:r w:rsidR="00167CB9" w:rsidRPr="009110F7">
              <w:rPr>
                <w:rFonts w:cs="Arial"/>
                <w:spacing w:val="-4"/>
              </w:rPr>
              <w:t>6 </w:t>
            </w:r>
            <w:r w:rsidR="006968C1" w:rsidRPr="009110F7">
              <w:rPr>
                <w:rFonts w:cs="Arial"/>
                <w:spacing w:val="-4"/>
              </w:rPr>
              <w:t>%), jež docílilo nejlep</w:t>
            </w:r>
            <w:r w:rsidR="008C7569" w:rsidRPr="009110F7">
              <w:rPr>
                <w:rFonts w:cs="Arial"/>
                <w:spacing w:val="-4"/>
              </w:rPr>
              <w:t xml:space="preserve">šího výsledku od počátku roku 2007. </w:t>
            </w:r>
          </w:p>
        </w:tc>
      </w:tr>
      <w:tr w:rsidR="008C7569" w:rsidRPr="009110F7" w:rsidTr="009B3764">
        <w:trPr>
          <w:trHeight w:val="145"/>
        </w:trPr>
        <w:tc>
          <w:tcPr>
            <w:tcW w:w="1879" w:type="dxa"/>
            <w:gridSpan w:val="2"/>
            <w:shd w:val="clear" w:color="auto" w:fill="auto"/>
            <w:tcMar>
              <w:left w:w="0" w:type="dxa"/>
            </w:tcMar>
          </w:tcPr>
          <w:p w:rsidR="008C7569" w:rsidRPr="009110F7" w:rsidRDefault="008417B5" w:rsidP="008417B5">
            <w:pPr>
              <w:pStyle w:val="Marginlie"/>
            </w:pPr>
            <w:r w:rsidRPr="009110F7">
              <w:t xml:space="preserve">Index průmyslové produkce vzrostl v 1. čtvrtletí </w:t>
            </w:r>
            <w:r w:rsidR="00716F48" w:rsidRPr="009110F7">
              <w:t>o </w:t>
            </w:r>
            <w:r w:rsidRPr="009110F7">
              <w:t>4,</w:t>
            </w:r>
            <w:r w:rsidR="00167CB9" w:rsidRPr="009110F7">
              <w:t>0 </w:t>
            </w:r>
            <w:r w:rsidRPr="009110F7">
              <w:t xml:space="preserve">%. </w:t>
            </w:r>
            <w:r w:rsidR="0048368C" w:rsidRPr="009110F7">
              <w:t>Pozice exportérů byla proti loňskému roku méně příznivá.</w:t>
            </w:r>
          </w:p>
        </w:tc>
        <w:tc>
          <w:tcPr>
            <w:tcW w:w="247" w:type="dxa"/>
            <w:gridSpan w:val="2"/>
            <w:shd w:val="clear" w:color="auto" w:fill="auto"/>
            <w:tcMar>
              <w:left w:w="0" w:type="dxa"/>
            </w:tcMar>
          </w:tcPr>
          <w:p w:rsidR="008C7569" w:rsidRPr="009110F7" w:rsidRDefault="008C7569" w:rsidP="008417B5">
            <w:pPr>
              <w:pStyle w:val="Textpoznpodarou"/>
              <w:jc w:val="both"/>
              <w:rPr>
                <w:spacing w:val="-4"/>
              </w:rPr>
            </w:pPr>
          </w:p>
        </w:tc>
        <w:tc>
          <w:tcPr>
            <w:tcW w:w="7518" w:type="dxa"/>
            <w:shd w:val="clear" w:color="auto" w:fill="auto"/>
            <w:tcMar>
              <w:left w:w="0" w:type="dxa"/>
            </w:tcMar>
          </w:tcPr>
          <w:p w:rsidR="008C7569" w:rsidRPr="009110F7" w:rsidRDefault="008C7569" w:rsidP="00053713">
            <w:pPr>
              <w:rPr>
                <w:rFonts w:cs="Arial"/>
                <w:color w:val="0D0D0D" w:themeColor="text1" w:themeTint="F2"/>
                <w:spacing w:val="-4"/>
              </w:rPr>
            </w:pPr>
            <w:r w:rsidRPr="009110F7">
              <w:rPr>
                <w:spacing w:val="-4"/>
              </w:rPr>
              <w:t>Mírné zvolňování tempa růstu průmyslu ilustr</w:t>
            </w:r>
            <w:r w:rsidR="00053713">
              <w:rPr>
                <w:spacing w:val="-4"/>
              </w:rPr>
              <w:t>ovaly</w:t>
            </w:r>
            <w:r w:rsidRPr="009110F7">
              <w:rPr>
                <w:spacing w:val="-4"/>
              </w:rPr>
              <w:t xml:space="preserve"> rovněž údaje z podnikových statistik. I</w:t>
            </w:r>
            <w:r w:rsidRPr="009110F7">
              <w:rPr>
                <w:color w:val="000000" w:themeColor="text1"/>
                <w:spacing w:val="-4"/>
              </w:rPr>
              <w:t>ndex průmyslové produkce</w:t>
            </w:r>
            <w:r w:rsidRPr="009110F7">
              <w:rPr>
                <w:color w:val="000000" w:themeColor="text1"/>
                <w:spacing w:val="-4"/>
                <w:vertAlign w:val="superscript"/>
              </w:rPr>
              <w:footnoteReference w:id="13"/>
            </w:r>
            <w:r w:rsidRPr="009110F7">
              <w:rPr>
                <w:color w:val="000000" w:themeColor="text1"/>
                <w:spacing w:val="-4"/>
              </w:rPr>
              <w:t xml:space="preserve"> vzrostl v </w:t>
            </w:r>
            <w:r w:rsidR="00716F48" w:rsidRPr="009110F7">
              <w:rPr>
                <w:color w:val="000000" w:themeColor="text1"/>
                <w:spacing w:val="-4"/>
              </w:rPr>
              <w:t>1. </w:t>
            </w:r>
            <w:r w:rsidRPr="009110F7">
              <w:rPr>
                <w:color w:val="000000" w:themeColor="text1"/>
                <w:spacing w:val="-4"/>
              </w:rPr>
              <w:t xml:space="preserve">čtvrtletí meziročně </w:t>
            </w:r>
            <w:r w:rsidR="00716F48" w:rsidRPr="009110F7">
              <w:rPr>
                <w:color w:val="000000" w:themeColor="text1"/>
                <w:spacing w:val="-4"/>
              </w:rPr>
              <w:t>o </w:t>
            </w:r>
            <w:r w:rsidRPr="009110F7">
              <w:rPr>
                <w:color w:val="000000" w:themeColor="text1"/>
                <w:spacing w:val="-4"/>
              </w:rPr>
              <w:t>4,</w:t>
            </w:r>
            <w:r w:rsidR="00167CB9" w:rsidRPr="009110F7">
              <w:rPr>
                <w:color w:val="000000" w:themeColor="text1"/>
                <w:spacing w:val="-4"/>
              </w:rPr>
              <w:t>0 </w:t>
            </w:r>
            <w:r w:rsidRPr="009110F7">
              <w:rPr>
                <w:color w:val="000000" w:themeColor="text1"/>
                <w:spacing w:val="-4"/>
              </w:rPr>
              <w:t>%</w:t>
            </w:r>
            <w:r w:rsidRPr="009110F7">
              <w:rPr>
                <w:rStyle w:val="Znakapoznpodarou"/>
                <w:color w:val="000000" w:themeColor="text1"/>
                <w:spacing w:val="-4"/>
              </w:rPr>
              <w:footnoteReference w:id="14"/>
            </w:r>
            <w:r w:rsidR="004F3BD2">
              <w:rPr>
                <w:color w:val="000000" w:themeColor="text1"/>
                <w:spacing w:val="-4"/>
              </w:rPr>
              <w:t xml:space="preserve">, </w:t>
            </w:r>
            <w:r w:rsidRPr="009110F7">
              <w:rPr>
                <w:color w:val="000000" w:themeColor="text1"/>
                <w:spacing w:val="-4"/>
              </w:rPr>
              <w:t>a</w:t>
            </w:r>
            <w:r w:rsidRPr="009110F7">
              <w:rPr>
                <w:spacing w:val="-4"/>
              </w:rPr>
              <w:t> </w:t>
            </w:r>
            <w:r w:rsidRPr="009110F7">
              <w:rPr>
                <w:color w:val="000000" w:themeColor="text1"/>
                <w:spacing w:val="-4"/>
              </w:rPr>
              <w:t xml:space="preserve">nedosáhl tak dynamiky žádného </w:t>
            </w:r>
            <w:r w:rsidR="00716F48" w:rsidRPr="009110F7">
              <w:rPr>
                <w:color w:val="000000" w:themeColor="text1"/>
                <w:spacing w:val="-4"/>
              </w:rPr>
              <w:t>z </w:t>
            </w:r>
            <w:r w:rsidRPr="009110F7">
              <w:rPr>
                <w:color w:val="000000" w:themeColor="text1"/>
                <w:spacing w:val="-4"/>
              </w:rPr>
              <w:t>loňských čtvrtletí. Za tempy z let 2014 i</w:t>
            </w:r>
            <w:r w:rsidRPr="009110F7">
              <w:rPr>
                <w:spacing w:val="-4"/>
              </w:rPr>
              <w:t> </w:t>
            </w:r>
            <w:r w:rsidRPr="009110F7">
              <w:rPr>
                <w:color w:val="000000" w:themeColor="text1"/>
                <w:spacing w:val="-4"/>
              </w:rPr>
              <w:t>2015 však letos průmysl výrazně nezaostal. Pozitivní bylo, že si celé odvětví podrželo růst v </w:t>
            </w:r>
            <w:proofErr w:type="spellStart"/>
            <w:r w:rsidRPr="009110F7">
              <w:rPr>
                <w:color w:val="000000" w:themeColor="text1"/>
                <w:spacing w:val="-4"/>
              </w:rPr>
              <w:t>mezičtvrtletním</w:t>
            </w:r>
            <w:proofErr w:type="spellEnd"/>
            <w:r w:rsidRPr="009110F7">
              <w:rPr>
                <w:color w:val="000000" w:themeColor="text1"/>
                <w:spacing w:val="-4"/>
              </w:rPr>
              <w:t xml:space="preserve"> vyjádření (+0,</w:t>
            </w:r>
            <w:r w:rsidR="00917251">
              <w:rPr>
                <w:color w:val="000000" w:themeColor="text1"/>
                <w:spacing w:val="-4"/>
              </w:rPr>
              <w:t>3</w:t>
            </w:r>
            <w:r w:rsidR="00167CB9" w:rsidRPr="009110F7">
              <w:rPr>
                <w:color w:val="000000" w:themeColor="text1"/>
                <w:spacing w:val="-4"/>
              </w:rPr>
              <w:t> </w:t>
            </w:r>
            <w:r w:rsidRPr="009110F7">
              <w:rPr>
                <w:color w:val="000000" w:themeColor="text1"/>
                <w:spacing w:val="-4"/>
              </w:rPr>
              <w:t>%), byť k němu přispěl jen váhově dominantní zpracovatelský průmysl.</w:t>
            </w:r>
            <w:r w:rsidR="003738BD" w:rsidRPr="009110F7">
              <w:rPr>
                <w:color w:val="000000" w:themeColor="text1"/>
                <w:spacing w:val="-4"/>
              </w:rPr>
              <w:t xml:space="preserve"> Zpomalení výkonu průmyslu může souviset </w:t>
            </w:r>
            <w:r w:rsidR="00716F48" w:rsidRPr="009110F7">
              <w:rPr>
                <w:color w:val="000000" w:themeColor="text1"/>
                <w:spacing w:val="-4"/>
              </w:rPr>
              <w:t>i s </w:t>
            </w:r>
            <w:r w:rsidR="003738BD" w:rsidRPr="009110F7">
              <w:rPr>
                <w:color w:val="000000" w:themeColor="text1"/>
                <w:spacing w:val="-4"/>
              </w:rPr>
              <w:t xml:space="preserve">obtížnější situací exportérů, </w:t>
            </w:r>
            <w:r w:rsidR="00A04717" w:rsidRPr="009110F7">
              <w:rPr>
                <w:color w:val="000000" w:themeColor="text1"/>
                <w:spacing w:val="-4"/>
              </w:rPr>
              <w:t>kteří na</w:t>
            </w:r>
            <w:r w:rsidR="008417B5" w:rsidRPr="009110F7">
              <w:rPr>
                <w:color w:val="000000" w:themeColor="text1"/>
                <w:spacing w:val="-4"/>
              </w:rPr>
              <w:t xml:space="preserve"> jedn</w:t>
            </w:r>
            <w:r w:rsidR="004F3BD2">
              <w:rPr>
                <w:color w:val="000000" w:themeColor="text1"/>
                <w:spacing w:val="-4"/>
              </w:rPr>
              <w:t>é</w:t>
            </w:r>
            <w:r w:rsidR="008417B5" w:rsidRPr="009110F7">
              <w:rPr>
                <w:color w:val="000000" w:themeColor="text1"/>
                <w:spacing w:val="-4"/>
              </w:rPr>
              <w:t xml:space="preserve"> stran</w:t>
            </w:r>
            <w:r w:rsidR="004F3BD2">
              <w:rPr>
                <w:color w:val="000000" w:themeColor="text1"/>
                <w:spacing w:val="-4"/>
              </w:rPr>
              <w:t>ě</w:t>
            </w:r>
            <w:r w:rsidR="008417B5" w:rsidRPr="009110F7">
              <w:rPr>
                <w:color w:val="000000" w:themeColor="text1"/>
                <w:spacing w:val="-4"/>
              </w:rPr>
              <w:t xml:space="preserve"> čel</w:t>
            </w:r>
            <w:r w:rsidR="00053713">
              <w:rPr>
                <w:color w:val="000000" w:themeColor="text1"/>
                <w:spacing w:val="-4"/>
              </w:rPr>
              <w:t>ili</w:t>
            </w:r>
            <w:r w:rsidR="008417B5" w:rsidRPr="009110F7">
              <w:rPr>
                <w:color w:val="000000" w:themeColor="text1"/>
                <w:spacing w:val="-4"/>
              </w:rPr>
              <w:t xml:space="preserve"> důsledkům</w:t>
            </w:r>
            <w:r w:rsidR="00A04717" w:rsidRPr="009110F7">
              <w:rPr>
                <w:color w:val="000000" w:themeColor="text1"/>
                <w:spacing w:val="-4"/>
              </w:rPr>
              <w:t xml:space="preserve"> sílící</w:t>
            </w:r>
            <w:r w:rsidR="008417B5" w:rsidRPr="009110F7">
              <w:rPr>
                <w:color w:val="000000" w:themeColor="text1"/>
                <w:spacing w:val="-4"/>
              </w:rPr>
              <w:t xml:space="preserve"> koruny, na straně druhé pak na</w:t>
            </w:r>
            <w:r w:rsidR="00A04717" w:rsidRPr="009110F7">
              <w:rPr>
                <w:color w:val="000000" w:themeColor="text1"/>
                <w:spacing w:val="-4"/>
              </w:rPr>
              <w:t>ráž</w:t>
            </w:r>
            <w:r w:rsidR="004F3BD2">
              <w:rPr>
                <w:color w:val="000000" w:themeColor="text1"/>
                <w:spacing w:val="-4"/>
              </w:rPr>
              <w:t>e</w:t>
            </w:r>
            <w:r w:rsidR="00053713">
              <w:rPr>
                <w:color w:val="000000" w:themeColor="text1"/>
                <w:spacing w:val="-4"/>
              </w:rPr>
              <w:t>li</w:t>
            </w:r>
            <w:r w:rsidR="00A04717" w:rsidRPr="009110F7">
              <w:rPr>
                <w:color w:val="000000" w:themeColor="text1"/>
                <w:spacing w:val="-4"/>
              </w:rPr>
              <w:t xml:space="preserve"> na limity výrobních kapacit </w:t>
            </w:r>
            <w:r w:rsidR="008417B5" w:rsidRPr="009110F7">
              <w:rPr>
                <w:color w:val="000000" w:themeColor="text1"/>
                <w:spacing w:val="-4"/>
              </w:rPr>
              <w:t xml:space="preserve">v důsledku </w:t>
            </w:r>
            <w:r w:rsidR="00A04717" w:rsidRPr="009110F7">
              <w:rPr>
                <w:color w:val="000000" w:themeColor="text1"/>
                <w:spacing w:val="-4"/>
              </w:rPr>
              <w:t xml:space="preserve">stále </w:t>
            </w:r>
            <w:r w:rsidR="0027583D" w:rsidRPr="009110F7">
              <w:rPr>
                <w:color w:val="000000" w:themeColor="text1"/>
                <w:spacing w:val="-4"/>
              </w:rPr>
              <w:t>se prohlubujícího</w:t>
            </w:r>
            <w:r w:rsidR="00A04717" w:rsidRPr="009110F7">
              <w:rPr>
                <w:color w:val="000000" w:themeColor="text1"/>
                <w:spacing w:val="-4"/>
              </w:rPr>
              <w:t xml:space="preserve"> nedosta</w:t>
            </w:r>
            <w:r w:rsidR="00C21430" w:rsidRPr="009110F7">
              <w:rPr>
                <w:color w:val="000000" w:themeColor="text1"/>
                <w:spacing w:val="-4"/>
              </w:rPr>
              <w:t>t</w:t>
            </w:r>
            <w:r w:rsidR="00A04717" w:rsidRPr="009110F7">
              <w:rPr>
                <w:color w:val="000000" w:themeColor="text1"/>
                <w:spacing w:val="-4"/>
              </w:rPr>
              <w:t xml:space="preserve">ku pracovních </w:t>
            </w:r>
            <w:r w:rsidR="004F3BD2">
              <w:rPr>
                <w:color w:val="000000" w:themeColor="text1"/>
                <w:spacing w:val="-4"/>
              </w:rPr>
              <w:t xml:space="preserve">sil </w:t>
            </w:r>
            <w:r w:rsidR="008417B5" w:rsidRPr="009110F7">
              <w:rPr>
                <w:color w:val="000000" w:themeColor="text1"/>
                <w:spacing w:val="-4"/>
              </w:rPr>
              <w:t>doprovázeného sílícími mzdovými náklady.</w:t>
            </w:r>
          </w:p>
        </w:tc>
      </w:tr>
      <w:tr w:rsidR="008C7569" w:rsidRPr="009110F7" w:rsidTr="009B3764">
        <w:trPr>
          <w:trHeight w:val="145"/>
        </w:trPr>
        <w:tc>
          <w:tcPr>
            <w:tcW w:w="1879" w:type="dxa"/>
            <w:gridSpan w:val="2"/>
            <w:shd w:val="clear" w:color="auto" w:fill="auto"/>
            <w:tcMar>
              <w:left w:w="0" w:type="dxa"/>
            </w:tcMar>
          </w:tcPr>
          <w:p w:rsidR="00C21430" w:rsidRPr="009110F7" w:rsidRDefault="00C21430" w:rsidP="00C21430">
            <w:pPr>
              <w:pStyle w:val="Marginlie"/>
            </w:pPr>
            <w:r w:rsidRPr="009110F7">
              <w:t>Výrobci motorových vozidel přispěli k růstu celého průmyslu 0,</w:t>
            </w:r>
            <w:r w:rsidR="00167CB9" w:rsidRPr="009110F7">
              <w:t>6 p. </w:t>
            </w:r>
            <w:proofErr w:type="spellStart"/>
            <w:r w:rsidR="00167CB9" w:rsidRPr="009110F7">
              <w:t>b</w:t>
            </w:r>
            <w:proofErr w:type="spellEnd"/>
            <w:r w:rsidR="00167CB9" w:rsidRPr="009110F7">
              <w:t>.</w:t>
            </w:r>
            <w:r w:rsidRPr="009110F7">
              <w:t>, nejméně od poloviny roku 2013.</w:t>
            </w:r>
          </w:p>
          <w:p w:rsidR="00C21430" w:rsidRPr="009110F7" w:rsidRDefault="00C21430" w:rsidP="00C21430">
            <w:pPr>
              <w:pStyle w:val="Marginlie"/>
            </w:pPr>
          </w:p>
          <w:p w:rsidR="00C21430" w:rsidRPr="009110F7" w:rsidRDefault="00C21430" w:rsidP="00C21430">
            <w:pPr>
              <w:pStyle w:val="Marginlie"/>
            </w:pPr>
          </w:p>
          <w:p w:rsidR="00C21430" w:rsidRPr="009110F7" w:rsidRDefault="00C21430" w:rsidP="00C21430">
            <w:pPr>
              <w:pStyle w:val="Marginlie"/>
            </w:pPr>
          </w:p>
          <w:p w:rsidR="00C21430" w:rsidRPr="009110F7" w:rsidRDefault="00C21430" w:rsidP="00C21430">
            <w:pPr>
              <w:pStyle w:val="Marginlie"/>
            </w:pPr>
          </w:p>
          <w:p w:rsidR="00C21430" w:rsidRPr="009110F7" w:rsidRDefault="00C21430" w:rsidP="00C21430">
            <w:pPr>
              <w:pStyle w:val="Marginlie"/>
            </w:pPr>
            <w:r w:rsidRPr="009110F7">
              <w:t xml:space="preserve">Dařilo se kovovýrobě, strojírenství </w:t>
            </w:r>
            <w:r w:rsidR="00716F48" w:rsidRPr="009110F7">
              <w:t>i </w:t>
            </w:r>
            <w:r w:rsidRPr="009110F7">
              <w:t>prod</w:t>
            </w:r>
            <w:r w:rsidR="0027583D" w:rsidRPr="009110F7">
              <w:t>ukci počítačů, elektronických a </w:t>
            </w:r>
            <w:r w:rsidRPr="009110F7">
              <w:t>optických přístrojů.</w:t>
            </w:r>
          </w:p>
          <w:p w:rsidR="002071D5" w:rsidRPr="009110F7" w:rsidRDefault="002071D5" w:rsidP="008417B5">
            <w:pPr>
              <w:pStyle w:val="Marginlie"/>
            </w:pPr>
          </w:p>
          <w:p w:rsidR="002071D5" w:rsidRPr="009110F7" w:rsidRDefault="002071D5" w:rsidP="008417B5">
            <w:pPr>
              <w:pStyle w:val="Marginlie"/>
            </w:pPr>
            <w:r w:rsidRPr="009110F7">
              <w:lastRenderedPageBreak/>
              <w:t xml:space="preserve">Z menších oborů pokračoval příznivý vývoj v nábytkářství, oděvnictví </w:t>
            </w:r>
            <w:r w:rsidR="00716F48" w:rsidRPr="009110F7">
              <w:t>a </w:t>
            </w:r>
            <w:r w:rsidRPr="009110F7">
              <w:t>farmacii.</w:t>
            </w:r>
          </w:p>
        </w:tc>
        <w:tc>
          <w:tcPr>
            <w:tcW w:w="247" w:type="dxa"/>
            <w:gridSpan w:val="2"/>
            <w:shd w:val="clear" w:color="auto" w:fill="auto"/>
            <w:tcMar>
              <w:left w:w="0" w:type="dxa"/>
            </w:tcMar>
          </w:tcPr>
          <w:p w:rsidR="008C7569" w:rsidRPr="009110F7" w:rsidRDefault="008C7569" w:rsidP="008417B5">
            <w:pPr>
              <w:pStyle w:val="Textpoznpodarou"/>
              <w:jc w:val="both"/>
              <w:rPr>
                <w:spacing w:val="-4"/>
              </w:rPr>
            </w:pPr>
          </w:p>
        </w:tc>
        <w:tc>
          <w:tcPr>
            <w:tcW w:w="7518" w:type="dxa"/>
            <w:shd w:val="clear" w:color="auto" w:fill="auto"/>
            <w:tcMar>
              <w:left w:w="0" w:type="dxa"/>
            </w:tcMar>
          </w:tcPr>
          <w:p w:rsidR="008C7569" w:rsidRPr="009110F7" w:rsidRDefault="00C21430" w:rsidP="00C21430">
            <w:pPr>
              <w:spacing w:after="220"/>
              <w:rPr>
                <w:rFonts w:cs="Arial"/>
                <w:color w:val="0D0D0D" w:themeColor="text1" w:themeTint="F2"/>
                <w:spacing w:val="-4"/>
              </w:rPr>
            </w:pPr>
            <w:r w:rsidRPr="009110F7">
              <w:rPr>
                <w:rFonts w:cs="Arial"/>
                <w:color w:val="0D0D0D" w:themeColor="text1" w:themeTint="F2"/>
                <w:spacing w:val="-4"/>
              </w:rPr>
              <w:t>Za zpomalením meziročního růstu stála v </w:t>
            </w:r>
            <w:r w:rsidR="00716F48" w:rsidRPr="009110F7">
              <w:rPr>
                <w:rFonts w:cs="Arial"/>
                <w:color w:val="0D0D0D" w:themeColor="text1" w:themeTint="F2"/>
                <w:spacing w:val="-4"/>
              </w:rPr>
              <w:t>1. </w:t>
            </w:r>
            <w:r w:rsidRPr="009110F7">
              <w:rPr>
                <w:rFonts w:cs="Arial"/>
                <w:color w:val="0D0D0D" w:themeColor="text1" w:themeTint="F2"/>
                <w:spacing w:val="-4"/>
              </w:rPr>
              <w:t xml:space="preserve">čtvrtletí především výroba motorových vozidel, jejíž produkce meziročně vzrostla </w:t>
            </w:r>
            <w:r w:rsidR="00716F48" w:rsidRPr="009110F7">
              <w:rPr>
                <w:rFonts w:cs="Arial"/>
                <w:color w:val="0D0D0D" w:themeColor="text1" w:themeTint="F2"/>
                <w:spacing w:val="-4"/>
              </w:rPr>
              <w:t>o </w:t>
            </w:r>
            <w:r w:rsidRPr="009110F7">
              <w:rPr>
                <w:rFonts w:cs="Arial"/>
                <w:color w:val="0D0D0D" w:themeColor="text1" w:themeTint="F2"/>
                <w:spacing w:val="-4"/>
              </w:rPr>
              <w:t>2,</w:t>
            </w:r>
            <w:r w:rsidR="00167CB9" w:rsidRPr="009110F7">
              <w:rPr>
                <w:rFonts w:cs="Arial"/>
                <w:color w:val="0D0D0D" w:themeColor="text1" w:themeTint="F2"/>
                <w:spacing w:val="-4"/>
              </w:rPr>
              <w:t>9 </w:t>
            </w:r>
            <w:r w:rsidRPr="009110F7">
              <w:rPr>
                <w:rFonts w:cs="Arial"/>
                <w:color w:val="0D0D0D" w:themeColor="text1" w:themeTint="F2"/>
                <w:spacing w:val="-4"/>
              </w:rPr>
              <w:t>% (po celý loňský rok tempo oscilovalo kolem 1</w:t>
            </w:r>
            <w:r w:rsidR="00167CB9" w:rsidRPr="009110F7">
              <w:rPr>
                <w:rFonts w:cs="Arial"/>
                <w:color w:val="0D0D0D" w:themeColor="text1" w:themeTint="F2"/>
                <w:spacing w:val="-4"/>
              </w:rPr>
              <w:t>0 </w:t>
            </w:r>
            <w:r w:rsidRPr="009110F7">
              <w:rPr>
                <w:rFonts w:cs="Arial"/>
                <w:color w:val="0D0D0D" w:themeColor="text1" w:themeTint="F2"/>
                <w:spacing w:val="-4"/>
              </w:rPr>
              <w:t xml:space="preserve">%). Výraznější zvolnění potvrzují </w:t>
            </w:r>
            <w:r w:rsidR="00716F48" w:rsidRPr="009110F7">
              <w:rPr>
                <w:rFonts w:cs="Arial"/>
                <w:color w:val="0D0D0D" w:themeColor="text1" w:themeTint="F2"/>
                <w:spacing w:val="-4"/>
              </w:rPr>
              <w:t>i </w:t>
            </w:r>
            <w:r w:rsidRPr="009110F7">
              <w:rPr>
                <w:rFonts w:cs="Arial"/>
                <w:color w:val="0D0D0D" w:themeColor="text1" w:themeTint="F2"/>
                <w:spacing w:val="-4"/>
              </w:rPr>
              <w:t xml:space="preserve">údaje </w:t>
            </w:r>
            <w:r w:rsidR="00716F48" w:rsidRPr="009110F7">
              <w:rPr>
                <w:rFonts w:cs="Arial"/>
                <w:color w:val="0D0D0D" w:themeColor="text1" w:themeTint="F2"/>
                <w:spacing w:val="-4"/>
              </w:rPr>
              <w:t>o </w:t>
            </w:r>
            <w:r w:rsidRPr="009110F7">
              <w:rPr>
                <w:rFonts w:cs="Arial"/>
                <w:color w:val="0D0D0D" w:themeColor="text1" w:themeTint="F2"/>
                <w:spacing w:val="-4"/>
              </w:rPr>
              <w:t>fyzické produkci</w:t>
            </w:r>
            <w:r w:rsidRPr="009110F7">
              <w:rPr>
                <w:rStyle w:val="Znakapoznpodarou"/>
                <w:color w:val="0D0D0D" w:themeColor="text1" w:themeTint="F2"/>
                <w:spacing w:val="-4"/>
              </w:rPr>
              <w:footnoteReference w:id="15"/>
            </w:r>
            <w:r w:rsidRPr="009110F7">
              <w:rPr>
                <w:rFonts w:cs="Arial"/>
                <w:color w:val="0D0D0D" w:themeColor="text1" w:themeTint="F2"/>
                <w:spacing w:val="-4"/>
              </w:rPr>
              <w:t xml:space="preserve">. Neudržitelnost vysoké dynamiky produkce signalizovaly v tomto odvětví </w:t>
            </w:r>
            <w:r w:rsidR="00716F48" w:rsidRPr="009110F7">
              <w:rPr>
                <w:rFonts w:cs="Arial"/>
                <w:color w:val="0D0D0D" w:themeColor="text1" w:themeTint="F2"/>
                <w:spacing w:val="-4"/>
              </w:rPr>
              <w:t>i </w:t>
            </w:r>
            <w:r w:rsidRPr="009110F7">
              <w:rPr>
                <w:rFonts w:cs="Arial"/>
                <w:color w:val="0D0D0D" w:themeColor="text1" w:themeTint="F2"/>
                <w:spacing w:val="-4"/>
              </w:rPr>
              <w:t>no</w:t>
            </w:r>
            <w:r w:rsidR="007A775D">
              <w:rPr>
                <w:rFonts w:cs="Arial"/>
                <w:color w:val="0D0D0D" w:themeColor="text1" w:themeTint="F2"/>
                <w:spacing w:val="-4"/>
              </w:rPr>
              <w:t>vé zakázky, jejichž objem již po</w:t>
            </w:r>
            <w:r w:rsidRPr="009110F7">
              <w:rPr>
                <w:rFonts w:cs="Arial"/>
                <w:color w:val="0D0D0D" w:themeColor="text1" w:themeTint="F2"/>
                <w:spacing w:val="-4"/>
              </w:rPr>
              <w:t xml:space="preserve"> </w:t>
            </w:r>
            <w:r w:rsidR="007A775D">
              <w:rPr>
                <w:rFonts w:cs="Arial"/>
                <w:color w:val="0D0D0D" w:themeColor="text1" w:themeTint="F2"/>
                <w:spacing w:val="-4"/>
              </w:rPr>
              <w:t>1</w:t>
            </w:r>
            <w:r w:rsidR="00716F48" w:rsidRPr="009110F7">
              <w:rPr>
                <w:rFonts w:cs="Arial"/>
                <w:color w:val="0D0D0D" w:themeColor="text1" w:themeTint="F2"/>
                <w:spacing w:val="-4"/>
              </w:rPr>
              <w:t>. </w:t>
            </w:r>
            <w:r w:rsidRPr="009110F7">
              <w:rPr>
                <w:rFonts w:cs="Arial"/>
                <w:color w:val="0D0D0D" w:themeColor="text1" w:themeTint="F2"/>
                <w:spacing w:val="-4"/>
              </w:rPr>
              <w:t>čtvrtletí 2017 meziročně fakticky stagnoval. Výrobci motorových vozidel přispěli v </w:t>
            </w:r>
            <w:r w:rsidR="00716F48" w:rsidRPr="009110F7">
              <w:rPr>
                <w:rFonts w:cs="Arial"/>
                <w:color w:val="0D0D0D" w:themeColor="text1" w:themeTint="F2"/>
                <w:spacing w:val="-4"/>
              </w:rPr>
              <w:t>1. </w:t>
            </w:r>
            <w:r w:rsidRPr="009110F7">
              <w:rPr>
                <w:rFonts w:cs="Arial"/>
                <w:color w:val="0D0D0D" w:themeColor="text1" w:themeTint="F2"/>
                <w:spacing w:val="-4"/>
              </w:rPr>
              <w:t>čtvrtletí k růstu celého průmyslu jen 0,</w:t>
            </w:r>
            <w:r w:rsidR="00167CB9" w:rsidRPr="009110F7">
              <w:rPr>
                <w:rFonts w:cs="Arial"/>
                <w:color w:val="0D0D0D" w:themeColor="text1" w:themeTint="F2"/>
                <w:spacing w:val="-4"/>
              </w:rPr>
              <w:t>6 p. </w:t>
            </w:r>
            <w:proofErr w:type="spellStart"/>
            <w:r w:rsidR="00167CB9" w:rsidRPr="009110F7">
              <w:rPr>
                <w:rFonts w:cs="Arial"/>
                <w:color w:val="0D0D0D" w:themeColor="text1" w:themeTint="F2"/>
                <w:spacing w:val="-4"/>
              </w:rPr>
              <w:t>b</w:t>
            </w:r>
            <w:proofErr w:type="spellEnd"/>
            <w:r w:rsidR="00167CB9" w:rsidRPr="009110F7">
              <w:rPr>
                <w:rFonts w:cs="Arial"/>
                <w:color w:val="0D0D0D" w:themeColor="text1" w:themeTint="F2"/>
                <w:spacing w:val="-4"/>
              </w:rPr>
              <w:t>.</w:t>
            </w:r>
            <w:r w:rsidRPr="009110F7">
              <w:rPr>
                <w:rFonts w:cs="Arial"/>
                <w:color w:val="0D0D0D" w:themeColor="text1" w:themeTint="F2"/>
                <w:spacing w:val="-4"/>
              </w:rPr>
              <w:t>, nejméně od poloviny roku 2013, kdy se ekonomika vymaňovala z recese. Silnější dynamiku si uchovaly návazn</w:t>
            </w:r>
            <w:r w:rsidR="0027583D" w:rsidRPr="009110F7">
              <w:rPr>
                <w:rFonts w:cs="Arial"/>
                <w:color w:val="0D0D0D" w:themeColor="text1" w:themeTint="F2"/>
                <w:spacing w:val="-4"/>
              </w:rPr>
              <w:t>é obory automobilového průmyslu. J</w:t>
            </w:r>
            <w:r w:rsidRPr="009110F7">
              <w:rPr>
                <w:rFonts w:cs="Arial"/>
                <w:color w:val="0D0D0D" w:themeColor="text1" w:themeTint="F2"/>
                <w:spacing w:val="-4"/>
              </w:rPr>
              <w:t>ejich příspěvek k růstu průmyslu činil 1,</w:t>
            </w:r>
            <w:r w:rsidR="00167CB9" w:rsidRPr="009110F7">
              <w:rPr>
                <w:rFonts w:cs="Arial"/>
                <w:color w:val="0D0D0D" w:themeColor="text1" w:themeTint="F2"/>
                <w:spacing w:val="-4"/>
              </w:rPr>
              <w:t>0 p. </w:t>
            </w:r>
            <w:proofErr w:type="spellStart"/>
            <w:r w:rsidR="00167CB9" w:rsidRPr="009110F7">
              <w:rPr>
                <w:rFonts w:cs="Arial"/>
                <w:color w:val="0D0D0D" w:themeColor="text1" w:themeTint="F2"/>
                <w:spacing w:val="-4"/>
              </w:rPr>
              <w:t>b</w:t>
            </w:r>
            <w:proofErr w:type="spellEnd"/>
            <w:r w:rsidR="00167CB9" w:rsidRPr="009110F7">
              <w:rPr>
                <w:rFonts w:cs="Arial"/>
                <w:color w:val="0D0D0D" w:themeColor="text1" w:themeTint="F2"/>
                <w:spacing w:val="-4"/>
              </w:rPr>
              <w:t>.</w:t>
            </w:r>
            <w:r w:rsidRPr="009110F7">
              <w:rPr>
                <w:rFonts w:cs="Arial"/>
                <w:color w:val="0D0D0D" w:themeColor="text1" w:themeTint="F2"/>
                <w:spacing w:val="-4"/>
              </w:rPr>
              <w:t xml:space="preserve"> (hlavně vlivem výroby elektrických zařízení). Významný byl </w:t>
            </w:r>
            <w:r w:rsidR="00716F48" w:rsidRPr="009110F7">
              <w:rPr>
                <w:rFonts w:cs="Arial"/>
                <w:color w:val="0D0D0D" w:themeColor="text1" w:themeTint="F2"/>
                <w:spacing w:val="-4"/>
              </w:rPr>
              <w:t>i </w:t>
            </w:r>
            <w:r w:rsidRPr="009110F7">
              <w:rPr>
                <w:rFonts w:cs="Arial"/>
                <w:color w:val="0D0D0D" w:themeColor="text1" w:themeTint="F2"/>
                <w:spacing w:val="-4"/>
              </w:rPr>
              <w:t>příspěve</w:t>
            </w:r>
            <w:r w:rsidR="0027583D" w:rsidRPr="009110F7">
              <w:rPr>
                <w:rFonts w:cs="Arial"/>
                <w:color w:val="0D0D0D" w:themeColor="text1" w:themeTint="F2"/>
                <w:spacing w:val="-4"/>
              </w:rPr>
              <w:t>k kovovýroby (0,</w:t>
            </w:r>
            <w:r w:rsidR="00917251">
              <w:rPr>
                <w:rFonts w:cs="Arial"/>
                <w:color w:val="0D0D0D" w:themeColor="text1" w:themeTint="F2"/>
                <w:spacing w:val="-4"/>
              </w:rPr>
              <w:t>7</w:t>
            </w:r>
            <w:r w:rsidR="00167CB9" w:rsidRPr="009110F7">
              <w:rPr>
                <w:rFonts w:cs="Arial"/>
                <w:color w:val="0D0D0D" w:themeColor="text1" w:themeTint="F2"/>
                <w:spacing w:val="-4"/>
              </w:rPr>
              <w:t> </w:t>
            </w:r>
            <w:r w:rsidR="0027583D" w:rsidRPr="009110F7">
              <w:rPr>
                <w:rFonts w:cs="Arial"/>
                <w:color w:val="0D0D0D" w:themeColor="text1" w:themeTint="F2"/>
                <w:spacing w:val="-4"/>
              </w:rPr>
              <w:t>p.</w:t>
            </w:r>
            <w:r w:rsidR="00EF5FF9">
              <w:rPr>
                <w:rFonts w:cs="Arial"/>
                <w:color w:val="0D0D0D" w:themeColor="text1" w:themeTint="F2"/>
                <w:spacing w:val="-4"/>
              </w:rPr>
              <w:t> </w:t>
            </w:r>
            <w:proofErr w:type="spellStart"/>
            <w:r w:rsidR="0027583D" w:rsidRPr="009110F7">
              <w:rPr>
                <w:rFonts w:cs="Arial"/>
                <w:color w:val="0D0D0D" w:themeColor="text1" w:themeTint="F2"/>
                <w:spacing w:val="-4"/>
              </w:rPr>
              <w:t>b</w:t>
            </w:r>
            <w:proofErr w:type="spellEnd"/>
            <w:r w:rsidR="0027583D" w:rsidRPr="009110F7">
              <w:rPr>
                <w:rFonts w:cs="Arial"/>
                <w:color w:val="0D0D0D" w:themeColor="text1" w:themeTint="F2"/>
                <w:spacing w:val="-4"/>
              </w:rPr>
              <w:t xml:space="preserve">.), kterou </w:t>
            </w:r>
            <w:r w:rsidRPr="009110F7">
              <w:rPr>
                <w:rFonts w:cs="Arial"/>
                <w:color w:val="0D0D0D" w:themeColor="text1" w:themeTint="F2"/>
                <w:spacing w:val="-4"/>
              </w:rPr>
              <w:t>poháněla sílící tuzemská poptávka. Dařilo se strojírenství (+7,</w:t>
            </w:r>
            <w:r w:rsidR="00917251">
              <w:rPr>
                <w:rFonts w:cs="Arial"/>
                <w:color w:val="0D0D0D" w:themeColor="text1" w:themeTint="F2"/>
                <w:spacing w:val="-4"/>
              </w:rPr>
              <w:t>7</w:t>
            </w:r>
            <w:r w:rsidR="00167CB9" w:rsidRPr="009110F7">
              <w:rPr>
                <w:rFonts w:cs="Arial"/>
                <w:color w:val="0D0D0D" w:themeColor="text1" w:themeTint="F2"/>
                <w:spacing w:val="-4"/>
              </w:rPr>
              <w:t> </w:t>
            </w:r>
            <w:r w:rsidRPr="009110F7">
              <w:rPr>
                <w:rFonts w:cs="Arial"/>
                <w:color w:val="0D0D0D" w:themeColor="text1" w:themeTint="F2"/>
                <w:spacing w:val="-4"/>
              </w:rPr>
              <w:t xml:space="preserve">%) </w:t>
            </w:r>
            <w:r w:rsidR="00716F48" w:rsidRPr="009110F7">
              <w:rPr>
                <w:rFonts w:cs="Arial"/>
                <w:color w:val="0D0D0D" w:themeColor="text1" w:themeTint="F2"/>
                <w:spacing w:val="-4"/>
              </w:rPr>
              <w:t>a </w:t>
            </w:r>
            <w:r w:rsidRPr="009110F7">
              <w:rPr>
                <w:rFonts w:cs="Arial"/>
                <w:color w:val="0D0D0D" w:themeColor="text1" w:themeTint="F2"/>
                <w:spacing w:val="-4"/>
              </w:rPr>
              <w:t xml:space="preserve">hlavně výrobě počítačů, elektronických </w:t>
            </w:r>
            <w:r w:rsidR="00716F48" w:rsidRPr="009110F7">
              <w:rPr>
                <w:rFonts w:cs="Arial"/>
                <w:color w:val="0D0D0D" w:themeColor="text1" w:themeTint="F2"/>
                <w:spacing w:val="-4"/>
              </w:rPr>
              <w:t>a </w:t>
            </w:r>
            <w:r w:rsidRPr="009110F7">
              <w:rPr>
                <w:rFonts w:cs="Arial"/>
                <w:color w:val="0D0D0D" w:themeColor="text1" w:themeTint="F2"/>
                <w:spacing w:val="-4"/>
              </w:rPr>
              <w:t>optických přístrojů (15,</w:t>
            </w:r>
            <w:r w:rsidR="00917251">
              <w:rPr>
                <w:rFonts w:cs="Arial"/>
                <w:color w:val="0D0D0D" w:themeColor="text1" w:themeTint="F2"/>
                <w:spacing w:val="-4"/>
              </w:rPr>
              <w:t>7</w:t>
            </w:r>
            <w:r w:rsidR="00167CB9" w:rsidRPr="009110F7">
              <w:rPr>
                <w:rFonts w:cs="Arial"/>
                <w:color w:val="0D0D0D" w:themeColor="text1" w:themeTint="F2"/>
                <w:spacing w:val="-4"/>
              </w:rPr>
              <w:t> </w:t>
            </w:r>
            <w:r w:rsidRPr="009110F7">
              <w:rPr>
                <w:rFonts w:cs="Arial"/>
                <w:color w:val="0D0D0D" w:themeColor="text1" w:themeTint="F2"/>
                <w:spacing w:val="-4"/>
              </w:rPr>
              <w:t xml:space="preserve">%, nejvíce ze všech </w:t>
            </w:r>
            <w:r w:rsidRPr="009110F7">
              <w:rPr>
                <w:rFonts w:cs="Arial"/>
                <w:color w:val="0D0D0D" w:themeColor="text1" w:themeTint="F2"/>
                <w:spacing w:val="-4"/>
              </w:rPr>
              <w:lastRenderedPageBreak/>
              <w:t>zpracovatelských oborů) – přís</w:t>
            </w:r>
            <w:r w:rsidR="00917251">
              <w:rPr>
                <w:rFonts w:cs="Arial"/>
                <w:color w:val="0D0D0D" w:themeColor="text1" w:themeTint="F2"/>
                <w:spacing w:val="-4"/>
              </w:rPr>
              <w:t xml:space="preserve">pěvek obou odvětví činil </w:t>
            </w:r>
            <w:r w:rsidRPr="009110F7">
              <w:rPr>
                <w:rFonts w:cs="Arial"/>
                <w:color w:val="0D0D0D" w:themeColor="text1" w:themeTint="F2"/>
                <w:spacing w:val="-4"/>
              </w:rPr>
              <w:t>0,</w:t>
            </w:r>
            <w:r w:rsidR="00167CB9" w:rsidRPr="009110F7">
              <w:rPr>
                <w:rFonts w:cs="Arial"/>
                <w:color w:val="0D0D0D" w:themeColor="text1" w:themeTint="F2"/>
                <w:spacing w:val="-4"/>
              </w:rPr>
              <w:t>6</w:t>
            </w:r>
            <w:r w:rsidR="00917251">
              <w:rPr>
                <w:rFonts w:cs="Arial"/>
                <w:color w:val="0D0D0D" w:themeColor="text1" w:themeTint="F2"/>
                <w:spacing w:val="-4"/>
              </w:rPr>
              <w:t xml:space="preserve">, resp. 0,5 </w:t>
            </w:r>
            <w:r w:rsidR="00167CB9" w:rsidRPr="009110F7">
              <w:rPr>
                <w:rFonts w:cs="Arial"/>
                <w:color w:val="0D0D0D" w:themeColor="text1" w:themeTint="F2"/>
                <w:spacing w:val="-4"/>
              </w:rPr>
              <w:t> </w:t>
            </w:r>
            <w:r w:rsidR="00716F48" w:rsidRPr="009110F7">
              <w:rPr>
                <w:rFonts w:cs="Arial"/>
                <w:color w:val="0D0D0D" w:themeColor="text1" w:themeTint="F2"/>
                <w:spacing w:val="-4"/>
              </w:rPr>
              <w:t>p</w:t>
            </w:r>
            <w:r w:rsidRPr="009110F7">
              <w:rPr>
                <w:rFonts w:cs="Arial"/>
                <w:color w:val="0D0D0D" w:themeColor="text1" w:themeTint="F2"/>
                <w:spacing w:val="-4"/>
              </w:rPr>
              <w:t>.</w:t>
            </w:r>
            <w:r w:rsidR="00EF5FF9">
              <w:rPr>
                <w:rFonts w:cs="Arial"/>
                <w:color w:val="0D0D0D" w:themeColor="text1" w:themeTint="F2"/>
                <w:spacing w:val="-4"/>
              </w:rPr>
              <w:t> </w:t>
            </w:r>
            <w:proofErr w:type="spellStart"/>
            <w:r w:rsidRPr="009110F7">
              <w:rPr>
                <w:rFonts w:cs="Arial"/>
                <w:color w:val="0D0D0D" w:themeColor="text1" w:themeTint="F2"/>
                <w:spacing w:val="-4"/>
              </w:rPr>
              <w:t>b</w:t>
            </w:r>
            <w:proofErr w:type="spellEnd"/>
            <w:r w:rsidRPr="009110F7">
              <w:rPr>
                <w:rFonts w:cs="Arial"/>
                <w:color w:val="0D0D0D" w:themeColor="text1" w:themeTint="F2"/>
                <w:spacing w:val="-4"/>
              </w:rPr>
              <w:t>. Na vlně oživení pozemního stavitelství se pohybovali výrobci ostatních nekovových minerálních výrobků (+8,</w:t>
            </w:r>
            <w:r w:rsidR="00917251">
              <w:rPr>
                <w:rFonts w:cs="Arial"/>
                <w:color w:val="0D0D0D" w:themeColor="text1" w:themeTint="F2"/>
                <w:spacing w:val="-4"/>
              </w:rPr>
              <w:t>6</w:t>
            </w:r>
            <w:r w:rsidR="00167CB9" w:rsidRPr="009110F7">
              <w:rPr>
                <w:rFonts w:cs="Arial"/>
                <w:color w:val="0D0D0D" w:themeColor="text1" w:themeTint="F2"/>
                <w:spacing w:val="-4"/>
              </w:rPr>
              <w:t> </w:t>
            </w:r>
            <w:r w:rsidRPr="009110F7">
              <w:rPr>
                <w:rFonts w:cs="Arial"/>
                <w:color w:val="0D0D0D" w:themeColor="text1" w:themeTint="F2"/>
                <w:spacing w:val="-4"/>
              </w:rPr>
              <w:t>%). Oproti loňskému roku se zlepšilo postavení hutnictví</w:t>
            </w:r>
            <w:r w:rsidR="0027583D" w:rsidRPr="009110F7">
              <w:rPr>
                <w:rFonts w:cs="Arial"/>
                <w:color w:val="0D0D0D" w:themeColor="text1" w:themeTint="F2"/>
                <w:spacing w:val="-4"/>
              </w:rPr>
              <w:t>,</w:t>
            </w:r>
            <w:r w:rsidRPr="009110F7">
              <w:rPr>
                <w:rFonts w:cs="Arial"/>
                <w:color w:val="0D0D0D" w:themeColor="text1" w:themeTint="F2"/>
                <w:spacing w:val="-4"/>
              </w:rPr>
              <w:t xml:space="preserve"> podobně jako výroby ostatních (zejména kolejových) dopravních prostředků, silný růstový impul</w:t>
            </w:r>
            <w:r w:rsidR="00EF5FF9">
              <w:rPr>
                <w:rFonts w:cs="Arial"/>
                <w:color w:val="0D0D0D" w:themeColor="text1" w:themeTint="F2"/>
                <w:spacing w:val="-4"/>
              </w:rPr>
              <w:t>z</w:t>
            </w:r>
            <w:r w:rsidRPr="009110F7">
              <w:rPr>
                <w:rFonts w:cs="Arial"/>
                <w:color w:val="0D0D0D" w:themeColor="text1" w:themeTint="F2"/>
                <w:spacing w:val="-4"/>
              </w:rPr>
              <w:t xml:space="preserve"> chemického průmyslu naopak vyprchával. Z menších oborů pokračoval svižný růst silně exportně oriento</w:t>
            </w:r>
            <w:r w:rsidR="007A775D">
              <w:rPr>
                <w:rFonts w:cs="Arial"/>
                <w:color w:val="0D0D0D" w:themeColor="text1" w:themeTint="F2"/>
                <w:spacing w:val="-4"/>
              </w:rPr>
              <w:t>vaného farmaceutického průmyslu. D</w:t>
            </w:r>
            <w:r w:rsidRPr="009110F7">
              <w:rPr>
                <w:rFonts w:cs="Arial"/>
                <w:color w:val="0D0D0D" w:themeColor="text1" w:themeTint="F2"/>
                <w:spacing w:val="-4"/>
              </w:rPr>
              <w:t xml:space="preserve">ařilo se oděvnictví (kde rostla poptávka po pracovních </w:t>
            </w:r>
            <w:r w:rsidR="00716F48" w:rsidRPr="009110F7">
              <w:rPr>
                <w:rFonts w:cs="Arial"/>
                <w:color w:val="0D0D0D" w:themeColor="text1" w:themeTint="F2"/>
                <w:spacing w:val="-4"/>
              </w:rPr>
              <w:t>a </w:t>
            </w:r>
            <w:r w:rsidRPr="009110F7">
              <w:rPr>
                <w:rFonts w:cs="Arial"/>
                <w:color w:val="0D0D0D" w:themeColor="text1" w:themeTint="F2"/>
                <w:spacing w:val="-4"/>
              </w:rPr>
              <w:t>sportovních oděvech) či nábytkářskému průmyslu (</w:t>
            </w:r>
            <w:r w:rsidR="00716F48" w:rsidRPr="009110F7">
              <w:rPr>
                <w:rFonts w:cs="Arial"/>
                <w:color w:val="0D0D0D" w:themeColor="text1" w:themeTint="F2"/>
                <w:spacing w:val="-4"/>
              </w:rPr>
              <w:t>s </w:t>
            </w:r>
            <w:r w:rsidRPr="009110F7">
              <w:rPr>
                <w:rFonts w:cs="Arial"/>
                <w:color w:val="0D0D0D" w:themeColor="text1" w:themeTint="F2"/>
                <w:spacing w:val="-4"/>
              </w:rPr>
              <w:t>růstem produkce trvajícím již více než pět let).</w:t>
            </w:r>
          </w:p>
        </w:tc>
      </w:tr>
      <w:tr w:rsidR="008C7569" w:rsidRPr="009110F7" w:rsidTr="009B3764">
        <w:trPr>
          <w:trHeight w:val="145"/>
        </w:trPr>
        <w:tc>
          <w:tcPr>
            <w:tcW w:w="1879" w:type="dxa"/>
            <w:gridSpan w:val="2"/>
            <w:shd w:val="clear" w:color="auto" w:fill="auto"/>
            <w:tcMar>
              <w:left w:w="0" w:type="dxa"/>
            </w:tcMar>
          </w:tcPr>
          <w:p w:rsidR="008C7569" w:rsidRPr="009110F7" w:rsidRDefault="00C71D2F" w:rsidP="008417B5">
            <w:pPr>
              <w:pStyle w:val="Marginlie"/>
            </w:pPr>
            <w:r w:rsidRPr="009110F7">
              <w:lastRenderedPageBreak/>
              <w:t>Za meziročním poklesem produkce energetiky stála teplejší zima</w:t>
            </w:r>
            <w:r w:rsidR="002812E3" w:rsidRPr="009110F7">
              <w:t>.</w:t>
            </w:r>
          </w:p>
        </w:tc>
        <w:tc>
          <w:tcPr>
            <w:tcW w:w="247" w:type="dxa"/>
            <w:gridSpan w:val="2"/>
            <w:shd w:val="clear" w:color="auto" w:fill="auto"/>
            <w:tcMar>
              <w:left w:w="0" w:type="dxa"/>
            </w:tcMar>
          </w:tcPr>
          <w:p w:rsidR="008C7569" w:rsidRPr="009110F7" w:rsidRDefault="008C7569" w:rsidP="008417B5">
            <w:pPr>
              <w:pStyle w:val="Textpoznpodarou"/>
              <w:jc w:val="both"/>
              <w:rPr>
                <w:spacing w:val="-4"/>
              </w:rPr>
            </w:pPr>
          </w:p>
        </w:tc>
        <w:tc>
          <w:tcPr>
            <w:tcW w:w="7518" w:type="dxa"/>
            <w:shd w:val="clear" w:color="auto" w:fill="auto"/>
            <w:tcMar>
              <w:left w:w="0" w:type="dxa"/>
            </w:tcMar>
          </w:tcPr>
          <w:p w:rsidR="008C7569" w:rsidRPr="009110F7" w:rsidRDefault="00D544E7" w:rsidP="008417B5">
            <w:pPr>
              <w:spacing w:after="220"/>
              <w:rPr>
                <w:rFonts w:cs="Arial"/>
                <w:color w:val="0D0D0D" w:themeColor="text1" w:themeTint="F2"/>
                <w:spacing w:val="-4"/>
              </w:rPr>
            </w:pPr>
            <w:r w:rsidRPr="009110F7">
              <w:rPr>
                <w:rFonts w:cs="Arial"/>
                <w:color w:val="0D0D0D" w:themeColor="text1" w:themeTint="F2"/>
                <w:spacing w:val="-4"/>
              </w:rPr>
              <w:t>Naopak v p</w:t>
            </w:r>
            <w:r w:rsidR="0027583D" w:rsidRPr="009110F7">
              <w:rPr>
                <w:rFonts w:cs="Arial"/>
                <w:color w:val="0D0D0D" w:themeColor="text1" w:themeTint="F2"/>
                <w:spacing w:val="-4"/>
              </w:rPr>
              <w:t xml:space="preserve">otravinářství </w:t>
            </w:r>
            <w:r w:rsidR="00716F48" w:rsidRPr="009110F7">
              <w:rPr>
                <w:rFonts w:cs="Arial"/>
                <w:color w:val="0D0D0D" w:themeColor="text1" w:themeTint="F2"/>
                <w:spacing w:val="-4"/>
              </w:rPr>
              <w:t>a </w:t>
            </w:r>
            <w:r w:rsidR="0027583D" w:rsidRPr="009110F7">
              <w:rPr>
                <w:rFonts w:cs="Arial"/>
                <w:color w:val="0D0D0D" w:themeColor="text1" w:themeTint="F2"/>
                <w:spacing w:val="-4"/>
              </w:rPr>
              <w:t>výrobě nápojů (</w:t>
            </w:r>
            <w:r w:rsidRPr="009110F7">
              <w:rPr>
                <w:rFonts w:cs="Arial"/>
                <w:color w:val="0D0D0D" w:themeColor="text1" w:themeTint="F2"/>
                <w:spacing w:val="-4"/>
              </w:rPr>
              <w:t>zaměř</w:t>
            </w:r>
            <w:r w:rsidR="0027583D" w:rsidRPr="009110F7">
              <w:rPr>
                <w:rFonts w:cs="Arial"/>
                <w:color w:val="0D0D0D" w:themeColor="text1" w:themeTint="F2"/>
                <w:spacing w:val="-4"/>
              </w:rPr>
              <w:t>ených tradičně na tuzemský trh)</w:t>
            </w:r>
            <w:r w:rsidRPr="009110F7">
              <w:rPr>
                <w:rFonts w:cs="Arial"/>
                <w:color w:val="0D0D0D" w:themeColor="text1" w:themeTint="F2"/>
                <w:spacing w:val="-4"/>
              </w:rPr>
              <w:t xml:space="preserve"> produkce spíše stagnovala. Nejmenší zpracovatelský obor – kožedělný </w:t>
            </w:r>
            <w:r w:rsidR="00716F48" w:rsidRPr="009110F7">
              <w:rPr>
                <w:rFonts w:cs="Arial"/>
                <w:color w:val="0D0D0D" w:themeColor="text1" w:themeTint="F2"/>
                <w:spacing w:val="-4"/>
              </w:rPr>
              <w:t>a </w:t>
            </w:r>
            <w:r w:rsidRPr="009110F7">
              <w:rPr>
                <w:rFonts w:cs="Arial"/>
                <w:color w:val="0D0D0D" w:themeColor="text1" w:themeTint="F2"/>
                <w:spacing w:val="-4"/>
              </w:rPr>
              <w:t>obuvnický průmysl – setrval v dlouhodobém útlumu</w:t>
            </w:r>
            <w:r w:rsidRPr="009110F7">
              <w:rPr>
                <w:rStyle w:val="Znakapoznpodarou"/>
                <w:color w:val="0D0D0D" w:themeColor="text1" w:themeTint="F2"/>
                <w:spacing w:val="-4"/>
              </w:rPr>
              <w:footnoteReference w:id="16"/>
            </w:r>
            <w:r w:rsidRPr="009110F7">
              <w:rPr>
                <w:rFonts w:cs="Arial"/>
                <w:color w:val="0D0D0D" w:themeColor="text1" w:themeTint="F2"/>
                <w:spacing w:val="-4"/>
              </w:rPr>
              <w:t xml:space="preserve">. </w:t>
            </w:r>
            <w:r w:rsidR="00341F05" w:rsidRPr="009110F7">
              <w:rPr>
                <w:rFonts w:cs="Arial"/>
                <w:color w:val="0D0D0D" w:themeColor="text1" w:themeTint="F2"/>
                <w:spacing w:val="-4"/>
              </w:rPr>
              <w:t>Mimo zpracovatelský prů</w:t>
            </w:r>
            <w:r w:rsidR="00017B01" w:rsidRPr="009110F7">
              <w:rPr>
                <w:rFonts w:cs="Arial"/>
                <w:color w:val="0D0D0D" w:themeColor="text1" w:themeTint="F2"/>
                <w:spacing w:val="-4"/>
              </w:rPr>
              <w:t>mysl pokračoval dlouhodobý útlum</w:t>
            </w:r>
            <w:r w:rsidR="00341F05" w:rsidRPr="009110F7">
              <w:rPr>
                <w:rFonts w:cs="Arial"/>
                <w:color w:val="0D0D0D" w:themeColor="text1" w:themeTint="F2"/>
                <w:spacing w:val="-4"/>
              </w:rPr>
              <w:t xml:space="preserve"> v těžbě </w:t>
            </w:r>
            <w:r w:rsidR="00716F48" w:rsidRPr="009110F7">
              <w:rPr>
                <w:rFonts w:cs="Arial"/>
                <w:color w:val="0D0D0D" w:themeColor="text1" w:themeTint="F2"/>
                <w:spacing w:val="-4"/>
              </w:rPr>
              <w:t>a </w:t>
            </w:r>
            <w:r w:rsidR="00341F05" w:rsidRPr="009110F7">
              <w:rPr>
                <w:rFonts w:cs="Arial"/>
                <w:color w:val="0D0D0D" w:themeColor="text1" w:themeTint="F2"/>
                <w:spacing w:val="-4"/>
              </w:rPr>
              <w:t>dobývání (</w:t>
            </w:r>
            <w:r w:rsidR="00CA37FF">
              <w:rPr>
                <w:rFonts w:cs="Arial"/>
                <w:color w:val="0D0D0D" w:themeColor="text1" w:themeTint="F2"/>
                <w:spacing w:val="-4"/>
              </w:rPr>
              <w:t>-</w:t>
            </w:r>
            <w:r w:rsidR="00341F05" w:rsidRPr="009110F7">
              <w:rPr>
                <w:rFonts w:cs="Arial"/>
                <w:color w:val="0D0D0D" w:themeColor="text1" w:themeTint="F2"/>
                <w:spacing w:val="-4"/>
              </w:rPr>
              <w:t>6,</w:t>
            </w:r>
            <w:r w:rsidR="00167CB9" w:rsidRPr="009110F7">
              <w:rPr>
                <w:rFonts w:cs="Arial"/>
                <w:color w:val="0D0D0D" w:themeColor="text1" w:themeTint="F2"/>
                <w:spacing w:val="-4"/>
              </w:rPr>
              <w:t>6 </w:t>
            </w:r>
            <w:r w:rsidR="00341F05" w:rsidRPr="009110F7">
              <w:rPr>
                <w:rFonts w:cs="Arial"/>
                <w:color w:val="0D0D0D" w:themeColor="text1" w:themeTint="F2"/>
                <w:spacing w:val="-4"/>
              </w:rPr>
              <w:t xml:space="preserve">%, za deset let klesla produkce </w:t>
            </w:r>
            <w:r w:rsidR="00716F48" w:rsidRPr="009110F7">
              <w:rPr>
                <w:rFonts w:cs="Arial"/>
                <w:color w:val="0D0D0D" w:themeColor="text1" w:themeTint="F2"/>
                <w:spacing w:val="-4"/>
              </w:rPr>
              <w:t>o </w:t>
            </w:r>
            <w:r w:rsidR="00341F05" w:rsidRPr="009110F7">
              <w:rPr>
                <w:rFonts w:cs="Arial"/>
                <w:color w:val="0D0D0D" w:themeColor="text1" w:themeTint="F2"/>
                <w:spacing w:val="-4"/>
              </w:rPr>
              <w:t>třetinu)</w:t>
            </w:r>
            <w:r w:rsidR="00537571" w:rsidRPr="009110F7">
              <w:rPr>
                <w:rStyle w:val="Znakapoznpodarou"/>
                <w:color w:val="0D0D0D" w:themeColor="text1" w:themeTint="F2"/>
                <w:spacing w:val="-4"/>
              </w:rPr>
              <w:footnoteReference w:id="17"/>
            </w:r>
            <w:r w:rsidR="00341F05" w:rsidRPr="009110F7">
              <w:rPr>
                <w:rFonts w:cs="Arial"/>
                <w:color w:val="0D0D0D" w:themeColor="text1" w:themeTint="F2"/>
                <w:spacing w:val="-4"/>
              </w:rPr>
              <w:t>.</w:t>
            </w:r>
            <w:r w:rsidR="009F4982" w:rsidRPr="009110F7">
              <w:rPr>
                <w:rFonts w:cs="Arial"/>
                <w:color w:val="0D0D0D" w:themeColor="text1" w:themeTint="F2"/>
                <w:spacing w:val="-4"/>
              </w:rPr>
              <w:t xml:space="preserve"> </w:t>
            </w:r>
            <w:r w:rsidR="009F4982" w:rsidRPr="009110F7">
              <w:rPr>
                <w:rFonts w:cs="Arial"/>
                <w:color w:val="0D0D0D" w:themeColor="text1" w:themeTint="F2"/>
                <w:spacing w:val="-6"/>
              </w:rPr>
              <w:t>Mírnější zima se odrazila na výkonech energetiky (</w:t>
            </w:r>
            <w:r w:rsidR="00CA37FF">
              <w:rPr>
                <w:rFonts w:cs="Arial"/>
                <w:color w:val="0D0D0D" w:themeColor="text1" w:themeTint="F2"/>
                <w:spacing w:val="-6"/>
              </w:rPr>
              <w:t>-</w:t>
            </w:r>
            <w:r w:rsidR="009F4982" w:rsidRPr="009110F7">
              <w:rPr>
                <w:rFonts w:cs="Arial"/>
                <w:color w:val="0D0D0D" w:themeColor="text1" w:themeTint="F2"/>
                <w:spacing w:val="-6"/>
              </w:rPr>
              <w:t>3,</w:t>
            </w:r>
            <w:r w:rsidR="00167CB9" w:rsidRPr="009110F7">
              <w:rPr>
                <w:rFonts w:cs="Arial"/>
                <w:color w:val="0D0D0D" w:themeColor="text1" w:themeTint="F2"/>
                <w:spacing w:val="-6"/>
              </w:rPr>
              <w:t>5 </w:t>
            </w:r>
            <w:r w:rsidR="009F4982" w:rsidRPr="009110F7">
              <w:rPr>
                <w:rFonts w:cs="Arial"/>
                <w:color w:val="0D0D0D" w:themeColor="text1" w:themeTint="F2"/>
                <w:spacing w:val="-6"/>
              </w:rPr>
              <w:t>%, v </w:t>
            </w:r>
            <w:r w:rsidR="00716F48" w:rsidRPr="009110F7">
              <w:rPr>
                <w:rFonts w:cs="Arial"/>
                <w:color w:val="0D0D0D" w:themeColor="text1" w:themeTint="F2"/>
                <w:spacing w:val="-6"/>
              </w:rPr>
              <w:t>1. </w:t>
            </w:r>
            <w:r w:rsidR="009F4982" w:rsidRPr="009110F7">
              <w:rPr>
                <w:rFonts w:cs="Arial"/>
                <w:color w:val="0D0D0D" w:themeColor="text1" w:themeTint="F2"/>
                <w:spacing w:val="-6"/>
              </w:rPr>
              <w:t>loňském čtvrtletí +5,</w:t>
            </w:r>
            <w:r w:rsidR="00167CB9" w:rsidRPr="009110F7">
              <w:rPr>
                <w:rFonts w:cs="Arial"/>
                <w:color w:val="0D0D0D" w:themeColor="text1" w:themeTint="F2"/>
                <w:spacing w:val="-6"/>
              </w:rPr>
              <w:t>2 </w:t>
            </w:r>
            <w:r w:rsidR="009F4982" w:rsidRPr="009110F7">
              <w:rPr>
                <w:rFonts w:cs="Arial"/>
                <w:color w:val="0D0D0D" w:themeColor="text1" w:themeTint="F2"/>
                <w:spacing w:val="-6"/>
              </w:rPr>
              <w:t>%)</w:t>
            </w:r>
            <w:r w:rsidR="003927F6" w:rsidRPr="009110F7">
              <w:rPr>
                <w:rStyle w:val="Znakapoznpodarou"/>
                <w:color w:val="0D0D0D" w:themeColor="text1" w:themeTint="F2"/>
                <w:spacing w:val="-6"/>
              </w:rPr>
              <w:footnoteReference w:id="18"/>
            </w:r>
            <w:r w:rsidR="009F4982" w:rsidRPr="009110F7">
              <w:rPr>
                <w:rFonts w:cs="Arial"/>
                <w:color w:val="0D0D0D" w:themeColor="text1" w:themeTint="F2"/>
                <w:spacing w:val="-6"/>
              </w:rPr>
              <w:t xml:space="preserve">. </w:t>
            </w:r>
          </w:p>
        </w:tc>
      </w:tr>
      <w:tr w:rsidR="00B56B6F" w:rsidRPr="009110F7" w:rsidTr="009B3764">
        <w:trPr>
          <w:trHeight w:val="145"/>
        </w:trPr>
        <w:tc>
          <w:tcPr>
            <w:tcW w:w="1879" w:type="dxa"/>
            <w:gridSpan w:val="2"/>
            <w:shd w:val="clear" w:color="auto" w:fill="auto"/>
            <w:tcMar>
              <w:left w:w="0" w:type="dxa"/>
            </w:tcMar>
          </w:tcPr>
          <w:p w:rsidR="00B56B6F" w:rsidRPr="009110F7" w:rsidRDefault="00B56B6F" w:rsidP="0026291D">
            <w:pPr>
              <w:pStyle w:val="Marginlie"/>
            </w:pPr>
          </w:p>
        </w:tc>
        <w:tc>
          <w:tcPr>
            <w:tcW w:w="247" w:type="dxa"/>
            <w:gridSpan w:val="2"/>
            <w:shd w:val="clear" w:color="auto" w:fill="auto"/>
            <w:tcMar>
              <w:left w:w="0" w:type="dxa"/>
            </w:tcMar>
          </w:tcPr>
          <w:p w:rsidR="00B56B6F" w:rsidRPr="009110F7" w:rsidRDefault="00B56B6F" w:rsidP="0026291D">
            <w:pPr>
              <w:pStyle w:val="Textpoznpodarou"/>
              <w:jc w:val="both"/>
              <w:rPr>
                <w:spacing w:val="-4"/>
              </w:rPr>
            </w:pPr>
          </w:p>
        </w:tc>
        <w:tc>
          <w:tcPr>
            <w:tcW w:w="7518" w:type="dxa"/>
            <w:shd w:val="clear" w:color="auto" w:fill="auto"/>
            <w:tcMar>
              <w:left w:w="0" w:type="dxa"/>
            </w:tcMar>
          </w:tcPr>
          <w:p w:rsidR="00B56B6F" w:rsidRPr="009110F7" w:rsidRDefault="00B56B6F" w:rsidP="00053713">
            <w:pPr>
              <w:spacing w:after="0" w:line="240" w:lineRule="auto"/>
              <w:rPr>
                <w:rFonts w:cs="Arial"/>
                <w:color w:val="0D0D0D" w:themeColor="text1" w:themeTint="F2"/>
                <w:spacing w:val="-4"/>
              </w:rPr>
            </w:pPr>
            <w:r w:rsidRPr="009110F7">
              <w:rPr>
                <w:rFonts w:cs="Arial"/>
                <w:b/>
                <w:bCs/>
                <w:color w:val="000000"/>
                <w:szCs w:val="20"/>
              </w:rPr>
              <w:t>Graf</w:t>
            </w:r>
            <w:r w:rsidR="00B8561A">
              <w:rPr>
                <w:rFonts w:cs="Arial"/>
                <w:b/>
                <w:bCs/>
                <w:color w:val="000000"/>
                <w:szCs w:val="20"/>
              </w:rPr>
              <w:t> </w:t>
            </w:r>
            <w:r w:rsidR="00167CB9" w:rsidRPr="009110F7">
              <w:rPr>
                <w:rFonts w:cs="Arial"/>
                <w:b/>
                <w:bCs/>
                <w:color w:val="000000"/>
                <w:szCs w:val="20"/>
              </w:rPr>
              <w:t>č. </w:t>
            </w:r>
            <w:r w:rsidR="00716F48" w:rsidRPr="009110F7">
              <w:rPr>
                <w:rFonts w:cs="Arial"/>
                <w:b/>
                <w:bCs/>
                <w:color w:val="000000"/>
                <w:szCs w:val="20"/>
              </w:rPr>
              <w:t>5</w:t>
            </w:r>
            <w:r w:rsidR="00053713">
              <w:rPr>
                <w:rFonts w:cs="Arial"/>
                <w:b/>
                <w:bCs/>
                <w:color w:val="000000"/>
                <w:szCs w:val="20"/>
              </w:rPr>
              <w:t xml:space="preserve"> </w:t>
            </w:r>
            <w:r w:rsidR="007E1788">
              <w:rPr>
                <w:b/>
                <w:color w:val="000000"/>
              </w:rPr>
              <w:t xml:space="preserve"> </w:t>
            </w:r>
            <w:r w:rsidRPr="009110F7">
              <w:rPr>
                <w:b/>
              </w:rPr>
              <w:t xml:space="preserve">Produkce v průmyslu </w:t>
            </w:r>
            <w:r w:rsidR="00716F48" w:rsidRPr="009110F7">
              <w:rPr>
                <w:b/>
              </w:rPr>
              <w:t>a </w:t>
            </w:r>
            <w:r w:rsidRPr="009110F7">
              <w:rPr>
                <w:b/>
              </w:rPr>
              <w:t xml:space="preserve">ve vybraných zpracovatelských odvětvích </w:t>
            </w:r>
            <w:r w:rsidRPr="009110F7">
              <w:t xml:space="preserve">(reálně, očištěno </w:t>
            </w:r>
            <w:r w:rsidR="00716F48" w:rsidRPr="009110F7">
              <w:t>o </w:t>
            </w:r>
            <w:r w:rsidRPr="009110F7">
              <w:t>kalendářní vlivy, meziročně v</w:t>
            </w:r>
            <w:r w:rsidR="00167CB9" w:rsidRPr="009110F7">
              <w:t> %</w:t>
            </w:r>
            <w:r w:rsidRPr="009110F7">
              <w:t>)</w:t>
            </w:r>
          </w:p>
        </w:tc>
      </w:tr>
      <w:tr w:rsidR="00B56B6F" w:rsidRPr="009110F7" w:rsidTr="009B3764">
        <w:trPr>
          <w:trHeight w:val="145"/>
        </w:trPr>
        <w:tc>
          <w:tcPr>
            <w:tcW w:w="1879" w:type="dxa"/>
            <w:gridSpan w:val="2"/>
            <w:shd w:val="clear" w:color="auto" w:fill="auto"/>
            <w:tcMar>
              <w:left w:w="0" w:type="dxa"/>
            </w:tcMar>
          </w:tcPr>
          <w:p w:rsidR="00B56B6F" w:rsidRPr="009110F7" w:rsidRDefault="00B56B6F" w:rsidP="0026291D">
            <w:pPr>
              <w:pStyle w:val="Marginlie"/>
            </w:pPr>
          </w:p>
        </w:tc>
        <w:tc>
          <w:tcPr>
            <w:tcW w:w="247" w:type="dxa"/>
            <w:gridSpan w:val="2"/>
            <w:shd w:val="clear" w:color="auto" w:fill="auto"/>
            <w:tcMar>
              <w:left w:w="0" w:type="dxa"/>
            </w:tcMar>
          </w:tcPr>
          <w:p w:rsidR="00B56B6F" w:rsidRPr="009110F7" w:rsidRDefault="00B56B6F" w:rsidP="0026291D">
            <w:pPr>
              <w:pStyle w:val="Textpoznpodarou"/>
              <w:jc w:val="both"/>
              <w:rPr>
                <w:spacing w:val="-4"/>
              </w:rPr>
            </w:pPr>
          </w:p>
        </w:tc>
        <w:tc>
          <w:tcPr>
            <w:tcW w:w="7518" w:type="dxa"/>
            <w:shd w:val="clear" w:color="auto" w:fill="auto"/>
            <w:tcMar>
              <w:left w:w="0" w:type="dxa"/>
            </w:tcMar>
          </w:tcPr>
          <w:p w:rsidR="00B56B6F" w:rsidRPr="009110F7" w:rsidRDefault="00B56B6F" w:rsidP="00B56B6F">
            <w:pPr>
              <w:spacing w:after="220"/>
              <w:rPr>
                <w:rFonts w:cs="Arial"/>
                <w:color w:val="0D0D0D" w:themeColor="text1" w:themeTint="F2"/>
                <w:spacing w:val="-4"/>
              </w:rPr>
            </w:pPr>
            <w:r w:rsidRPr="009110F7">
              <w:rPr>
                <w:rFonts w:cs="Arial"/>
                <w:noProof/>
                <w:color w:val="0D0D0D" w:themeColor="text1" w:themeTint="F2"/>
                <w:spacing w:val="-4"/>
              </w:rPr>
              <w:drawing>
                <wp:inline distT="0" distB="0" distL="0" distR="0">
                  <wp:extent cx="4769902" cy="3553200"/>
                  <wp:effectExtent l="0" t="0" r="0" b="0"/>
                  <wp:docPr id="2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B56B6F" w:rsidRPr="009110F7" w:rsidTr="009B3764">
        <w:trPr>
          <w:trHeight w:val="145"/>
        </w:trPr>
        <w:tc>
          <w:tcPr>
            <w:tcW w:w="1879" w:type="dxa"/>
            <w:gridSpan w:val="2"/>
            <w:shd w:val="clear" w:color="auto" w:fill="auto"/>
            <w:tcMar>
              <w:left w:w="0" w:type="dxa"/>
            </w:tcMar>
          </w:tcPr>
          <w:p w:rsidR="00B56B6F" w:rsidRPr="009110F7" w:rsidRDefault="00B56B6F" w:rsidP="0026291D">
            <w:pPr>
              <w:pStyle w:val="Marginlie"/>
            </w:pPr>
          </w:p>
        </w:tc>
        <w:tc>
          <w:tcPr>
            <w:tcW w:w="247" w:type="dxa"/>
            <w:gridSpan w:val="2"/>
            <w:shd w:val="clear" w:color="auto" w:fill="auto"/>
            <w:tcMar>
              <w:left w:w="0" w:type="dxa"/>
            </w:tcMar>
          </w:tcPr>
          <w:p w:rsidR="00B56B6F" w:rsidRPr="009110F7" w:rsidRDefault="00B56B6F" w:rsidP="0026291D">
            <w:pPr>
              <w:pStyle w:val="Textpoznpodarou"/>
              <w:jc w:val="both"/>
              <w:rPr>
                <w:spacing w:val="-4"/>
              </w:rPr>
            </w:pPr>
          </w:p>
        </w:tc>
        <w:tc>
          <w:tcPr>
            <w:tcW w:w="7518" w:type="dxa"/>
            <w:shd w:val="clear" w:color="auto" w:fill="auto"/>
            <w:tcMar>
              <w:left w:w="0" w:type="dxa"/>
            </w:tcMar>
          </w:tcPr>
          <w:p w:rsidR="00B56B6F" w:rsidRPr="009110F7" w:rsidRDefault="00B56B6F" w:rsidP="00B56B6F">
            <w:pPr>
              <w:spacing w:after="220"/>
              <w:rPr>
                <w:rFonts w:cs="Arial"/>
                <w:color w:val="0D0D0D" w:themeColor="text1" w:themeTint="F2"/>
                <w:spacing w:val="-4"/>
                <w:sz w:val="16"/>
                <w:szCs w:val="16"/>
              </w:rPr>
            </w:pPr>
            <w:r w:rsidRPr="009110F7">
              <w:rPr>
                <w:rFonts w:cs="Arial"/>
                <w:color w:val="0D0D0D" w:themeColor="text1" w:themeTint="F2"/>
                <w:spacing w:val="-4"/>
                <w:sz w:val="16"/>
                <w:szCs w:val="16"/>
              </w:rPr>
              <w:t>Zdroj: ČSÚ</w:t>
            </w:r>
          </w:p>
        </w:tc>
      </w:tr>
      <w:tr w:rsidR="00BF02C8" w:rsidRPr="009110F7" w:rsidTr="009B3764">
        <w:trPr>
          <w:trHeight w:val="145"/>
        </w:trPr>
        <w:tc>
          <w:tcPr>
            <w:tcW w:w="1879" w:type="dxa"/>
            <w:gridSpan w:val="2"/>
            <w:shd w:val="clear" w:color="auto" w:fill="auto"/>
            <w:tcMar>
              <w:left w:w="0" w:type="dxa"/>
            </w:tcMar>
          </w:tcPr>
          <w:p w:rsidR="00167CB9" w:rsidRPr="009110F7" w:rsidRDefault="00275DEF" w:rsidP="008417B5">
            <w:pPr>
              <w:pStyle w:val="Marginlie"/>
            </w:pPr>
            <w:r w:rsidRPr="009110F7">
              <w:t>Růst tržeb průmyslových podniků se na počátku roku zastavil. Tempo růstu tržeb v tuzemsku převyšovalo dynamiku tržeb z přímého vývozu.</w:t>
            </w:r>
          </w:p>
          <w:p w:rsidR="00275DEF" w:rsidRPr="009110F7" w:rsidRDefault="00275DEF" w:rsidP="008417B5">
            <w:pPr>
              <w:pStyle w:val="Marginlie"/>
            </w:pPr>
          </w:p>
          <w:p w:rsidR="00275DEF" w:rsidRPr="009110F7" w:rsidRDefault="00275DEF" w:rsidP="008417B5">
            <w:pPr>
              <w:pStyle w:val="Marginlie"/>
            </w:pPr>
          </w:p>
          <w:p w:rsidR="00275DEF" w:rsidRPr="009110F7" w:rsidRDefault="00275DEF" w:rsidP="008417B5">
            <w:pPr>
              <w:pStyle w:val="Marginlie"/>
            </w:pPr>
          </w:p>
          <w:p w:rsidR="00275DEF" w:rsidRPr="009110F7" w:rsidRDefault="00275DEF" w:rsidP="008417B5">
            <w:pPr>
              <w:pStyle w:val="Marginlie"/>
            </w:pPr>
          </w:p>
          <w:p w:rsidR="00275DEF" w:rsidRPr="009110F7" w:rsidRDefault="00275DEF" w:rsidP="008417B5">
            <w:pPr>
              <w:pStyle w:val="Marginlie"/>
            </w:pPr>
            <w:r w:rsidRPr="009110F7">
              <w:lastRenderedPageBreak/>
              <w:t>Růst nových průmyslových zakázek zvolnil pod 2</w:t>
            </w:r>
            <w:r w:rsidR="00167CB9" w:rsidRPr="009110F7">
              <w:t> %</w:t>
            </w:r>
            <w:r w:rsidRPr="009110F7">
              <w:t xml:space="preserve">, v automobilovém průmyslu již čtvrté čtvrtletí v řadě </w:t>
            </w:r>
            <w:r w:rsidR="005F36CC" w:rsidRPr="009110F7">
              <w:t>spíše</w:t>
            </w:r>
            <w:r w:rsidRPr="009110F7">
              <w:t xml:space="preserve"> stagnoval.</w:t>
            </w:r>
          </w:p>
          <w:p w:rsidR="00DA7114" w:rsidRPr="009110F7" w:rsidRDefault="00DA7114" w:rsidP="008417B5">
            <w:pPr>
              <w:pStyle w:val="Marginlie"/>
            </w:pPr>
          </w:p>
          <w:p w:rsidR="00DA7114" w:rsidRPr="009110F7" w:rsidRDefault="00DA7114" w:rsidP="008417B5">
            <w:pPr>
              <w:pStyle w:val="Marginlie"/>
            </w:pPr>
          </w:p>
          <w:p w:rsidR="00CD1129" w:rsidRPr="009110F7" w:rsidRDefault="00CD1129" w:rsidP="008417B5">
            <w:pPr>
              <w:pStyle w:val="Marginlie"/>
            </w:pPr>
          </w:p>
          <w:p w:rsidR="00DA7114" w:rsidRPr="009110F7" w:rsidRDefault="00DA7114" w:rsidP="008417B5">
            <w:pPr>
              <w:pStyle w:val="Marginlie"/>
            </w:pPr>
          </w:p>
          <w:p w:rsidR="00167CB9" w:rsidRPr="009110F7" w:rsidRDefault="00CD1129" w:rsidP="008417B5">
            <w:pPr>
              <w:pStyle w:val="Marginlie"/>
            </w:pPr>
            <w:r w:rsidRPr="009110F7">
              <w:t>Jako hlavní bariéra růstu průmyslových podniků již téměř rok přetrvává nedostatek zaměstnanců.</w:t>
            </w:r>
          </w:p>
          <w:p w:rsidR="00DA7114" w:rsidRPr="009110F7" w:rsidRDefault="00DA7114" w:rsidP="008417B5">
            <w:pPr>
              <w:pStyle w:val="Marginlie"/>
            </w:pPr>
          </w:p>
        </w:tc>
        <w:tc>
          <w:tcPr>
            <w:tcW w:w="247" w:type="dxa"/>
            <w:gridSpan w:val="2"/>
            <w:shd w:val="clear" w:color="auto" w:fill="auto"/>
            <w:tcMar>
              <w:left w:w="0" w:type="dxa"/>
            </w:tcMar>
          </w:tcPr>
          <w:p w:rsidR="00BF02C8" w:rsidRPr="009110F7" w:rsidRDefault="00BF02C8" w:rsidP="008417B5">
            <w:pPr>
              <w:pStyle w:val="Textpoznpodarou"/>
              <w:jc w:val="both"/>
              <w:rPr>
                <w:spacing w:val="-4"/>
              </w:rPr>
            </w:pPr>
          </w:p>
        </w:tc>
        <w:tc>
          <w:tcPr>
            <w:tcW w:w="7518" w:type="dxa"/>
            <w:shd w:val="clear" w:color="auto" w:fill="auto"/>
            <w:tcMar>
              <w:left w:w="0" w:type="dxa"/>
            </w:tcMar>
          </w:tcPr>
          <w:p w:rsidR="00BF02C8" w:rsidRPr="009110F7" w:rsidRDefault="00C21430" w:rsidP="00053713">
            <w:pPr>
              <w:spacing w:after="220"/>
              <w:rPr>
                <w:rFonts w:cs="Arial"/>
                <w:color w:val="0D0D0D" w:themeColor="text1" w:themeTint="F2"/>
                <w:spacing w:val="-4"/>
              </w:rPr>
            </w:pPr>
            <w:r w:rsidRPr="009110F7">
              <w:rPr>
                <w:rFonts w:cs="Arial"/>
                <w:color w:val="0D0D0D" w:themeColor="text1" w:themeTint="F2"/>
                <w:spacing w:val="-4"/>
              </w:rPr>
              <w:t>Nominální tržby průmyslových podniků na počátku roku stagnovaly (po růstu 7,2</w:t>
            </w:r>
            <w:r w:rsidR="00167CB9" w:rsidRPr="009110F7">
              <w:rPr>
                <w:rFonts w:cs="Arial"/>
                <w:color w:val="0D0D0D" w:themeColor="text1" w:themeTint="F2"/>
                <w:spacing w:val="-4"/>
              </w:rPr>
              <w:t> %</w:t>
            </w:r>
            <w:r w:rsidRPr="009110F7">
              <w:rPr>
                <w:rFonts w:cs="Arial"/>
                <w:color w:val="0D0D0D" w:themeColor="text1" w:themeTint="F2"/>
                <w:spacing w:val="-4"/>
              </w:rPr>
              <w:t xml:space="preserve"> za celý rok 2017). Již páté čtvrtletí v řadě dosahovaly vyššího meziročního tempa domácí tržby (</w:t>
            </w:r>
            <w:r w:rsidR="00716F48" w:rsidRPr="009110F7">
              <w:rPr>
                <w:rFonts w:cs="Arial"/>
                <w:color w:val="0D0D0D" w:themeColor="text1" w:themeTint="F2"/>
                <w:spacing w:val="-4"/>
              </w:rPr>
              <w:t>v 1. </w:t>
            </w:r>
            <w:r w:rsidRPr="009110F7">
              <w:rPr>
                <w:rFonts w:cs="Arial"/>
                <w:color w:val="0D0D0D" w:themeColor="text1" w:themeTint="F2"/>
                <w:spacing w:val="-4"/>
              </w:rPr>
              <w:t>čtvrtletí +1,2</w:t>
            </w:r>
            <w:r w:rsidR="00167CB9" w:rsidRPr="009110F7">
              <w:rPr>
                <w:rFonts w:cs="Arial"/>
                <w:color w:val="0D0D0D" w:themeColor="text1" w:themeTint="F2"/>
                <w:spacing w:val="-4"/>
              </w:rPr>
              <w:t> %</w:t>
            </w:r>
            <w:r w:rsidRPr="009110F7">
              <w:rPr>
                <w:rFonts w:cs="Arial"/>
                <w:color w:val="0D0D0D" w:themeColor="text1" w:themeTint="F2"/>
                <w:spacing w:val="-4"/>
              </w:rPr>
              <w:t>) nežli tržby z přímého vývozu (</w:t>
            </w:r>
            <w:r w:rsidR="00CA37FF">
              <w:rPr>
                <w:rFonts w:cs="Arial"/>
                <w:color w:val="0D0D0D" w:themeColor="text1" w:themeTint="F2"/>
                <w:spacing w:val="-4"/>
              </w:rPr>
              <w:t>-</w:t>
            </w:r>
            <w:r w:rsidRPr="009110F7">
              <w:rPr>
                <w:rFonts w:cs="Arial"/>
                <w:color w:val="0D0D0D" w:themeColor="text1" w:themeTint="F2"/>
                <w:spacing w:val="-4"/>
              </w:rPr>
              <w:t>1,0</w:t>
            </w:r>
            <w:r w:rsidR="00167CB9" w:rsidRPr="009110F7">
              <w:rPr>
                <w:rFonts w:cs="Arial"/>
                <w:color w:val="0D0D0D" w:themeColor="text1" w:themeTint="F2"/>
                <w:spacing w:val="-4"/>
              </w:rPr>
              <w:t> %</w:t>
            </w:r>
            <w:r w:rsidRPr="009110F7">
              <w:rPr>
                <w:rFonts w:cs="Arial"/>
                <w:color w:val="0D0D0D" w:themeColor="text1" w:themeTint="F2"/>
                <w:spacing w:val="-4"/>
              </w:rPr>
              <w:t xml:space="preserve">). Ve směru poklesu tržeb působila kurzová </w:t>
            </w:r>
            <w:proofErr w:type="spellStart"/>
            <w:r w:rsidRPr="009110F7">
              <w:rPr>
                <w:rFonts w:cs="Arial"/>
                <w:color w:val="0D0D0D" w:themeColor="text1" w:themeTint="F2"/>
                <w:spacing w:val="-4"/>
              </w:rPr>
              <w:t>apreciace</w:t>
            </w:r>
            <w:proofErr w:type="spellEnd"/>
            <w:r w:rsidRPr="009110F7">
              <w:rPr>
                <w:rFonts w:cs="Arial"/>
                <w:color w:val="0D0D0D" w:themeColor="text1" w:themeTint="F2"/>
                <w:spacing w:val="-4"/>
              </w:rPr>
              <w:t xml:space="preserve"> koruny </w:t>
            </w:r>
            <w:r w:rsidR="00716F48" w:rsidRPr="009110F7">
              <w:rPr>
                <w:rFonts w:cs="Arial"/>
                <w:color w:val="0D0D0D" w:themeColor="text1" w:themeTint="F2"/>
                <w:spacing w:val="-4"/>
              </w:rPr>
              <w:t>a </w:t>
            </w:r>
            <w:r w:rsidRPr="009110F7">
              <w:rPr>
                <w:rFonts w:cs="Arial"/>
                <w:color w:val="0D0D0D" w:themeColor="text1" w:themeTint="F2"/>
                <w:spacing w:val="-4"/>
              </w:rPr>
              <w:t>v </w:t>
            </w:r>
            <w:r w:rsidR="00716F48" w:rsidRPr="009110F7">
              <w:rPr>
                <w:rFonts w:cs="Arial"/>
                <w:color w:val="0D0D0D" w:themeColor="text1" w:themeTint="F2"/>
                <w:spacing w:val="-4"/>
              </w:rPr>
              <w:t>1. </w:t>
            </w:r>
            <w:r w:rsidRPr="009110F7">
              <w:rPr>
                <w:rFonts w:cs="Arial"/>
                <w:color w:val="0D0D0D" w:themeColor="text1" w:themeTint="F2"/>
                <w:spacing w:val="-4"/>
              </w:rPr>
              <w:t xml:space="preserve">čtvrtletí </w:t>
            </w:r>
            <w:r w:rsidR="00716F48" w:rsidRPr="009110F7">
              <w:rPr>
                <w:rFonts w:cs="Arial"/>
                <w:color w:val="0D0D0D" w:themeColor="text1" w:themeTint="F2"/>
                <w:spacing w:val="-4"/>
              </w:rPr>
              <w:t>i </w:t>
            </w:r>
            <w:r w:rsidRPr="009110F7">
              <w:rPr>
                <w:rFonts w:cs="Arial"/>
                <w:color w:val="0D0D0D" w:themeColor="text1" w:themeTint="F2"/>
                <w:spacing w:val="-4"/>
              </w:rPr>
              <w:t>nižší počet pracovních dní.</w:t>
            </w:r>
            <w:r w:rsidR="001C31A2" w:rsidRPr="009110F7">
              <w:rPr>
                <w:rFonts w:cs="Arial"/>
                <w:color w:val="0D0D0D" w:themeColor="text1" w:themeTint="F2"/>
                <w:spacing w:val="-4"/>
              </w:rPr>
              <w:t xml:space="preserve"> </w:t>
            </w:r>
            <w:r w:rsidRPr="009110F7">
              <w:rPr>
                <w:rFonts w:cs="Arial"/>
                <w:color w:val="0D0D0D" w:themeColor="text1" w:themeTint="F2"/>
                <w:spacing w:val="-4"/>
              </w:rPr>
              <w:t>Výrazněji letos rostly tržby jen</w:t>
            </w:r>
            <w:r w:rsidR="00A2628E" w:rsidRPr="009110F7">
              <w:rPr>
                <w:rFonts w:cs="Arial"/>
                <w:color w:val="0D0D0D" w:themeColor="text1" w:themeTint="F2"/>
                <w:spacing w:val="-4"/>
              </w:rPr>
              <w:t xml:space="preserve"> </w:t>
            </w:r>
            <w:r w:rsidR="00716F48" w:rsidRPr="009110F7">
              <w:rPr>
                <w:rFonts w:cs="Arial"/>
                <w:color w:val="0D0D0D" w:themeColor="text1" w:themeTint="F2"/>
                <w:spacing w:val="-4"/>
              </w:rPr>
              <w:t>v </w:t>
            </w:r>
            <w:r w:rsidRPr="009110F7">
              <w:rPr>
                <w:rFonts w:cs="Arial"/>
                <w:color w:val="0D0D0D" w:themeColor="text1" w:themeTint="F2"/>
                <w:spacing w:val="-4"/>
              </w:rPr>
              <w:t>hutnictví (+10</w:t>
            </w:r>
            <w:r w:rsidR="00167CB9" w:rsidRPr="009110F7">
              <w:rPr>
                <w:rFonts w:cs="Arial"/>
                <w:color w:val="0D0D0D" w:themeColor="text1" w:themeTint="F2"/>
                <w:spacing w:val="-4"/>
              </w:rPr>
              <w:t> %</w:t>
            </w:r>
            <w:r w:rsidRPr="009110F7">
              <w:rPr>
                <w:rFonts w:cs="Arial"/>
                <w:color w:val="0D0D0D" w:themeColor="text1" w:themeTint="F2"/>
                <w:spacing w:val="-4"/>
              </w:rPr>
              <w:t xml:space="preserve">) </w:t>
            </w:r>
            <w:r w:rsidR="00716F48" w:rsidRPr="009110F7">
              <w:rPr>
                <w:rFonts w:cs="Arial"/>
                <w:color w:val="0D0D0D" w:themeColor="text1" w:themeTint="F2"/>
                <w:spacing w:val="-4"/>
              </w:rPr>
              <w:t>a </w:t>
            </w:r>
            <w:r w:rsidRPr="009110F7">
              <w:rPr>
                <w:rFonts w:cs="Arial"/>
                <w:color w:val="0D0D0D" w:themeColor="text1" w:themeTint="F2"/>
                <w:spacing w:val="-4"/>
              </w:rPr>
              <w:t xml:space="preserve">také ve farmacii </w:t>
            </w:r>
            <w:r w:rsidR="00716F48" w:rsidRPr="009110F7">
              <w:rPr>
                <w:rFonts w:cs="Arial"/>
                <w:color w:val="0D0D0D" w:themeColor="text1" w:themeTint="F2"/>
                <w:spacing w:val="-4"/>
              </w:rPr>
              <w:t>a </w:t>
            </w:r>
            <w:r w:rsidRPr="009110F7">
              <w:rPr>
                <w:rFonts w:cs="Arial"/>
                <w:color w:val="0D0D0D" w:themeColor="text1" w:themeTint="F2"/>
                <w:spacing w:val="-4"/>
              </w:rPr>
              <w:t xml:space="preserve">výrobě počítačů, elektronických </w:t>
            </w:r>
            <w:r w:rsidR="00716F48" w:rsidRPr="009110F7">
              <w:rPr>
                <w:rFonts w:cs="Arial"/>
                <w:color w:val="0D0D0D" w:themeColor="text1" w:themeTint="F2"/>
                <w:spacing w:val="-4"/>
              </w:rPr>
              <w:t>a </w:t>
            </w:r>
            <w:r w:rsidRPr="009110F7">
              <w:rPr>
                <w:rFonts w:cs="Arial"/>
                <w:color w:val="0D0D0D" w:themeColor="text1" w:themeTint="F2"/>
                <w:spacing w:val="-4"/>
              </w:rPr>
              <w:t>optických přístrojů, v automobilovém průmyslu se naopak poprvé po osmnácti čtvrtletích snížily (</w:t>
            </w:r>
            <w:r w:rsidR="00716F48" w:rsidRPr="009110F7">
              <w:rPr>
                <w:rFonts w:cs="Arial"/>
                <w:color w:val="0D0D0D" w:themeColor="text1" w:themeTint="F2"/>
                <w:spacing w:val="-4"/>
              </w:rPr>
              <w:t>o </w:t>
            </w:r>
            <w:r w:rsidRPr="009110F7">
              <w:rPr>
                <w:rFonts w:cs="Arial"/>
                <w:color w:val="0D0D0D" w:themeColor="text1" w:themeTint="F2"/>
                <w:spacing w:val="-4"/>
              </w:rPr>
              <w:t>5</w:t>
            </w:r>
            <w:r w:rsidR="00167CB9" w:rsidRPr="009110F7">
              <w:rPr>
                <w:rFonts w:cs="Arial"/>
                <w:color w:val="0D0D0D" w:themeColor="text1" w:themeTint="F2"/>
                <w:spacing w:val="-4"/>
              </w:rPr>
              <w:t> %</w:t>
            </w:r>
            <w:r w:rsidRPr="009110F7">
              <w:rPr>
                <w:rFonts w:cs="Arial"/>
                <w:color w:val="0D0D0D" w:themeColor="text1" w:themeTint="F2"/>
                <w:spacing w:val="-4"/>
              </w:rPr>
              <w:t>). Tempo růstu nových zakázek na počátku roku zvolnilo pod 2</w:t>
            </w:r>
            <w:r w:rsidR="00167CB9" w:rsidRPr="009110F7">
              <w:rPr>
                <w:rFonts w:cs="Arial"/>
                <w:color w:val="0D0D0D" w:themeColor="text1" w:themeTint="F2"/>
                <w:spacing w:val="-4"/>
              </w:rPr>
              <w:t> %</w:t>
            </w:r>
            <w:r w:rsidRPr="009110F7">
              <w:rPr>
                <w:rFonts w:cs="Arial"/>
                <w:color w:val="0D0D0D" w:themeColor="text1" w:themeTint="F2"/>
                <w:spacing w:val="-4"/>
              </w:rPr>
              <w:t xml:space="preserve">. Z dvanácti sledovaných průmyslových oborů signalizovaly silnější růst </w:t>
            </w:r>
            <w:r w:rsidRPr="009110F7">
              <w:rPr>
                <w:rFonts w:cs="Arial"/>
                <w:color w:val="0D0D0D" w:themeColor="text1" w:themeTint="F2"/>
                <w:spacing w:val="-4"/>
              </w:rPr>
              <w:lastRenderedPageBreak/>
              <w:t xml:space="preserve">poptávky jen hutnictví, kovovýroba </w:t>
            </w:r>
            <w:r w:rsidR="00716F48" w:rsidRPr="009110F7">
              <w:rPr>
                <w:rFonts w:cs="Arial"/>
                <w:color w:val="0D0D0D" w:themeColor="text1" w:themeTint="F2"/>
                <w:spacing w:val="-4"/>
              </w:rPr>
              <w:t>a </w:t>
            </w:r>
            <w:r w:rsidRPr="009110F7">
              <w:rPr>
                <w:rFonts w:cs="Arial"/>
                <w:color w:val="0D0D0D" w:themeColor="text1" w:themeTint="F2"/>
                <w:spacing w:val="-4"/>
              </w:rPr>
              <w:t>farmacie (všechny v pásmu 8</w:t>
            </w:r>
            <w:r w:rsidR="00A655D3">
              <w:rPr>
                <w:rFonts w:cs="Arial"/>
                <w:color w:val="0D0D0D" w:themeColor="text1" w:themeTint="F2"/>
                <w:spacing w:val="-4"/>
              </w:rPr>
              <w:t>–</w:t>
            </w:r>
            <w:r w:rsidRPr="009110F7">
              <w:rPr>
                <w:rFonts w:cs="Arial"/>
                <w:color w:val="0D0D0D" w:themeColor="text1" w:themeTint="F2"/>
                <w:spacing w:val="-4"/>
              </w:rPr>
              <w:t>10</w:t>
            </w:r>
            <w:r w:rsidR="00167CB9" w:rsidRPr="009110F7">
              <w:rPr>
                <w:rFonts w:cs="Arial"/>
                <w:color w:val="0D0D0D" w:themeColor="text1" w:themeTint="F2"/>
                <w:spacing w:val="-4"/>
              </w:rPr>
              <w:t> %</w:t>
            </w:r>
            <w:r w:rsidRPr="009110F7">
              <w:rPr>
                <w:rFonts w:cs="Arial"/>
                <w:color w:val="0D0D0D" w:themeColor="text1" w:themeTint="F2"/>
                <w:spacing w:val="-4"/>
              </w:rPr>
              <w:t>). V automobilovém průmyslu ob</w:t>
            </w:r>
            <w:r w:rsidR="00A2628E" w:rsidRPr="009110F7">
              <w:rPr>
                <w:rFonts w:cs="Arial"/>
                <w:color w:val="0D0D0D" w:themeColor="text1" w:themeTint="F2"/>
                <w:spacing w:val="-4"/>
              </w:rPr>
              <w:t>jem zakázek meziročně stagnoval</w:t>
            </w:r>
            <w:r w:rsidR="00A91E71">
              <w:rPr>
                <w:rFonts w:cs="Arial"/>
                <w:color w:val="0D0D0D" w:themeColor="text1" w:themeTint="F2"/>
                <w:spacing w:val="-4"/>
              </w:rPr>
              <w:t>,</w:t>
            </w:r>
            <w:r w:rsidR="007A775D">
              <w:rPr>
                <w:rFonts w:cs="Arial"/>
                <w:color w:val="0D0D0D" w:themeColor="text1" w:themeTint="F2"/>
                <w:spacing w:val="-4"/>
              </w:rPr>
              <w:t xml:space="preserve"> shod</w:t>
            </w:r>
            <w:r w:rsidRPr="009110F7">
              <w:rPr>
                <w:rFonts w:cs="Arial"/>
                <w:color w:val="0D0D0D" w:themeColor="text1" w:themeTint="F2"/>
                <w:spacing w:val="-4"/>
              </w:rPr>
              <w:t xml:space="preserve">ně jako ve </w:t>
            </w:r>
            <w:r w:rsidRPr="007A775D">
              <w:rPr>
                <w:rFonts w:cs="Arial"/>
                <w:color w:val="0D0D0D" w:themeColor="text1" w:themeTint="F2"/>
                <w:spacing w:val="-5"/>
              </w:rPr>
              <w:t>strojírenství (po téměř 10</w:t>
            </w:r>
            <w:r w:rsidR="00A91E71" w:rsidRPr="007A775D">
              <w:rPr>
                <w:rFonts w:cs="Arial"/>
                <w:color w:val="0D0D0D" w:themeColor="text1" w:themeTint="F2"/>
                <w:spacing w:val="-5"/>
              </w:rPr>
              <w:t> </w:t>
            </w:r>
            <w:r w:rsidRPr="007A775D">
              <w:rPr>
                <w:rFonts w:cs="Arial"/>
                <w:color w:val="0D0D0D" w:themeColor="text1" w:themeTint="F2"/>
                <w:spacing w:val="-5"/>
              </w:rPr>
              <w:t xml:space="preserve">% </w:t>
            </w:r>
            <w:r w:rsidR="007A775D" w:rsidRPr="007A775D">
              <w:rPr>
                <w:rFonts w:cs="Arial"/>
                <w:color w:val="0D0D0D" w:themeColor="text1" w:themeTint="F2"/>
                <w:spacing w:val="-5"/>
              </w:rPr>
              <w:t xml:space="preserve">růstu </w:t>
            </w:r>
            <w:r w:rsidRPr="007A775D">
              <w:rPr>
                <w:rFonts w:cs="Arial"/>
                <w:color w:val="0D0D0D" w:themeColor="text1" w:themeTint="F2"/>
                <w:spacing w:val="-5"/>
              </w:rPr>
              <w:t>v předchozím roce). Sezónně očištěné saldo indikátorů</w:t>
            </w:r>
            <w:r w:rsidRPr="009110F7">
              <w:rPr>
                <w:rFonts w:cs="Arial"/>
                <w:color w:val="0D0D0D" w:themeColor="text1" w:themeTint="F2"/>
                <w:spacing w:val="-4"/>
              </w:rPr>
              <w:t xml:space="preserve"> dle hodnocení manažerů průmyslových podniků od poloviny loňského roku stagn</w:t>
            </w:r>
            <w:r w:rsidR="00053713">
              <w:rPr>
                <w:rFonts w:cs="Arial"/>
                <w:color w:val="0D0D0D" w:themeColor="text1" w:themeTint="F2"/>
                <w:spacing w:val="-4"/>
              </w:rPr>
              <w:t>ovalo</w:t>
            </w:r>
            <w:r w:rsidRPr="009110F7">
              <w:rPr>
                <w:rFonts w:cs="Arial"/>
                <w:color w:val="0D0D0D" w:themeColor="text1" w:themeTint="F2"/>
                <w:spacing w:val="-4"/>
              </w:rPr>
              <w:t>, udrž</w:t>
            </w:r>
            <w:r w:rsidR="00053713">
              <w:rPr>
                <w:rFonts w:cs="Arial"/>
                <w:color w:val="0D0D0D" w:themeColor="text1" w:themeTint="F2"/>
                <w:spacing w:val="-4"/>
              </w:rPr>
              <w:t>elo</w:t>
            </w:r>
            <w:r w:rsidRPr="009110F7">
              <w:rPr>
                <w:rFonts w:cs="Arial"/>
                <w:color w:val="0D0D0D" w:themeColor="text1" w:themeTint="F2"/>
                <w:spacing w:val="-4"/>
              </w:rPr>
              <w:t xml:space="preserve"> se však stále v mírně pozitivním pásmu (</w:t>
            </w:r>
            <w:r w:rsidR="00716F48" w:rsidRPr="009110F7">
              <w:rPr>
                <w:rFonts w:cs="Arial"/>
                <w:color w:val="0D0D0D" w:themeColor="text1" w:themeTint="F2"/>
                <w:spacing w:val="-4"/>
              </w:rPr>
              <w:t>v </w:t>
            </w:r>
            <w:r w:rsidRPr="009110F7">
              <w:rPr>
                <w:rFonts w:cs="Arial"/>
                <w:color w:val="0D0D0D" w:themeColor="text1" w:themeTint="F2"/>
                <w:spacing w:val="-4"/>
              </w:rPr>
              <w:t>dubnu +4,</w:t>
            </w:r>
            <w:r w:rsidR="00167CB9" w:rsidRPr="009110F7">
              <w:rPr>
                <w:rFonts w:cs="Arial"/>
                <w:color w:val="0D0D0D" w:themeColor="text1" w:themeTint="F2"/>
                <w:spacing w:val="-4"/>
              </w:rPr>
              <w:t>3 </w:t>
            </w:r>
            <w:r w:rsidRPr="009110F7">
              <w:rPr>
                <w:rFonts w:cs="Arial"/>
                <w:color w:val="0D0D0D" w:themeColor="text1" w:themeTint="F2"/>
                <w:spacing w:val="-4"/>
              </w:rPr>
              <w:t>bodu). Dle dubnových ú</w:t>
            </w:r>
            <w:r w:rsidR="00A2628E" w:rsidRPr="009110F7">
              <w:rPr>
                <w:rFonts w:cs="Arial"/>
                <w:color w:val="0D0D0D" w:themeColor="text1" w:themeTint="F2"/>
                <w:spacing w:val="-4"/>
              </w:rPr>
              <w:t>dajů očekávaly</w:t>
            </w:r>
            <w:r w:rsidRPr="009110F7">
              <w:rPr>
                <w:rFonts w:cs="Arial"/>
                <w:color w:val="0D0D0D" w:themeColor="text1" w:themeTint="F2"/>
                <w:spacing w:val="-4"/>
              </w:rPr>
              <w:t xml:space="preserve"> průmyslové podniky v roce 2018 růst investic </w:t>
            </w:r>
            <w:r w:rsidR="00716F48" w:rsidRPr="009110F7">
              <w:rPr>
                <w:rFonts w:cs="Arial"/>
                <w:color w:val="0D0D0D" w:themeColor="text1" w:themeTint="F2"/>
                <w:spacing w:val="-4"/>
              </w:rPr>
              <w:t>o </w:t>
            </w:r>
            <w:r w:rsidRPr="009110F7">
              <w:rPr>
                <w:rFonts w:cs="Arial"/>
                <w:color w:val="0D0D0D" w:themeColor="text1" w:themeTint="F2"/>
                <w:spacing w:val="-4"/>
              </w:rPr>
              <w:t>5</w:t>
            </w:r>
            <w:r w:rsidR="00167CB9" w:rsidRPr="009110F7">
              <w:rPr>
                <w:rFonts w:cs="Arial"/>
                <w:color w:val="0D0D0D" w:themeColor="text1" w:themeTint="F2"/>
                <w:spacing w:val="-4"/>
              </w:rPr>
              <w:t> %</w:t>
            </w:r>
            <w:r w:rsidRPr="009110F7">
              <w:rPr>
                <w:rStyle w:val="Znakapoznpodarou"/>
                <w:color w:val="0D0D0D" w:themeColor="text1" w:themeTint="F2"/>
                <w:spacing w:val="-4"/>
              </w:rPr>
              <w:footnoteReference w:id="19"/>
            </w:r>
            <w:r w:rsidRPr="009110F7">
              <w:rPr>
                <w:rFonts w:cs="Arial"/>
                <w:color w:val="0D0D0D" w:themeColor="text1" w:themeTint="F2"/>
                <w:spacing w:val="-4"/>
              </w:rPr>
              <w:t xml:space="preserve"> (</w:t>
            </w:r>
            <w:r w:rsidR="00716F48" w:rsidRPr="009110F7">
              <w:rPr>
                <w:rFonts w:cs="Arial"/>
                <w:color w:val="0D0D0D" w:themeColor="text1" w:themeTint="F2"/>
                <w:spacing w:val="-4"/>
              </w:rPr>
              <w:t>v </w:t>
            </w:r>
            <w:r w:rsidRPr="009110F7">
              <w:rPr>
                <w:rFonts w:cs="Arial"/>
                <w:color w:val="0D0D0D" w:themeColor="text1" w:themeTint="F2"/>
                <w:spacing w:val="-4"/>
              </w:rPr>
              <w:t>listopadu 2017 bylo očekávání pro letošní rok +3</w:t>
            </w:r>
            <w:r w:rsidR="00167CB9" w:rsidRPr="009110F7">
              <w:rPr>
                <w:rFonts w:cs="Arial"/>
                <w:color w:val="0D0D0D" w:themeColor="text1" w:themeTint="F2"/>
                <w:spacing w:val="-4"/>
              </w:rPr>
              <w:t> %</w:t>
            </w:r>
            <w:r w:rsidRPr="009110F7">
              <w:rPr>
                <w:rFonts w:cs="Arial"/>
                <w:color w:val="0D0D0D" w:themeColor="text1" w:themeTint="F2"/>
                <w:spacing w:val="-4"/>
              </w:rPr>
              <w:t xml:space="preserve">). Hlavní bariérou růstu průmyslu zůstává již od poloviny loňského roku nedostatek zaměstnanců (na počátku </w:t>
            </w:r>
            <w:r w:rsidR="00716F48" w:rsidRPr="009110F7">
              <w:rPr>
                <w:rFonts w:cs="Arial"/>
                <w:color w:val="0D0D0D" w:themeColor="text1" w:themeTint="F2"/>
                <w:spacing w:val="-4"/>
              </w:rPr>
              <w:t>2. </w:t>
            </w:r>
            <w:r w:rsidRPr="009110F7">
              <w:rPr>
                <w:rFonts w:cs="Arial"/>
                <w:color w:val="0D0D0D" w:themeColor="text1" w:themeTint="F2"/>
                <w:spacing w:val="-4"/>
              </w:rPr>
              <w:t xml:space="preserve">čtvrtletí 2018 ho </w:t>
            </w:r>
            <w:r w:rsidRPr="00086AC1">
              <w:rPr>
                <w:rFonts w:cs="Arial"/>
                <w:color w:val="0D0D0D" w:themeColor="text1" w:themeTint="F2"/>
                <w:spacing w:val="-5"/>
              </w:rPr>
              <w:t>zmiňovalo 44</w:t>
            </w:r>
            <w:r w:rsidR="00167CB9" w:rsidRPr="00086AC1">
              <w:rPr>
                <w:rFonts w:cs="Arial"/>
                <w:color w:val="0D0D0D" w:themeColor="text1" w:themeTint="F2"/>
                <w:spacing w:val="-5"/>
              </w:rPr>
              <w:t> %</w:t>
            </w:r>
            <w:r w:rsidRPr="00086AC1">
              <w:rPr>
                <w:rFonts w:cs="Arial"/>
                <w:color w:val="0D0D0D" w:themeColor="text1" w:themeTint="F2"/>
                <w:spacing w:val="-5"/>
              </w:rPr>
              <w:t xml:space="preserve"> podniků)</w:t>
            </w:r>
            <w:r w:rsidRPr="00086AC1">
              <w:rPr>
                <w:rStyle w:val="Znakapoznpodarou"/>
                <w:color w:val="0D0D0D" w:themeColor="text1" w:themeTint="F2"/>
                <w:spacing w:val="-5"/>
              </w:rPr>
              <w:footnoteReference w:id="20"/>
            </w:r>
            <w:r w:rsidR="00086AC1" w:rsidRPr="00086AC1">
              <w:rPr>
                <w:rFonts w:cs="Arial"/>
                <w:color w:val="0D0D0D" w:themeColor="text1" w:themeTint="F2"/>
                <w:spacing w:val="-5"/>
              </w:rPr>
              <w:t xml:space="preserve">. Nedostatečná poptávka </w:t>
            </w:r>
            <w:r w:rsidR="00086AC1">
              <w:rPr>
                <w:rFonts w:cs="Arial"/>
                <w:color w:val="0D0D0D" w:themeColor="text1" w:themeTint="F2"/>
                <w:spacing w:val="-5"/>
              </w:rPr>
              <w:t>sužovala</w:t>
            </w:r>
            <w:r w:rsidRPr="00086AC1">
              <w:rPr>
                <w:rFonts w:cs="Arial"/>
                <w:color w:val="0D0D0D" w:themeColor="text1" w:themeTint="F2"/>
                <w:spacing w:val="-5"/>
              </w:rPr>
              <w:t xml:space="preserve"> 36</w:t>
            </w:r>
            <w:r w:rsidR="00167CB9" w:rsidRPr="00086AC1">
              <w:rPr>
                <w:rFonts w:cs="Arial"/>
                <w:color w:val="0D0D0D" w:themeColor="text1" w:themeTint="F2"/>
                <w:spacing w:val="-5"/>
              </w:rPr>
              <w:t> %</w:t>
            </w:r>
            <w:r w:rsidRPr="00086AC1">
              <w:rPr>
                <w:rFonts w:cs="Arial"/>
                <w:color w:val="0D0D0D" w:themeColor="text1" w:themeTint="F2"/>
                <w:spacing w:val="-5"/>
              </w:rPr>
              <w:t xml:space="preserve"> podniků (za poslední</w:t>
            </w:r>
            <w:r w:rsidRPr="009110F7">
              <w:rPr>
                <w:rFonts w:cs="Arial"/>
                <w:color w:val="0D0D0D" w:themeColor="text1" w:themeTint="F2"/>
                <w:spacing w:val="-4"/>
              </w:rPr>
              <w:t xml:space="preserve"> tři čtvrtletí její role stagnovala). </w:t>
            </w:r>
            <w:r w:rsidR="005B6CA1" w:rsidRPr="009110F7">
              <w:rPr>
                <w:rFonts w:cs="Arial"/>
                <w:color w:val="0D0D0D" w:themeColor="text1" w:themeTint="F2"/>
                <w:spacing w:val="-4"/>
              </w:rPr>
              <w:t>Zaměstnanost v průmyslu posílila stejně jako po celý rok 2017 téměř 2% tempem. K navýšením přispěl</w:t>
            </w:r>
            <w:r w:rsidR="00A91E71">
              <w:rPr>
                <w:rFonts w:cs="Arial"/>
                <w:color w:val="0D0D0D" w:themeColor="text1" w:themeTint="F2"/>
                <w:spacing w:val="-4"/>
              </w:rPr>
              <w:t>i</w:t>
            </w:r>
            <w:r w:rsidR="005B6CA1" w:rsidRPr="009110F7">
              <w:rPr>
                <w:rFonts w:cs="Arial"/>
                <w:color w:val="0D0D0D" w:themeColor="text1" w:themeTint="F2"/>
                <w:spacing w:val="-4"/>
              </w:rPr>
              <w:t xml:space="preserve"> hlavně výrobci motorových vozidel (růst v odvětví +4,1</w:t>
            </w:r>
            <w:r w:rsidR="00167CB9" w:rsidRPr="009110F7">
              <w:rPr>
                <w:rFonts w:cs="Arial"/>
                <w:color w:val="0D0D0D" w:themeColor="text1" w:themeTint="F2"/>
                <w:spacing w:val="-4"/>
              </w:rPr>
              <w:t> %</w:t>
            </w:r>
            <w:r w:rsidR="005B6CA1" w:rsidRPr="009110F7">
              <w:rPr>
                <w:rFonts w:cs="Arial"/>
                <w:color w:val="0D0D0D" w:themeColor="text1" w:themeTint="F2"/>
                <w:spacing w:val="-4"/>
              </w:rPr>
              <w:t>), jejich subdodavatelská odvětví, energetika (+10</w:t>
            </w:r>
            <w:r w:rsidR="00167CB9" w:rsidRPr="009110F7">
              <w:rPr>
                <w:rFonts w:cs="Arial"/>
                <w:color w:val="0D0D0D" w:themeColor="text1" w:themeTint="F2"/>
                <w:spacing w:val="-4"/>
              </w:rPr>
              <w:t> %</w:t>
            </w:r>
            <w:r w:rsidR="005B6CA1" w:rsidRPr="009110F7">
              <w:rPr>
                <w:rFonts w:cs="Arial"/>
                <w:color w:val="0D0D0D" w:themeColor="text1" w:themeTint="F2"/>
                <w:spacing w:val="-4"/>
              </w:rPr>
              <w:t xml:space="preserve">), kovovýroba </w:t>
            </w:r>
            <w:r w:rsidR="00716F48" w:rsidRPr="009110F7">
              <w:rPr>
                <w:rFonts w:cs="Arial"/>
                <w:color w:val="0D0D0D" w:themeColor="text1" w:themeTint="F2"/>
                <w:spacing w:val="-4"/>
              </w:rPr>
              <w:t>i </w:t>
            </w:r>
            <w:r w:rsidR="005B6CA1" w:rsidRPr="009110F7">
              <w:rPr>
                <w:rFonts w:cs="Arial"/>
                <w:color w:val="0D0D0D" w:themeColor="text1" w:themeTint="F2"/>
                <w:spacing w:val="-4"/>
              </w:rPr>
              <w:t>chemický průmysl, naopak v těžbě uhlí desetina pracovníků meziročně ubyla.</w:t>
            </w:r>
          </w:p>
        </w:tc>
      </w:tr>
      <w:tr w:rsidR="008C7569" w:rsidRPr="009110F7" w:rsidTr="009B3764">
        <w:trPr>
          <w:trHeight w:val="145"/>
        </w:trPr>
        <w:tc>
          <w:tcPr>
            <w:tcW w:w="1849" w:type="dxa"/>
            <w:shd w:val="clear" w:color="auto" w:fill="auto"/>
            <w:tcMar>
              <w:left w:w="0" w:type="dxa"/>
            </w:tcMar>
          </w:tcPr>
          <w:p w:rsidR="008C7569" w:rsidRPr="009110F7" w:rsidRDefault="008C7569" w:rsidP="008417B5">
            <w:pPr>
              <w:pStyle w:val="Marginlie"/>
            </w:pPr>
          </w:p>
        </w:tc>
        <w:tc>
          <w:tcPr>
            <w:tcW w:w="243" w:type="dxa"/>
            <w:gridSpan w:val="2"/>
            <w:shd w:val="clear" w:color="auto" w:fill="auto"/>
            <w:tcMar>
              <w:left w:w="0" w:type="dxa"/>
            </w:tcMar>
          </w:tcPr>
          <w:p w:rsidR="008C7569" w:rsidRPr="009110F7" w:rsidRDefault="008C7569" w:rsidP="008417B5">
            <w:pPr>
              <w:pStyle w:val="Textpoznpodarou"/>
              <w:jc w:val="both"/>
              <w:rPr>
                <w:spacing w:val="-4"/>
              </w:rPr>
            </w:pPr>
          </w:p>
        </w:tc>
        <w:tc>
          <w:tcPr>
            <w:tcW w:w="7552" w:type="dxa"/>
            <w:gridSpan w:val="2"/>
            <w:shd w:val="clear" w:color="auto" w:fill="auto"/>
            <w:tcMar>
              <w:left w:w="0" w:type="dxa"/>
            </w:tcMar>
          </w:tcPr>
          <w:p w:rsidR="00167CB9" w:rsidRPr="009110F7" w:rsidRDefault="00B8561A" w:rsidP="008417B5">
            <w:pPr>
              <w:pStyle w:val="Textpoznpodarou"/>
              <w:rPr>
                <w:b/>
                <w:spacing w:val="-2"/>
              </w:rPr>
            </w:pPr>
            <w:r>
              <w:rPr>
                <w:b/>
              </w:rPr>
              <w:t>Graf </w:t>
            </w:r>
            <w:r w:rsidR="00167CB9" w:rsidRPr="009110F7">
              <w:rPr>
                <w:b/>
              </w:rPr>
              <w:t>č. </w:t>
            </w:r>
            <w:r w:rsidR="00716F48" w:rsidRPr="009110F7">
              <w:rPr>
                <w:b/>
              </w:rPr>
              <w:t>6</w:t>
            </w:r>
            <w:r w:rsidR="00053713">
              <w:rPr>
                <w:b/>
              </w:rPr>
              <w:t xml:space="preserve">  </w:t>
            </w:r>
            <w:r w:rsidR="008C7569" w:rsidRPr="009110F7">
              <w:rPr>
                <w:b/>
                <w:spacing w:val="-2"/>
              </w:rPr>
              <w:t>Nové zakázky v automobilovém průmyslu, v průmyslu celkem</w:t>
            </w:r>
          </w:p>
          <w:p w:rsidR="008C7569" w:rsidRPr="009110F7" w:rsidRDefault="008C7569" w:rsidP="008417B5">
            <w:pPr>
              <w:pStyle w:val="Textpoznpodarou"/>
            </w:pPr>
            <w:r w:rsidRPr="009110F7">
              <w:rPr>
                <w:bCs/>
                <w:spacing w:val="-2"/>
              </w:rPr>
              <w:t>(</w:t>
            </w:r>
            <w:r w:rsidR="00716F48" w:rsidRPr="009110F7">
              <w:rPr>
                <w:bCs/>
                <w:spacing w:val="-2"/>
              </w:rPr>
              <w:t>v </w:t>
            </w:r>
            <w:r w:rsidRPr="009110F7">
              <w:rPr>
                <w:bCs/>
                <w:spacing w:val="-2"/>
              </w:rPr>
              <w:t xml:space="preserve">běžných cenách, </w:t>
            </w:r>
            <w:r w:rsidRPr="009110F7">
              <w:rPr>
                <w:spacing w:val="-2"/>
              </w:rPr>
              <w:t>meziročně</w:t>
            </w:r>
            <w:r w:rsidRPr="009110F7">
              <w:rPr>
                <w:bCs/>
                <w:spacing w:val="-2"/>
              </w:rPr>
              <w:t xml:space="preserve"> v</w:t>
            </w:r>
            <w:r w:rsidR="00167CB9" w:rsidRPr="009110F7">
              <w:rPr>
                <w:bCs/>
                <w:spacing w:val="-2"/>
              </w:rPr>
              <w:t> %</w:t>
            </w:r>
            <w:r w:rsidRPr="009110F7">
              <w:rPr>
                <w:bCs/>
                <w:spacing w:val="-2"/>
              </w:rPr>
              <w:t xml:space="preserve">) </w:t>
            </w:r>
            <w:r w:rsidR="00716F48" w:rsidRPr="009110F7">
              <w:rPr>
                <w:b/>
                <w:spacing w:val="-2"/>
              </w:rPr>
              <w:t>a </w:t>
            </w:r>
            <w:r w:rsidRPr="009110F7">
              <w:rPr>
                <w:b/>
                <w:spacing w:val="-2"/>
              </w:rPr>
              <w:t>saldo indikátoru důvěry v průmyslu</w:t>
            </w:r>
          </w:p>
        </w:tc>
      </w:tr>
      <w:tr w:rsidR="008C7569" w:rsidRPr="009110F7" w:rsidTr="009B3764">
        <w:trPr>
          <w:trHeight w:val="145"/>
        </w:trPr>
        <w:tc>
          <w:tcPr>
            <w:tcW w:w="1849" w:type="dxa"/>
            <w:shd w:val="clear" w:color="auto" w:fill="auto"/>
            <w:tcMar>
              <w:left w:w="0" w:type="dxa"/>
            </w:tcMar>
          </w:tcPr>
          <w:p w:rsidR="008C7569" w:rsidRPr="009110F7" w:rsidRDefault="008C7569" w:rsidP="008417B5">
            <w:pPr>
              <w:pStyle w:val="Marginlie"/>
            </w:pPr>
          </w:p>
        </w:tc>
        <w:tc>
          <w:tcPr>
            <w:tcW w:w="243" w:type="dxa"/>
            <w:gridSpan w:val="2"/>
            <w:shd w:val="clear" w:color="auto" w:fill="auto"/>
            <w:tcMar>
              <w:left w:w="0" w:type="dxa"/>
            </w:tcMar>
          </w:tcPr>
          <w:p w:rsidR="008C7569" w:rsidRPr="009110F7" w:rsidRDefault="008C7569" w:rsidP="008417B5">
            <w:pPr>
              <w:pStyle w:val="Textpoznpodarou"/>
              <w:jc w:val="both"/>
              <w:rPr>
                <w:spacing w:val="-4"/>
              </w:rPr>
            </w:pPr>
          </w:p>
        </w:tc>
        <w:tc>
          <w:tcPr>
            <w:tcW w:w="7552" w:type="dxa"/>
            <w:gridSpan w:val="2"/>
            <w:shd w:val="clear" w:color="auto" w:fill="auto"/>
            <w:tcMar>
              <w:left w:w="0" w:type="dxa"/>
            </w:tcMar>
          </w:tcPr>
          <w:p w:rsidR="008C7569" w:rsidRPr="009110F7" w:rsidRDefault="00D72076" w:rsidP="008417B5">
            <w:pPr>
              <w:spacing w:after="0" w:line="240" w:lineRule="auto"/>
              <w:rPr>
                <w:spacing w:val="-2"/>
                <w:szCs w:val="20"/>
              </w:rPr>
            </w:pPr>
            <w:r w:rsidRPr="00D72076">
              <w:rPr>
                <w:noProof/>
                <w:spacing w:val="-2"/>
                <w:szCs w:val="20"/>
              </w:rPr>
              <w:drawing>
                <wp:inline distT="0" distB="0" distL="0" distR="0">
                  <wp:extent cx="4772801" cy="3553200"/>
                  <wp:effectExtent l="19050" t="0" r="0" b="0"/>
                  <wp:docPr id="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094A84" w:rsidRPr="009110F7" w:rsidTr="009B3764">
        <w:trPr>
          <w:trHeight w:val="130"/>
        </w:trPr>
        <w:tc>
          <w:tcPr>
            <w:tcW w:w="1849" w:type="dxa"/>
            <w:shd w:val="clear" w:color="auto" w:fill="auto"/>
            <w:tcMar>
              <w:left w:w="0" w:type="dxa"/>
            </w:tcMar>
          </w:tcPr>
          <w:p w:rsidR="00094A84" w:rsidRPr="009110F7" w:rsidRDefault="00094A84" w:rsidP="008417B5">
            <w:pPr>
              <w:pStyle w:val="Marginlie"/>
            </w:pPr>
          </w:p>
        </w:tc>
        <w:tc>
          <w:tcPr>
            <w:tcW w:w="243" w:type="dxa"/>
            <w:gridSpan w:val="2"/>
            <w:shd w:val="clear" w:color="auto" w:fill="auto"/>
            <w:tcMar>
              <w:left w:w="0" w:type="dxa"/>
            </w:tcMar>
          </w:tcPr>
          <w:p w:rsidR="00094A84" w:rsidRPr="009110F7" w:rsidRDefault="00094A84" w:rsidP="008417B5">
            <w:pPr>
              <w:pStyle w:val="Textpoznpodarou"/>
              <w:jc w:val="both"/>
              <w:rPr>
                <w:spacing w:val="-4"/>
              </w:rPr>
            </w:pPr>
          </w:p>
        </w:tc>
        <w:tc>
          <w:tcPr>
            <w:tcW w:w="7552" w:type="dxa"/>
            <w:gridSpan w:val="2"/>
            <w:shd w:val="clear" w:color="auto" w:fill="auto"/>
            <w:tcMar>
              <w:left w:w="0" w:type="dxa"/>
            </w:tcMar>
          </w:tcPr>
          <w:p w:rsidR="00094A84" w:rsidRPr="009110F7" w:rsidRDefault="00094A84" w:rsidP="005D5AA9">
            <w:pPr>
              <w:spacing w:after="200"/>
              <w:jc w:val="left"/>
              <w:rPr>
                <w:spacing w:val="-2"/>
                <w:szCs w:val="20"/>
              </w:rPr>
            </w:pPr>
            <w:r w:rsidRPr="009110F7">
              <w:rPr>
                <w:rFonts w:cs="Arial"/>
                <w:sz w:val="14"/>
                <w:szCs w:val="14"/>
              </w:rPr>
              <w:t>Zdroj: ČSÚ</w:t>
            </w:r>
          </w:p>
        </w:tc>
      </w:tr>
      <w:tr w:rsidR="00094A84" w:rsidRPr="009110F7" w:rsidTr="009B3764">
        <w:trPr>
          <w:trHeight w:val="130"/>
        </w:trPr>
        <w:tc>
          <w:tcPr>
            <w:tcW w:w="1849" w:type="dxa"/>
            <w:shd w:val="clear" w:color="auto" w:fill="auto"/>
            <w:tcMar>
              <w:left w:w="0" w:type="dxa"/>
            </w:tcMar>
          </w:tcPr>
          <w:p w:rsidR="00094A84" w:rsidRPr="009110F7" w:rsidRDefault="00716F48" w:rsidP="008417B5">
            <w:pPr>
              <w:pStyle w:val="Marginlie"/>
            </w:pPr>
            <w:r w:rsidRPr="009110F7">
              <w:t>I </w:t>
            </w:r>
            <w:r w:rsidR="00EA513E" w:rsidRPr="009110F7">
              <w:t xml:space="preserve">přes zpomalení rostla </w:t>
            </w:r>
            <w:r w:rsidR="005A2C09" w:rsidRPr="009110F7">
              <w:t xml:space="preserve">letos </w:t>
            </w:r>
            <w:r w:rsidR="00EA513E" w:rsidRPr="009110F7">
              <w:t xml:space="preserve">průmyslová produkce v Česku vyšším tempem než </w:t>
            </w:r>
            <w:r w:rsidR="00DD32DD">
              <w:t>v </w:t>
            </w:r>
            <w:r w:rsidR="00EA513E" w:rsidRPr="009110F7">
              <w:t>EU.</w:t>
            </w:r>
          </w:p>
          <w:p w:rsidR="005A2C09" w:rsidRPr="009110F7" w:rsidRDefault="005A2C09" w:rsidP="008417B5">
            <w:pPr>
              <w:pStyle w:val="Marginlie"/>
            </w:pPr>
          </w:p>
          <w:p w:rsidR="005A2C09" w:rsidRPr="009110F7" w:rsidRDefault="005A2C09" w:rsidP="008417B5">
            <w:pPr>
              <w:pStyle w:val="Marginlie"/>
            </w:pPr>
          </w:p>
          <w:p w:rsidR="00B85016" w:rsidRPr="009110F7" w:rsidRDefault="00B85016" w:rsidP="008417B5">
            <w:pPr>
              <w:pStyle w:val="Marginlie"/>
            </w:pPr>
          </w:p>
          <w:p w:rsidR="00B85016" w:rsidRPr="009110F7" w:rsidRDefault="00B85016" w:rsidP="008417B5">
            <w:pPr>
              <w:pStyle w:val="Marginlie"/>
            </w:pPr>
          </w:p>
          <w:p w:rsidR="005A2C09" w:rsidRPr="009110F7" w:rsidRDefault="005A2C09" w:rsidP="008417B5">
            <w:pPr>
              <w:pStyle w:val="Marginlie"/>
            </w:pPr>
            <w:r w:rsidRPr="009110F7">
              <w:t xml:space="preserve">Za posledních pět let posílil průmysl nejvíce ve Slovinsku </w:t>
            </w:r>
            <w:r w:rsidR="00716F48" w:rsidRPr="009110F7">
              <w:t>a </w:t>
            </w:r>
            <w:r w:rsidRPr="009110F7">
              <w:t>Rumunsku.</w:t>
            </w:r>
          </w:p>
        </w:tc>
        <w:tc>
          <w:tcPr>
            <w:tcW w:w="243" w:type="dxa"/>
            <w:gridSpan w:val="2"/>
            <w:shd w:val="clear" w:color="auto" w:fill="auto"/>
            <w:tcMar>
              <w:left w:w="0" w:type="dxa"/>
            </w:tcMar>
          </w:tcPr>
          <w:p w:rsidR="00094A84" w:rsidRPr="009110F7" w:rsidRDefault="00094A84" w:rsidP="008417B5">
            <w:pPr>
              <w:pStyle w:val="Textpoznpodarou"/>
              <w:jc w:val="both"/>
              <w:rPr>
                <w:spacing w:val="-4"/>
              </w:rPr>
            </w:pPr>
          </w:p>
        </w:tc>
        <w:tc>
          <w:tcPr>
            <w:tcW w:w="7552" w:type="dxa"/>
            <w:gridSpan w:val="2"/>
            <w:shd w:val="clear" w:color="auto" w:fill="auto"/>
            <w:tcMar>
              <w:left w:w="0" w:type="dxa"/>
            </w:tcMar>
          </w:tcPr>
          <w:p w:rsidR="00094A84" w:rsidRPr="009110F7" w:rsidRDefault="00A83150" w:rsidP="000403A7">
            <w:pPr>
              <w:spacing w:after="200"/>
              <w:rPr>
                <w:rFonts w:cs="Arial"/>
                <w:szCs w:val="20"/>
              </w:rPr>
            </w:pPr>
            <w:r w:rsidRPr="009110F7">
              <w:rPr>
                <w:rFonts w:cs="Arial"/>
                <w:szCs w:val="20"/>
              </w:rPr>
              <w:t xml:space="preserve">Tempo </w:t>
            </w:r>
            <w:r w:rsidR="00DD32DD">
              <w:rPr>
                <w:rFonts w:cs="Arial"/>
                <w:szCs w:val="20"/>
              </w:rPr>
              <w:t xml:space="preserve">růstu </w:t>
            </w:r>
            <w:r w:rsidRPr="009110F7">
              <w:rPr>
                <w:rFonts w:cs="Arial"/>
                <w:szCs w:val="20"/>
              </w:rPr>
              <w:t>p</w:t>
            </w:r>
            <w:r w:rsidR="000913B1" w:rsidRPr="009110F7">
              <w:rPr>
                <w:rFonts w:cs="Arial"/>
                <w:szCs w:val="20"/>
              </w:rPr>
              <w:t>růmyslov</w:t>
            </w:r>
            <w:r w:rsidRPr="009110F7">
              <w:rPr>
                <w:rFonts w:cs="Arial"/>
                <w:szCs w:val="20"/>
              </w:rPr>
              <w:t>é</w:t>
            </w:r>
            <w:r w:rsidR="000913B1" w:rsidRPr="009110F7">
              <w:rPr>
                <w:rFonts w:cs="Arial"/>
                <w:szCs w:val="20"/>
              </w:rPr>
              <w:t xml:space="preserve"> produkce </w:t>
            </w:r>
            <w:r w:rsidRPr="009110F7">
              <w:rPr>
                <w:rFonts w:cs="Arial"/>
                <w:szCs w:val="20"/>
              </w:rPr>
              <w:t>v Česku převyšovalo v 1</w:t>
            </w:r>
            <w:r w:rsidR="00716F48" w:rsidRPr="009110F7">
              <w:rPr>
                <w:rFonts w:cs="Arial"/>
                <w:szCs w:val="20"/>
              </w:rPr>
              <w:t>. čtvrt</w:t>
            </w:r>
            <w:r w:rsidRPr="009110F7">
              <w:rPr>
                <w:rFonts w:cs="Arial"/>
                <w:szCs w:val="20"/>
              </w:rPr>
              <w:t xml:space="preserve">letí hodnotu v EU (+3,2 %) </w:t>
            </w:r>
            <w:r w:rsidR="00716F48" w:rsidRPr="009110F7">
              <w:rPr>
                <w:rFonts w:cs="Arial"/>
                <w:szCs w:val="20"/>
              </w:rPr>
              <w:t>a </w:t>
            </w:r>
            <w:r w:rsidRPr="009110F7">
              <w:rPr>
                <w:rFonts w:cs="Arial"/>
                <w:szCs w:val="20"/>
              </w:rPr>
              <w:t>dosahovalo obdobné výše jako v Německu (+4,0</w:t>
            </w:r>
            <w:r w:rsidR="00167CB9" w:rsidRPr="009110F7">
              <w:rPr>
                <w:rFonts w:cs="Arial"/>
                <w:szCs w:val="20"/>
              </w:rPr>
              <w:t> %</w:t>
            </w:r>
            <w:r w:rsidRPr="009110F7">
              <w:rPr>
                <w:rFonts w:cs="Arial"/>
                <w:szCs w:val="20"/>
              </w:rPr>
              <w:t xml:space="preserve">). </w:t>
            </w:r>
            <w:r w:rsidR="00591273" w:rsidRPr="009110F7">
              <w:rPr>
                <w:rFonts w:cs="Arial"/>
                <w:szCs w:val="20"/>
              </w:rPr>
              <w:t>Nejvyšší dynamiku vykaz</w:t>
            </w:r>
            <w:r w:rsidR="00E43A9E" w:rsidRPr="009110F7">
              <w:rPr>
                <w:rFonts w:cs="Arial"/>
                <w:szCs w:val="20"/>
              </w:rPr>
              <w:t xml:space="preserve">ovaly státy střední </w:t>
            </w:r>
            <w:r w:rsidR="00716F48" w:rsidRPr="009110F7">
              <w:rPr>
                <w:rFonts w:cs="Arial"/>
                <w:szCs w:val="20"/>
              </w:rPr>
              <w:t>a </w:t>
            </w:r>
            <w:r w:rsidR="00E43A9E" w:rsidRPr="009110F7">
              <w:rPr>
                <w:rFonts w:cs="Arial"/>
                <w:szCs w:val="20"/>
              </w:rPr>
              <w:t>východní E</w:t>
            </w:r>
            <w:r w:rsidR="00591273" w:rsidRPr="009110F7">
              <w:rPr>
                <w:rFonts w:cs="Arial"/>
                <w:szCs w:val="20"/>
              </w:rPr>
              <w:t>vropy (př</w:t>
            </w:r>
            <w:r w:rsidR="00203D8F" w:rsidRPr="009110F7">
              <w:rPr>
                <w:rFonts w:cs="Arial"/>
                <w:szCs w:val="20"/>
              </w:rPr>
              <w:t>edevším Slovinsko +8</w:t>
            </w:r>
            <w:r w:rsidR="00DD32DD">
              <w:rPr>
                <w:rFonts w:cs="Arial"/>
                <w:szCs w:val="20"/>
              </w:rPr>
              <w:t> </w:t>
            </w:r>
            <w:r w:rsidR="00203D8F" w:rsidRPr="009110F7">
              <w:rPr>
                <w:rFonts w:cs="Arial"/>
                <w:szCs w:val="20"/>
              </w:rPr>
              <w:t>%, Polsko</w:t>
            </w:r>
            <w:r w:rsidR="00591273" w:rsidRPr="009110F7">
              <w:rPr>
                <w:rFonts w:cs="Arial"/>
                <w:szCs w:val="20"/>
              </w:rPr>
              <w:t xml:space="preserve"> a Litva shodně +6</w:t>
            </w:r>
            <w:r w:rsidR="00167CB9" w:rsidRPr="009110F7">
              <w:rPr>
                <w:rFonts w:cs="Arial"/>
                <w:szCs w:val="20"/>
              </w:rPr>
              <w:t> %</w:t>
            </w:r>
            <w:r w:rsidR="00591273" w:rsidRPr="009110F7">
              <w:rPr>
                <w:rFonts w:cs="Arial"/>
                <w:szCs w:val="20"/>
              </w:rPr>
              <w:t>). Zatímco v EU se nejvíce dařilo odvětvím produkujícím výrobky investiční povahy (např</w:t>
            </w:r>
            <w:r w:rsidR="00DD32DD">
              <w:rPr>
                <w:rFonts w:cs="Arial"/>
                <w:szCs w:val="20"/>
              </w:rPr>
              <w:t>íklad</w:t>
            </w:r>
            <w:r w:rsidR="00591273" w:rsidRPr="009110F7">
              <w:rPr>
                <w:rFonts w:cs="Arial"/>
                <w:szCs w:val="20"/>
              </w:rPr>
              <w:t xml:space="preserve"> dopravní prostředky, stroje), v ČR to byly letos obory vyrábějící předměty dlouhodobé spotřeby.</w:t>
            </w:r>
            <w:r w:rsidR="00203D8F" w:rsidRPr="009110F7">
              <w:rPr>
                <w:rFonts w:cs="Arial"/>
                <w:szCs w:val="20"/>
              </w:rPr>
              <w:t xml:space="preserve"> O</w:t>
            </w:r>
            <w:r w:rsidR="00591273" w:rsidRPr="009110F7">
              <w:rPr>
                <w:rFonts w:cs="Arial"/>
                <w:szCs w:val="20"/>
              </w:rPr>
              <w:t>d</w:t>
            </w:r>
            <w:r w:rsidR="00203D8F" w:rsidRPr="009110F7">
              <w:rPr>
                <w:rFonts w:cs="Arial"/>
                <w:szCs w:val="20"/>
              </w:rPr>
              <w:t xml:space="preserve"> </w:t>
            </w:r>
            <w:r w:rsidR="00591273" w:rsidRPr="009110F7">
              <w:rPr>
                <w:rFonts w:cs="Arial"/>
                <w:szCs w:val="20"/>
              </w:rPr>
              <w:t xml:space="preserve">konce poslední recese </w:t>
            </w:r>
            <w:r w:rsidR="005A2C09" w:rsidRPr="009110F7">
              <w:rPr>
                <w:rFonts w:cs="Arial"/>
                <w:szCs w:val="20"/>
              </w:rPr>
              <w:t>(1. </w:t>
            </w:r>
            <w:r w:rsidR="00203D8F" w:rsidRPr="009110F7">
              <w:rPr>
                <w:rFonts w:cs="Arial"/>
                <w:szCs w:val="20"/>
              </w:rPr>
              <w:t>čtvrtletí 2013) posílila</w:t>
            </w:r>
            <w:r w:rsidR="00591273" w:rsidRPr="009110F7">
              <w:rPr>
                <w:rFonts w:cs="Arial"/>
                <w:szCs w:val="20"/>
              </w:rPr>
              <w:t xml:space="preserve"> v </w:t>
            </w:r>
            <w:r w:rsidR="00203D8F" w:rsidRPr="009110F7">
              <w:rPr>
                <w:rFonts w:cs="Arial"/>
                <w:szCs w:val="20"/>
              </w:rPr>
              <w:t>Česku</w:t>
            </w:r>
            <w:r w:rsidR="00591273" w:rsidRPr="009110F7">
              <w:rPr>
                <w:rFonts w:cs="Arial"/>
                <w:szCs w:val="20"/>
              </w:rPr>
              <w:t xml:space="preserve"> průmyslová produkce v úhrnu </w:t>
            </w:r>
            <w:r w:rsidR="00716F48" w:rsidRPr="009110F7">
              <w:rPr>
                <w:rFonts w:cs="Arial"/>
                <w:szCs w:val="20"/>
              </w:rPr>
              <w:t>o </w:t>
            </w:r>
            <w:r w:rsidR="00591273" w:rsidRPr="009110F7">
              <w:rPr>
                <w:rFonts w:cs="Arial"/>
                <w:szCs w:val="20"/>
              </w:rPr>
              <w:t>27</w:t>
            </w:r>
            <w:r w:rsidR="00167CB9" w:rsidRPr="009110F7">
              <w:rPr>
                <w:rFonts w:cs="Arial"/>
                <w:szCs w:val="20"/>
              </w:rPr>
              <w:t> %</w:t>
            </w:r>
            <w:r w:rsidR="00591273" w:rsidRPr="009110F7">
              <w:rPr>
                <w:rFonts w:cs="Arial"/>
                <w:szCs w:val="20"/>
              </w:rPr>
              <w:t xml:space="preserve"> (sedmým nejvyšším tempem v EU). </w:t>
            </w:r>
            <w:r w:rsidR="000403A7" w:rsidRPr="009110F7">
              <w:rPr>
                <w:rFonts w:cs="Arial"/>
                <w:szCs w:val="20"/>
              </w:rPr>
              <w:t xml:space="preserve">Silnější tempa signalizovaly Slovinsko, </w:t>
            </w:r>
            <w:r w:rsidR="00591273" w:rsidRPr="009110F7">
              <w:rPr>
                <w:rFonts w:cs="Arial"/>
                <w:szCs w:val="20"/>
              </w:rPr>
              <w:t>Rumunsko (</w:t>
            </w:r>
            <w:r w:rsidR="000403A7" w:rsidRPr="009110F7">
              <w:rPr>
                <w:rFonts w:cs="Arial"/>
                <w:szCs w:val="20"/>
              </w:rPr>
              <w:t>shodně +31</w:t>
            </w:r>
            <w:r w:rsidR="00167CB9" w:rsidRPr="009110F7">
              <w:rPr>
                <w:rFonts w:cs="Arial"/>
                <w:szCs w:val="20"/>
              </w:rPr>
              <w:t> %</w:t>
            </w:r>
            <w:r w:rsidR="00591273" w:rsidRPr="009110F7">
              <w:rPr>
                <w:rFonts w:cs="Arial"/>
                <w:szCs w:val="20"/>
              </w:rPr>
              <w:t>)</w:t>
            </w:r>
            <w:r w:rsidR="000403A7" w:rsidRPr="009110F7">
              <w:rPr>
                <w:rFonts w:cs="Arial"/>
                <w:szCs w:val="20"/>
              </w:rPr>
              <w:t>, Maďarsko a Polsko. V EU činil růst 11</w:t>
            </w:r>
            <w:r w:rsidR="00167CB9" w:rsidRPr="009110F7">
              <w:rPr>
                <w:rFonts w:cs="Arial"/>
                <w:szCs w:val="20"/>
              </w:rPr>
              <w:t> %</w:t>
            </w:r>
            <w:r w:rsidR="000403A7" w:rsidRPr="009110F7">
              <w:rPr>
                <w:rFonts w:cs="Arial"/>
                <w:szCs w:val="20"/>
              </w:rPr>
              <w:t xml:space="preserve">, </w:t>
            </w:r>
            <w:r w:rsidR="00716F48" w:rsidRPr="009110F7">
              <w:rPr>
                <w:rFonts w:cs="Arial"/>
                <w:szCs w:val="20"/>
              </w:rPr>
              <w:t>v </w:t>
            </w:r>
            <w:r w:rsidR="000403A7" w:rsidRPr="009110F7">
              <w:rPr>
                <w:rFonts w:cs="Arial"/>
                <w:szCs w:val="20"/>
              </w:rPr>
              <w:t>Německu 10</w:t>
            </w:r>
            <w:r w:rsidR="00167CB9" w:rsidRPr="009110F7">
              <w:rPr>
                <w:rFonts w:cs="Arial"/>
                <w:szCs w:val="20"/>
              </w:rPr>
              <w:t> %</w:t>
            </w:r>
            <w:r w:rsidR="000403A7" w:rsidRPr="009110F7">
              <w:rPr>
                <w:rFonts w:cs="Arial"/>
                <w:szCs w:val="20"/>
              </w:rPr>
              <w:t xml:space="preserve">, </w:t>
            </w:r>
            <w:r w:rsidR="00716F48" w:rsidRPr="009110F7">
              <w:rPr>
                <w:rFonts w:cs="Arial"/>
                <w:szCs w:val="20"/>
              </w:rPr>
              <w:t>v </w:t>
            </w:r>
            <w:r w:rsidR="00203D8F" w:rsidRPr="009110F7">
              <w:rPr>
                <w:rFonts w:cs="Arial"/>
                <w:szCs w:val="20"/>
              </w:rPr>
              <w:t>Rakousku 16 % </w:t>
            </w:r>
            <w:r w:rsidR="00716F48" w:rsidRPr="009110F7">
              <w:rPr>
                <w:rFonts w:cs="Arial"/>
                <w:szCs w:val="20"/>
              </w:rPr>
              <w:t>a </w:t>
            </w:r>
            <w:r w:rsidR="00203D8F" w:rsidRPr="009110F7">
              <w:rPr>
                <w:rFonts w:cs="Arial"/>
                <w:szCs w:val="20"/>
              </w:rPr>
              <w:t xml:space="preserve">ve </w:t>
            </w:r>
            <w:r w:rsidR="000403A7" w:rsidRPr="009110F7">
              <w:rPr>
                <w:rFonts w:cs="Arial"/>
                <w:szCs w:val="20"/>
              </w:rPr>
              <w:t>F</w:t>
            </w:r>
            <w:r w:rsidR="00A96C0F" w:rsidRPr="009110F7">
              <w:rPr>
                <w:rFonts w:cs="Arial"/>
                <w:szCs w:val="20"/>
              </w:rPr>
              <w:t>rancii</w:t>
            </w:r>
            <w:r w:rsidR="000403A7" w:rsidRPr="009110F7">
              <w:rPr>
                <w:rFonts w:cs="Arial"/>
                <w:szCs w:val="20"/>
              </w:rPr>
              <w:t xml:space="preserve"> 5</w:t>
            </w:r>
            <w:r w:rsidR="00167CB9" w:rsidRPr="009110F7">
              <w:rPr>
                <w:rFonts w:cs="Arial"/>
                <w:szCs w:val="20"/>
              </w:rPr>
              <w:t> %</w:t>
            </w:r>
            <w:r w:rsidR="000403A7" w:rsidRPr="009110F7">
              <w:rPr>
                <w:rFonts w:cs="Arial"/>
                <w:szCs w:val="20"/>
              </w:rPr>
              <w:t>.</w:t>
            </w:r>
          </w:p>
        </w:tc>
      </w:tr>
      <w:tr w:rsidR="008C7569" w:rsidRPr="009110F7" w:rsidTr="009B3764">
        <w:trPr>
          <w:trHeight w:val="145"/>
        </w:trPr>
        <w:tc>
          <w:tcPr>
            <w:tcW w:w="1849" w:type="dxa"/>
            <w:shd w:val="clear" w:color="auto" w:fill="auto"/>
            <w:tcMar>
              <w:left w:w="0" w:type="dxa"/>
            </w:tcMar>
          </w:tcPr>
          <w:p w:rsidR="008C7569" w:rsidRPr="009110F7" w:rsidRDefault="00C832F3" w:rsidP="00C832F3">
            <w:pPr>
              <w:pStyle w:val="Marginlie"/>
            </w:pPr>
            <w:r w:rsidRPr="009110F7">
              <w:lastRenderedPageBreak/>
              <w:t>Růst i</w:t>
            </w:r>
            <w:r w:rsidR="007D4458" w:rsidRPr="009110F7">
              <w:t>n</w:t>
            </w:r>
            <w:r w:rsidRPr="009110F7">
              <w:t>vestiční aktivity umocněn</w:t>
            </w:r>
            <w:r w:rsidR="007D4458" w:rsidRPr="009110F7">
              <w:t>ý příznivým vývojem počasí vedl</w:t>
            </w:r>
            <w:r w:rsidRPr="009110F7">
              <w:t xml:space="preserve"> na počátku roku k akceleraci </w:t>
            </w:r>
            <w:r w:rsidR="007D4458" w:rsidRPr="009110F7">
              <w:t>stavebnictví</w:t>
            </w:r>
            <w:r w:rsidRPr="009110F7">
              <w:t>.</w:t>
            </w:r>
          </w:p>
        </w:tc>
        <w:tc>
          <w:tcPr>
            <w:tcW w:w="243" w:type="dxa"/>
            <w:gridSpan w:val="2"/>
            <w:shd w:val="clear" w:color="auto" w:fill="auto"/>
            <w:tcMar>
              <w:left w:w="0" w:type="dxa"/>
            </w:tcMar>
          </w:tcPr>
          <w:p w:rsidR="008C7569" w:rsidRPr="009110F7" w:rsidRDefault="008C7569" w:rsidP="008417B5">
            <w:pPr>
              <w:pStyle w:val="Textpoznpodarou"/>
              <w:jc w:val="both"/>
              <w:rPr>
                <w:spacing w:val="-4"/>
              </w:rPr>
            </w:pPr>
          </w:p>
        </w:tc>
        <w:tc>
          <w:tcPr>
            <w:tcW w:w="7552" w:type="dxa"/>
            <w:gridSpan w:val="2"/>
            <w:shd w:val="clear" w:color="auto" w:fill="auto"/>
            <w:tcMar>
              <w:left w:w="0" w:type="dxa"/>
            </w:tcMar>
          </w:tcPr>
          <w:p w:rsidR="008C7569" w:rsidRPr="009110F7" w:rsidRDefault="00512461" w:rsidP="00094A84">
            <w:pPr>
              <w:rPr>
                <w:rFonts w:cs="Arial"/>
                <w:szCs w:val="20"/>
              </w:rPr>
            </w:pPr>
            <w:r w:rsidRPr="009110F7">
              <w:rPr>
                <w:rFonts w:cs="Arial"/>
                <w:szCs w:val="20"/>
              </w:rPr>
              <w:t>Stavebnictví</w:t>
            </w:r>
            <w:r w:rsidR="00DD32DD">
              <w:rPr>
                <w:rFonts w:cs="Arial"/>
                <w:szCs w:val="20"/>
              </w:rPr>
              <w:t>,</w:t>
            </w:r>
            <w:r w:rsidRPr="009110F7">
              <w:rPr>
                <w:rFonts w:cs="Arial"/>
                <w:szCs w:val="20"/>
              </w:rPr>
              <w:t xml:space="preserve"> podpořené mírným růstem objemu veřejných investic </w:t>
            </w:r>
            <w:r w:rsidR="00716F48" w:rsidRPr="009110F7">
              <w:rPr>
                <w:rFonts w:cs="Arial"/>
                <w:szCs w:val="20"/>
              </w:rPr>
              <w:t>i </w:t>
            </w:r>
            <w:r w:rsidRPr="009110F7">
              <w:rPr>
                <w:rFonts w:cs="Arial"/>
                <w:szCs w:val="20"/>
              </w:rPr>
              <w:t>příznivým počasím na počátku roku</w:t>
            </w:r>
            <w:r w:rsidR="00DD32DD">
              <w:rPr>
                <w:rFonts w:cs="Arial"/>
                <w:szCs w:val="20"/>
              </w:rPr>
              <w:t>,</w:t>
            </w:r>
            <w:r w:rsidRPr="009110F7">
              <w:rPr>
                <w:rFonts w:cs="Arial"/>
                <w:szCs w:val="20"/>
              </w:rPr>
              <w:t xml:space="preserve"> pokračovalo v loňském oživení. </w:t>
            </w:r>
            <w:r w:rsidRPr="009110F7">
              <w:rPr>
                <w:spacing w:val="-4"/>
              </w:rPr>
              <w:t>Stavební produkce</w:t>
            </w:r>
            <w:r w:rsidRPr="009110F7">
              <w:rPr>
                <w:rStyle w:val="Znakapoznpodarou"/>
                <w:spacing w:val="-4"/>
              </w:rPr>
              <w:footnoteReference w:id="21"/>
            </w:r>
            <w:r w:rsidRPr="009110F7">
              <w:rPr>
                <w:spacing w:val="-4"/>
              </w:rPr>
              <w:t xml:space="preserve"> </w:t>
            </w:r>
            <w:proofErr w:type="spellStart"/>
            <w:r w:rsidRPr="009110F7">
              <w:rPr>
                <w:spacing w:val="-4"/>
              </w:rPr>
              <w:t>mezičtvrtletně</w:t>
            </w:r>
            <w:proofErr w:type="spellEnd"/>
            <w:r w:rsidRPr="009110F7">
              <w:rPr>
                <w:spacing w:val="-4"/>
              </w:rPr>
              <w:t xml:space="preserve"> posílila </w:t>
            </w:r>
            <w:r w:rsidR="00716F48" w:rsidRPr="009110F7">
              <w:rPr>
                <w:spacing w:val="-4"/>
              </w:rPr>
              <w:t>o </w:t>
            </w:r>
            <w:r w:rsidRPr="009110F7">
              <w:rPr>
                <w:spacing w:val="-4"/>
              </w:rPr>
              <w:t>1,5</w:t>
            </w:r>
            <w:r w:rsidR="00167CB9" w:rsidRPr="009110F7">
              <w:rPr>
                <w:spacing w:val="-4"/>
              </w:rPr>
              <w:t> %</w:t>
            </w:r>
            <w:r w:rsidRPr="009110F7">
              <w:rPr>
                <w:spacing w:val="-4"/>
              </w:rPr>
              <w:t xml:space="preserve">, </w:t>
            </w:r>
            <w:r w:rsidR="00716F48" w:rsidRPr="009110F7">
              <w:rPr>
                <w:spacing w:val="-4"/>
              </w:rPr>
              <w:t>a </w:t>
            </w:r>
            <w:r w:rsidRPr="009110F7">
              <w:rPr>
                <w:spacing w:val="-4"/>
              </w:rPr>
              <w:t>to výhradně zásluhou váhově převažujícího pozemního stavitelství (+3,1</w:t>
            </w:r>
            <w:r w:rsidR="00167CB9" w:rsidRPr="009110F7">
              <w:rPr>
                <w:spacing w:val="-4"/>
              </w:rPr>
              <w:t> %</w:t>
            </w:r>
            <w:r w:rsidRPr="009110F7">
              <w:rPr>
                <w:spacing w:val="-4"/>
              </w:rPr>
              <w:t xml:space="preserve">). </w:t>
            </w:r>
            <w:r w:rsidR="002A1E4F" w:rsidRPr="009110F7">
              <w:rPr>
                <w:spacing w:val="-4"/>
              </w:rPr>
              <w:t xml:space="preserve">Meziročně vzrostlo letos stavebnictví </w:t>
            </w:r>
            <w:r w:rsidR="00716F48" w:rsidRPr="009110F7">
              <w:rPr>
                <w:spacing w:val="-4"/>
              </w:rPr>
              <w:t>o </w:t>
            </w:r>
            <w:r w:rsidR="002A1E4F" w:rsidRPr="009110F7">
              <w:rPr>
                <w:spacing w:val="-4"/>
              </w:rPr>
              <w:t>výrazných 13,1</w:t>
            </w:r>
            <w:r w:rsidR="00167CB9" w:rsidRPr="009110F7">
              <w:rPr>
                <w:spacing w:val="-4"/>
              </w:rPr>
              <w:t> %</w:t>
            </w:r>
            <w:r w:rsidR="002A1E4F" w:rsidRPr="009110F7">
              <w:rPr>
                <w:spacing w:val="-4"/>
              </w:rPr>
              <w:t xml:space="preserve"> (ve stejném období loňského roku stagnovalo)</w:t>
            </w:r>
            <w:r w:rsidR="00F25040">
              <w:rPr>
                <w:spacing w:val="-4"/>
              </w:rPr>
              <w:t>,</w:t>
            </w:r>
            <w:r w:rsidR="002A1E4F" w:rsidRPr="009110F7">
              <w:rPr>
                <w:spacing w:val="-4"/>
              </w:rPr>
              <w:t xml:space="preserve"> </w:t>
            </w:r>
            <w:r w:rsidR="00716F48" w:rsidRPr="009110F7">
              <w:rPr>
                <w:spacing w:val="-4"/>
              </w:rPr>
              <w:t>a </w:t>
            </w:r>
            <w:r w:rsidR="002A1E4F" w:rsidRPr="009110F7">
              <w:rPr>
                <w:spacing w:val="-4"/>
              </w:rPr>
              <w:t xml:space="preserve">překonalo dokonce </w:t>
            </w:r>
            <w:r w:rsidR="00716F48" w:rsidRPr="009110F7">
              <w:rPr>
                <w:spacing w:val="-4"/>
              </w:rPr>
              <w:t>i </w:t>
            </w:r>
            <w:r w:rsidR="002A1E4F" w:rsidRPr="009110F7">
              <w:rPr>
                <w:spacing w:val="-4"/>
              </w:rPr>
              <w:t>tempa z let 2014 a</w:t>
            </w:r>
            <w:r w:rsidR="002A1E4F" w:rsidRPr="009110F7">
              <w:rPr>
                <w:rFonts w:cs="Arial"/>
                <w:szCs w:val="20"/>
              </w:rPr>
              <w:t> </w:t>
            </w:r>
            <w:r w:rsidR="002A1E4F" w:rsidRPr="009110F7">
              <w:rPr>
                <w:spacing w:val="-4"/>
              </w:rPr>
              <w:t>2015, kdy růstový impul</w:t>
            </w:r>
            <w:r w:rsidR="00F25040">
              <w:rPr>
                <w:spacing w:val="-4"/>
              </w:rPr>
              <w:t>z</w:t>
            </w:r>
            <w:r w:rsidR="002A1E4F" w:rsidRPr="009110F7">
              <w:rPr>
                <w:spacing w:val="-4"/>
              </w:rPr>
              <w:t xml:space="preserve"> celému odvětví poskytlo dočerpávání prostředků z rozpočtu EU na konci programového období. </w:t>
            </w:r>
            <w:r w:rsidR="002A532A" w:rsidRPr="009110F7">
              <w:rPr>
                <w:spacing w:val="-4"/>
              </w:rPr>
              <w:t xml:space="preserve">Za </w:t>
            </w:r>
            <w:r w:rsidR="00DA096C" w:rsidRPr="009110F7">
              <w:rPr>
                <w:spacing w:val="-4"/>
              </w:rPr>
              <w:t xml:space="preserve">letošní </w:t>
            </w:r>
            <w:r w:rsidR="002A532A" w:rsidRPr="009110F7">
              <w:rPr>
                <w:spacing w:val="-4"/>
              </w:rPr>
              <w:t xml:space="preserve">akcelerací stálo primárně pozemní stavitelství, </w:t>
            </w:r>
            <w:r w:rsidR="00DA096C" w:rsidRPr="009110F7">
              <w:rPr>
                <w:spacing w:val="-4"/>
              </w:rPr>
              <w:t>z des</w:t>
            </w:r>
            <w:r w:rsidR="006F440B" w:rsidRPr="009110F7">
              <w:rPr>
                <w:spacing w:val="-4"/>
              </w:rPr>
              <w:t>e</w:t>
            </w:r>
            <w:r w:rsidR="00DA096C" w:rsidRPr="009110F7">
              <w:rPr>
                <w:spacing w:val="-4"/>
              </w:rPr>
              <w:t xml:space="preserve">tiny k ní přispělo </w:t>
            </w:r>
            <w:r w:rsidR="00716F48" w:rsidRPr="009110F7">
              <w:rPr>
                <w:spacing w:val="-4"/>
              </w:rPr>
              <w:t>i </w:t>
            </w:r>
            <w:r w:rsidR="00DA096C" w:rsidRPr="009110F7">
              <w:rPr>
                <w:spacing w:val="-4"/>
              </w:rPr>
              <w:t xml:space="preserve">inženýrské stavitelství, </w:t>
            </w:r>
            <w:r w:rsidR="008B7EF9">
              <w:rPr>
                <w:spacing w:val="-4"/>
              </w:rPr>
              <w:t xml:space="preserve">na </w:t>
            </w:r>
            <w:r w:rsidR="00DA096C" w:rsidRPr="009110F7">
              <w:rPr>
                <w:spacing w:val="-4"/>
              </w:rPr>
              <w:t>jehož růst (+6,7</w:t>
            </w:r>
            <w:r w:rsidR="00167CB9" w:rsidRPr="009110F7">
              <w:rPr>
                <w:spacing w:val="-4"/>
              </w:rPr>
              <w:t> %</w:t>
            </w:r>
            <w:r w:rsidR="008B7EF9">
              <w:rPr>
                <w:spacing w:val="-4"/>
              </w:rPr>
              <w:t>) je třeba nahlížet</w:t>
            </w:r>
            <w:r w:rsidR="00DA096C" w:rsidRPr="009110F7">
              <w:rPr>
                <w:spacing w:val="-4"/>
              </w:rPr>
              <w:t xml:space="preserve"> v kontextu </w:t>
            </w:r>
            <w:r w:rsidR="00406C2E" w:rsidRPr="009110F7">
              <w:rPr>
                <w:spacing w:val="-4"/>
              </w:rPr>
              <w:t>velmi níz</w:t>
            </w:r>
            <w:r w:rsidR="00DA096C" w:rsidRPr="009110F7">
              <w:rPr>
                <w:spacing w:val="-4"/>
              </w:rPr>
              <w:t>ké srovnávací základny. Proti 1</w:t>
            </w:r>
            <w:r w:rsidR="00716F48" w:rsidRPr="009110F7">
              <w:rPr>
                <w:spacing w:val="-4"/>
              </w:rPr>
              <w:t>. čtvrt</w:t>
            </w:r>
            <w:r w:rsidR="00DA096C" w:rsidRPr="009110F7">
              <w:rPr>
                <w:spacing w:val="-4"/>
              </w:rPr>
              <w:t xml:space="preserve">letí konjunkturního </w:t>
            </w:r>
            <w:r w:rsidR="00DA096C" w:rsidRPr="008B7EF9">
              <w:rPr>
                <w:spacing w:val="-5"/>
              </w:rPr>
              <w:t xml:space="preserve">roku 2008 </w:t>
            </w:r>
            <w:r w:rsidR="002837AE" w:rsidRPr="008B7EF9">
              <w:rPr>
                <w:spacing w:val="-5"/>
              </w:rPr>
              <w:t xml:space="preserve">byl letošní výkon inženýrského stavitelství slabší </w:t>
            </w:r>
            <w:r w:rsidR="00716F48" w:rsidRPr="008B7EF9">
              <w:rPr>
                <w:spacing w:val="-5"/>
              </w:rPr>
              <w:t>o </w:t>
            </w:r>
            <w:r w:rsidR="002837AE" w:rsidRPr="008B7EF9">
              <w:rPr>
                <w:spacing w:val="-5"/>
              </w:rPr>
              <w:t>28</w:t>
            </w:r>
            <w:r w:rsidR="00167CB9" w:rsidRPr="008B7EF9">
              <w:rPr>
                <w:spacing w:val="-5"/>
              </w:rPr>
              <w:t> %</w:t>
            </w:r>
            <w:r w:rsidR="002837AE" w:rsidRPr="008B7EF9">
              <w:rPr>
                <w:spacing w:val="-5"/>
              </w:rPr>
              <w:t xml:space="preserve">, </w:t>
            </w:r>
            <w:r w:rsidR="00716F48" w:rsidRPr="008B7EF9">
              <w:rPr>
                <w:spacing w:val="-5"/>
              </w:rPr>
              <w:t>u </w:t>
            </w:r>
            <w:r w:rsidR="002837AE" w:rsidRPr="008B7EF9">
              <w:rPr>
                <w:spacing w:val="-5"/>
              </w:rPr>
              <w:t xml:space="preserve">pozemního </w:t>
            </w:r>
            <w:r w:rsidR="00716F48" w:rsidRPr="008B7EF9">
              <w:rPr>
                <w:spacing w:val="-5"/>
              </w:rPr>
              <w:t>o </w:t>
            </w:r>
            <w:r w:rsidR="002837AE" w:rsidRPr="008B7EF9">
              <w:rPr>
                <w:spacing w:val="-5"/>
              </w:rPr>
              <w:t>19</w:t>
            </w:r>
            <w:r w:rsidR="00167CB9" w:rsidRPr="008B7EF9">
              <w:rPr>
                <w:spacing w:val="-5"/>
              </w:rPr>
              <w:t> %</w:t>
            </w:r>
            <w:r w:rsidR="002837AE" w:rsidRPr="008B7EF9">
              <w:rPr>
                <w:spacing w:val="-5"/>
              </w:rPr>
              <w:t>.</w:t>
            </w:r>
            <w:r w:rsidR="00DA096C" w:rsidRPr="009110F7">
              <w:rPr>
                <w:spacing w:val="-4"/>
              </w:rPr>
              <w:t xml:space="preserve"> </w:t>
            </w:r>
          </w:p>
        </w:tc>
      </w:tr>
      <w:tr w:rsidR="008C7569" w:rsidRPr="009110F7" w:rsidTr="009B3764">
        <w:trPr>
          <w:trHeight w:val="145"/>
        </w:trPr>
        <w:tc>
          <w:tcPr>
            <w:tcW w:w="1879" w:type="dxa"/>
            <w:gridSpan w:val="2"/>
            <w:shd w:val="clear" w:color="auto" w:fill="auto"/>
            <w:tcMar>
              <w:left w:w="0" w:type="dxa"/>
            </w:tcMar>
          </w:tcPr>
          <w:p w:rsidR="008C7569" w:rsidRPr="009110F7" w:rsidRDefault="008C7569" w:rsidP="008417B5">
            <w:pPr>
              <w:pStyle w:val="Marginlie"/>
            </w:pPr>
          </w:p>
        </w:tc>
        <w:tc>
          <w:tcPr>
            <w:tcW w:w="247" w:type="dxa"/>
            <w:gridSpan w:val="2"/>
            <w:shd w:val="clear" w:color="auto" w:fill="auto"/>
            <w:tcMar>
              <w:left w:w="0" w:type="dxa"/>
            </w:tcMar>
          </w:tcPr>
          <w:p w:rsidR="008C7569" w:rsidRPr="009110F7" w:rsidRDefault="008C7569" w:rsidP="008417B5">
            <w:pPr>
              <w:pStyle w:val="Textpoznpodarou"/>
              <w:jc w:val="both"/>
              <w:rPr>
                <w:spacing w:val="-4"/>
              </w:rPr>
            </w:pPr>
          </w:p>
        </w:tc>
        <w:tc>
          <w:tcPr>
            <w:tcW w:w="7518" w:type="dxa"/>
            <w:shd w:val="clear" w:color="auto" w:fill="auto"/>
            <w:tcMar>
              <w:left w:w="0" w:type="dxa"/>
            </w:tcMar>
          </w:tcPr>
          <w:p w:rsidR="00167CB9" w:rsidRPr="009110F7" w:rsidRDefault="00B8561A" w:rsidP="008417B5">
            <w:pPr>
              <w:pStyle w:val="Textpoznpodarou"/>
              <w:rPr>
                <w:bCs/>
              </w:rPr>
            </w:pPr>
            <w:r>
              <w:rPr>
                <w:b/>
              </w:rPr>
              <w:t>Graf </w:t>
            </w:r>
            <w:r w:rsidR="00167CB9" w:rsidRPr="009110F7">
              <w:rPr>
                <w:b/>
              </w:rPr>
              <w:t>č. </w:t>
            </w:r>
            <w:r w:rsidR="00716F48" w:rsidRPr="009110F7">
              <w:rPr>
                <w:b/>
              </w:rPr>
              <w:t>7</w:t>
            </w:r>
            <w:r w:rsidR="00053713">
              <w:rPr>
                <w:b/>
              </w:rPr>
              <w:t xml:space="preserve">  </w:t>
            </w:r>
            <w:r w:rsidR="008C7569" w:rsidRPr="009110F7">
              <w:rPr>
                <w:b/>
              </w:rPr>
              <w:t xml:space="preserve">Stavební produkce*, hodnota nových zakázek </w:t>
            </w:r>
            <w:r w:rsidR="008C7569" w:rsidRPr="009110F7">
              <w:rPr>
                <w:bCs/>
              </w:rPr>
              <w:t>(</w:t>
            </w:r>
            <w:r w:rsidR="008C7569" w:rsidRPr="009110F7">
              <w:rPr>
                <w:spacing w:val="-2"/>
              </w:rPr>
              <w:t>meziročně</w:t>
            </w:r>
            <w:r w:rsidR="008C7569" w:rsidRPr="009110F7">
              <w:rPr>
                <w:bCs/>
                <w:spacing w:val="-2"/>
              </w:rPr>
              <w:t xml:space="preserve"> v</w:t>
            </w:r>
            <w:r w:rsidR="00167CB9" w:rsidRPr="009110F7">
              <w:rPr>
                <w:bCs/>
                <w:spacing w:val="-2"/>
              </w:rPr>
              <w:t> %</w:t>
            </w:r>
            <w:r w:rsidR="008C7569" w:rsidRPr="009110F7">
              <w:rPr>
                <w:bCs/>
                <w:spacing w:val="-2"/>
              </w:rPr>
              <w:t>)</w:t>
            </w:r>
          </w:p>
          <w:p w:rsidR="008C7569" w:rsidRPr="009110F7" w:rsidRDefault="00716F48" w:rsidP="008417B5">
            <w:pPr>
              <w:pStyle w:val="Textpoznpodarou"/>
            </w:pPr>
            <w:r w:rsidRPr="009110F7">
              <w:rPr>
                <w:b/>
              </w:rPr>
              <w:t>a </w:t>
            </w:r>
            <w:r w:rsidR="008C7569" w:rsidRPr="009110F7">
              <w:rPr>
                <w:b/>
              </w:rPr>
              <w:t>saldo indikátoru důvěry ve stavebnictví</w:t>
            </w:r>
          </w:p>
        </w:tc>
      </w:tr>
      <w:tr w:rsidR="008C7569" w:rsidRPr="009110F7" w:rsidTr="009B3764">
        <w:trPr>
          <w:trHeight w:val="145"/>
        </w:trPr>
        <w:tc>
          <w:tcPr>
            <w:tcW w:w="1879" w:type="dxa"/>
            <w:gridSpan w:val="2"/>
            <w:shd w:val="clear" w:color="auto" w:fill="auto"/>
            <w:tcMar>
              <w:left w:w="0" w:type="dxa"/>
            </w:tcMar>
          </w:tcPr>
          <w:p w:rsidR="008C7569" w:rsidRPr="009110F7" w:rsidRDefault="008C7569" w:rsidP="008417B5">
            <w:pPr>
              <w:pStyle w:val="Marginlie"/>
            </w:pPr>
          </w:p>
        </w:tc>
        <w:tc>
          <w:tcPr>
            <w:tcW w:w="247" w:type="dxa"/>
            <w:gridSpan w:val="2"/>
            <w:shd w:val="clear" w:color="auto" w:fill="auto"/>
            <w:tcMar>
              <w:left w:w="0" w:type="dxa"/>
            </w:tcMar>
          </w:tcPr>
          <w:p w:rsidR="008C7569" w:rsidRPr="009110F7" w:rsidRDefault="008C7569" w:rsidP="008417B5">
            <w:pPr>
              <w:pStyle w:val="Textpoznpodarou"/>
              <w:jc w:val="both"/>
              <w:rPr>
                <w:spacing w:val="-4"/>
              </w:rPr>
            </w:pPr>
          </w:p>
        </w:tc>
        <w:tc>
          <w:tcPr>
            <w:tcW w:w="7518" w:type="dxa"/>
            <w:shd w:val="clear" w:color="auto" w:fill="auto"/>
            <w:tcMar>
              <w:left w:w="0" w:type="dxa"/>
            </w:tcMar>
          </w:tcPr>
          <w:p w:rsidR="008C7569" w:rsidRPr="009110F7" w:rsidRDefault="008C7569" w:rsidP="008417B5">
            <w:pPr>
              <w:spacing w:after="0" w:line="240" w:lineRule="auto"/>
              <w:rPr>
                <w:spacing w:val="-2"/>
                <w:szCs w:val="20"/>
              </w:rPr>
            </w:pPr>
            <w:r w:rsidRPr="009110F7">
              <w:rPr>
                <w:noProof/>
                <w:spacing w:val="-2"/>
                <w:szCs w:val="20"/>
              </w:rPr>
              <w:drawing>
                <wp:inline distT="0" distB="0" distL="0" distR="0">
                  <wp:extent cx="4749196" cy="3548230"/>
                  <wp:effectExtent l="0" t="0" r="0" b="0"/>
                  <wp:docPr id="2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8C7569" w:rsidRPr="009110F7" w:rsidTr="009B3764">
        <w:trPr>
          <w:trHeight w:val="145"/>
        </w:trPr>
        <w:tc>
          <w:tcPr>
            <w:tcW w:w="1879" w:type="dxa"/>
            <w:gridSpan w:val="2"/>
            <w:shd w:val="clear" w:color="auto" w:fill="auto"/>
            <w:tcMar>
              <w:left w:w="0" w:type="dxa"/>
            </w:tcMar>
          </w:tcPr>
          <w:p w:rsidR="008C7569" w:rsidRPr="009110F7" w:rsidRDefault="008C7569" w:rsidP="008417B5">
            <w:pPr>
              <w:pStyle w:val="Marginlie"/>
            </w:pPr>
          </w:p>
        </w:tc>
        <w:tc>
          <w:tcPr>
            <w:tcW w:w="247" w:type="dxa"/>
            <w:gridSpan w:val="2"/>
            <w:shd w:val="clear" w:color="auto" w:fill="auto"/>
            <w:tcMar>
              <w:left w:w="0" w:type="dxa"/>
            </w:tcMar>
          </w:tcPr>
          <w:p w:rsidR="008C7569" w:rsidRPr="009110F7" w:rsidRDefault="008C7569" w:rsidP="008417B5">
            <w:pPr>
              <w:pStyle w:val="Textpoznpodarou"/>
              <w:jc w:val="both"/>
              <w:rPr>
                <w:spacing w:val="-4"/>
              </w:rPr>
            </w:pPr>
          </w:p>
        </w:tc>
        <w:tc>
          <w:tcPr>
            <w:tcW w:w="7518" w:type="dxa"/>
            <w:shd w:val="clear" w:color="auto" w:fill="auto"/>
            <w:tcMar>
              <w:left w:w="0" w:type="dxa"/>
            </w:tcMar>
          </w:tcPr>
          <w:p w:rsidR="008C7569" w:rsidRPr="009110F7" w:rsidRDefault="00D72076" w:rsidP="005D5AA9">
            <w:pPr>
              <w:spacing w:after="200"/>
              <w:jc w:val="left"/>
              <w:rPr>
                <w:spacing w:val="-2"/>
                <w:szCs w:val="20"/>
              </w:rPr>
            </w:pPr>
            <w:r>
              <w:rPr>
                <w:rFonts w:cs="Arial"/>
                <w:sz w:val="14"/>
                <w:szCs w:val="14"/>
              </w:rPr>
              <w:t>*O</w:t>
            </w:r>
            <w:r w:rsidRPr="00540CB3">
              <w:rPr>
                <w:rFonts w:cs="Arial"/>
                <w:sz w:val="14"/>
                <w:szCs w:val="14"/>
              </w:rPr>
              <w:t xml:space="preserve">čištěno od vlivu počtu pracovních </w:t>
            </w:r>
            <w:r>
              <w:rPr>
                <w:rFonts w:cs="Arial"/>
                <w:sz w:val="14"/>
                <w:szCs w:val="14"/>
              </w:rPr>
              <w:t>dnů.</w:t>
            </w:r>
            <w:r w:rsidRPr="00540CB3">
              <w:rPr>
                <w:rFonts w:cs="Arial"/>
                <w:sz w:val="14"/>
                <w:szCs w:val="14"/>
              </w:rPr>
              <w:t xml:space="preserve">                                                           </w:t>
            </w:r>
            <w:r>
              <w:rPr>
                <w:rFonts w:cs="Arial"/>
                <w:sz w:val="14"/>
                <w:szCs w:val="14"/>
              </w:rPr>
              <w:t xml:space="preserve">                                         </w:t>
            </w:r>
            <w:r w:rsidRPr="00540CB3">
              <w:rPr>
                <w:rFonts w:cs="Arial"/>
                <w:sz w:val="14"/>
                <w:szCs w:val="14"/>
              </w:rPr>
              <w:t xml:space="preserve">      </w:t>
            </w:r>
            <w:r>
              <w:rPr>
                <w:rFonts w:cs="Arial"/>
                <w:sz w:val="14"/>
                <w:szCs w:val="14"/>
              </w:rPr>
              <w:t xml:space="preserve">    </w:t>
            </w:r>
            <w:r w:rsidR="008C7569" w:rsidRPr="009110F7">
              <w:rPr>
                <w:rFonts w:cs="Arial"/>
                <w:sz w:val="14"/>
                <w:szCs w:val="14"/>
              </w:rPr>
              <w:t>Zdroj: ČSÚ</w:t>
            </w:r>
          </w:p>
        </w:tc>
      </w:tr>
      <w:tr w:rsidR="008C7569" w:rsidRPr="009110F7" w:rsidTr="009B3764">
        <w:trPr>
          <w:trHeight w:val="145"/>
        </w:trPr>
        <w:tc>
          <w:tcPr>
            <w:tcW w:w="1879" w:type="dxa"/>
            <w:gridSpan w:val="2"/>
            <w:shd w:val="clear" w:color="auto" w:fill="auto"/>
            <w:tcMar>
              <w:left w:w="0" w:type="dxa"/>
            </w:tcMar>
          </w:tcPr>
          <w:p w:rsidR="007D4458" w:rsidRPr="009110F7" w:rsidRDefault="007D4458" w:rsidP="007D4458">
            <w:pPr>
              <w:pStyle w:val="Marginlie"/>
            </w:pPr>
            <w:r w:rsidRPr="009110F7">
              <w:t>Zahajovaných i dokončených bytů meziročně v Česku přibylo. Nízká intenzita zahajované bytové výstavby v Praze přetrvávala.</w:t>
            </w:r>
          </w:p>
          <w:p w:rsidR="008C7569" w:rsidRPr="009110F7" w:rsidRDefault="008C7569" w:rsidP="008417B5">
            <w:pPr>
              <w:pStyle w:val="Marginlie"/>
            </w:pPr>
          </w:p>
        </w:tc>
        <w:tc>
          <w:tcPr>
            <w:tcW w:w="247" w:type="dxa"/>
            <w:gridSpan w:val="2"/>
            <w:shd w:val="clear" w:color="auto" w:fill="auto"/>
            <w:tcMar>
              <w:left w:w="0" w:type="dxa"/>
            </w:tcMar>
          </w:tcPr>
          <w:p w:rsidR="008C7569" w:rsidRPr="009110F7" w:rsidRDefault="008C7569" w:rsidP="008417B5">
            <w:pPr>
              <w:pStyle w:val="Textpoznpodarou"/>
              <w:jc w:val="both"/>
              <w:rPr>
                <w:spacing w:val="-4"/>
              </w:rPr>
            </w:pPr>
          </w:p>
        </w:tc>
        <w:tc>
          <w:tcPr>
            <w:tcW w:w="7518" w:type="dxa"/>
            <w:shd w:val="clear" w:color="auto" w:fill="auto"/>
            <w:tcMar>
              <w:left w:w="0" w:type="dxa"/>
            </w:tcMar>
          </w:tcPr>
          <w:p w:rsidR="008C7569" w:rsidRPr="009110F7" w:rsidRDefault="009637AE" w:rsidP="008417B5">
            <w:pPr>
              <w:spacing w:after="200"/>
              <w:rPr>
                <w:rFonts w:cs="Arial"/>
                <w:szCs w:val="20"/>
              </w:rPr>
            </w:pPr>
            <w:r w:rsidRPr="009110F7">
              <w:rPr>
                <w:rFonts w:cs="Arial"/>
                <w:szCs w:val="20"/>
              </w:rPr>
              <w:t xml:space="preserve">Pozemnímu stavitelství pomáhá </w:t>
            </w:r>
            <w:r w:rsidR="00716F48" w:rsidRPr="009110F7">
              <w:rPr>
                <w:rFonts w:cs="Arial"/>
                <w:szCs w:val="20"/>
              </w:rPr>
              <w:t>i </w:t>
            </w:r>
            <w:r w:rsidRPr="009110F7">
              <w:rPr>
                <w:rFonts w:cs="Arial"/>
                <w:szCs w:val="20"/>
              </w:rPr>
              <w:t xml:space="preserve">postupný rozvoj bytové výstavby, byť jde z pohledu celého odvětví </w:t>
            </w:r>
            <w:r w:rsidR="00716F48" w:rsidRPr="009110F7">
              <w:rPr>
                <w:rFonts w:cs="Arial"/>
                <w:szCs w:val="20"/>
              </w:rPr>
              <w:t>o </w:t>
            </w:r>
            <w:r w:rsidRPr="009110F7">
              <w:rPr>
                <w:rFonts w:cs="Arial"/>
                <w:szCs w:val="20"/>
              </w:rPr>
              <w:t xml:space="preserve">relativně okrajový segment. </w:t>
            </w:r>
            <w:r w:rsidR="00E5076C" w:rsidRPr="009110F7">
              <w:rPr>
                <w:rFonts w:cs="Arial"/>
                <w:szCs w:val="20"/>
              </w:rPr>
              <w:t xml:space="preserve">Zahájených bytů bylo meziročně o šestinu více, jejich četnost </w:t>
            </w:r>
            <w:r w:rsidR="00BF1D12" w:rsidRPr="009110F7">
              <w:rPr>
                <w:rFonts w:cs="Arial"/>
                <w:szCs w:val="20"/>
              </w:rPr>
              <w:t>(7,</w:t>
            </w:r>
            <w:r w:rsidR="00167CB9" w:rsidRPr="009110F7">
              <w:rPr>
                <w:rFonts w:cs="Arial"/>
                <w:szCs w:val="20"/>
              </w:rPr>
              <w:t>6 </w:t>
            </w:r>
            <w:r w:rsidR="00BF1D12" w:rsidRPr="009110F7">
              <w:rPr>
                <w:rFonts w:cs="Arial"/>
                <w:szCs w:val="20"/>
              </w:rPr>
              <w:t xml:space="preserve">tis.) </w:t>
            </w:r>
            <w:r w:rsidR="00E5076C" w:rsidRPr="009110F7">
              <w:rPr>
                <w:rFonts w:cs="Arial"/>
                <w:szCs w:val="20"/>
              </w:rPr>
              <w:t>se v rámci 1</w:t>
            </w:r>
            <w:r w:rsidR="00716F48" w:rsidRPr="009110F7">
              <w:rPr>
                <w:rFonts w:cs="Arial"/>
                <w:szCs w:val="20"/>
              </w:rPr>
              <w:t>. čtvrt</w:t>
            </w:r>
            <w:r w:rsidR="00E5076C" w:rsidRPr="009110F7">
              <w:rPr>
                <w:rFonts w:cs="Arial"/>
                <w:szCs w:val="20"/>
              </w:rPr>
              <w:t xml:space="preserve">letí navyšovala již potřetí v řadě. Více bytů </w:t>
            </w:r>
            <w:r w:rsidR="008117CC">
              <w:rPr>
                <w:rFonts w:cs="Arial"/>
                <w:szCs w:val="20"/>
              </w:rPr>
              <w:t>vzniklo</w:t>
            </w:r>
            <w:r w:rsidR="008117CC" w:rsidRPr="009110F7">
              <w:rPr>
                <w:rFonts w:cs="Arial"/>
                <w:szCs w:val="20"/>
              </w:rPr>
              <w:t xml:space="preserve"> </w:t>
            </w:r>
            <w:r w:rsidR="00E5076C" w:rsidRPr="009110F7">
              <w:rPr>
                <w:rFonts w:cs="Arial"/>
                <w:szCs w:val="20"/>
              </w:rPr>
              <w:t xml:space="preserve">letos netradičně hlavně zásluhou růstu v kategorii stavebně upravené nebytové prostory (ve Středočeském </w:t>
            </w:r>
            <w:r w:rsidR="00716F48" w:rsidRPr="009110F7">
              <w:rPr>
                <w:rFonts w:cs="Arial"/>
                <w:szCs w:val="20"/>
              </w:rPr>
              <w:t>a </w:t>
            </w:r>
            <w:r w:rsidR="00E5076C" w:rsidRPr="009110F7">
              <w:rPr>
                <w:rFonts w:cs="Arial"/>
                <w:szCs w:val="20"/>
              </w:rPr>
              <w:t xml:space="preserve">Ústeckém kraji), přibylo však </w:t>
            </w:r>
            <w:r w:rsidR="00716F48" w:rsidRPr="009110F7">
              <w:rPr>
                <w:rFonts w:cs="Arial"/>
                <w:szCs w:val="20"/>
              </w:rPr>
              <w:t>i </w:t>
            </w:r>
            <w:r w:rsidR="00E5076C" w:rsidRPr="009110F7">
              <w:rPr>
                <w:rFonts w:cs="Arial"/>
                <w:szCs w:val="20"/>
              </w:rPr>
              <w:t xml:space="preserve">bytů v rodinných </w:t>
            </w:r>
            <w:r w:rsidR="00BF1D12" w:rsidRPr="009110F7">
              <w:rPr>
                <w:rFonts w:cs="Arial"/>
                <w:szCs w:val="20"/>
              </w:rPr>
              <w:t>č</w:t>
            </w:r>
            <w:r w:rsidR="00E5076C" w:rsidRPr="009110F7">
              <w:rPr>
                <w:rFonts w:cs="Arial"/>
                <w:szCs w:val="20"/>
              </w:rPr>
              <w:t>i bytových domech.</w:t>
            </w:r>
            <w:r w:rsidR="00D97D00" w:rsidRPr="009110F7">
              <w:rPr>
                <w:rFonts w:cs="Arial"/>
                <w:szCs w:val="20"/>
              </w:rPr>
              <w:t xml:space="preserve"> Přetrvával problém slabé bytové výstavby v Praze, jejíž objem výrazně pokulhával za růstem pra</w:t>
            </w:r>
            <w:r w:rsidR="00882911" w:rsidRPr="009110F7">
              <w:rPr>
                <w:rFonts w:cs="Arial"/>
                <w:szCs w:val="20"/>
              </w:rPr>
              <w:t>covních míst</w:t>
            </w:r>
            <w:r w:rsidR="00D97D00" w:rsidRPr="009110F7">
              <w:rPr>
                <w:rFonts w:cs="Arial"/>
                <w:szCs w:val="20"/>
              </w:rPr>
              <w:t>, resp. počtem nově příchozích obyvatel</w:t>
            </w:r>
            <w:r w:rsidR="00D97D00" w:rsidRPr="009110F7">
              <w:rPr>
                <w:rStyle w:val="Znakapoznpodarou"/>
                <w:szCs w:val="20"/>
              </w:rPr>
              <w:footnoteReference w:id="22"/>
            </w:r>
            <w:r w:rsidR="00BF1D12" w:rsidRPr="009110F7">
              <w:rPr>
                <w:rFonts w:cs="Arial"/>
                <w:szCs w:val="20"/>
              </w:rPr>
              <w:t xml:space="preserve"> </w:t>
            </w:r>
            <w:r w:rsidR="00716F48" w:rsidRPr="009110F7">
              <w:rPr>
                <w:rFonts w:cs="Arial"/>
                <w:szCs w:val="20"/>
              </w:rPr>
              <w:t>a </w:t>
            </w:r>
            <w:r w:rsidR="00BF1D12" w:rsidRPr="009110F7">
              <w:rPr>
                <w:rFonts w:cs="Arial"/>
                <w:szCs w:val="20"/>
              </w:rPr>
              <w:t xml:space="preserve">přispíval k rostoucímu </w:t>
            </w:r>
            <w:r w:rsidR="006F440B" w:rsidRPr="009110F7">
              <w:rPr>
                <w:rFonts w:cs="Arial"/>
                <w:szCs w:val="20"/>
              </w:rPr>
              <w:t>napětí na rezi</w:t>
            </w:r>
            <w:r w:rsidR="00BF1D12" w:rsidRPr="009110F7">
              <w:rPr>
                <w:rFonts w:cs="Arial"/>
                <w:szCs w:val="20"/>
              </w:rPr>
              <w:t>de</w:t>
            </w:r>
            <w:r w:rsidR="008117CC">
              <w:rPr>
                <w:rFonts w:cs="Arial"/>
                <w:szCs w:val="20"/>
              </w:rPr>
              <w:t>n</w:t>
            </w:r>
            <w:r w:rsidR="00BF1D12" w:rsidRPr="009110F7">
              <w:rPr>
                <w:rFonts w:cs="Arial"/>
                <w:szCs w:val="20"/>
              </w:rPr>
              <w:t xml:space="preserve">čním trhu. </w:t>
            </w:r>
          </w:p>
        </w:tc>
      </w:tr>
      <w:tr w:rsidR="008C7569" w:rsidRPr="009110F7" w:rsidTr="009B3764">
        <w:trPr>
          <w:trHeight w:val="145"/>
        </w:trPr>
        <w:tc>
          <w:tcPr>
            <w:tcW w:w="1879" w:type="dxa"/>
            <w:gridSpan w:val="2"/>
            <w:shd w:val="clear" w:color="auto" w:fill="auto"/>
            <w:tcMar>
              <w:left w:w="0" w:type="dxa"/>
            </w:tcMar>
          </w:tcPr>
          <w:p w:rsidR="008C7569" w:rsidRPr="009110F7" w:rsidRDefault="00535018" w:rsidP="008417B5">
            <w:pPr>
              <w:pStyle w:val="Marginlie"/>
            </w:pPr>
            <w:r w:rsidRPr="009110F7">
              <w:t xml:space="preserve">Hodnota nových stavebních zakázek vzrostla meziročně o čtvrtinu </w:t>
            </w:r>
            <w:r w:rsidR="00716F48" w:rsidRPr="009110F7">
              <w:t>a </w:t>
            </w:r>
            <w:r w:rsidRPr="009110F7">
              <w:t>sílila již druhým rokem v řadě.</w:t>
            </w:r>
          </w:p>
          <w:p w:rsidR="00535018" w:rsidRPr="009110F7" w:rsidRDefault="00535018" w:rsidP="008417B5">
            <w:pPr>
              <w:pStyle w:val="Marginlie"/>
            </w:pPr>
          </w:p>
          <w:p w:rsidR="00535018" w:rsidRPr="009110F7" w:rsidRDefault="00535018" w:rsidP="008417B5">
            <w:pPr>
              <w:pStyle w:val="Marginlie"/>
            </w:pPr>
          </w:p>
          <w:p w:rsidR="00535018" w:rsidRPr="009110F7" w:rsidRDefault="00535018" w:rsidP="008417B5">
            <w:pPr>
              <w:pStyle w:val="Marginlie"/>
            </w:pPr>
            <w:r w:rsidRPr="009110F7">
              <w:lastRenderedPageBreak/>
              <w:t>Nálada podnikatelů ve stavebnictví se výrazně zlepšila. Saldo důvěry však zůstává stále v mírně negativním pásmu.</w:t>
            </w:r>
          </w:p>
          <w:p w:rsidR="00535018" w:rsidRPr="009110F7" w:rsidRDefault="00535018" w:rsidP="008417B5">
            <w:pPr>
              <w:pStyle w:val="Marginlie"/>
            </w:pPr>
          </w:p>
          <w:p w:rsidR="00535018" w:rsidRPr="009110F7" w:rsidRDefault="00535018" w:rsidP="008417B5">
            <w:pPr>
              <w:pStyle w:val="Marginlie"/>
            </w:pPr>
          </w:p>
          <w:p w:rsidR="00535018" w:rsidRPr="009110F7" w:rsidRDefault="00535018" w:rsidP="008417B5">
            <w:pPr>
              <w:pStyle w:val="Marginlie"/>
            </w:pPr>
          </w:p>
          <w:p w:rsidR="00535018" w:rsidRPr="009110F7" w:rsidRDefault="00535018" w:rsidP="008417B5">
            <w:pPr>
              <w:pStyle w:val="Marginlie"/>
            </w:pPr>
          </w:p>
          <w:p w:rsidR="00535018" w:rsidRPr="009110F7" w:rsidRDefault="00535018" w:rsidP="008417B5">
            <w:pPr>
              <w:pStyle w:val="Marginlie"/>
            </w:pPr>
            <w:r w:rsidRPr="009110F7">
              <w:t>Role nedostatečné poptávky jako bariéry růstu ve stavebnictví za poslední rok částečně ustoupila do pozadí.</w:t>
            </w:r>
          </w:p>
        </w:tc>
        <w:tc>
          <w:tcPr>
            <w:tcW w:w="247" w:type="dxa"/>
            <w:gridSpan w:val="2"/>
            <w:shd w:val="clear" w:color="auto" w:fill="auto"/>
            <w:tcMar>
              <w:left w:w="0" w:type="dxa"/>
            </w:tcMar>
          </w:tcPr>
          <w:p w:rsidR="008C7569" w:rsidRPr="009110F7" w:rsidRDefault="008C7569" w:rsidP="008417B5">
            <w:pPr>
              <w:pStyle w:val="Textpoznpodarou"/>
              <w:jc w:val="both"/>
              <w:rPr>
                <w:spacing w:val="-4"/>
              </w:rPr>
            </w:pPr>
          </w:p>
        </w:tc>
        <w:tc>
          <w:tcPr>
            <w:tcW w:w="7518" w:type="dxa"/>
            <w:shd w:val="clear" w:color="auto" w:fill="auto"/>
            <w:tcMar>
              <w:left w:w="0" w:type="dxa"/>
            </w:tcMar>
          </w:tcPr>
          <w:p w:rsidR="005D4B73" w:rsidRPr="009110F7" w:rsidRDefault="001459BC" w:rsidP="003D242B">
            <w:pPr>
              <w:spacing w:after="200"/>
              <w:rPr>
                <w:rFonts w:cs="Arial"/>
                <w:color w:val="0D0D0D" w:themeColor="text1" w:themeTint="F2"/>
                <w:spacing w:val="-4"/>
              </w:rPr>
            </w:pPr>
            <w:r w:rsidRPr="009110F7">
              <w:rPr>
                <w:rFonts w:cs="Arial"/>
                <w:szCs w:val="20"/>
              </w:rPr>
              <w:t>Hodnota nových zakázek v tuzemsku</w:t>
            </w:r>
            <w:r w:rsidRPr="009110F7">
              <w:rPr>
                <w:rStyle w:val="Znakapoznpodarou"/>
                <w:szCs w:val="20"/>
              </w:rPr>
              <w:footnoteReference w:id="23"/>
            </w:r>
            <w:r w:rsidRPr="009110F7">
              <w:rPr>
                <w:rFonts w:cs="Arial"/>
                <w:szCs w:val="20"/>
              </w:rPr>
              <w:t xml:space="preserve"> sílila již druhým rokem v řadě. </w:t>
            </w:r>
            <w:r w:rsidR="002C27A6" w:rsidRPr="009110F7">
              <w:rPr>
                <w:rFonts w:cs="Arial"/>
                <w:szCs w:val="20"/>
              </w:rPr>
              <w:t>V 1</w:t>
            </w:r>
            <w:r w:rsidR="00716F48" w:rsidRPr="009110F7">
              <w:rPr>
                <w:rFonts w:cs="Arial"/>
                <w:szCs w:val="20"/>
              </w:rPr>
              <w:t>. čtvrt</w:t>
            </w:r>
            <w:r w:rsidR="002C27A6" w:rsidRPr="009110F7">
              <w:rPr>
                <w:rFonts w:cs="Arial"/>
                <w:szCs w:val="20"/>
              </w:rPr>
              <w:t xml:space="preserve">letí vzrostla meziročně </w:t>
            </w:r>
            <w:r w:rsidR="00716F48" w:rsidRPr="009110F7">
              <w:rPr>
                <w:rFonts w:cs="Arial"/>
                <w:szCs w:val="20"/>
              </w:rPr>
              <w:t>o </w:t>
            </w:r>
            <w:r w:rsidR="002C27A6" w:rsidRPr="009110F7">
              <w:rPr>
                <w:rFonts w:cs="Arial"/>
                <w:szCs w:val="20"/>
              </w:rPr>
              <w:t>více než čtvrtinu, k navýšení přisp</w:t>
            </w:r>
            <w:r w:rsidR="006F440B" w:rsidRPr="009110F7">
              <w:rPr>
                <w:rFonts w:cs="Arial"/>
                <w:szCs w:val="20"/>
              </w:rPr>
              <w:t>ělo především inženýrské</w:t>
            </w:r>
            <w:r w:rsidR="002C27A6" w:rsidRPr="009110F7">
              <w:rPr>
                <w:rFonts w:cs="Arial"/>
                <w:szCs w:val="20"/>
              </w:rPr>
              <w:t xml:space="preserve"> stavitelství. </w:t>
            </w:r>
            <w:r w:rsidR="006F440B" w:rsidRPr="009110F7">
              <w:rPr>
                <w:rFonts w:cs="Arial"/>
                <w:szCs w:val="20"/>
              </w:rPr>
              <w:t>Je příz</w:t>
            </w:r>
            <w:r w:rsidR="004E1A40" w:rsidRPr="009110F7">
              <w:rPr>
                <w:rFonts w:cs="Arial"/>
                <w:szCs w:val="20"/>
              </w:rPr>
              <w:t>n</w:t>
            </w:r>
            <w:r w:rsidR="006F440B" w:rsidRPr="009110F7">
              <w:rPr>
                <w:rFonts w:cs="Arial"/>
                <w:szCs w:val="20"/>
              </w:rPr>
              <w:t>i</w:t>
            </w:r>
            <w:r w:rsidR="004E1A40" w:rsidRPr="009110F7">
              <w:rPr>
                <w:rFonts w:cs="Arial"/>
                <w:szCs w:val="20"/>
              </w:rPr>
              <w:t xml:space="preserve">vé, že postupně roste </w:t>
            </w:r>
            <w:r w:rsidR="008B7EF9">
              <w:rPr>
                <w:rFonts w:cs="Arial"/>
                <w:szCs w:val="20"/>
              </w:rPr>
              <w:t xml:space="preserve">i </w:t>
            </w:r>
            <w:r w:rsidR="00A2628E" w:rsidRPr="009110F7">
              <w:rPr>
                <w:rFonts w:cs="Arial"/>
                <w:szCs w:val="20"/>
              </w:rPr>
              <w:t>průměrná</w:t>
            </w:r>
            <w:r w:rsidR="004E1A40" w:rsidRPr="009110F7">
              <w:rPr>
                <w:rFonts w:cs="Arial"/>
                <w:szCs w:val="20"/>
              </w:rPr>
              <w:t xml:space="preserve"> velikost nově uzavřené zakázky. Zatímco ta v roce 2016 </w:t>
            </w:r>
            <w:r w:rsidR="00716F48" w:rsidRPr="009110F7">
              <w:rPr>
                <w:rFonts w:cs="Arial"/>
                <w:szCs w:val="20"/>
              </w:rPr>
              <w:t>a </w:t>
            </w:r>
            <w:r w:rsidR="004E1A40" w:rsidRPr="009110F7">
              <w:rPr>
                <w:rFonts w:cs="Arial"/>
                <w:szCs w:val="20"/>
              </w:rPr>
              <w:t>v prv</w:t>
            </w:r>
            <w:r w:rsidR="00E80CA3" w:rsidRPr="009110F7">
              <w:rPr>
                <w:rFonts w:cs="Arial"/>
                <w:szCs w:val="20"/>
              </w:rPr>
              <w:t>ní polovině roku 2017 oscilovala</w:t>
            </w:r>
            <w:r w:rsidR="004E1A40" w:rsidRPr="009110F7">
              <w:rPr>
                <w:rFonts w:cs="Arial"/>
                <w:szCs w:val="20"/>
              </w:rPr>
              <w:t xml:space="preserve"> kolem </w:t>
            </w:r>
            <w:r w:rsidR="00167CB9" w:rsidRPr="009110F7">
              <w:rPr>
                <w:rFonts w:cs="Arial"/>
                <w:szCs w:val="20"/>
              </w:rPr>
              <w:t>3 </w:t>
            </w:r>
            <w:r w:rsidR="004E1A40" w:rsidRPr="009110F7">
              <w:rPr>
                <w:rFonts w:cs="Arial"/>
                <w:szCs w:val="20"/>
              </w:rPr>
              <w:t>mil. korun, na konc</w:t>
            </w:r>
            <w:r w:rsidR="006F440B" w:rsidRPr="009110F7">
              <w:rPr>
                <w:rFonts w:cs="Arial"/>
                <w:szCs w:val="20"/>
              </w:rPr>
              <w:t>i roku 2017 dos</w:t>
            </w:r>
            <w:r w:rsidR="004E1A40" w:rsidRPr="009110F7">
              <w:rPr>
                <w:rFonts w:cs="Arial"/>
                <w:szCs w:val="20"/>
              </w:rPr>
              <w:t>á</w:t>
            </w:r>
            <w:r w:rsidR="006F440B" w:rsidRPr="009110F7">
              <w:rPr>
                <w:rFonts w:cs="Arial"/>
                <w:szCs w:val="20"/>
              </w:rPr>
              <w:t>h</w:t>
            </w:r>
            <w:r w:rsidR="004E1A40" w:rsidRPr="009110F7">
              <w:rPr>
                <w:rFonts w:cs="Arial"/>
                <w:szCs w:val="20"/>
              </w:rPr>
              <w:t>la 3,</w:t>
            </w:r>
            <w:r w:rsidR="00167CB9" w:rsidRPr="009110F7">
              <w:rPr>
                <w:rFonts w:cs="Arial"/>
                <w:szCs w:val="20"/>
              </w:rPr>
              <w:t>7 </w:t>
            </w:r>
            <w:r w:rsidR="004E1A40" w:rsidRPr="009110F7">
              <w:rPr>
                <w:rFonts w:cs="Arial"/>
                <w:szCs w:val="20"/>
              </w:rPr>
              <w:t xml:space="preserve">mil. </w:t>
            </w:r>
            <w:r w:rsidR="00716F48" w:rsidRPr="009110F7">
              <w:rPr>
                <w:rFonts w:cs="Arial"/>
                <w:szCs w:val="20"/>
              </w:rPr>
              <w:t>a </w:t>
            </w:r>
            <w:r w:rsidR="004E1A40" w:rsidRPr="009110F7">
              <w:rPr>
                <w:rFonts w:cs="Arial"/>
                <w:szCs w:val="20"/>
              </w:rPr>
              <w:t>v následujícím čtvrtletí již 4,</w:t>
            </w:r>
            <w:r w:rsidR="00167CB9" w:rsidRPr="009110F7">
              <w:rPr>
                <w:rFonts w:cs="Arial"/>
                <w:szCs w:val="20"/>
              </w:rPr>
              <w:t>5 </w:t>
            </w:r>
            <w:r w:rsidR="004E1A40" w:rsidRPr="009110F7">
              <w:rPr>
                <w:rFonts w:cs="Arial"/>
                <w:szCs w:val="20"/>
              </w:rPr>
              <w:t>mil</w:t>
            </w:r>
            <w:r w:rsidR="0029237E">
              <w:rPr>
                <w:rFonts w:cs="Arial"/>
                <w:szCs w:val="20"/>
              </w:rPr>
              <w:t>.</w:t>
            </w:r>
            <w:r w:rsidR="0007474E">
              <w:rPr>
                <w:rFonts w:cs="Arial"/>
                <w:szCs w:val="20"/>
              </w:rPr>
              <w:t xml:space="preserve"> korun</w:t>
            </w:r>
            <w:r w:rsidR="004E1A40" w:rsidRPr="009110F7">
              <w:rPr>
                <w:rFonts w:cs="Arial"/>
                <w:szCs w:val="20"/>
              </w:rPr>
              <w:t xml:space="preserve">. </w:t>
            </w:r>
            <w:r w:rsidR="00535018" w:rsidRPr="009110F7">
              <w:rPr>
                <w:rFonts w:cs="Arial"/>
                <w:szCs w:val="20"/>
              </w:rPr>
              <w:t>L</w:t>
            </w:r>
            <w:r w:rsidR="006F440B" w:rsidRPr="009110F7">
              <w:rPr>
                <w:rFonts w:cs="Arial"/>
                <w:szCs w:val="20"/>
              </w:rPr>
              <w:t>e</w:t>
            </w:r>
            <w:r w:rsidR="001705AD" w:rsidRPr="009110F7">
              <w:rPr>
                <w:rFonts w:cs="Arial"/>
                <w:szCs w:val="20"/>
              </w:rPr>
              <w:t>t</w:t>
            </w:r>
            <w:r w:rsidR="006F440B" w:rsidRPr="009110F7">
              <w:rPr>
                <w:rFonts w:cs="Arial"/>
                <w:szCs w:val="20"/>
              </w:rPr>
              <w:t>o</w:t>
            </w:r>
            <w:r w:rsidR="001705AD" w:rsidRPr="009110F7">
              <w:rPr>
                <w:rFonts w:cs="Arial"/>
                <w:szCs w:val="20"/>
              </w:rPr>
              <w:t xml:space="preserve">s se navýšila </w:t>
            </w:r>
            <w:r w:rsidR="007A3CAF">
              <w:rPr>
                <w:rFonts w:cs="Arial"/>
                <w:szCs w:val="20"/>
              </w:rPr>
              <w:t xml:space="preserve">rovněž </w:t>
            </w:r>
            <w:r w:rsidR="001705AD" w:rsidRPr="009110F7">
              <w:rPr>
                <w:rFonts w:cs="Arial"/>
                <w:szCs w:val="20"/>
              </w:rPr>
              <w:t xml:space="preserve">celková zásoba práce, neboť objem všech dosud </w:t>
            </w:r>
            <w:r w:rsidR="001705AD" w:rsidRPr="009110F7">
              <w:rPr>
                <w:rFonts w:cs="Arial"/>
                <w:szCs w:val="20"/>
              </w:rPr>
              <w:lastRenderedPageBreak/>
              <w:t xml:space="preserve">nerealizovaných stavebních zakázek meziročně vzrostl </w:t>
            </w:r>
            <w:r w:rsidR="00716F48" w:rsidRPr="009110F7">
              <w:rPr>
                <w:rFonts w:cs="Arial"/>
                <w:szCs w:val="20"/>
              </w:rPr>
              <w:t>o </w:t>
            </w:r>
            <w:r w:rsidR="00E2009B" w:rsidRPr="009110F7">
              <w:rPr>
                <w:rFonts w:cs="Arial"/>
                <w:szCs w:val="20"/>
              </w:rPr>
              <w:t>osminu (na 15</w:t>
            </w:r>
            <w:r w:rsidR="00167CB9" w:rsidRPr="009110F7">
              <w:rPr>
                <w:rFonts w:cs="Arial"/>
                <w:szCs w:val="20"/>
              </w:rPr>
              <w:t>3 </w:t>
            </w:r>
            <w:r w:rsidR="00E2009B" w:rsidRPr="009110F7">
              <w:rPr>
                <w:rFonts w:cs="Arial"/>
                <w:szCs w:val="20"/>
              </w:rPr>
              <w:t xml:space="preserve">mld. korun), </w:t>
            </w:r>
            <w:r w:rsidR="00716F48" w:rsidRPr="009110F7">
              <w:rPr>
                <w:rFonts w:cs="Arial"/>
                <w:szCs w:val="20"/>
              </w:rPr>
              <w:t>o </w:t>
            </w:r>
            <w:r w:rsidR="00E2009B" w:rsidRPr="009110F7">
              <w:rPr>
                <w:rFonts w:cs="Arial"/>
                <w:szCs w:val="20"/>
              </w:rPr>
              <w:t>což se zasloužily hlavně veřejné zakázky (+18</w:t>
            </w:r>
            <w:r w:rsidR="00167CB9" w:rsidRPr="009110F7">
              <w:rPr>
                <w:rFonts w:cs="Arial"/>
                <w:szCs w:val="20"/>
              </w:rPr>
              <w:t> %</w:t>
            </w:r>
            <w:r w:rsidR="00E2009B" w:rsidRPr="009110F7">
              <w:rPr>
                <w:rFonts w:cs="Arial"/>
                <w:szCs w:val="20"/>
              </w:rPr>
              <w:t>).</w:t>
            </w:r>
            <w:r w:rsidR="00094A84" w:rsidRPr="009110F7">
              <w:rPr>
                <w:rFonts w:cs="Arial"/>
                <w:szCs w:val="20"/>
              </w:rPr>
              <w:t xml:space="preserve"> </w:t>
            </w:r>
            <w:r w:rsidR="00E2009B" w:rsidRPr="009110F7">
              <w:rPr>
                <w:rFonts w:cs="Arial"/>
                <w:szCs w:val="20"/>
              </w:rPr>
              <w:t xml:space="preserve">Naopak stále okrajovější roli </w:t>
            </w:r>
            <w:r w:rsidR="0007474E">
              <w:rPr>
                <w:rFonts w:cs="Arial"/>
                <w:szCs w:val="20"/>
              </w:rPr>
              <w:t>v</w:t>
            </w:r>
            <w:r w:rsidR="00E2009B" w:rsidRPr="009110F7">
              <w:rPr>
                <w:rFonts w:cs="Arial"/>
                <w:szCs w:val="20"/>
              </w:rPr>
              <w:t xml:space="preserve"> rezervoáru práce </w:t>
            </w:r>
            <w:r w:rsidR="0007474E" w:rsidRPr="009110F7">
              <w:rPr>
                <w:rFonts w:cs="Arial"/>
                <w:szCs w:val="20"/>
              </w:rPr>
              <w:t xml:space="preserve">hrají </w:t>
            </w:r>
            <w:r w:rsidR="00E2009B" w:rsidRPr="009110F7">
              <w:rPr>
                <w:rFonts w:cs="Arial"/>
                <w:szCs w:val="20"/>
              </w:rPr>
              <w:t>stavební zakázky v zahraničí</w:t>
            </w:r>
            <w:r w:rsidR="006F440B" w:rsidRPr="009110F7">
              <w:rPr>
                <w:rStyle w:val="Znakapoznpodarou"/>
                <w:szCs w:val="20"/>
              </w:rPr>
              <w:footnoteReference w:id="24"/>
            </w:r>
            <w:r w:rsidR="006F440B" w:rsidRPr="009110F7">
              <w:rPr>
                <w:rFonts w:cs="Arial"/>
                <w:szCs w:val="20"/>
              </w:rPr>
              <w:t>.</w:t>
            </w:r>
            <w:r w:rsidR="00E2009B" w:rsidRPr="009110F7">
              <w:rPr>
                <w:rFonts w:cs="Arial"/>
                <w:szCs w:val="20"/>
              </w:rPr>
              <w:t xml:space="preserve"> </w:t>
            </w:r>
            <w:r w:rsidR="0094416B" w:rsidRPr="009110F7">
              <w:rPr>
                <w:rFonts w:cs="Arial"/>
                <w:szCs w:val="20"/>
              </w:rPr>
              <w:t xml:space="preserve">Vcelku příznivě vyznívá </w:t>
            </w:r>
            <w:r w:rsidR="00716F48" w:rsidRPr="009110F7">
              <w:rPr>
                <w:rFonts w:cs="Arial"/>
                <w:szCs w:val="20"/>
              </w:rPr>
              <w:t>i </w:t>
            </w:r>
            <w:r w:rsidR="0094416B" w:rsidRPr="009110F7">
              <w:rPr>
                <w:rFonts w:cs="Arial"/>
                <w:szCs w:val="20"/>
              </w:rPr>
              <w:t xml:space="preserve">jiný předstihový ukazatel – hodnota </w:t>
            </w:r>
            <w:r w:rsidR="003D242B" w:rsidRPr="009110F7">
              <w:rPr>
                <w:rFonts w:cs="Arial"/>
                <w:szCs w:val="20"/>
              </w:rPr>
              <w:t>uzavřených</w:t>
            </w:r>
            <w:r w:rsidR="0094416B" w:rsidRPr="009110F7">
              <w:rPr>
                <w:rFonts w:cs="Arial"/>
                <w:szCs w:val="20"/>
              </w:rPr>
              <w:t xml:space="preserve"> stave</w:t>
            </w:r>
            <w:r w:rsidR="003D242B" w:rsidRPr="009110F7">
              <w:rPr>
                <w:rFonts w:cs="Arial"/>
                <w:szCs w:val="20"/>
              </w:rPr>
              <w:t>b</w:t>
            </w:r>
            <w:r w:rsidR="0094416B" w:rsidRPr="009110F7">
              <w:rPr>
                <w:rFonts w:cs="Arial"/>
                <w:szCs w:val="20"/>
              </w:rPr>
              <w:t>ních povolení. Její mírný meziroční pokles (</w:t>
            </w:r>
            <w:r w:rsidR="00CA37FF">
              <w:rPr>
                <w:rFonts w:cs="Arial"/>
                <w:szCs w:val="20"/>
              </w:rPr>
              <w:t>-</w:t>
            </w:r>
            <w:r w:rsidR="0094416B" w:rsidRPr="009110F7">
              <w:rPr>
                <w:rFonts w:cs="Arial"/>
                <w:szCs w:val="20"/>
              </w:rPr>
              <w:t>2,8</w:t>
            </w:r>
            <w:r w:rsidR="00167CB9" w:rsidRPr="009110F7">
              <w:rPr>
                <w:rFonts w:cs="Arial"/>
                <w:szCs w:val="20"/>
              </w:rPr>
              <w:t> %</w:t>
            </w:r>
            <w:r w:rsidR="0094416B" w:rsidRPr="009110F7">
              <w:rPr>
                <w:rFonts w:cs="Arial"/>
                <w:szCs w:val="20"/>
              </w:rPr>
              <w:t>) byl způsoben nestandardně vysokou loňskou základnou u nebytových budov</w:t>
            </w:r>
            <w:r w:rsidR="0094416B" w:rsidRPr="009110F7">
              <w:rPr>
                <w:rStyle w:val="Znakapoznpodarou"/>
                <w:szCs w:val="20"/>
              </w:rPr>
              <w:footnoteReference w:id="25"/>
            </w:r>
            <w:r w:rsidR="0094416B" w:rsidRPr="009110F7">
              <w:rPr>
                <w:rFonts w:cs="Arial"/>
                <w:szCs w:val="20"/>
              </w:rPr>
              <w:t>.</w:t>
            </w:r>
            <w:r w:rsidR="003D242B" w:rsidRPr="009110F7">
              <w:rPr>
                <w:rFonts w:cs="Arial"/>
                <w:szCs w:val="20"/>
              </w:rPr>
              <w:t xml:space="preserve"> V ostatních kategoriích již byla hodnota povolených staveb meziročně vyšší. </w:t>
            </w:r>
            <w:r w:rsidR="003D242B" w:rsidRPr="009110F7">
              <w:rPr>
                <w:rFonts w:cs="Arial"/>
                <w:color w:val="0D0D0D" w:themeColor="text1" w:themeTint="F2"/>
                <w:spacing w:val="-4"/>
              </w:rPr>
              <w:t xml:space="preserve">Sezónně očištěné saldo indikátoru důvěry signalizované stavebními podniky setrvalo </w:t>
            </w:r>
            <w:r w:rsidR="00716F48" w:rsidRPr="009110F7">
              <w:rPr>
                <w:rFonts w:cs="Arial"/>
                <w:color w:val="0D0D0D" w:themeColor="text1" w:themeTint="F2"/>
                <w:spacing w:val="-4"/>
              </w:rPr>
              <w:t>i </w:t>
            </w:r>
            <w:r w:rsidR="003D242B" w:rsidRPr="009110F7">
              <w:rPr>
                <w:rFonts w:cs="Arial"/>
                <w:color w:val="0D0D0D" w:themeColor="text1" w:themeTint="F2"/>
                <w:spacing w:val="-4"/>
              </w:rPr>
              <w:t>v dubnu v záporném pásmu (</w:t>
            </w:r>
            <w:r w:rsidR="00CA37FF">
              <w:rPr>
                <w:rFonts w:cs="Arial"/>
                <w:color w:val="0D0D0D" w:themeColor="text1" w:themeTint="F2"/>
                <w:spacing w:val="-4"/>
              </w:rPr>
              <w:t>-</w:t>
            </w:r>
            <w:r w:rsidR="003D242B" w:rsidRPr="009110F7">
              <w:rPr>
                <w:rFonts w:cs="Arial"/>
                <w:color w:val="0D0D0D" w:themeColor="text1" w:themeTint="F2"/>
                <w:spacing w:val="-4"/>
              </w:rPr>
              <w:t>5,</w:t>
            </w:r>
            <w:r w:rsidR="00167CB9" w:rsidRPr="009110F7">
              <w:rPr>
                <w:rFonts w:cs="Arial"/>
                <w:color w:val="0D0D0D" w:themeColor="text1" w:themeTint="F2"/>
                <w:spacing w:val="-4"/>
              </w:rPr>
              <w:t>5 </w:t>
            </w:r>
            <w:r w:rsidR="003D242B" w:rsidRPr="009110F7">
              <w:rPr>
                <w:rFonts w:cs="Arial"/>
                <w:color w:val="0D0D0D" w:themeColor="text1" w:themeTint="F2"/>
                <w:spacing w:val="-4"/>
              </w:rPr>
              <w:t xml:space="preserve">bodu), již rok </w:t>
            </w:r>
            <w:r w:rsidR="00716F48" w:rsidRPr="009110F7">
              <w:rPr>
                <w:rFonts w:cs="Arial"/>
                <w:color w:val="0D0D0D" w:themeColor="text1" w:themeTint="F2"/>
                <w:spacing w:val="-4"/>
              </w:rPr>
              <w:t>a </w:t>
            </w:r>
            <w:r w:rsidR="003D242B" w:rsidRPr="009110F7">
              <w:rPr>
                <w:rFonts w:cs="Arial"/>
                <w:color w:val="0D0D0D" w:themeColor="text1" w:themeTint="F2"/>
                <w:spacing w:val="-4"/>
              </w:rPr>
              <w:t xml:space="preserve">půl ale pokračoval trend postupného zlepšování. Letošní hodnota salda byla nejlepší od konce roku 2008. Tomu odpovídal </w:t>
            </w:r>
            <w:r w:rsidR="00716F48" w:rsidRPr="009110F7">
              <w:rPr>
                <w:rFonts w:cs="Arial"/>
                <w:color w:val="0D0D0D" w:themeColor="text1" w:themeTint="F2"/>
                <w:spacing w:val="-4"/>
              </w:rPr>
              <w:t>i </w:t>
            </w:r>
            <w:r w:rsidR="003D242B" w:rsidRPr="009110F7">
              <w:rPr>
                <w:rFonts w:cs="Arial"/>
                <w:color w:val="0D0D0D" w:themeColor="text1" w:themeTint="F2"/>
                <w:spacing w:val="-4"/>
              </w:rPr>
              <w:t>pokles podílu podniků považujících nedostatečnou poptávku za bariéru růstu (38</w:t>
            </w:r>
            <w:r w:rsidR="00167CB9" w:rsidRPr="009110F7">
              <w:rPr>
                <w:rFonts w:cs="Arial"/>
                <w:color w:val="0D0D0D" w:themeColor="text1" w:themeTint="F2"/>
                <w:spacing w:val="-4"/>
              </w:rPr>
              <w:t> %</w:t>
            </w:r>
            <w:r w:rsidR="003D242B" w:rsidRPr="009110F7">
              <w:rPr>
                <w:rFonts w:cs="Arial"/>
                <w:color w:val="0D0D0D" w:themeColor="text1" w:themeTint="F2"/>
                <w:spacing w:val="-4"/>
              </w:rPr>
              <w:t xml:space="preserve"> na počátku 2</w:t>
            </w:r>
            <w:r w:rsidR="00716F48" w:rsidRPr="009110F7">
              <w:rPr>
                <w:rFonts w:cs="Arial"/>
                <w:color w:val="0D0D0D" w:themeColor="text1" w:themeTint="F2"/>
                <w:spacing w:val="-4"/>
              </w:rPr>
              <w:t>. čtvrt</w:t>
            </w:r>
            <w:r w:rsidR="003D242B" w:rsidRPr="009110F7">
              <w:rPr>
                <w:rFonts w:cs="Arial"/>
                <w:color w:val="0D0D0D" w:themeColor="text1" w:themeTint="F2"/>
                <w:spacing w:val="-4"/>
              </w:rPr>
              <w:t xml:space="preserve">letí 2018, </w:t>
            </w:r>
            <w:r w:rsidR="00716F48" w:rsidRPr="009110F7">
              <w:rPr>
                <w:rFonts w:cs="Arial"/>
                <w:color w:val="0D0D0D" w:themeColor="text1" w:themeTint="F2"/>
                <w:spacing w:val="-4"/>
              </w:rPr>
              <w:t>o </w:t>
            </w:r>
            <w:r w:rsidR="003D242B" w:rsidRPr="009110F7">
              <w:rPr>
                <w:rFonts w:cs="Arial"/>
                <w:color w:val="0D0D0D" w:themeColor="text1" w:themeTint="F2"/>
                <w:spacing w:val="-4"/>
              </w:rPr>
              <w:t>rok dříve 54</w:t>
            </w:r>
            <w:r w:rsidR="00167CB9" w:rsidRPr="009110F7">
              <w:rPr>
                <w:rFonts w:cs="Arial"/>
                <w:color w:val="0D0D0D" w:themeColor="text1" w:themeTint="F2"/>
                <w:spacing w:val="-4"/>
              </w:rPr>
              <w:t> %</w:t>
            </w:r>
            <w:r w:rsidR="003D242B" w:rsidRPr="009110F7">
              <w:rPr>
                <w:rFonts w:cs="Arial"/>
                <w:color w:val="0D0D0D" w:themeColor="text1" w:themeTint="F2"/>
                <w:spacing w:val="-4"/>
              </w:rPr>
              <w:t xml:space="preserve">). Za stejné období se naopak téměř zdvojnásobil podíl podniků, jež trápí nedostatek pracovní síly (až na 28 %). Celková zaměstnanost ve stavebnictví se po </w:t>
            </w:r>
            <w:r w:rsidR="00760391" w:rsidRPr="009110F7">
              <w:rPr>
                <w:rFonts w:cs="Arial"/>
                <w:color w:val="0D0D0D" w:themeColor="text1" w:themeTint="F2"/>
                <w:spacing w:val="-4"/>
              </w:rPr>
              <w:t>útlumových letech stabilizovala</w:t>
            </w:r>
            <w:r w:rsidR="003D242B" w:rsidRPr="009110F7">
              <w:rPr>
                <w:rFonts w:cs="Arial"/>
                <w:color w:val="0D0D0D" w:themeColor="text1" w:themeTint="F2"/>
                <w:spacing w:val="-4"/>
              </w:rPr>
              <w:t>.</w:t>
            </w:r>
          </w:p>
        </w:tc>
      </w:tr>
      <w:tr w:rsidR="008C7569" w:rsidRPr="009110F7" w:rsidTr="009B3764">
        <w:trPr>
          <w:trHeight w:val="145"/>
        </w:trPr>
        <w:tc>
          <w:tcPr>
            <w:tcW w:w="1879" w:type="dxa"/>
            <w:gridSpan w:val="2"/>
            <w:shd w:val="clear" w:color="auto" w:fill="auto"/>
            <w:tcMar>
              <w:left w:w="0" w:type="dxa"/>
            </w:tcMar>
          </w:tcPr>
          <w:p w:rsidR="008C7569" w:rsidRPr="009110F7" w:rsidRDefault="009B3764" w:rsidP="008417B5">
            <w:pPr>
              <w:pStyle w:val="Marginlie"/>
            </w:pPr>
            <w:r w:rsidRPr="009110F7">
              <w:lastRenderedPageBreak/>
              <w:t>Stavební produkce v </w:t>
            </w:r>
            <w:r w:rsidR="0007474E">
              <w:t>Č</w:t>
            </w:r>
            <w:r w:rsidRPr="009110F7">
              <w:t xml:space="preserve">esku rostla letos výrazně rychleji než </w:t>
            </w:r>
            <w:r w:rsidR="0007474E">
              <w:t>v </w:t>
            </w:r>
            <w:r w:rsidRPr="009110F7">
              <w:t xml:space="preserve">EU. V letech 2016 i 2017 tomu bylo naopak. </w:t>
            </w:r>
          </w:p>
        </w:tc>
        <w:tc>
          <w:tcPr>
            <w:tcW w:w="247" w:type="dxa"/>
            <w:gridSpan w:val="2"/>
            <w:shd w:val="clear" w:color="auto" w:fill="auto"/>
            <w:tcMar>
              <w:left w:w="0" w:type="dxa"/>
            </w:tcMar>
          </w:tcPr>
          <w:p w:rsidR="008C7569" w:rsidRPr="009110F7" w:rsidRDefault="008C7569" w:rsidP="008417B5">
            <w:pPr>
              <w:pStyle w:val="Textpoznpodarou"/>
              <w:jc w:val="both"/>
              <w:rPr>
                <w:spacing w:val="-4"/>
              </w:rPr>
            </w:pPr>
          </w:p>
        </w:tc>
        <w:tc>
          <w:tcPr>
            <w:tcW w:w="7518" w:type="dxa"/>
            <w:shd w:val="clear" w:color="auto" w:fill="auto"/>
            <w:tcMar>
              <w:left w:w="0" w:type="dxa"/>
            </w:tcMar>
          </w:tcPr>
          <w:p w:rsidR="008C7569" w:rsidRPr="009110F7" w:rsidRDefault="009651C7" w:rsidP="00292997">
            <w:pPr>
              <w:spacing w:after="200"/>
              <w:rPr>
                <w:rFonts w:cs="Arial"/>
                <w:szCs w:val="20"/>
              </w:rPr>
            </w:pPr>
            <w:r w:rsidRPr="009110F7">
              <w:rPr>
                <w:rFonts w:cs="Arial"/>
                <w:szCs w:val="20"/>
              </w:rPr>
              <w:t>Stavební produkce v EU vzrostla v 1</w:t>
            </w:r>
            <w:r w:rsidR="00716F48" w:rsidRPr="009110F7">
              <w:rPr>
                <w:rFonts w:cs="Arial"/>
                <w:szCs w:val="20"/>
              </w:rPr>
              <w:t>. čtvrt</w:t>
            </w:r>
            <w:r w:rsidRPr="009110F7">
              <w:rPr>
                <w:rFonts w:cs="Arial"/>
                <w:szCs w:val="20"/>
              </w:rPr>
              <w:t xml:space="preserve">letí meziročně </w:t>
            </w:r>
            <w:r w:rsidR="00716F48" w:rsidRPr="009110F7">
              <w:rPr>
                <w:rFonts w:cs="Arial"/>
                <w:szCs w:val="20"/>
              </w:rPr>
              <w:t>o </w:t>
            </w:r>
            <w:r w:rsidRPr="009110F7">
              <w:rPr>
                <w:rFonts w:cs="Arial"/>
                <w:szCs w:val="20"/>
              </w:rPr>
              <w:t>1,2</w:t>
            </w:r>
            <w:r w:rsidR="00167CB9" w:rsidRPr="009110F7">
              <w:rPr>
                <w:rFonts w:cs="Arial"/>
                <w:szCs w:val="20"/>
              </w:rPr>
              <w:t> %</w:t>
            </w:r>
            <w:r w:rsidRPr="009110F7">
              <w:rPr>
                <w:rFonts w:cs="Arial"/>
                <w:szCs w:val="20"/>
              </w:rPr>
              <w:t xml:space="preserve">. </w:t>
            </w:r>
            <w:r w:rsidR="00A722F9" w:rsidRPr="009110F7">
              <w:rPr>
                <w:rFonts w:cs="Arial"/>
                <w:szCs w:val="20"/>
              </w:rPr>
              <w:t>Navzdory silnému</w:t>
            </w:r>
            <w:r w:rsidRPr="009110F7">
              <w:rPr>
                <w:rFonts w:cs="Arial"/>
                <w:szCs w:val="20"/>
              </w:rPr>
              <w:t xml:space="preserve"> tempu</w:t>
            </w:r>
            <w:r w:rsidR="00A722F9" w:rsidRPr="009110F7">
              <w:rPr>
                <w:rFonts w:cs="Arial"/>
                <w:szCs w:val="20"/>
              </w:rPr>
              <w:t xml:space="preserve"> produkce v Česku dosáhla většina novějších členských států EU ještě vyšší dynamiky. </w:t>
            </w:r>
            <w:r w:rsidRPr="009110F7">
              <w:rPr>
                <w:rFonts w:cs="Arial"/>
                <w:szCs w:val="20"/>
              </w:rPr>
              <w:t xml:space="preserve">Výkony stavebnictví v zemích střední </w:t>
            </w:r>
            <w:r w:rsidR="00716F48" w:rsidRPr="009110F7">
              <w:rPr>
                <w:rFonts w:cs="Arial"/>
                <w:szCs w:val="20"/>
              </w:rPr>
              <w:t>a </w:t>
            </w:r>
            <w:r w:rsidRPr="009110F7">
              <w:rPr>
                <w:rFonts w:cs="Arial"/>
                <w:szCs w:val="20"/>
              </w:rPr>
              <w:t>východní Evropy</w:t>
            </w:r>
            <w:r w:rsidR="00292997" w:rsidRPr="009110F7">
              <w:rPr>
                <w:rFonts w:cs="Arial"/>
                <w:szCs w:val="20"/>
              </w:rPr>
              <w:t xml:space="preserve"> se vyznačují </w:t>
            </w:r>
            <w:r w:rsidRPr="009110F7">
              <w:rPr>
                <w:rFonts w:cs="Arial"/>
                <w:szCs w:val="20"/>
              </w:rPr>
              <w:t xml:space="preserve">rozkolísaností vlivem nepravidelností v čerpání </w:t>
            </w:r>
            <w:r w:rsidR="00292997" w:rsidRPr="009110F7">
              <w:rPr>
                <w:rFonts w:cs="Arial"/>
                <w:szCs w:val="20"/>
              </w:rPr>
              <w:t>u</w:t>
            </w:r>
            <w:r w:rsidRPr="009110F7">
              <w:rPr>
                <w:rFonts w:cs="Arial"/>
                <w:szCs w:val="20"/>
              </w:rPr>
              <w:t xml:space="preserve">nijních prostředků na infrastrukturní projekty. </w:t>
            </w:r>
            <w:r w:rsidR="002E196A" w:rsidRPr="009110F7">
              <w:rPr>
                <w:rFonts w:cs="Arial"/>
                <w:szCs w:val="20"/>
              </w:rPr>
              <w:t xml:space="preserve">V letech </w:t>
            </w:r>
            <w:r w:rsidR="00292997" w:rsidRPr="009110F7">
              <w:rPr>
                <w:rFonts w:cs="Arial"/>
                <w:szCs w:val="20"/>
              </w:rPr>
              <w:t xml:space="preserve">2016 </w:t>
            </w:r>
            <w:r w:rsidR="00716F48" w:rsidRPr="009110F7">
              <w:rPr>
                <w:rFonts w:cs="Arial"/>
                <w:szCs w:val="20"/>
              </w:rPr>
              <w:t>i </w:t>
            </w:r>
            <w:r w:rsidR="00292997" w:rsidRPr="009110F7">
              <w:rPr>
                <w:rFonts w:cs="Arial"/>
                <w:szCs w:val="20"/>
              </w:rPr>
              <w:t xml:space="preserve">2017 </w:t>
            </w:r>
            <w:r w:rsidR="0029237E">
              <w:rPr>
                <w:rFonts w:cs="Arial"/>
                <w:szCs w:val="20"/>
              </w:rPr>
              <w:t xml:space="preserve">ale </w:t>
            </w:r>
            <w:r w:rsidR="00292997" w:rsidRPr="009110F7">
              <w:rPr>
                <w:rFonts w:cs="Arial"/>
                <w:szCs w:val="20"/>
              </w:rPr>
              <w:t>stavebn</w:t>
            </w:r>
            <w:r w:rsidR="002E196A" w:rsidRPr="009110F7">
              <w:rPr>
                <w:rFonts w:cs="Arial"/>
                <w:szCs w:val="20"/>
              </w:rPr>
              <w:t xml:space="preserve">í </w:t>
            </w:r>
            <w:r w:rsidR="00292997" w:rsidRPr="009110F7">
              <w:rPr>
                <w:rFonts w:cs="Arial"/>
                <w:szCs w:val="20"/>
              </w:rPr>
              <w:t xml:space="preserve">produkce </w:t>
            </w:r>
            <w:r w:rsidR="002E196A" w:rsidRPr="009110F7">
              <w:rPr>
                <w:rFonts w:cs="Arial"/>
                <w:szCs w:val="20"/>
              </w:rPr>
              <w:t>v ČR, podobně jako v mnohých ekonomicky slabších členských zemí</w:t>
            </w:r>
            <w:r w:rsidR="0007474E">
              <w:rPr>
                <w:rFonts w:cs="Arial"/>
                <w:szCs w:val="20"/>
              </w:rPr>
              <w:t>ch</w:t>
            </w:r>
            <w:r w:rsidR="002E196A" w:rsidRPr="009110F7">
              <w:rPr>
                <w:rFonts w:cs="Arial"/>
                <w:szCs w:val="20"/>
              </w:rPr>
              <w:t xml:space="preserve"> Unie</w:t>
            </w:r>
            <w:r w:rsidR="00292997" w:rsidRPr="009110F7">
              <w:rPr>
                <w:rFonts w:cs="Arial"/>
                <w:szCs w:val="20"/>
              </w:rPr>
              <w:t>,</w:t>
            </w:r>
            <w:r w:rsidR="002E196A" w:rsidRPr="009110F7">
              <w:rPr>
                <w:rFonts w:cs="Arial"/>
                <w:szCs w:val="20"/>
              </w:rPr>
              <w:t xml:space="preserve"> za růstovými tempy</w:t>
            </w:r>
            <w:r w:rsidR="00292997" w:rsidRPr="009110F7">
              <w:rPr>
                <w:rFonts w:cs="Arial"/>
                <w:szCs w:val="20"/>
              </w:rPr>
              <w:t xml:space="preserve"> EU zaostala</w:t>
            </w:r>
            <w:r w:rsidR="002E196A" w:rsidRPr="009110F7">
              <w:rPr>
                <w:rFonts w:cs="Arial"/>
                <w:szCs w:val="20"/>
              </w:rPr>
              <w:t>.</w:t>
            </w:r>
          </w:p>
        </w:tc>
      </w:tr>
      <w:tr w:rsidR="00E930A1" w:rsidRPr="009110F7" w:rsidTr="009B3764">
        <w:trPr>
          <w:trHeight w:val="145"/>
        </w:trPr>
        <w:tc>
          <w:tcPr>
            <w:tcW w:w="1879" w:type="dxa"/>
            <w:gridSpan w:val="2"/>
            <w:shd w:val="clear" w:color="auto" w:fill="auto"/>
            <w:tcMar>
              <w:left w:w="0" w:type="dxa"/>
            </w:tcMar>
          </w:tcPr>
          <w:p w:rsidR="00E930A1" w:rsidRPr="009110F7" w:rsidRDefault="00E930A1" w:rsidP="00EA513E">
            <w:pPr>
              <w:pStyle w:val="Marginlie"/>
            </w:pPr>
          </w:p>
        </w:tc>
        <w:tc>
          <w:tcPr>
            <w:tcW w:w="247" w:type="dxa"/>
            <w:gridSpan w:val="2"/>
            <w:shd w:val="clear" w:color="auto" w:fill="auto"/>
            <w:tcMar>
              <w:left w:w="0" w:type="dxa"/>
            </w:tcMar>
          </w:tcPr>
          <w:p w:rsidR="00E930A1" w:rsidRPr="009110F7" w:rsidRDefault="00E930A1" w:rsidP="00EA513E">
            <w:pPr>
              <w:pStyle w:val="Textpoznpodarou"/>
              <w:jc w:val="both"/>
              <w:rPr>
                <w:spacing w:val="-4"/>
              </w:rPr>
            </w:pPr>
          </w:p>
        </w:tc>
        <w:tc>
          <w:tcPr>
            <w:tcW w:w="7518" w:type="dxa"/>
            <w:shd w:val="clear" w:color="auto" w:fill="auto"/>
            <w:tcMar>
              <w:left w:w="0" w:type="dxa"/>
            </w:tcMar>
          </w:tcPr>
          <w:p w:rsidR="002E3BEE" w:rsidRPr="009110F7" w:rsidRDefault="00B8561A" w:rsidP="002E3BEE">
            <w:pPr>
              <w:pStyle w:val="Textpoznpodarou"/>
              <w:rPr>
                <w:b/>
                <w:spacing w:val="-2"/>
              </w:rPr>
            </w:pPr>
            <w:r>
              <w:rPr>
                <w:b/>
              </w:rPr>
              <w:t>Graf </w:t>
            </w:r>
            <w:r w:rsidR="00167CB9" w:rsidRPr="009110F7">
              <w:rPr>
                <w:b/>
              </w:rPr>
              <w:t>č. </w:t>
            </w:r>
            <w:r w:rsidR="00716F48" w:rsidRPr="009110F7">
              <w:rPr>
                <w:b/>
              </w:rPr>
              <w:t>8</w:t>
            </w:r>
            <w:r w:rsidR="00053713">
              <w:rPr>
                <w:b/>
              </w:rPr>
              <w:t xml:space="preserve">  </w:t>
            </w:r>
            <w:r w:rsidR="002E3BEE" w:rsidRPr="009110F7">
              <w:rPr>
                <w:b/>
                <w:spacing w:val="-2"/>
              </w:rPr>
              <w:t xml:space="preserve">Tržby za maloobchod </w:t>
            </w:r>
            <w:r w:rsidR="00716F48" w:rsidRPr="009110F7">
              <w:rPr>
                <w:b/>
                <w:spacing w:val="-2"/>
              </w:rPr>
              <w:t>a </w:t>
            </w:r>
            <w:r w:rsidR="002E3BEE" w:rsidRPr="009110F7">
              <w:rPr>
                <w:b/>
                <w:spacing w:val="-2"/>
              </w:rPr>
              <w:t xml:space="preserve">prodej </w:t>
            </w:r>
            <w:r w:rsidR="00716F48" w:rsidRPr="009110F7">
              <w:rPr>
                <w:b/>
                <w:spacing w:val="-2"/>
              </w:rPr>
              <w:t>a </w:t>
            </w:r>
            <w:r w:rsidR="002E3BEE" w:rsidRPr="009110F7">
              <w:rPr>
                <w:b/>
                <w:spacing w:val="-2"/>
              </w:rPr>
              <w:t>opravy motorových vozidel</w:t>
            </w:r>
          </w:p>
          <w:p w:rsidR="00E930A1" w:rsidRPr="009110F7" w:rsidRDefault="002E3BEE" w:rsidP="002E3BEE">
            <w:pPr>
              <w:pStyle w:val="Textpoznpodarou"/>
            </w:pPr>
            <w:r w:rsidRPr="009110F7">
              <w:rPr>
                <w:bCs/>
                <w:spacing w:val="-2"/>
              </w:rPr>
              <w:t xml:space="preserve">(reálně, </w:t>
            </w:r>
            <w:r w:rsidRPr="009110F7">
              <w:rPr>
                <w:rFonts w:cs="Arial"/>
                <w:spacing w:val="-2"/>
              </w:rPr>
              <w:t xml:space="preserve">očištěno od vlivu počtu pracovních dnů, </w:t>
            </w:r>
            <w:r w:rsidRPr="009110F7">
              <w:rPr>
                <w:spacing w:val="-2"/>
              </w:rPr>
              <w:t>meziročně</w:t>
            </w:r>
            <w:r w:rsidRPr="009110F7">
              <w:rPr>
                <w:bCs/>
                <w:spacing w:val="-2"/>
              </w:rPr>
              <w:t xml:space="preserve"> v</w:t>
            </w:r>
            <w:r w:rsidR="00167CB9" w:rsidRPr="009110F7">
              <w:rPr>
                <w:bCs/>
                <w:spacing w:val="-2"/>
              </w:rPr>
              <w:t> %</w:t>
            </w:r>
            <w:r w:rsidRPr="009110F7">
              <w:rPr>
                <w:bCs/>
                <w:spacing w:val="-2"/>
              </w:rPr>
              <w:t>)</w:t>
            </w:r>
          </w:p>
        </w:tc>
      </w:tr>
      <w:tr w:rsidR="00E930A1" w:rsidRPr="009110F7" w:rsidTr="009B3764">
        <w:trPr>
          <w:trHeight w:val="145"/>
        </w:trPr>
        <w:tc>
          <w:tcPr>
            <w:tcW w:w="1879" w:type="dxa"/>
            <w:gridSpan w:val="2"/>
            <w:shd w:val="clear" w:color="auto" w:fill="auto"/>
            <w:tcMar>
              <w:left w:w="0" w:type="dxa"/>
            </w:tcMar>
          </w:tcPr>
          <w:p w:rsidR="00E930A1" w:rsidRPr="009110F7" w:rsidRDefault="00E930A1" w:rsidP="00EA513E">
            <w:pPr>
              <w:pStyle w:val="Marginlie"/>
            </w:pPr>
          </w:p>
        </w:tc>
        <w:tc>
          <w:tcPr>
            <w:tcW w:w="247" w:type="dxa"/>
            <w:gridSpan w:val="2"/>
            <w:shd w:val="clear" w:color="auto" w:fill="auto"/>
            <w:tcMar>
              <w:left w:w="0" w:type="dxa"/>
            </w:tcMar>
          </w:tcPr>
          <w:p w:rsidR="00E930A1" w:rsidRPr="009110F7" w:rsidRDefault="00E930A1" w:rsidP="00EA513E">
            <w:pPr>
              <w:pStyle w:val="Textpoznpodarou"/>
              <w:jc w:val="both"/>
              <w:rPr>
                <w:spacing w:val="-4"/>
              </w:rPr>
            </w:pPr>
          </w:p>
        </w:tc>
        <w:tc>
          <w:tcPr>
            <w:tcW w:w="7518" w:type="dxa"/>
            <w:shd w:val="clear" w:color="auto" w:fill="auto"/>
            <w:tcMar>
              <w:left w:w="0" w:type="dxa"/>
            </w:tcMar>
          </w:tcPr>
          <w:p w:rsidR="00E930A1" w:rsidRPr="009110F7" w:rsidRDefault="002E3BEE" w:rsidP="00EA513E">
            <w:pPr>
              <w:spacing w:after="0" w:line="240" w:lineRule="auto"/>
              <w:rPr>
                <w:spacing w:val="-2"/>
                <w:szCs w:val="20"/>
              </w:rPr>
            </w:pPr>
            <w:r w:rsidRPr="009110F7">
              <w:rPr>
                <w:noProof/>
                <w:spacing w:val="-2"/>
                <w:szCs w:val="20"/>
              </w:rPr>
              <w:drawing>
                <wp:inline distT="0" distB="0" distL="0" distR="0">
                  <wp:extent cx="4736399" cy="3514299"/>
                  <wp:effectExtent l="19050" t="0" r="7051" b="0"/>
                  <wp:docPr id="2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E930A1" w:rsidRPr="009110F7" w:rsidTr="00203CD5">
        <w:trPr>
          <w:trHeight w:val="145"/>
        </w:trPr>
        <w:tc>
          <w:tcPr>
            <w:tcW w:w="1879" w:type="dxa"/>
            <w:gridSpan w:val="2"/>
            <w:shd w:val="clear" w:color="auto" w:fill="auto"/>
            <w:tcMar>
              <w:left w:w="0" w:type="dxa"/>
            </w:tcMar>
          </w:tcPr>
          <w:p w:rsidR="00E930A1" w:rsidRPr="009110F7" w:rsidRDefault="00E930A1" w:rsidP="00EA513E">
            <w:pPr>
              <w:pStyle w:val="Marginlie"/>
            </w:pPr>
          </w:p>
        </w:tc>
        <w:tc>
          <w:tcPr>
            <w:tcW w:w="247" w:type="dxa"/>
            <w:gridSpan w:val="2"/>
            <w:shd w:val="clear" w:color="auto" w:fill="auto"/>
            <w:tcMar>
              <w:left w:w="0" w:type="dxa"/>
            </w:tcMar>
          </w:tcPr>
          <w:p w:rsidR="00E930A1" w:rsidRPr="009110F7" w:rsidRDefault="00E930A1" w:rsidP="00EA513E">
            <w:pPr>
              <w:pStyle w:val="Textpoznpodarou"/>
              <w:jc w:val="both"/>
              <w:rPr>
                <w:spacing w:val="-4"/>
              </w:rPr>
            </w:pPr>
          </w:p>
        </w:tc>
        <w:tc>
          <w:tcPr>
            <w:tcW w:w="7518" w:type="dxa"/>
            <w:shd w:val="clear" w:color="auto" w:fill="auto"/>
            <w:tcMar>
              <w:left w:w="0" w:type="dxa"/>
            </w:tcMar>
          </w:tcPr>
          <w:p w:rsidR="00E930A1" w:rsidRPr="009110F7" w:rsidRDefault="00E930A1" w:rsidP="00EA513E">
            <w:pPr>
              <w:spacing w:after="200"/>
              <w:jc w:val="left"/>
              <w:rPr>
                <w:spacing w:val="-2"/>
                <w:szCs w:val="20"/>
              </w:rPr>
            </w:pPr>
            <w:r w:rsidRPr="009110F7">
              <w:rPr>
                <w:rFonts w:cs="Arial"/>
                <w:sz w:val="14"/>
                <w:szCs w:val="14"/>
              </w:rPr>
              <w:t>Zdroj: ČSÚ</w:t>
            </w:r>
          </w:p>
        </w:tc>
      </w:tr>
      <w:tr w:rsidR="008C7569" w:rsidRPr="009110F7" w:rsidTr="00203CD5">
        <w:trPr>
          <w:trHeight w:val="145"/>
        </w:trPr>
        <w:tc>
          <w:tcPr>
            <w:tcW w:w="1879" w:type="dxa"/>
            <w:gridSpan w:val="2"/>
            <w:shd w:val="clear" w:color="auto" w:fill="auto"/>
            <w:tcMar>
              <w:left w:w="0" w:type="dxa"/>
            </w:tcMar>
          </w:tcPr>
          <w:p w:rsidR="008C7569" w:rsidRPr="009110F7" w:rsidRDefault="00B47089" w:rsidP="008417B5">
            <w:pPr>
              <w:pStyle w:val="Marginlie"/>
            </w:pPr>
            <w:r w:rsidRPr="009110F7">
              <w:t xml:space="preserve">Svižný růst služeb započatý v loňském roce </w:t>
            </w:r>
            <w:r w:rsidRPr="009110F7">
              <w:lastRenderedPageBreak/>
              <w:t>v 1</w:t>
            </w:r>
            <w:r w:rsidR="00716F48" w:rsidRPr="009110F7">
              <w:t>. čtvrt</w:t>
            </w:r>
            <w:r w:rsidRPr="009110F7">
              <w:t>letí pokračoval.</w:t>
            </w:r>
          </w:p>
          <w:p w:rsidR="00B47089" w:rsidRPr="009110F7" w:rsidRDefault="007B2011" w:rsidP="008417B5">
            <w:pPr>
              <w:pStyle w:val="Marginlie"/>
            </w:pPr>
            <w:r w:rsidRPr="009110F7">
              <w:t>K posílení</w:t>
            </w:r>
            <w:r w:rsidR="00B47089" w:rsidRPr="009110F7">
              <w:t xml:space="preserve"> služeb přispěly nejvíce doprava </w:t>
            </w:r>
            <w:r w:rsidR="00716F48" w:rsidRPr="009110F7">
              <w:t>a </w:t>
            </w:r>
            <w:r w:rsidR="00B47089" w:rsidRPr="009110F7">
              <w:t xml:space="preserve">skladování </w:t>
            </w:r>
            <w:r w:rsidR="00716F48" w:rsidRPr="009110F7">
              <w:t>a </w:t>
            </w:r>
            <w:r w:rsidR="00B47089" w:rsidRPr="009110F7">
              <w:t xml:space="preserve">též informační </w:t>
            </w:r>
            <w:r w:rsidR="00716F48" w:rsidRPr="009110F7">
              <w:t>a </w:t>
            </w:r>
            <w:r w:rsidR="00B47089" w:rsidRPr="009110F7">
              <w:t>komunikační činnosti.</w:t>
            </w:r>
          </w:p>
        </w:tc>
        <w:tc>
          <w:tcPr>
            <w:tcW w:w="247" w:type="dxa"/>
            <w:gridSpan w:val="2"/>
            <w:shd w:val="clear" w:color="auto" w:fill="auto"/>
            <w:tcMar>
              <w:left w:w="0" w:type="dxa"/>
            </w:tcMar>
          </w:tcPr>
          <w:p w:rsidR="008C7569" w:rsidRPr="009110F7" w:rsidRDefault="008C7569" w:rsidP="008417B5">
            <w:pPr>
              <w:pStyle w:val="Textpoznpodarou"/>
              <w:jc w:val="both"/>
              <w:rPr>
                <w:spacing w:val="-4"/>
              </w:rPr>
            </w:pPr>
          </w:p>
        </w:tc>
        <w:tc>
          <w:tcPr>
            <w:tcW w:w="7518" w:type="dxa"/>
            <w:shd w:val="clear" w:color="auto" w:fill="auto"/>
            <w:tcMar>
              <w:left w:w="0" w:type="dxa"/>
            </w:tcMar>
          </w:tcPr>
          <w:p w:rsidR="008C7569" w:rsidRPr="009110F7" w:rsidRDefault="00FC7D98" w:rsidP="00C55402">
            <w:pPr>
              <w:pStyle w:val="Textpoznpodarou"/>
              <w:spacing w:after="200" w:line="276" w:lineRule="auto"/>
              <w:jc w:val="both"/>
            </w:pPr>
            <w:r w:rsidRPr="009110F7">
              <w:t xml:space="preserve">Také terciárnímu sektoru ekonomiky se na počátku roku dařilo. </w:t>
            </w:r>
            <w:r w:rsidR="00492879" w:rsidRPr="009110F7">
              <w:rPr>
                <w:spacing w:val="-4"/>
              </w:rPr>
              <w:t xml:space="preserve">Tržby </w:t>
            </w:r>
            <w:r w:rsidR="00492879" w:rsidRPr="009110F7">
              <w:rPr>
                <w:color w:val="0D0D0D" w:themeColor="text1" w:themeTint="F2"/>
                <w:spacing w:val="-4"/>
              </w:rPr>
              <w:t>ve vybraných službách</w:t>
            </w:r>
            <w:r w:rsidR="00492879" w:rsidRPr="009110F7">
              <w:rPr>
                <w:color w:val="0D0D0D" w:themeColor="text1" w:themeTint="F2"/>
                <w:spacing w:val="-4"/>
                <w:vertAlign w:val="superscript"/>
              </w:rPr>
              <w:footnoteReference w:id="26"/>
            </w:r>
            <w:r w:rsidR="007B2011" w:rsidRPr="009110F7">
              <w:rPr>
                <w:color w:val="0D0D0D" w:themeColor="text1" w:themeTint="F2"/>
                <w:spacing w:val="-4"/>
              </w:rPr>
              <w:t xml:space="preserve"> posílily</w:t>
            </w:r>
            <w:r w:rsidR="00492879" w:rsidRPr="009110F7">
              <w:rPr>
                <w:color w:val="0D0D0D" w:themeColor="text1" w:themeTint="F2"/>
                <w:spacing w:val="-4"/>
              </w:rPr>
              <w:t xml:space="preserve"> proti poslednímu loňskému čtvrtletí </w:t>
            </w:r>
            <w:r w:rsidR="00716F48" w:rsidRPr="009110F7">
              <w:rPr>
                <w:color w:val="0D0D0D" w:themeColor="text1" w:themeTint="F2"/>
                <w:spacing w:val="-4"/>
              </w:rPr>
              <w:t>o </w:t>
            </w:r>
            <w:r w:rsidR="00492879" w:rsidRPr="009110F7">
              <w:rPr>
                <w:color w:val="0D0D0D" w:themeColor="text1" w:themeTint="F2"/>
                <w:spacing w:val="-4"/>
              </w:rPr>
              <w:t>významná 2,3</w:t>
            </w:r>
            <w:r w:rsidR="00167CB9" w:rsidRPr="009110F7">
              <w:rPr>
                <w:color w:val="0D0D0D" w:themeColor="text1" w:themeTint="F2"/>
                <w:spacing w:val="-4"/>
              </w:rPr>
              <w:t> %</w:t>
            </w:r>
            <w:r w:rsidR="00492879" w:rsidRPr="009110F7">
              <w:rPr>
                <w:color w:val="0D0D0D" w:themeColor="text1" w:themeTint="F2"/>
                <w:spacing w:val="-4"/>
              </w:rPr>
              <w:t xml:space="preserve">, v meziročním </w:t>
            </w:r>
            <w:r w:rsidR="00492879" w:rsidRPr="009110F7">
              <w:rPr>
                <w:color w:val="0D0D0D" w:themeColor="text1" w:themeTint="F2"/>
                <w:spacing w:val="-2"/>
              </w:rPr>
              <w:lastRenderedPageBreak/>
              <w:t xml:space="preserve">vyjádření pak </w:t>
            </w:r>
            <w:r w:rsidR="00716F48" w:rsidRPr="009110F7">
              <w:rPr>
                <w:color w:val="0D0D0D" w:themeColor="text1" w:themeTint="F2"/>
                <w:spacing w:val="-2"/>
              </w:rPr>
              <w:t>o </w:t>
            </w:r>
            <w:r w:rsidR="00492879" w:rsidRPr="009110F7">
              <w:rPr>
                <w:color w:val="0D0D0D" w:themeColor="text1" w:themeTint="F2"/>
                <w:spacing w:val="-2"/>
              </w:rPr>
              <w:t>4,2</w:t>
            </w:r>
            <w:r w:rsidR="00167CB9" w:rsidRPr="009110F7">
              <w:rPr>
                <w:color w:val="0D0D0D" w:themeColor="text1" w:themeTint="F2"/>
                <w:spacing w:val="-2"/>
              </w:rPr>
              <w:t> %</w:t>
            </w:r>
            <w:r w:rsidR="00492879" w:rsidRPr="009110F7">
              <w:rPr>
                <w:color w:val="0D0D0D" w:themeColor="text1" w:themeTint="F2"/>
                <w:spacing w:val="-2"/>
              </w:rPr>
              <w:t xml:space="preserve"> (s</w:t>
            </w:r>
            <w:r w:rsidR="007B2011" w:rsidRPr="009110F7">
              <w:rPr>
                <w:color w:val="0D0D0D" w:themeColor="text1" w:themeTint="F2"/>
                <w:spacing w:val="-2"/>
              </w:rPr>
              <w:t>vižné růstové tempo si služby u</w:t>
            </w:r>
            <w:r w:rsidR="00492879" w:rsidRPr="009110F7">
              <w:rPr>
                <w:color w:val="0D0D0D" w:themeColor="text1" w:themeTint="F2"/>
                <w:spacing w:val="-2"/>
              </w:rPr>
              <w:t>d</w:t>
            </w:r>
            <w:r w:rsidR="007B2011" w:rsidRPr="009110F7">
              <w:rPr>
                <w:color w:val="0D0D0D" w:themeColor="text1" w:themeTint="F2"/>
                <w:spacing w:val="-2"/>
              </w:rPr>
              <w:t>r</w:t>
            </w:r>
            <w:r w:rsidR="00492879" w:rsidRPr="009110F7">
              <w:rPr>
                <w:color w:val="0D0D0D" w:themeColor="text1" w:themeTint="F2"/>
                <w:spacing w:val="-2"/>
              </w:rPr>
              <w:t xml:space="preserve">žovaly </w:t>
            </w:r>
            <w:r w:rsidR="00716F48" w:rsidRPr="009110F7">
              <w:rPr>
                <w:color w:val="0D0D0D" w:themeColor="text1" w:themeTint="F2"/>
                <w:spacing w:val="-2"/>
              </w:rPr>
              <w:t>i </w:t>
            </w:r>
            <w:r w:rsidR="00492879" w:rsidRPr="009110F7">
              <w:rPr>
                <w:color w:val="0D0D0D" w:themeColor="text1" w:themeTint="F2"/>
                <w:spacing w:val="-2"/>
              </w:rPr>
              <w:t>po většinu roku 2017).</w:t>
            </w:r>
            <w:r w:rsidR="00271022" w:rsidRPr="009110F7">
              <w:rPr>
                <w:color w:val="0D0D0D" w:themeColor="text1" w:themeTint="F2"/>
                <w:spacing w:val="-2"/>
              </w:rPr>
              <w:t xml:space="preserve"> </w:t>
            </w:r>
            <w:r w:rsidR="00716F48" w:rsidRPr="009110F7">
              <w:rPr>
                <w:color w:val="0D0D0D" w:themeColor="text1" w:themeTint="F2"/>
                <w:spacing w:val="-2"/>
              </w:rPr>
              <w:t>I </w:t>
            </w:r>
            <w:r w:rsidR="00271022" w:rsidRPr="009110F7">
              <w:rPr>
                <w:color w:val="0D0D0D" w:themeColor="text1" w:themeTint="F2"/>
                <w:spacing w:val="-2"/>
              </w:rPr>
              <w:t>přes značnou různorodost služeb probíhal rů</w:t>
            </w:r>
            <w:r w:rsidR="00FC05F8" w:rsidRPr="009110F7">
              <w:rPr>
                <w:color w:val="0D0D0D" w:themeColor="text1" w:themeTint="F2"/>
                <w:spacing w:val="-2"/>
              </w:rPr>
              <w:t>st napříč</w:t>
            </w:r>
            <w:r w:rsidR="00271022" w:rsidRPr="009110F7">
              <w:rPr>
                <w:color w:val="0D0D0D" w:themeColor="text1" w:themeTint="F2"/>
                <w:spacing w:val="-2"/>
              </w:rPr>
              <w:t xml:space="preserve"> všemi hlavními odvětvími</w:t>
            </w:r>
            <w:r w:rsidR="00271022" w:rsidRPr="009110F7">
              <w:rPr>
                <w:rStyle w:val="Znakapoznpodarou"/>
                <w:color w:val="0D0D0D" w:themeColor="text1" w:themeTint="F2"/>
                <w:spacing w:val="-2"/>
              </w:rPr>
              <w:footnoteReference w:id="27"/>
            </w:r>
            <w:r w:rsidR="00271022" w:rsidRPr="009110F7">
              <w:rPr>
                <w:color w:val="0D0D0D" w:themeColor="text1" w:themeTint="F2"/>
                <w:spacing w:val="-2"/>
              </w:rPr>
              <w:t>.</w:t>
            </w:r>
            <w:r w:rsidR="006F624B" w:rsidRPr="009110F7">
              <w:rPr>
                <w:color w:val="0D0D0D" w:themeColor="text1" w:themeTint="F2"/>
                <w:spacing w:val="-2"/>
              </w:rPr>
              <w:t xml:space="preserve"> Výjimkou by</w:t>
            </w:r>
            <w:r w:rsidR="00271022" w:rsidRPr="009110F7">
              <w:rPr>
                <w:color w:val="0D0D0D" w:themeColor="text1" w:themeTint="F2"/>
                <w:spacing w:val="-2"/>
              </w:rPr>
              <w:t>ly jen činnost</w:t>
            </w:r>
            <w:r w:rsidR="00BB5ABF">
              <w:rPr>
                <w:color w:val="0D0D0D" w:themeColor="text1" w:themeTint="F2"/>
                <w:spacing w:val="-2"/>
              </w:rPr>
              <w:t>i</w:t>
            </w:r>
            <w:r w:rsidR="00271022" w:rsidRPr="009110F7">
              <w:rPr>
                <w:color w:val="0D0D0D" w:themeColor="text1" w:themeTint="F2"/>
                <w:spacing w:val="-2"/>
              </w:rPr>
              <w:t xml:space="preserve"> v oblasti nemovitostí, kde však m</w:t>
            </w:r>
            <w:r w:rsidR="00656CFB" w:rsidRPr="009110F7">
              <w:rPr>
                <w:color w:val="0D0D0D" w:themeColor="text1" w:themeTint="F2"/>
                <w:spacing w:val="-2"/>
              </w:rPr>
              <w:t>írný pokles výkonů</w:t>
            </w:r>
            <w:r w:rsidR="00FC05F8" w:rsidRPr="009110F7">
              <w:rPr>
                <w:color w:val="0D0D0D" w:themeColor="text1" w:themeTint="F2"/>
                <w:spacing w:val="-2"/>
              </w:rPr>
              <w:t xml:space="preserve"> (</w:t>
            </w:r>
            <w:r w:rsidR="00CA37FF">
              <w:rPr>
                <w:color w:val="0D0D0D" w:themeColor="text1" w:themeTint="F2"/>
                <w:spacing w:val="-2"/>
              </w:rPr>
              <w:t>-</w:t>
            </w:r>
            <w:r w:rsidR="00FC05F8" w:rsidRPr="009110F7">
              <w:rPr>
                <w:color w:val="0D0D0D" w:themeColor="text1" w:themeTint="F2"/>
                <w:spacing w:val="-2"/>
              </w:rPr>
              <w:t>0,8</w:t>
            </w:r>
            <w:r w:rsidR="00167CB9" w:rsidRPr="009110F7">
              <w:rPr>
                <w:color w:val="0D0D0D" w:themeColor="text1" w:themeTint="F2"/>
                <w:spacing w:val="-2"/>
              </w:rPr>
              <w:t> %</w:t>
            </w:r>
            <w:r w:rsidR="00FC05F8" w:rsidRPr="009110F7">
              <w:rPr>
                <w:color w:val="0D0D0D" w:themeColor="text1" w:themeTint="F2"/>
                <w:spacing w:val="-2"/>
              </w:rPr>
              <w:t xml:space="preserve">) </w:t>
            </w:r>
            <w:r w:rsidR="006F624B" w:rsidRPr="009110F7">
              <w:rPr>
                <w:color w:val="0D0D0D" w:themeColor="text1" w:themeTint="F2"/>
                <w:spacing w:val="-2"/>
              </w:rPr>
              <w:t>přímo</w:t>
            </w:r>
            <w:r w:rsidR="00271022" w:rsidRPr="009110F7">
              <w:rPr>
                <w:color w:val="0D0D0D" w:themeColor="text1" w:themeTint="F2"/>
                <w:spacing w:val="-2"/>
              </w:rPr>
              <w:t xml:space="preserve"> nesouvisel s celkovou situací na realitním trhu.</w:t>
            </w:r>
            <w:r w:rsidR="00FC05F8" w:rsidRPr="009110F7">
              <w:rPr>
                <w:color w:val="0D0D0D" w:themeColor="text1" w:themeTint="F2"/>
                <w:spacing w:val="-2"/>
              </w:rPr>
              <w:t xml:space="preserve"> </w:t>
            </w:r>
            <w:r w:rsidR="004707FE" w:rsidRPr="009110F7">
              <w:rPr>
                <w:color w:val="0D0D0D" w:themeColor="text1" w:themeTint="F2"/>
                <w:spacing w:val="-2"/>
              </w:rPr>
              <w:t xml:space="preserve">Obdobně jako po většinu loňského roku táhlo </w:t>
            </w:r>
            <w:r w:rsidR="00716F48" w:rsidRPr="009110F7">
              <w:rPr>
                <w:color w:val="0D0D0D" w:themeColor="text1" w:themeTint="F2"/>
                <w:spacing w:val="-2"/>
              </w:rPr>
              <w:t>i </w:t>
            </w:r>
            <w:r w:rsidR="004707FE" w:rsidRPr="009110F7">
              <w:rPr>
                <w:color w:val="0D0D0D" w:themeColor="text1" w:themeTint="F2"/>
                <w:spacing w:val="-2"/>
              </w:rPr>
              <w:t>letos růst služeb nejvíce váhově</w:t>
            </w:r>
            <w:r w:rsidR="0012799C" w:rsidRPr="009110F7">
              <w:rPr>
                <w:color w:val="0D0D0D" w:themeColor="text1" w:themeTint="F2"/>
                <w:spacing w:val="-2"/>
              </w:rPr>
              <w:t xml:space="preserve"> dominantní odvět</w:t>
            </w:r>
            <w:r w:rsidR="004707FE" w:rsidRPr="009110F7">
              <w:rPr>
                <w:color w:val="0D0D0D" w:themeColor="text1" w:themeTint="F2"/>
                <w:spacing w:val="-2"/>
              </w:rPr>
              <w:t>v</w:t>
            </w:r>
            <w:r w:rsidR="0012799C" w:rsidRPr="009110F7">
              <w:rPr>
                <w:color w:val="0D0D0D" w:themeColor="text1" w:themeTint="F2"/>
                <w:spacing w:val="-2"/>
              </w:rPr>
              <w:t>í</w:t>
            </w:r>
            <w:r w:rsidR="004707FE" w:rsidRPr="009110F7">
              <w:rPr>
                <w:color w:val="0D0D0D" w:themeColor="text1" w:themeTint="F2"/>
                <w:spacing w:val="-2"/>
              </w:rPr>
              <w:t xml:space="preserve"> dopravy a skladování.</w:t>
            </w:r>
            <w:r w:rsidR="0012799C" w:rsidRPr="009110F7">
              <w:rPr>
                <w:color w:val="0D0D0D" w:themeColor="text1" w:themeTint="F2"/>
                <w:spacing w:val="-2"/>
              </w:rPr>
              <w:t xml:space="preserve"> Významná byla však </w:t>
            </w:r>
            <w:r w:rsidR="00716F48" w:rsidRPr="009110F7">
              <w:rPr>
                <w:color w:val="0D0D0D" w:themeColor="text1" w:themeTint="F2"/>
                <w:spacing w:val="-2"/>
              </w:rPr>
              <w:t>i </w:t>
            </w:r>
            <w:r w:rsidR="0012799C" w:rsidRPr="009110F7">
              <w:rPr>
                <w:color w:val="0D0D0D" w:themeColor="text1" w:themeTint="F2"/>
                <w:spacing w:val="-2"/>
              </w:rPr>
              <w:t xml:space="preserve">role </w:t>
            </w:r>
            <w:r w:rsidR="006F624B" w:rsidRPr="009110F7">
              <w:rPr>
                <w:color w:val="0D0D0D" w:themeColor="text1" w:themeTint="F2"/>
                <w:spacing w:val="-2"/>
              </w:rPr>
              <w:t>dynamicky</w:t>
            </w:r>
            <w:r w:rsidR="0012799C" w:rsidRPr="009110F7">
              <w:rPr>
                <w:color w:val="0D0D0D" w:themeColor="text1" w:themeTint="F2"/>
                <w:spacing w:val="-2"/>
              </w:rPr>
              <w:t xml:space="preserve"> rostoucích informačních </w:t>
            </w:r>
            <w:r w:rsidR="00716F48" w:rsidRPr="009110F7">
              <w:rPr>
                <w:color w:val="0D0D0D" w:themeColor="text1" w:themeTint="F2"/>
                <w:spacing w:val="-2"/>
              </w:rPr>
              <w:t>a </w:t>
            </w:r>
            <w:r w:rsidR="0012799C" w:rsidRPr="009110F7">
              <w:rPr>
                <w:color w:val="0D0D0D" w:themeColor="text1" w:themeTint="F2"/>
                <w:spacing w:val="-2"/>
              </w:rPr>
              <w:t xml:space="preserve">komunikačních činností, které se na růstu služeb podílely </w:t>
            </w:r>
            <w:r w:rsidR="00656CFB" w:rsidRPr="009110F7">
              <w:rPr>
                <w:color w:val="0D0D0D" w:themeColor="text1" w:themeTint="F2"/>
                <w:spacing w:val="-2"/>
              </w:rPr>
              <w:t>celou</w:t>
            </w:r>
            <w:r w:rsidR="0012799C" w:rsidRPr="009110F7">
              <w:rPr>
                <w:color w:val="0D0D0D" w:themeColor="text1" w:themeTint="F2"/>
                <w:spacing w:val="-2"/>
              </w:rPr>
              <w:t xml:space="preserve"> třetinou.</w:t>
            </w:r>
          </w:p>
        </w:tc>
      </w:tr>
      <w:tr w:rsidR="008C7569" w:rsidRPr="009110F7" w:rsidTr="00203CD5">
        <w:trPr>
          <w:trHeight w:val="145"/>
        </w:trPr>
        <w:tc>
          <w:tcPr>
            <w:tcW w:w="1879" w:type="dxa"/>
            <w:gridSpan w:val="2"/>
            <w:shd w:val="clear" w:color="auto" w:fill="auto"/>
            <w:tcMar>
              <w:left w:w="0" w:type="dxa"/>
            </w:tcMar>
          </w:tcPr>
          <w:p w:rsidR="00977C3D" w:rsidRPr="009110F7" w:rsidRDefault="00977C3D" w:rsidP="008417B5">
            <w:pPr>
              <w:pStyle w:val="Marginlie"/>
            </w:pPr>
            <w:r w:rsidRPr="009110F7">
              <w:lastRenderedPageBreak/>
              <w:t xml:space="preserve">Dobré výsledky průmyslu </w:t>
            </w:r>
            <w:r w:rsidR="00716F48" w:rsidRPr="009110F7">
              <w:t>i </w:t>
            </w:r>
            <w:r w:rsidRPr="009110F7">
              <w:t>obchodu udržovaly dynamický růst skladování (+8,5</w:t>
            </w:r>
            <w:r w:rsidR="00167CB9" w:rsidRPr="009110F7">
              <w:t> %</w:t>
            </w:r>
            <w:r w:rsidRPr="009110F7">
              <w:t xml:space="preserve">), tempo v pozemní </w:t>
            </w:r>
            <w:r w:rsidR="00716F48" w:rsidRPr="009110F7">
              <w:t>a </w:t>
            </w:r>
            <w:r w:rsidRPr="009110F7">
              <w:t>pot</w:t>
            </w:r>
            <w:r w:rsidR="007B2011" w:rsidRPr="009110F7">
              <w:t>rubní dopravě bylo nej</w:t>
            </w:r>
            <w:r w:rsidR="00B16EB8">
              <w:t>vyš</w:t>
            </w:r>
            <w:r w:rsidR="007B2011" w:rsidRPr="009110F7">
              <w:t>ší z</w:t>
            </w:r>
            <w:r w:rsidRPr="009110F7">
              <w:t>a posledních deset čtvrtletí.</w:t>
            </w:r>
          </w:p>
          <w:p w:rsidR="00977C3D" w:rsidRPr="009110F7" w:rsidRDefault="00977C3D" w:rsidP="008417B5">
            <w:pPr>
              <w:pStyle w:val="Marginlie"/>
            </w:pPr>
          </w:p>
          <w:p w:rsidR="00977C3D" w:rsidRPr="009110F7" w:rsidRDefault="00977C3D" w:rsidP="008417B5">
            <w:pPr>
              <w:pStyle w:val="Marginlie"/>
            </w:pPr>
          </w:p>
          <w:p w:rsidR="00977C3D" w:rsidRPr="009110F7" w:rsidRDefault="00977C3D" w:rsidP="008417B5">
            <w:pPr>
              <w:pStyle w:val="Marginlie"/>
            </w:pPr>
          </w:p>
          <w:p w:rsidR="00977C3D" w:rsidRPr="009110F7" w:rsidRDefault="00977C3D" w:rsidP="008417B5">
            <w:pPr>
              <w:pStyle w:val="Marginlie"/>
            </w:pPr>
          </w:p>
          <w:p w:rsidR="007B2011" w:rsidRPr="009110F7" w:rsidRDefault="007B2011" w:rsidP="008417B5">
            <w:pPr>
              <w:pStyle w:val="Marginlie"/>
            </w:pPr>
          </w:p>
          <w:p w:rsidR="007B2011" w:rsidRPr="009110F7" w:rsidRDefault="007B2011" w:rsidP="008417B5">
            <w:pPr>
              <w:pStyle w:val="Marginlie"/>
            </w:pPr>
          </w:p>
          <w:p w:rsidR="007B2011" w:rsidRPr="009110F7" w:rsidRDefault="007B2011" w:rsidP="008417B5">
            <w:pPr>
              <w:pStyle w:val="Marginlie"/>
            </w:pPr>
          </w:p>
          <w:p w:rsidR="007B2011" w:rsidRPr="009110F7" w:rsidRDefault="007B2011" w:rsidP="008417B5">
            <w:pPr>
              <w:pStyle w:val="Marginlie"/>
            </w:pPr>
          </w:p>
          <w:p w:rsidR="007B2011" w:rsidRPr="009110F7" w:rsidRDefault="007B2011" w:rsidP="008417B5">
            <w:pPr>
              <w:pStyle w:val="Marginlie"/>
            </w:pPr>
          </w:p>
          <w:p w:rsidR="007B2011" w:rsidRPr="009110F7" w:rsidRDefault="007B2011" w:rsidP="008417B5">
            <w:pPr>
              <w:pStyle w:val="Marginlie"/>
            </w:pPr>
          </w:p>
          <w:p w:rsidR="008C7569" w:rsidRPr="009110F7" w:rsidRDefault="007B2011" w:rsidP="008417B5">
            <w:pPr>
              <w:pStyle w:val="Marginlie"/>
            </w:pPr>
            <w:r w:rsidRPr="009110F7">
              <w:t xml:space="preserve">Přetrvávající vysoká dynamika příjezdového cestovního ruchu se promítla v tržbách cestovních agentur </w:t>
            </w:r>
            <w:r w:rsidR="00716F48" w:rsidRPr="009110F7">
              <w:t>a </w:t>
            </w:r>
            <w:r w:rsidRPr="009110F7">
              <w:t>kanceláří.</w:t>
            </w:r>
            <w:r w:rsidR="00977C3D" w:rsidRPr="009110F7">
              <w:t xml:space="preserve"> </w:t>
            </w:r>
          </w:p>
        </w:tc>
        <w:tc>
          <w:tcPr>
            <w:tcW w:w="247" w:type="dxa"/>
            <w:gridSpan w:val="2"/>
            <w:shd w:val="clear" w:color="auto" w:fill="auto"/>
            <w:tcMar>
              <w:left w:w="0" w:type="dxa"/>
            </w:tcMar>
          </w:tcPr>
          <w:p w:rsidR="008C7569" w:rsidRPr="009110F7" w:rsidRDefault="008C7569" w:rsidP="008417B5">
            <w:pPr>
              <w:pStyle w:val="Textpoznpodarou"/>
              <w:jc w:val="both"/>
              <w:rPr>
                <w:spacing w:val="-4"/>
              </w:rPr>
            </w:pPr>
          </w:p>
        </w:tc>
        <w:tc>
          <w:tcPr>
            <w:tcW w:w="7518" w:type="dxa"/>
            <w:shd w:val="clear" w:color="auto" w:fill="auto"/>
            <w:tcMar>
              <w:left w:w="0" w:type="dxa"/>
            </w:tcMar>
          </w:tcPr>
          <w:p w:rsidR="008C7569" w:rsidRPr="009110F7" w:rsidRDefault="00B81D70" w:rsidP="00AC2960">
            <w:pPr>
              <w:spacing w:after="200"/>
              <w:rPr>
                <w:spacing w:val="-2"/>
                <w:szCs w:val="20"/>
              </w:rPr>
            </w:pPr>
            <w:r w:rsidRPr="009110F7">
              <w:rPr>
                <w:color w:val="000000" w:themeColor="text1"/>
                <w:spacing w:val="-2"/>
              </w:rPr>
              <w:t xml:space="preserve">K růstu tržeb v dopravě </w:t>
            </w:r>
            <w:r w:rsidR="00716F48" w:rsidRPr="009110F7">
              <w:rPr>
                <w:color w:val="000000" w:themeColor="text1"/>
                <w:spacing w:val="-2"/>
              </w:rPr>
              <w:t>a </w:t>
            </w:r>
            <w:r w:rsidRPr="009110F7">
              <w:rPr>
                <w:color w:val="000000" w:themeColor="text1"/>
                <w:spacing w:val="-2"/>
              </w:rPr>
              <w:t>skladování (+5,4</w:t>
            </w:r>
            <w:r w:rsidR="00167CB9" w:rsidRPr="009110F7">
              <w:rPr>
                <w:color w:val="000000" w:themeColor="text1"/>
                <w:spacing w:val="-2"/>
              </w:rPr>
              <w:t> %</w:t>
            </w:r>
            <w:r w:rsidRPr="009110F7">
              <w:rPr>
                <w:color w:val="000000" w:themeColor="text1"/>
                <w:spacing w:val="-2"/>
              </w:rPr>
              <w:t>) přispěly v 1</w:t>
            </w:r>
            <w:r w:rsidR="00716F48" w:rsidRPr="009110F7">
              <w:rPr>
                <w:color w:val="000000" w:themeColor="text1"/>
                <w:spacing w:val="-2"/>
              </w:rPr>
              <w:t>. čtvrt</w:t>
            </w:r>
            <w:r w:rsidRPr="009110F7">
              <w:rPr>
                <w:color w:val="000000" w:themeColor="text1"/>
                <w:spacing w:val="-2"/>
              </w:rPr>
              <w:t>letí</w:t>
            </w:r>
            <w:r w:rsidR="006F624B" w:rsidRPr="009110F7">
              <w:rPr>
                <w:color w:val="000000" w:themeColor="text1"/>
                <w:spacing w:val="-2"/>
              </w:rPr>
              <w:t xml:space="preserve"> nejvíce skladování a </w:t>
            </w:r>
            <w:r w:rsidRPr="009110F7">
              <w:rPr>
                <w:color w:val="000000" w:themeColor="text1"/>
                <w:spacing w:val="-2"/>
              </w:rPr>
              <w:t xml:space="preserve">vedlejší činnosti v dopravě, jež profitovaly </w:t>
            </w:r>
            <w:r w:rsidR="00544BE5">
              <w:rPr>
                <w:color w:val="000000" w:themeColor="text1"/>
                <w:spacing w:val="-2"/>
              </w:rPr>
              <w:t>z </w:t>
            </w:r>
            <w:r w:rsidR="005E4BC9" w:rsidRPr="009110F7">
              <w:rPr>
                <w:color w:val="000000" w:themeColor="text1"/>
                <w:spacing w:val="-2"/>
              </w:rPr>
              <w:t>dynamického vývoje v průmyslu i </w:t>
            </w:r>
            <w:r w:rsidRPr="009110F7">
              <w:rPr>
                <w:color w:val="000000" w:themeColor="text1"/>
                <w:spacing w:val="-2"/>
              </w:rPr>
              <w:t>obchodu. Dobré výsledky zaznamenaly všechny hlavní druhy dopravy, vyjma letecké, jejíž výkon se po výrazném oživení v loňském ro</w:t>
            </w:r>
            <w:r w:rsidR="007B2011" w:rsidRPr="009110F7">
              <w:rPr>
                <w:color w:val="000000" w:themeColor="text1"/>
                <w:spacing w:val="-2"/>
              </w:rPr>
              <w:t>ce letos opět snížil. Tempo trž</w:t>
            </w:r>
            <w:r w:rsidRPr="009110F7">
              <w:rPr>
                <w:color w:val="000000" w:themeColor="text1"/>
                <w:spacing w:val="-2"/>
              </w:rPr>
              <w:t xml:space="preserve">eb ve váhově nejvýznamnější pozemní </w:t>
            </w:r>
            <w:r w:rsidR="00716F48" w:rsidRPr="009110F7">
              <w:rPr>
                <w:color w:val="000000" w:themeColor="text1"/>
                <w:spacing w:val="-2"/>
              </w:rPr>
              <w:t>a </w:t>
            </w:r>
            <w:r w:rsidRPr="009110F7">
              <w:rPr>
                <w:color w:val="000000" w:themeColor="text1"/>
                <w:spacing w:val="-2"/>
              </w:rPr>
              <w:t>potrubní dopravě vystoupalo na +4,3</w:t>
            </w:r>
            <w:r w:rsidR="00167CB9" w:rsidRPr="009110F7">
              <w:rPr>
                <w:color w:val="000000" w:themeColor="text1"/>
                <w:spacing w:val="-2"/>
              </w:rPr>
              <w:t> %</w:t>
            </w:r>
            <w:r w:rsidRPr="009110F7">
              <w:rPr>
                <w:color w:val="000000" w:themeColor="text1"/>
                <w:spacing w:val="-2"/>
              </w:rPr>
              <w:t xml:space="preserve">, nejvíce za posledních deset čtvrtletí. </w:t>
            </w:r>
            <w:r w:rsidR="00F767A8" w:rsidRPr="009110F7">
              <w:rPr>
                <w:color w:val="000000" w:themeColor="text1"/>
                <w:spacing w:val="-2"/>
              </w:rPr>
              <w:t xml:space="preserve">Dařilo se především silniční nákladní dopravě, odvětví ale pomáhal </w:t>
            </w:r>
            <w:r w:rsidR="00716F48" w:rsidRPr="009110F7">
              <w:rPr>
                <w:color w:val="000000" w:themeColor="text1"/>
                <w:spacing w:val="-2"/>
              </w:rPr>
              <w:t>i </w:t>
            </w:r>
            <w:r w:rsidR="00F767A8" w:rsidRPr="009110F7">
              <w:rPr>
                <w:color w:val="000000" w:themeColor="text1"/>
                <w:spacing w:val="-2"/>
              </w:rPr>
              <w:t xml:space="preserve">rozvoj cestovního ruchu. </w:t>
            </w:r>
            <w:r w:rsidR="006F624B" w:rsidRPr="009110F7">
              <w:rPr>
                <w:color w:val="000000" w:themeColor="text1"/>
                <w:spacing w:val="-2"/>
              </w:rPr>
              <w:t xml:space="preserve">Patrně se </w:t>
            </w:r>
            <w:r w:rsidR="00F767A8" w:rsidRPr="009110F7">
              <w:rPr>
                <w:color w:val="000000" w:themeColor="text1"/>
                <w:spacing w:val="-2"/>
              </w:rPr>
              <w:t>projevi</w:t>
            </w:r>
            <w:r w:rsidR="006F624B" w:rsidRPr="009110F7">
              <w:rPr>
                <w:color w:val="000000" w:themeColor="text1"/>
                <w:spacing w:val="-2"/>
              </w:rPr>
              <w:t>la</w:t>
            </w:r>
            <w:r w:rsidR="00F767A8" w:rsidRPr="009110F7">
              <w:rPr>
                <w:color w:val="000000" w:themeColor="text1"/>
                <w:spacing w:val="-2"/>
              </w:rPr>
              <w:t xml:space="preserve"> </w:t>
            </w:r>
            <w:r w:rsidR="00894C5D">
              <w:rPr>
                <w:color w:val="000000" w:themeColor="text1"/>
                <w:spacing w:val="-2"/>
              </w:rPr>
              <w:t xml:space="preserve">také </w:t>
            </w:r>
            <w:r w:rsidR="00F767A8" w:rsidRPr="009110F7">
              <w:rPr>
                <w:color w:val="000000" w:themeColor="text1"/>
                <w:spacing w:val="-2"/>
              </w:rPr>
              <w:t xml:space="preserve">vyšší dojížďka za prací ve vazbě na rekordní počet zaměstnaných. </w:t>
            </w:r>
            <w:r w:rsidR="00D133B4" w:rsidRPr="009110F7">
              <w:rPr>
                <w:color w:val="000000" w:themeColor="text1"/>
                <w:spacing w:val="-2"/>
              </w:rPr>
              <w:t xml:space="preserve">V růstu tržeb v odvětví </w:t>
            </w:r>
            <w:r w:rsidR="00D133B4" w:rsidRPr="009110F7">
              <w:rPr>
                <w:color w:val="0D0D0D" w:themeColor="text1" w:themeTint="F2"/>
                <w:spacing w:val="-2"/>
              </w:rPr>
              <w:t>informa</w:t>
            </w:r>
            <w:r w:rsidR="005F04A7" w:rsidRPr="009110F7">
              <w:rPr>
                <w:color w:val="0D0D0D" w:themeColor="text1" w:themeTint="F2"/>
                <w:spacing w:val="-2"/>
              </w:rPr>
              <w:t>čních a </w:t>
            </w:r>
            <w:r w:rsidR="00D133B4" w:rsidRPr="009110F7">
              <w:rPr>
                <w:color w:val="0D0D0D" w:themeColor="text1" w:themeTint="F2"/>
                <w:spacing w:val="-2"/>
              </w:rPr>
              <w:t>komunikačních činností (+6,5</w:t>
            </w:r>
            <w:r w:rsidR="00167CB9" w:rsidRPr="009110F7">
              <w:rPr>
                <w:color w:val="0D0D0D" w:themeColor="text1" w:themeTint="F2"/>
                <w:spacing w:val="-2"/>
              </w:rPr>
              <w:t> %</w:t>
            </w:r>
            <w:r w:rsidR="00D133B4" w:rsidRPr="009110F7">
              <w:rPr>
                <w:color w:val="0D0D0D" w:themeColor="text1" w:themeTint="F2"/>
                <w:spacing w:val="-2"/>
              </w:rPr>
              <w:t>) se nejv</w:t>
            </w:r>
            <w:r w:rsidR="006F624B" w:rsidRPr="009110F7">
              <w:rPr>
                <w:color w:val="0D0D0D" w:themeColor="text1" w:themeTint="F2"/>
                <w:spacing w:val="-2"/>
              </w:rPr>
              <w:t>íce uplatni</w:t>
            </w:r>
            <w:r w:rsidR="00D133B4" w:rsidRPr="009110F7">
              <w:rPr>
                <w:color w:val="0D0D0D" w:themeColor="text1" w:themeTint="F2"/>
                <w:spacing w:val="-2"/>
              </w:rPr>
              <w:t xml:space="preserve">l vliv činností v oblasti IT </w:t>
            </w:r>
            <w:r w:rsidR="005F04A7" w:rsidRPr="009110F7">
              <w:rPr>
                <w:color w:val="0D0D0D" w:themeColor="text1" w:themeTint="F2"/>
                <w:spacing w:val="-2"/>
              </w:rPr>
              <w:t>(</w:t>
            </w:r>
            <w:r w:rsidR="007B11FA" w:rsidRPr="009110F7">
              <w:rPr>
                <w:color w:val="0D0D0D" w:themeColor="text1" w:themeTint="F2"/>
                <w:spacing w:val="-2"/>
              </w:rPr>
              <w:t>programování, správa počítačového vybavení), vyšší výkony ale letos zaznamenaly všechny odvětvové oddíly (v</w:t>
            </w:r>
            <w:r w:rsidR="00167CB9" w:rsidRPr="009110F7">
              <w:rPr>
                <w:color w:val="0D0D0D" w:themeColor="text1" w:themeTint="F2"/>
                <w:spacing w:val="-2"/>
              </w:rPr>
              <w:t>č.</w:t>
            </w:r>
            <w:r w:rsidR="00B16EB8">
              <w:rPr>
                <w:color w:val="0D0D0D" w:themeColor="text1" w:themeTint="F2"/>
                <w:spacing w:val="-2"/>
              </w:rPr>
              <w:t> </w:t>
            </w:r>
            <w:r w:rsidR="007B11FA" w:rsidRPr="009110F7">
              <w:rPr>
                <w:color w:val="0D0D0D" w:themeColor="text1" w:themeTint="F2"/>
                <w:spacing w:val="-2"/>
              </w:rPr>
              <w:t xml:space="preserve">nejdynamičtěji rostoucího oboru informačních činností). </w:t>
            </w:r>
            <w:r w:rsidR="00716F48" w:rsidRPr="009110F7">
              <w:rPr>
                <w:color w:val="0D0D0D" w:themeColor="text1" w:themeTint="F2"/>
                <w:spacing w:val="-2"/>
              </w:rPr>
              <w:t>V </w:t>
            </w:r>
            <w:r w:rsidR="007B11FA" w:rsidRPr="009110F7">
              <w:rPr>
                <w:color w:val="0D0D0D" w:themeColor="text1" w:themeTint="F2"/>
                <w:spacing w:val="-2"/>
              </w:rPr>
              <w:t xml:space="preserve">ubytování, stravování </w:t>
            </w:r>
            <w:r w:rsidR="00716F48" w:rsidRPr="009110F7">
              <w:rPr>
                <w:color w:val="0D0D0D" w:themeColor="text1" w:themeTint="F2"/>
                <w:spacing w:val="-2"/>
              </w:rPr>
              <w:t>a </w:t>
            </w:r>
            <w:r w:rsidR="007B11FA" w:rsidRPr="009110F7">
              <w:rPr>
                <w:color w:val="0D0D0D" w:themeColor="text1" w:themeTint="F2"/>
                <w:spacing w:val="-2"/>
              </w:rPr>
              <w:t xml:space="preserve">pohostinství </w:t>
            </w:r>
            <w:r w:rsidR="002A016B" w:rsidRPr="009110F7">
              <w:rPr>
                <w:color w:val="0D0D0D" w:themeColor="text1" w:themeTint="F2"/>
                <w:spacing w:val="-2"/>
              </w:rPr>
              <w:t xml:space="preserve">posílily tržby </w:t>
            </w:r>
            <w:r w:rsidR="00634CE7" w:rsidRPr="009110F7">
              <w:rPr>
                <w:color w:val="0D0D0D" w:themeColor="text1" w:themeTint="F2"/>
                <w:spacing w:val="-2"/>
              </w:rPr>
              <w:t>navzdory silnému rozvoji cestovního ruchu</w:t>
            </w:r>
            <w:r w:rsidR="00634CE7" w:rsidRPr="009110F7">
              <w:rPr>
                <w:rStyle w:val="Znakapoznpodarou"/>
                <w:color w:val="0D0D0D" w:themeColor="text1" w:themeTint="F2"/>
                <w:spacing w:val="-2"/>
              </w:rPr>
              <w:footnoteReference w:id="28"/>
            </w:r>
            <w:r w:rsidR="002A016B" w:rsidRPr="009110F7">
              <w:rPr>
                <w:color w:val="0D0D0D" w:themeColor="text1" w:themeTint="F2"/>
                <w:spacing w:val="-2"/>
              </w:rPr>
              <w:t xml:space="preserve"> jen </w:t>
            </w:r>
            <w:r w:rsidR="00716F48" w:rsidRPr="009110F7">
              <w:rPr>
                <w:color w:val="0D0D0D" w:themeColor="text1" w:themeTint="F2"/>
                <w:spacing w:val="-2"/>
              </w:rPr>
              <w:t>o </w:t>
            </w:r>
            <w:r w:rsidR="002A016B" w:rsidRPr="009110F7">
              <w:rPr>
                <w:color w:val="0D0D0D" w:themeColor="text1" w:themeTint="F2"/>
                <w:spacing w:val="-2"/>
              </w:rPr>
              <w:t>2,7</w:t>
            </w:r>
            <w:r w:rsidR="00167CB9" w:rsidRPr="009110F7">
              <w:rPr>
                <w:color w:val="0D0D0D" w:themeColor="text1" w:themeTint="F2"/>
                <w:spacing w:val="-2"/>
              </w:rPr>
              <w:t> %</w:t>
            </w:r>
            <w:r w:rsidR="002A016B" w:rsidRPr="009110F7">
              <w:rPr>
                <w:color w:val="0D0D0D" w:themeColor="text1" w:themeTint="F2"/>
                <w:spacing w:val="-2"/>
              </w:rPr>
              <w:t xml:space="preserve">. Projevil se efekt vysoké srovnávací základny ovlivněné </w:t>
            </w:r>
            <w:r w:rsidR="00716F48" w:rsidRPr="009110F7">
              <w:rPr>
                <w:color w:val="0D0D0D" w:themeColor="text1" w:themeTint="F2"/>
                <w:spacing w:val="-2"/>
              </w:rPr>
              <w:t>i </w:t>
            </w:r>
            <w:r w:rsidR="002A016B" w:rsidRPr="009110F7">
              <w:rPr>
                <w:color w:val="0D0D0D" w:themeColor="text1" w:themeTint="F2"/>
                <w:spacing w:val="-2"/>
              </w:rPr>
              <w:t>legislativními vlivy</w:t>
            </w:r>
            <w:r w:rsidR="00AF5179" w:rsidRPr="009110F7">
              <w:rPr>
                <w:color w:val="0D0D0D" w:themeColor="text1" w:themeTint="F2"/>
                <w:spacing w:val="-2"/>
              </w:rPr>
              <w:t xml:space="preserve"> související</w:t>
            </w:r>
            <w:r w:rsidR="00A81652" w:rsidRPr="009110F7">
              <w:rPr>
                <w:color w:val="0D0D0D" w:themeColor="text1" w:themeTint="F2"/>
                <w:spacing w:val="-2"/>
              </w:rPr>
              <w:t>mi</w:t>
            </w:r>
            <w:r w:rsidR="00AF5179" w:rsidRPr="009110F7">
              <w:rPr>
                <w:color w:val="0D0D0D" w:themeColor="text1" w:themeTint="F2"/>
                <w:spacing w:val="-2"/>
              </w:rPr>
              <w:t xml:space="preserve"> s výběrem daně. </w:t>
            </w:r>
            <w:r w:rsidR="00DC56FE">
              <w:rPr>
                <w:color w:val="0D0D0D" w:themeColor="text1" w:themeTint="F2"/>
                <w:spacing w:val="-2"/>
              </w:rPr>
              <w:t>K</w:t>
            </w:r>
            <w:r w:rsidR="00AC2960">
              <w:rPr>
                <w:color w:val="0D0D0D" w:themeColor="text1" w:themeTint="F2"/>
                <w:spacing w:val="-2"/>
              </w:rPr>
              <w:t> růstu p</w:t>
            </w:r>
            <w:r w:rsidR="006F624B" w:rsidRPr="009110F7">
              <w:rPr>
                <w:color w:val="0D0D0D" w:themeColor="text1" w:themeTint="F2"/>
                <w:spacing w:val="-2"/>
              </w:rPr>
              <w:t>rofesní</w:t>
            </w:r>
            <w:r w:rsidR="00AC2960">
              <w:rPr>
                <w:color w:val="0D0D0D" w:themeColor="text1" w:themeTint="F2"/>
                <w:spacing w:val="-2"/>
              </w:rPr>
              <w:t>ch, vědeckých</w:t>
            </w:r>
            <w:r w:rsidR="005F466B" w:rsidRPr="009110F7">
              <w:rPr>
                <w:color w:val="0D0D0D" w:themeColor="text1" w:themeTint="F2"/>
                <w:spacing w:val="-2"/>
              </w:rPr>
              <w:t xml:space="preserve"> a </w:t>
            </w:r>
            <w:r w:rsidR="00AC2960">
              <w:rPr>
                <w:color w:val="0D0D0D" w:themeColor="text1" w:themeTint="F2"/>
                <w:spacing w:val="-2"/>
              </w:rPr>
              <w:t>technických činností</w:t>
            </w:r>
            <w:r w:rsidR="00925429" w:rsidRPr="009110F7">
              <w:rPr>
                <w:color w:val="0D0D0D" w:themeColor="text1" w:themeTint="F2"/>
                <w:spacing w:val="-2"/>
              </w:rPr>
              <w:t xml:space="preserve"> </w:t>
            </w:r>
            <w:r w:rsidR="00057B1E" w:rsidRPr="009110F7">
              <w:rPr>
                <w:color w:val="0D0D0D" w:themeColor="text1" w:themeTint="F2"/>
                <w:spacing w:val="-2"/>
              </w:rPr>
              <w:t>(+3,6</w:t>
            </w:r>
            <w:r w:rsidR="00167CB9" w:rsidRPr="009110F7">
              <w:rPr>
                <w:color w:val="0D0D0D" w:themeColor="text1" w:themeTint="F2"/>
                <w:spacing w:val="-2"/>
              </w:rPr>
              <w:t> %</w:t>
            </w:r>
            <w:r w:rsidR="00057B1E" w:rsidRPr="009110F7">
              <w:rPr>
                <w:color w:val="0D0D0D" w:themeColor="text1" w:themeTint="F2"/>
                <w:spacing w:val="-2"/>
              </w:rPr>
              <w:t xml:space="preserve">) </w:t>
            </w:r>
            <w:r w:rsidR="00AC2960">
              <w:rPr>
                <w:color w:val="0D0D0D" w:themeColor="text1" w:themeTint="F2"/>
                <w:spacing w:val="-2"/>
              </w:rPr>
              <w:t xml:space="preserve">přispěla silnější poptávka po projektových činnostech (ve vazbě na růst </w:t>
            </w:r>
            <w:r w:rsidR="00057B1E" w:rsidRPr="009110F7">
              <w:rPr>
                <w:color w:val="0D0D0D" w:themeColor="text1" w:themeTint="F2"/>
                <w:spacing w:val="-2"/>
              </w:rPr>
              <w:t>stavebnictví</w:t>
            </w:r>
            <w:r w:rsidR="00AC2960">
              <w:rPr>
                <w:color w:val="0D0D0D" w:themeColor="text1" w:themeTint="F2"/>
                <w:spacing w:val="-2"/>
              </w:rPr>
              <w:t xml:space="preserve">), dařilo se i právním a účetnickým činnostem či </w:t>
            </w:r>
            <w:r w:rsidR="00C61F47" w:rsidRPr="00C61F47">
              <w:rPr>
                <w:color w:val="0D0D0D" w:themeColor="text1" w:themeTint="F2"/>
                <w:spacing w:val="-2"/>
              </w:rPr>
              <w:t>poradenství v oblasti řízení</w:t>
            </w:r>
            <w:r w:rsidR="00C61F47">
              <w:rPr>
                <w:color w:val="0D0D0D" w:themeColor="text1" w:themeTint="F2"/>
                <w:spacing w:val="-2"/>
              </w:rPr>
              <w:t xml:space="preserve">. </w:t>
            </w:r>
            <w:r w:rsidR="007B2011" w:rsidRPr="009110F7">
              <w:rPr>
                <w:color w:val="0D0D0D" w:themeColor="text1" w:themeTint="F2"/>
                <w:spacing w:val="-2"/>
              </w:rPr>
              <w:t>Méně naopak utržili</w:t>
            </w:r>
            <w:r w:rsidR="00057B1E" w:rsidRPr="009110F7">
              <w:rPr>
                <w:color w:val="0D0D0D" w:themeColor="text1" w:themeTint="F2"/>
                <w:spacing w:val="-2"/>
              </w:rPr>
              <w:t xml:space="preserve"> poskytovatelé reklamních činností. </w:t>
            </w:r>
            <w:r w:rsidR="005E4BC9" w:rsidRPr="009110F7">
              <w:rPr>
                <w:color w:val="0D0D0D" w:themeColor="text1" w:themeTint="F2"/>
                <w:spacing w:val="-2"/>
              </w:rPr>
              <w:t xml:space="preserve">V administrativních </w:t>
            </w:r>
            <w:r w:rsidR="00716F48" w:rsidRPr="009110F7">
              <w:rPr>
                <w:color w:val="0D0D0D" w:themeColor="text1" w:themeTint="F2"/>
                <w:spacing w:val="-2"/>
              </w:rPr>
              <w:t>a </w:t>
            </w:r>
            <w:r w:rsidR="005E4BC9" w:rsidRPr="009110F7">
              <w:rPr>
                <w:color w:val="0D0D0D" w:themeColor="text1" w:themeTint="F2"/>
                <w:spacing w:val="-2"/>
              </w:rPr>
              <w:t>podpůrných činnostech přispívaly k vyšším výkonům (+2,8</w:t>
            </w:r>
            <w:r w:rsidR="00167CB9" w:rsidRPr="009110F7">
              <w:rPr>
                <w:color w:val="0D0D0D" w:themeColor="text1" w:themeTint="F2"/>
                <w:spacing w:val="-2"/>
              </w:rPr>
              <w:t> %</w:t>
            </w:r>
            <w:r w:rsidR="005E4BC9" w:rsidRPr="009110F7">
              <w:rPr>
                <w:color w:val="0D0D0D" w:themeColor="text1" w:themeTint="F2"/>
                <w:spacing w:val="-2"/>
              </w:rPr>
              <w:t xml:space="preserve">) hlavně cestovní </w:t>
            </w:r>
            <w:r w:rsidR="007B2011" w:rsidRPr="009110F7">
              <w:rPr>
                <w:color w:val="0D0D0D" w:themeColor="text1" w:themeTint="F2"/>
                <w:spacing w:val="-2"/>
              </w:rPr>
              <w:t xml:space="preserve">agentury </w:t>
            </w:r>
            <w:r w:rsidR="00716F48" w:rsidRPr="009110F7">
              <w:rPr>
                <w:color w:val="0D0D0D" w:themeColor="text1" w:themeTint="F2"/>
                <w:spacing w:val="-2"/>
              </w:rPr>
              <w:t>a </w:t>
            </w:r>
            <w:r w:rsidR="007B2011" w:rsidRPr="009110F7">
              <w:rPr>
                <w:color w:val="0D0D0D" w:themeColor="text1" w:themeTint="F2"/>
                <w:spacing w:val="-2"/>
              </w:rPr>
              <w:t>kanceláře</w:t>
            </w:r>
            <w:r w:rsidR="005E4BC9" w:rsidRPr="009110F7">
              <w:rPr>
                <w:color w:val="0D0D0D" w:themeColor="text1" w:themeTint="F2"/>
                <w:spacing w:val="-2"/>
              </w:rPr>
              <w:t>, jejichž růst tržeb trval již sedmé čtvrtletí v řadě. Výrazné zvolnění dlouhodobě dynamicky rostoucích pracovních agentur souvisel</w:t>
            </w:r>
            <w:r w:rsidR="00B16EB8">
              <w:rPr>
                <w:color w:val="0D0D0D" w:themeColor="text1" w:themeTint="F2"/>
                <w:spacing w:val="-2"/>
              </w:rPr>
              <w:t>o</w:t>
            </w:r>
            <w:r w:rsidR="005E4BC9" w:rsidRPr="009110F7">
              <w:rPr>
                <w:color w:val="0D0D0D" w:themeColor="text1" w:themeTint="F2"/>
                <w:spacing w:val="-2"/>
              </w:rPr>
              <w:t xml:space="preserve"> s legislativními </w:t>
            </w:r>
            <w:r w:rsidR="00716F48" w:rsidRPr="009110F7">
              <w:rPr>
                <w:color w:val="0D0D0D" w:themeColor="text1" w:themeTint="F2"/>
                <w:spacing w:val="-2"/>
              </w:rPr>
              <w:t>i </w:t>
            </w:r>
            <w:r w:rsidR="005E4BC9" w:rsidRPr="009110F7">
              <w:rPr>
                <w:color w:val="0D0D0D" w:themeColor="text1" w:themeTint="F2"/>
                <w:spacing w:val="-2"/>
              </w:rPr>
              <w:t>cenovými vlivy (</w:t>
            </w:r>
            <w:r w:rsidR="00716F48" w:rsidRPr="009110F7">
              <w:rPr>
                <w:color w:val="0D0D0D" w:themeColor="text1" w:themeTint="F2"/>
                <w:spacing w:val="-2"/>
              </w:rPr>
              <w:t>v </w:t>
            </w:r>
            <w:r w:rsidR="005E4BC9" w:rsidRPr="009110F7">
              <w:rPr>
                <w:color w:val="0D0D0D" w:themeColor="text1" w:themeTint="F2"/>
                <w:spacing w:val="-2"/>
              </w:rPr>
              <w:t xml:space="preserve">běžných cenách dvojciferný růst tržeb pokračoval). </w:t>
            </w:r>
          </w:p>
        </w:tc>
      </w:tr>
      <w:tr w:rsidR="008C7569" w:rsidRPr="009110F7" w:rsidTr="00203CD5">
        <w:trPr>
          <w:trHeight w:val="145"/>
        </w:trPr>
        <w:tc>
          <w:tcPr>
            <w:tcW w:w="1879" w:type="dxa"/>
            <w:gridSpan w:val="2"/>
            <w:shd w:val="clear" w:color="auto" w:fill="auto"/>
            <w:tcMar>
              <w:left w:w="0" w:type="dxa"/>
            </w:tcMar>
          </w:tcPr>
          <w:p w:rsidR="00D8598C" w:rsidRPr="009110F7" w:rsidRDefault="00D8598C" w:rsidP="008417B5">
            <w:pPr>
              <w:pStyle w:val="Marginlie"/>
            </w:pPr>
            <w:r w:rsidRPr="009110F7">
              <w:t>Tržby v maloobchodu odrážely velmi optimistické naladění spotřebitelů. Meziročně vzrostly nejvíce za posledních jedenáct let.</w:t>
            </w:r>
          </w:p>
          <w:p w:rsidR="00D8598C" w:rsidRPr="009110F7" w:rsidRDefault="00D8598C" w:rsidP="008417B5">
            <w:pPr>
              <w:pStyle w:val="Marginlie"/>
            </w:pPr>
          </w:p>
          <w:p w:rsidR="00D8598C" w:rsidRPr="009110F7" w:rsidRDefault="00D8598C" w:rsidP="008417B5">
            <w:pPr>
              <w:pStyle w:val="Marginlie"/>
            </w:pPr>
          </w:p>
          <w:p w:rsidR="00D8598C" w:rsidRPr="009110F7" w:rsidRDefault="00D8598C" w:rsidP="008417B5">
            <w:pPr>
              <w:pStyle w:val="Marginlie"/>
            </w:pPr>
          </w:p>
          <w:p w:rsidR="00D8598C" w:rsidRPr="009110F7" w:rsidRDefault="00D8598C" w:rsidP="008417B5">
            <w:pPr>
              <w:pStyle w:val="Marginlie"/>
            </w:pPr>
          </w:p>
          <w:p w:rsidR="00D8598C" w:rsidRPr="009110F7" w:rsidRDefault="00D8598C" w:rsidP="008417B5">
            <w:pPr>
              <w:pStyle w:val="Marginlie"/>
            </w:pPr>
          </w:p>
          <w:p w:rsidR="00D8598C" w:rsidRPr="009110F7" w:rsidRDefault="00D8598C" w:rsidP="008417B5">
            <w:pPr>
              <w:pStyle w:val="Marginlie"/>
            </w:pPr>
          </w:p>
          <w:p w:rsidR="00D8598C" w:rsidRPr="009110F7" w:rsidRDefault="00D8598C" w:rsidP="008417B5">
            <w:pPr>
              <w:pStyle w:val="Marginlie"/>
            </w:pPr>
          </w:p>
          <w:p w:rsidR="00D8598C" w:rsidRPr="009110F7" w:rsidRDefault="00D8598C" w:rsidP="008417B5">
            <w:pPr>
              <w:pStyle w:val="Marginlie"/>
            </w:pPr>
          </w:p>
          <w:p w:rsidR="00D8598C" w:rsidRPr="009110F7" w:rsidRDefault="00D8598C" w:rsidP="008417B5">
            <w:pPr>
              <w:pStyle w:val="Marginlie"/>
            </w:pPr>
          </w:p>
          <w:p w:rsidR="00D8598C" w:rsidRPr="009110F7" w:rsidRDefault="00D8598C" w:rsidP="008417B5">
            <w:pPr>
              <w:pStyle w:val="Marginlie"/>
            </w:pPr>
          </w:p>
          <w:p w:rsidR="008C7569" w:rsidRPr="009110F7" w:rsidRDefault="00D8598C" w:rsidP="008417B5">
            <w:pPr>
              <w:pStyle w:val="Marginlie"/>
            </w:pPr>
            <w:r w:rsidRPr="009110F7">
              <w:t xml:space="preserve">Vyšší tempa maloobchodních tržeb než ČR vykázaly na počátku roku v EU jen Kypr, Maďarsko </w:t>
            </w:r>
            <w:r w:rsidR="00716F48" w:rsidRPr="009110F7">
              <w:t>a </w:t>
            </w:r>
            <w:r w:rsidRPr="009110F7">
              <w:t>Rumunsko.</w:t>
            </w:r>
            <w:r w:rsidR="00161553" w:rsidRPr="009110F7">
              <w:t xml:space="preserve"> </w:t>
            </w:r>
          </w:p>
        </w:tc>
        <w:tc>
          <w:tcPr>
            <w:tcW w:w="247" w:type="dxa"/>
            <w:gridSpan w:val="2"/>
            <w:shd w:val="clear" w:color="auto" w:fill="auto"/>
            <w:tcMar>
              <w:left w:w="0" w:type="dxa"/>
            </w:tcMar>
          </w:tcPr>
          <w:p w:rsidR="008C7569" w:rsidRPr="009110F7" w:rsidRDefault="008C7569" w:rsidP="008417B5">
            <w:pPr>
              <w:pStyle w:val="Textpoznpodarou"/>
              <w:jc w:val="both"/>
              <w:rPr>
                <w:spacing w:val="-4"/>
              </w:rPr>
            </w:pPr>
          </w:p>
        </w:tc>
        <w:tc>
          <w:tcPr>
            <w:tcW w:w="7518" w:type="dxa"/>
            <w:shd w:val="clear" w:color="auto" w:fill="auto"/>
            <w:tcMar>
              <w:left w:w="0" w:type="dxa"/>
            </w:tcMar>
          </w:tcPr>
          <w:p w:rsidR="008C7569" w:rsidRPr="009110F7" w:rsidRDefault="00097191" w:rsidP="00840293">
            <w:pPr>
              <w:spacing w:after="0"/>
              <w:rPr>
                <w:color w:val="0D0D0D" w:themeColor="text1" w:themeTint="F2"/>
                <w:spacing w:val="-4"/>
              </w:rPr>
            </w:pPr>
            <w:r w:rsidRPr="009110F7">
              <w:rPr>
                <w:color w:val="0D0D0D" w:themeColor="text1" w:themeTint="F2"/>
                <w:spacing w:val="-4"/>
              </w:rPr>
              <w:t>Tržby v maloobchodu</w:t>
            </w:r>
            <w:r w:rsidRPr="009110F7">
              <w:rPr>
                <w:rStyle w:val="Znakapoznpodarou"/>
                <w:color w:val="0D0D0D" w:themeColor="text1" w:themeTint="F2"/>
                <w:spacing w:val="-4"/>
              </w:rPr>
              <w:footnoteReference w:id="29"/>
            </w:r>
            <w:r w:rsidRPr="009110F7">
              <w:rPr>
                <w:color w:val="0D0D0D" w:themeColor="text1" w:themeTint="F2"/>
                <w:spacing w:val="-4"/>
              </w:rPr>
              <w:t xml:space="preserve"> nadále mírně sílily </w:t>
            </w:r>
            <w:r w:rsidR="00716F48" w:rsidRPr="009110F7">
              <w:rPr>
                <w:color w:val="0D0D0D" w:themeColor="text1" w:themeTint="F2"/>
                <w:spacing w:val="-4"/>
              </w:rPr>
              <w:t>a </w:t>
            </w:r>
            <w:r w:rsidRPr="009110F7">
              <w:rPr>
                <w:color w:val="0D0D0D" w:themeColor="text1" w:themeTint="F2"/>
                <w:spacing w:val="-4"/>
              </w:rPr>
              <w:t>v 1</w:t>
            </w:r>
            <w:r w:rsidR="00716F48" w:rsidRPr="009110F7">
              <w:rPr>
                <w:color w:val="0D0D0D" w:themeColor="text1" w:themeTint="F2"/>
                <w:spacing w:val="-4"/>
              </w:rPr>
              <w:t>. čtvrt</w:t>
            </w:r>
            <w:r w:rsidRPr="009110F7">
              <w:rPr>
                <w:color w:val="0D0D0D" w:themeColor="text1" w:themeTint="F2"/>
                <w:spacing w:val="-4"/>
              </w:rPr>
              <w:t>letí vzro</w:t>
            </w:r>
            <w:r w:rsidR="00FA17CC" w:rsidRPr="009110F7">
              <w:rPr>
                <w:color w:val="0D0D0D" w:themeColor="text1" w:themeTint="F2"/>
                <w:spacing w:val="-4"/>
              </w:rPr>
              <w:t>stl</w:t>
            </w:r>
            <w:r w:rsidRPr="009110F7">
              <w:rPr>
                <w:color w:val="0D0D0D" w:themeColor="text1" w:themeTint="F2"/>
                <w:spacing w:val="-4"/>
              </w:rPr>
              <w:t>y</w:t>
            </w:r>
            <w:r w:rsidR="00FA17CC" w:rsidRPr="009110F7">
              <w:rPr>
                <w:color w:val="0D0D0D" w:themeColor="text1" w:themeTint="F2"/>
                <w:spacing w:val="-4"/>
              </w:rPr>
              <w:t xml:space="preserve"> </w:t>
            </w:r>
            <w:r w:rsidRPr="009110F7">
              <w:rPr>
                <w:color w:val="0D0D0D" w:themeColor="text1" w:themeTint="F2"/>
                <w:spacing w:val="-4"/>
              </w:rPr>
              <w:t xml:space="preserve">meziročně </w:t>
            </w:r>
            <w:r w:rsidR="00716F48" w:rsidRPr="009110F7">
              <w:rPr>
                <w:color w:val="0D0D0D" w:themeColor="text1" w:themeTint="F2"/>
                <w:spacing w:val="-4"/>
              </w:rPr>
              <w:t>o </w:t>
            </w:r>
            <w:r w:rsidRPr="009110F7">
              <w:rPr>
                <w:color w:val="0D0D0D" w:themeColor="text1" w:themeTint="F2"/>
                <w:spacing w:val="-4"/>
              </w:rPr>
              <w:t>6,3</w:t>
            </w:r>
            <w:r w:rsidR="00167CB9" w:rsidRPr="009110F7">
              <w:rPr>
                <w:color w:val="0D0D0D" w:themeColor="text1" w:themeTint="F2"/>
                <w:spacing w:val="-4"/>
              </w:rPr>
              <w:t> %</w:t>
            </w:r>
            <w:r w:rsidRPr="009110F7">
              <w:rPr>
                <w:color w:val="0D0D0D" w:themeColor="text1" w:themeTint="F2"/>
                <w:spacing w:val="-4"/>
              </w:rPr>
              <w:t xml:space="preserve"> (nejvyšší</w:t>
            </w:r>
            <w:r w:rsidR="00FA17CC" w:rsidRPr="009110F7">
              <w:rPr>
                <w:color w:val="0D0D0D" w:themeColor="text1" w:themeTint="F2"/>
                <w:spacing w:val="-4"/>
              </w:rPr>
              <w:t>m tempem</w:t>
            </w:r>
            <w:r w:rsidR="00583E52">
              <w:rPr>
                <w:color w:val="0D0D0D" w:themeColor="text1" w:themeTint="F2"/>
                <w:spacing w:val="-4"/>
              </w:rPr>
              <w:t xml:space="preserve"> po</w:t>
            </w:r>
            <w:r w:rsidRPr="009110F7">
              <w:rPr>
                <w:color w:val="0D0D0D" w:themeColor="text1" w:themeTint="F2"/>
                <w:spacing w:val="-4"/>
              </w:rPr>
              <w:t xml:space="preserve"> 3</w:t>
            </w:r>
            <w:r w:rsidR="00716F48" w:rsidRPr="009110F7">
              <w:rPr>
                <w:color w:val="0D0D0D" w:themeColor="text1" w:themeTint="F2"/>
                <w:spacing w:val="-4"/>
              </w:rPr>
              <w:t>. čtvrt</w:t>
            </w:r>
            <w:r w:rsidRPr="009110F7">
              <w:rPr>
                <w:color w:val="0D0D0D" w:themeColor="text1" w:themeTint="F2"/>
                <w:spacing w:val="-4"/>
              </w:rPr>
              <w:t xml:space="preserve">letí 2007). </w:t>
            </w:r>
            <w:r w:rsidR="00FA17CC" w:rsidRPr="009110F7">
              <w:rPr>
                <w:color w:val="0D0D0D" w:themeColor="text1" w:themeTint="F2"/>
                <w:spacing w:val="-4"/>
              </w:rPr>
              <w:t xml:space="preserve">Plně </w:t>
            </w:r>
            <w:r w:rsidR="00197C0F" w:rsidRPr="009110F7">
              <w:rPr>
                <w:color w:val="0D0D0D" w:themeColor="text1" w:themeTint="F2"/>
                <w:spacing w:val="-4"/>
              </w:rPr>
              <w:t>se v nich odrážel</w:t>
            </w:r>
            <w:r w:rsidR="00FA17CC" w:rsidRPr="009110F7">
              <w:rPr>
                <w:color w:val="0D0D0D" w:themeColor="text1" w:themeTint="F2"/>
                <w:spacing w:val="-4"/>
              </w:rPr>
              <w:t xml:space="preserve"> trend indikátoru důvěry spotřebitelů ovlivněný rekordně nízkou nezaměstnaností </w:t>
            </w:r>
            <w:r w:rsidR="00716F48" w:rsidRPr="009110F7">
              <w:rPr>
                <w:color w:val="0D0D0D" w:themeColor="text1" w:themeTint="F2"/>
                <w:spacing w:val="-4"/>
              </w:rPr>
              <w:t>i </w:t>
            </w:r>
            <w:r w:rsidR="00FA17CC" w:rsidRPr="009110F7">
              <w:rPr>
                <w:color w:val="0D0D0D" w:themeColor="text1" w:themeTint="F2"/>
                <w:spacing w:val="-4"/>
              </w:rPr>
              <w:t>vysok</w:t>
            </w:r>
            <w:r w:rsidR="00197C0F" w:rsidRPr="009110F7">
              <w:rPr>
                <w:color w:val="0D0D0D" w:themeColor="text1" w:themeTint="F2"/>
                <w:spacing w:val="-4"/>
              </w:rPr>
              <w:t>ým</w:t>
            </w:r>
            <w:r w:rsidR="00FA17CC" w:rsidRPr="009110F7">
              <w:rPr>
                <w:color w:val="0D0D0D" w:themeColor="text1" w:themeTint="F2"/>
                <w:spacing w:val="-4"/>
              </w:rPr>
              <w:t xml:space="preserve"> temp</w:t>
            </w:r>
            <w:r w:rsidR="00197C0F" w:rsidRPr="009110F7">
              <w:rPr>
                <w:color w:val="0D0D0D" w:themeColor="text1" w:themeTint="F2"/>
                <w:spacing w:val="-4"/>
              </w:rPr>
              <w:t>em</w:t>
            </w:r>
            <w:r w:rsidR="00FA17CC" w:rsidRPr="009110F7">
              <w:rPr>
                <w:color w:val="0D0D0D" w:themeColor="text1" w:themeTint="F2"/>
                <w:spacing w:val="-4"/>
              </w:rPr>
              <w:t xml:space="preserve"> růstu objemu vyplacených mezd v ekonomice. </w:t>
            </w:r>
            <w:r w:rsidR="00817A17" w:rsidRPr="009110F7">
              <w:rPr>
                <w:color w:val="0D0D0D" w:themeColor="text1" w:themeTint="F2"/>
                <w:spacing w:val="-4"/>
              </w:rPr>
              <w:t xml:space="preserve">K růstu maloobchodu přispěl tradičně nejvíce </w:t>
            </w:r>
            <w:r w:rsidR="00E417BE" w:rsidRPr="009110F7">
              <w:rPr>
                <w:color w:val="0D0D0D" w:themeColor="text1" w:themeTint="F2"/>
                <w:spacing w:val="-4"/>
              </w:rPr>
              <w:t xml:space="preserve">prodej </w:t>
            </w:r>
            <w:proofErr w:type="spellStart"/>
            <w:r w:rsidR="00E417BE" w:rsidRPr="009110F7">
              <w:rPr>
                <w:color w:val="0D0D0D" w:themeColor="text1" w:themeTint="F2"/>
                <w:spacing w:val="-4"/>
              </w:rPr>
              <w:t>nepo</w:t>
            </w:r>
            <w:r w:rsidR="00817A17" w:rsidRPr="009110F7">
              <w:rPr>
                <w:color w:val="0D0D0D" w:themeColor="text1" w:themeTint="F2"/>
                <w:spacing w:val="-4"/>
              </w:rPr>
              <w:t>travinářského</w:t>
            </w:r>
            <w:proofErr w:type="spellEnd"/>
            <w:r w:rsidR="00817A17" w:rsidRPr="009110F7">
              <w:rPr>
                <w:color w:val="0D0D0D" w:themeColor="text1" w:themeTint="F2"/>
                <w:spacing w:val="-4"/>
              </w:rPr>
              <w:t xml:space="preserve"> zboží, jehož tempa převyšovala 8,5% hranici již páté čtvrtletí v řadě. V </w:t>
            </w:r>
            <w:r w:rsidR="00840293" w:rsidRPr="009110F7">
              <w:rPr>
                <w:color w:val="0D0D0D" w:themeColor="text1" w:themeTint="F2"/>
                <w:spacing w:val="-4"/>
              </w:rPr>
              <w:t>ČR</w:t>
            </w:r>
            <w:r w:rsidR="00583E52">
              <w:rPr>
                <w:color w:val="0D0D0D" w:themeColor="text1" w:themeTint="F2"/>
                <w:spacing w:val="-4"/>
              </w:rPr>
              <w:t xml:space="preserve"> (+22,3</w:t>
            </w:r>
            <w:r w:rsidR="00167CB9" w:rsidRPr="009110F7">
              <w:rPr>
                <w:color w:val="0D0D0D" w:themeColor="text1" w:themeTint="F2"/>
                <w:spacing w:val="-4"/>
              </w:rPr>
              <w:t> %</w:t>
            </w:r>
            <w:r w:rsidR="00817A17" w:rsidRPr="009110F7">
              <w:rPr>
                <w:color w:val="0D0D0D" w:themeColor="text1" w:themeTint="F2"/>
                <w:spacing w:val="-4"/>
              </w:rPr>
              <w:t>) stejně jako v EU (8,0</w:t>
            </w:r>
            <w:r w:rsidR="00167CB9" w:rsidRPr="009110F7">
              <w:rPr>
                <w:color w:val="0D0D0D" w:themeColor="text1" w:themeTint="F2"/>
                <w:spacing w:val="-4"/>
              </w:rPr>
              <w:t> %</w:t>
            </w:r>
            <w:r w:rsidR="00817A17" w:rsidRPr="009110F7">
              <w:rPr>
                <w:color w:val="0D0D0D" w:themeColor="text1" w:themeTint="F2"/>
                <w:spacing w:val="-4"/>
              </w:rPr>
              <w:t xml:space="preserve">) rostly </w:t>
            </w:r>
            <w:r w:rsidR="00716F48" w:rsidRPr="009110F7">
              <w:rPr>
                <w:color w:val="0D0D0D" w:themeColor="text1" w:themeTint="F2"/>
                <w:spacing w:val="-4"/>
              </w:rPr>
              <w:t>v </w:t>
            </w:r>
            <w:r w:rsidR="00817A17" w:rsidRPr="009110F7">
              <w:rPr>
                <w:color w:val="0D0D0D" w:themeColor="text1" w:themeTint="F2"/>
                <w:spacing w:val="-4"/>
              </w:rPr>
              <w:t>tomto segmentu maloobchodu nejvíce tržby internetovým prodejcům.</w:t>
            </w:r>
            <w:r w:rsidR="004A27F0" w:rsidRPr="009110F7">
              <w:rPr>
                <w:color w:val="0D0D0D" w:themeColor="text1" w:themeTint="F2"/>
                <w:spacing w:val="-4"/>
              </w:rPr>
              <w:t xml:space="preserve"> Mezi specializovanými prodejnami se v tuzemsku dařilo hlavně prodeji počítač</w:t>
            </w:r>
            <w:r w:rsidR="008A3CBA" w:rsidRPr="009110F7">
              <w:rPr>
                <w:color w:val="0D0D0D" w:themeColor="text1" w:themeTint="F2"/>
                <w:spacing w:val="-4"/>
              </w:rPr>
              <w:t xml:space="preserve">ových </w:t>
            </w:r>
            <w:r w:rsidR="00716F48" w:rsidRPr="009110F7">
              <w:rPr>
                <w:color w:val="0D0D0D" w:themeColor="text1" w:themeTint="F2"/>
                <w:spacing w:val="-4"/>
              </w:rPr>
              <w:t>i </w:t>
            </w:r>
            <w:r w:rsidR="008A3CBA" w:rsidRPr="009110F7">
              <w:rPr>
                <w:color w:val="0D0D0D" w:themeColor="text1" w:themeTint="F2"/>
                <w:spacing w:val="-4"/>
              </w:rPr>
              <w:t>komunikačních zařízení</w:t>
            </w:r>
            <w:r w:rsidR="004A27F0" w:rsidRPr="009110F7">
              <w:rPr>
                <w:color w:val="0D0D0D" w:themeColor="text1" w:themeTint="F2"/>
                <w:spacing w:val="-4"/>
              </w:rPr>
              <w:t xml:space="preserve">, kde poptávku stimuloval </w:t>
            </w:r>
            <w:r w:rsidR="00716F48" w:rsidRPr="009110F7">
              <w:rPr>
                <w:color w:val="0D0D0D" w:themeColor="text1" w:themeTint="F2"/>
                <w:spacing w:val="-4"/>
              </w:rPr>
              <w:t>i </w:t>
            </w:r>
            <w:r w:rsidR="004A27F0" w:rsidRPr="009110F7">
              <w:rPr>
                <w:color w:val="0D0D0D" w:themeColor="text1" w:themeTint="F2"/>
                <w:spacing w:val="-4"/>
              </w:rPr>
              <w:t xml:space="preserve">příznivý cenový vývoj. Silně rostly </w:t>
            </w:r>
            <w:r w:rsidR="00716F48" w:rsidRPr="009110F7">
              <w:rPr>
                <w:color w:val="0D0D0D" w:themeColor="text1" w:themeTint="F2"/>
                <w:spacing w:val="-4"/>
              </w:rPr>
              <w:t>i </w:t>
            </w:r>
            <w:r w:rsidR="004A27F0" w:rsidRPr="009110F7">
              <w:rPr>
                <w:color w:val="0D0D0D" w:themeColor="text1" w:themeTint="F2"/>
                <w:spacing w:val="-4"/>
              </w:rPr>
              <w:t>tržby za výrobky převážně pro domácnost, nao</w:t>
            </w:r>
            <w:r w:rsidR="00A2628E" w:rsidRPr="009110F7">
              <w:rPr>
                <w:color w:val="0D0D0D" w:themeColor="text1" w:themeTint="F2"/>
                <w:spacing w:val="-4"/>
              </w:rPr>
              <w:t>pak tempa za prodej oděvů, obuvi a koženého zboží</w:t>
            </w:r>
            <w:r w:rsidR="004A27F0" w:rsidRPr="009110F7">
              <w:rPr>
                <w:color w:val="0D0D0D" w:themeColor="text1" w:themeTint="F2"/>
                <w:spacing w:val="-4"/>
              </w:rPr>
              <w:t xml:space="preserve"> či výrobků pro kulturu a rekreaci nedosáhla </w:t>
            </w:r>
            <w:r w:rsidR="00885D40" w:rsidRPr="009110F7">
              <w:rPr>
                <w:color w:val="0D0D0D" w:themeColor="text1" w:themeTint="F2"/>
                <w:spacing w:val="-4"/>
              </w:rPr>
              <w:t>vinou</w:t>
            </w:r>
            <w:r w:rsidR="004A27F0" w:rsidRPr="009110F7">
              <w:rPr>
                <w:color w:val="0D0D0D" w:themeColor="text1" w:themeTint="F2"/>
                <w:spacing w:val="-4"/>
              </w:rPr>
              <w:t xml:space="preserve"> opožděného nástupu jarní sezóny ani 3</w:t>
            </w:r>
            <w:r w:rsidR="00167CB9" w:rsidRPr="009110F7">
              <w:rPr>
                <w:color w:val="0D0D0D" w:themeColor="text1" w:themeTint="F2"/>
                <w:spacing w:val="-4"/>
              </w:rPr>
              <w:t> %</w:t>
            </w:r>
            <w:r w:rsidR="004A27F0" w:rsidRPr="009110F7">
              <w:rPr>
                <w:color w:val="0D0D0D" w:themeColor="text1" w:themeTint="F2"/>
                <w:spacing w:val="-4"/>
              </w:rPr>
              <w:t xml:space="preserve">. </w:t>
            </w:r>
            <w:r w:rsidR="004A40D9" w:rsidRPr="009110F7">
              <w:rPr>
                <w:color w:val="0D0D0D" w:themeColor="text1" w:themeTint="F2"/>
                <w:spacing w:val="-4"/>
              </w:rPr>
              <w:t>Maloobchod s potravinami v</w:t>
            </w:r>
            <w:r w:rsidR="00891EDF" w:rsidRPr="009110F7">
              <w:rPr>
                <w:color w:val="0D0D0D" w:themeColor="text1" w:themeTint="F2"/>
                <w:spacing w:val="-4"/>
              </w:rPr>
              <w:t>zr</w:t>
            </w:r>
            <w:r w:rsidR="004A40D9" w:rsidRPr="009110F7">
              <w:rPr>
                <w:color w:val="0D0D0D" w:themeColor="text1" w:themeTint="F2"/>
                <w:spacing w:val="-4"/>
              </w:rPr>
              <w:t>o</w:t>
            </w:r>
            <w:r w:rsidR="00891EDF" w:rsidRPr="009110F7">
              <w:rPr>
                <w:color w:val="0D0D0D" w:themeColor="text1" w:themeTint="F2"/>
                <w:spacing w:val="-4"/>
              </w:rPr>
              <w:t>s</w:t>
            </w:r>
            <w:r w:rsidR="004A40D9" w:rsidRPr="009110F7">
              <w:rPr>
                <w:color w:val="0D0D0D" w:themeColor="text1" w:themeTint="F2"/>
                <w:spacing w:val="-4"/>
              </w:rPr>
              <w:t xml:space="preserve">tl </w:t>
            </w:r>
            <w:r w:rsidR="00716F48" w:rsidRPr="009110F7">
              <w:rPr>
                <w:color w:val="0D0D0D" w:themeColor="text1" w:themeTint="F2"/>
                <w:spacing w:val="-4"/>
              </w:rPr>
              <w:t>o </w:t>
            </w:r>
            <w:r w:rsidR="00FA5526" w:rsidRPr="009110F7">
              <w:rPr>
                <w:color w:val="0D0D0D" w:themeColor="text1" w:themeTint="F2"/>
                <w:spacing w:val="-4"/>
              </w:rPr>
              <w:t>3,4</w:t>
            </w:r>
            <w:r w:rsidR="00167CB9" w:rsidRPr="009110F7">
              <w:rPr>
                <w:color w:val="0D0D0D" w:themeColor="text1" w:themeTint="F2"/>
                <w:spacing w:val="-4"/>
              </w:rPr>
              <w:t> %</w:t>
            </w:r>
            <w:r w:rsidR="00FA5526" w:rsidRPr="009110F7">
              <w:rPr>
                <w:color w:val="0D0D0D" w:themeColor="text1" w:themeTint="F2"/>
                <w:spacing w:val="-4"/>
              </w:rPr>
              <w:t xml:space="preserve"> (</w:t>
            </w:r>
            <w:r w:rsidR="00891EDF" w:rsidRPr="009110F7">
              <w:rPr>
                <w:color w:val="0D0D0D" w:themeColor="text1" w:themeTint="F2"/>
                <w:spacing w:val="-4"/>
              </w:rPr>
              <w:t xml:space="preserve">za celý </w:t>
            </w:r>
            <w:r w:rsidR="00FA5526" w:rsidRPr="009110F7">
              <w:rPr>
                <w:color w:val="0D0D0D" w:themeColor="text1" w:themeTint="F2"/>
                <w:spacing w:val="-4"/>
              </w:rPr>
              <w:t xml:space="preserve">loňský </w:t>
            </w:r>
            <w:r w:rsidR="00891EDF" w:rsidRPr="009110F7">
              <w:rPr>
                <w:color w:val="0D0D0D" w:themeColor="text1" w:themeTint="F2"/>
                <w:spacing w:val="-4"/>
              </w:rPr>
              <w:t>rok</w:t>
            </w:r>
            <w:r w:rsidR="00FA5526" w:rsidRPr="009110F7">
              <w:rPr>
                <w:color w:val="0D0D0D" w:themeColor="text1" w:themeTint="F2"/>
                <w:spacing w:val="-4"/>
              </w:rPr>
              <w:t xml:space="preserve"> +2,8</w:t>
            </w:r>
            <w:r w:rsidR="00167CB9" w:rsidRPr="009110F7">
              <w:rPr>
                <w:color w:val="0D0D0D" w:themeColor="text1" w:themeTint="F2"/>
                <w:spacing w:val="-4"/>
              </w:rPr>
              <w:t> %</w:t>
            </w:r>
            <w:r w:rsidR="00FA5526" w:rsidRPr="009110F7">
              <w:rPr>
                <w:color w:val="0D0D0D" w:themeColor="text1" w:themeTint="F2"/>
                <w:spacing w:val="-4"/>
              </w:rPr>
              <w:t>)</w:t>
            </w:r>
            <w:r w:rsidR="00E417BE" w:rsidRPr="009110F7">
              <w:rPr>
                <w:color w:val="0D0D0D" w:themeColor="text1" w:themeTint="F2"/>
                <w:spacing w:val="-4"/>
              </w:rPr>
              <w:t>, byl pozitivně</w:t>
            </w:r>
            <w:r w:rsidR="00FA5526" w:rsidRPr="009110F7">
              <w:rPr>
                <w:color w:val="0D0D0D" w:themeColor="text1" w:themeTint="F2"/>
                <w:spacing w:val="-4"/>
              </w:rPr>
              <w:t xml:space="preserve"> ovlivněn „předsunutými“ Velikonocemi. </w:t>
            </w:r>
            <w:r w:rsidR="00840293" w:rsidRPr="009110F7">
              <w:rPr>
                <w:color w:val="0D0D0D" w:themeColor="text1" w:themeTint="F2"/>
                <w:spacing w:val="-4"/>
              </w:rPr>
              <w:t>P</w:t>
            </w:r>
            <w:r w:rsidR="00AC2960">
              <w:rPr>
                <w:color w:val="0D0D0D" w:themeColor="text1" w:themeTint="F2"/>
                <w:spacing w:val="-4"/>
              </w:rPr>
              <w:t>oměrně stabilní byl po roce 2014</w:t>
            </w:r>
            <w:r w:rsidR="00840293" w:rsidRPr="009110F7">
              <w:rPr>
                <w:color w:val="0D0D0D" w:themeColor="text1" w:themeTint="F2"/>
                <w:spacing w:val="-4"/>
              </w:rPr>
              <w:t xml:space="preserve"> vývoj tržeb za prodej pohonných hmot, v 1</w:t>
            </w:r>
            <w:r w:rsidR="00716F48" w:rsidRPr="009110F7">
              <w:rPr>
                <w:color w:val="0D0D0D" w:themeColor="text1" w:themeTint="F2"/>
                <w:spacing w:val="-4"/>
              </w:rPr>
              <w:t>. čtvrt</w:t>
            </w:r>
            <w:r w:rsidR="00840293" w:rsidRPr="009110F7">
              <w:rPr>
                <w:color w:val="0D0D0D" w:themeColor="text1" w:themeTint="F2"/>
                <w:spacing w:val="-4"/>
              </w:rPr>
              <w:t xml:space="preserve">letí 2018 </w:t>
            </w:r>
            <w:r w:rsidR="00B16EB8">
              <w:rPr>
                <w:color w:val="0D0D0D" w:themeColor="text1" w:themeTint="F2"/>
                <w:spacing w:val="-4"/>
              </w:rPr>
              <w:t>vzrostly o </w:t>
            </w:r>
            <w:r w:rsidR="00840293" w:rsidRPr="009110F7">
              <w:rPr>
                <w:color w:val="0D0D0D" w:themeColor="text1" w:themeTint="F2"/>
                <w:spacing w:val="-4"/>
              </w:rPr>
              <w:t>5,7</w:t>
            </w:r>
            <w:r w:rsidR="00167CB9" w:rsidRPr="009110F7">
              <w:rPr>
                <w:color w:val="0D0D0D" w:themeColor="text1" w:themeTint="F2"/>
                <w:spacing w:val="-4"/>
              </w:rPr>
              <w:t> %</w:t>
            </w:r>
            <w:r w:rsidR="00840293" w:rsidRPr="009110F7">
              <w:rPr>
                <w:color w:val="0D0D0D" w:themeColor="text1" w:themeTint="F2"/>
                <w:spacing w:val="-4"/>
              </w:rPr>
              <w:t>.</w:t>
            </w:r>
            <w:r w:rsidR="00FA5526" w:rsidRPr="009110F7">
              <w:rPr>
                <w:color w:val="0D0D0D" w:themeColor="text1" w:themeTint="F2"/>
                <w:spacing w:val="-4"/>
              </w:rPr>
              <w:t xml:space="preserve"> </w:t>
            </w:r>
            <w:r w:rsidR="004A62A0" w:rsidRPr="009110F7">
              <w:rPr>
                <w:color w:val="0D0D0D" w:themeColor="text1" w:themeTint="F2"/>
                <w:spacing w:val="-4"/>
              </w:rPr>
              <w:t xml:space="preserve">Naopak tržby za obchod </w:t>
            </w:r>
            <w:r w:rsidR="00716F48" w:rsidRPr="009110F7">
              <w:rPr>
                <w:color w:val="0D0D0D" w:themeColor="text1" w:themeTint="F2"/>
                <w:spacing w:val="-4"/>
              </w:rPr>
              <w:t>a </w:t>
            </w:r>
            <w:r w:rsidR="004A62A0" w:rsidRPr="009110F7">
              <w:rPr>
                <w:color w:val="0D0D0D" w:themeColor="text1" w:themeTint="F2"/>
                <w:spacing w:val="-4"/>
              </w:rPr>
              <w:t xml:space="preserve">opravy motorových vozidel </w:t>
            </w:r>
            <w:r w:rsidR="007B6F72" w:rsidRPr="009110F7">
              <w:rPr>
                <w:color w:val="0D0D0D" w:themeColor="text1" w:themeTint="F2"/>
                <w:spacing w:val="-4"/>
              </w:rPr>
              <w:t xml:space="preserve">již </w:t>
            </w:r>
            <w:r w:rsidR="004A62A0" w:rsidRPr="009110F7">
              <w:rPr>
                <w:color w:val="0D0D0D" w:themeColor="text1" w:themeTint="F2"/>
                <w:spacing w:val="-4"/>
              </w:rPr>
              <w:t>vykazovaly známky nasycení (</w:t>
            </w:r>
            <w:r w:rsidR="00CA37FF">
              <w:rPr>
                <w:color w:val="0D0D0D" w:themeColor="text1" w:themeTint="F2"/>
                <w:spacing w:val="-4"/>
              </w:rPr>
              <w:t>-</w:t>
            </w:r>
            <w:r w:rsidR="004A62A0" w:rsidRPr="009110F7">
              <w:rPr>
                <w:color w:val="0D0D0D" w:themeColor="text1" w:themeTint="F2"/>
                <w:spacing w:val="-4"/>
              </w:rPr>
              <w:t>1,3</w:t>
            </w:r>
            <w:r w:rsidR="00167CB9" w:rsidRPr="009110F7">
              <w:rPr>
                <w:color w:val="0D0D0D" w:themeColor="text1" w:themeTint="F2"/>
                <w:spacing w:val="-4"/>
              </w:rPr>
              <w:t> %</w:t>
            </w:r>
            <w:r w:rsidR="004A62A0" w:rsidRPr="009110F7">
              <w:rPr>
                <w:color w:val="0D0D0D" w:themeColor="text1" w:themeTint="F2"/>
                <w:spacing w:val="-4"/>
              </w:rPr>
              <w:t xml:space="preserve">). </w:t>
            </w:r>
            <w:r w:rsidR="00840293" w:rsidRPr="009110F7">
              <w:rPr>
                <w:color w:val="0D0D0D" w:themeColor="text1" w:themeTint="F2"/>
                <w:spacing w:val="-4"/>
              </w:rPr>
              <w:t xml:space="preserve">ČR </w:t>
            </w:r>
            <w:r w:rsidR="00FA5526" w:rsidRPr="009110F7">
              <w:rPr>
                <w:color w:val="0D0D0D" w:themeColor="text1" w:themeTint="F2"/>
                <w:spacing w:val="-4"/>
              </w:rPr>
              <w:t>se v posledn</w:t>
            </w:r>
            <w:r w:rsidR="00C922DE" w:rsidRPr="009110F7">
              <w:rPr>
                <w:color w:val="0D0D0D" w:themeColor="text1" w:themeTint="F2"/>
                <w:spacing w:val="-4"/>
              </w:rPr>
              <w:t>ích třech letech řadí k zemím s </w:t>
            </w:r>
            <w:r w:rsidR="00FA5526" w:rsidRPr="009110F7">
              <w:rPr>
                <w:color w:val="0D0D0D" w:themeColor="text1" w:themeTint="F2"/>
                <w:spacing w:val="-4"/>
              </w:rPr>
              <w:t>nejrychlejším růstem maloobch</w:t>
            </w:r>
            <w:r w:rsidR="00FA5526" w:rsidRPr="00C55402">
              <w:rPr>
                <w:color w:val="000000" w:themeColor="text1"/>
                <w:spacing w:val="-4"/>
              </w:rPr>
              <w:t xml:space="preserve">odních tržeb v EU. Hlavně zásluhou </w:t>
            </w:r>
            <w:proofErr w:type="spellStart"/>
            <w:r w:rsidR="00A2628E" w:rsidRPr="00C55402">
              <w:rPr>
                <w:color w:val="000000" w:themeColor="text1"/>
                <w:spacing w:val="-4"/>
              </w:rPr>
              <w:t>nepotravinářského</w:t>
            </w:r>
            <w:proofErr w:type="spellEnd"/>
            <w:r w:rsidR="00A2628E" w:rsidRPr="00C55402">
              <w:rPr>
                <w:color w:val="000000" w:themeColor="text1"/>
                <w:spacing w:val="-4"/>
              </w:rPr>
              <w:t xml:space="preserve"> </w:t>
            </w:r>
            <w:r w:rsidR="00A2628E" w:rsidRPr="009110F7">
              <w:rPr>
                <w:color w:val="0D0D0D" w:themeColor="text1" w:themeTint="F2"/>
                <w:spacing w:val="-4"/>
              </w:rPr>
              <w:t xml:space="preserve">zboží rostl </w:t>
            </w:r>
            <w:r w:rsidR="00FA5526" w:rsidRPr="009110F7">
              <w:rPr>
                <w:color w:val="0D0D0D" w:themeColor="text1" w:themeTint="F2"/>
                <w:spacing w:val="-4"/>
              </w:rPr>
              <w:t>celý maloobchod (bez motoristického segmentu) v ČR v 1</w:t>
            </w:r>
            <w:r w:rsidR="00716F48" w:rsidRPr="009110F7">
              <w:rPr>
                <w:color w:val="0D0D0D" w:themeColor="text1" w:themeTint="F2"/>
                <w:spacing w:val="-4"/>
              </w:rPr>
              <w:t>. čtvrt</w:t>
            </w:r>
            <w:r w:rsidR="00FA5526" w:rsidRPr="009110F7">
              <w:rPr>
                <w:color w:val="0D0D0D" w:themeColor="text1" w:themeTint="F2"/>
                <w:spacing w:val="-4"/>
              </w:rPr>
              <w:t xml:space="preserve">letí čtvrtým nejvyšším tempem v EU (za Kyprem, Maďarskem </w:t>
            </w:r>
            <w:r w:rsidR="00716F48" w:rsidRPr="009110F7">
              <w:rPr>
                <w:color w:val="0D0D0D" w:themeColor="text1" w:themeTint="F2"/>
                <w:spacing w:val="-4"/>
              </w:rPr>
              <w:t>a </w:t>
            </w:r>
            <w:r w:rsidR="00FA5526" w:rsidRPr="009110F7">
              <w:rPr>
                <w:color w:val="0D0D0D" w:themeColor="text1" w:themeTint="F2"/>
                <w:spacing w:val="-4"/>
              </w:rPr>
              <w:t xml:space="preserve">Rumunskem). </w:t>
            </w:r>
            <w:r w:rsidR="00C922DE" w:rsidRPr="009110F7">
              <w:rPr>
                <w:color w:val="0D0D0D" w:themeColor="text1" w:themeTint="F2"/>
                <w:spacing w:val="-4"/>
              </w:rPr>
              <w:t>V EU činil růst 2,1</w:t>
            </w:r>
            <w:r w:rsidR="00167CB9" w:rsidRPr="009110F7">
              <w:rPr>
                <w:color w:val="0D0D0D" w:themeColor="text1" w:themeTint="F2"/>
                <w:spacing w:val="-4"/>
              </w:rPr>
              <w:t> %</w:t>
            </w:r>
            <w:r w:rsidR="00C922DE" w:rsidRPr="009110F7">
              <w:rPr>
                <w:color w:val="0D0D0D" w:themeColor="text1" w:themeTint="F2"/>
                <w:spacing w:val="-4"/>
              </w:rPr>
              <w:t>, v Německu 0,9</w:t>
            </w:r>
            <w:r w:rsidR="00167CB9" w:rsidRPr="009110F7">
              <w:rPr>
                <w:color w:val="0D0D0D" w:themeColor="text1" w:themeTint="F2"/>
                <w:spacing w:val="-4"/>
              </w:rPr>
              <w:t> %</w:t>
            </w:r>
            <w:r w:rsidR="00C922DE" w:rsidRPr="009110F7">
              <w:rPr>
                <w:color w:val="0D0D0D" w:themeColor="text1" w:themeTint="F2"/>
                <w:spacing w:val="-4"/>
              </w:rPr>
              <w:t xml:space="preserve">. Tržby mírně klesly </w:t>
            </w:r>
            <w:r w:rsidR="00E417BE" w:rsidRPr="009110F7">
              <w:rPr>
                <w:color w:val="0D0D0D" w:themeColor="text1" w:themeTint="F2"/>
                <w:spacing w:val="-4"/>
              </w:rPr>
              <w:t xml:space="preserve">jen </w:t>
            </w:r>
            <w:r w:rsidR="00C922DE" w:rsidRPr="009110F7">
              <w:rPr>
                <w:color w:val="0D0D0D" w:themeColor="text1" w:themeTint="F2"/>
                <w:spacing w:val="-4"/>
              </w:rPr>
              <w:t>v Itálii (</w:t>
            </w:r>
            <w:r w:rsidR="00CA37FF">
              <w:rPr>
                <w:color w:val="0D0D0D" w:themeColor="text1" w:themeTint="F2"/>
                <w:spacing w:val="-4"/>
              </w:rPr>
              <w:t>-</w:t>
            </w:r>
            <w:r w:rsidR="00C922DE" w:rsidRPr="009110F7">
              <w:rPr>
                <w:color w:val="0D0D0D" w:themeColor="text1" w:themeTint="F2"/>
                <w:spacing w:val="-4"/>
              </w:rPr>
              <w:t>1,0</w:t>
            </w:r>
            <w:r w:rsidR="00167CB9" w:rsidRPr="009110F7">
              <w:rPr>
                <w:color w:val="0D0D0D" w:themeColor="text1" w:themeTint="F2"/>
                <w:spacing w:val="-4"/>
              </w:rPr>
              <w:t> %</w:t>
            </w:r>
            <w:r w:rsidR="00C922DE" w:rsidRPr="009110F7">
              <w:rPr>
                <w:color w:val="0D0D0D" w:themeColor="text1" w:themeTint="F2"/>
                <w:spacing w:val="-4"/>
              </w:rPr>
              <w:t xml:space="preserve">) </w:t>
            </w:r>
            <w:r w:rsidR="00716F48" w:rsidRPr="009110F7">
              <w:rPr>
                <w:color w:val="0D0D0D" w:themeColor="text1" w:themeTint="F2"/>
                <w:spacing w:val="-4"/>
              </w:rPr>
              <w:t>a </w:t>
            </w:r>
            <w:r w:rsidR="00C922DE" w:rsidRPr="009110F7">
              <w:rPr>
                <w:color w:val="0D0D0D" w:themeColor="text1" w:themeTint="F2"/>
                <w:spacing w:val="-4"/>
              </w:rPr>
              <w:t xml:space="preserve">také </w:t>
            </w:r>
            <w:r w:rsidR="00716F48" w:rsidRPr="009110F7">
              <w:rPr>
                <w:color w:val="0D0D0D" w:themeColor="text1" w:themeTint="F2"/>
                <w:spacing w:val="-4"/>
              </w:rPr>
              <w:t>v </w:t>
            </w:r>
            <w:r w:rsidR="00C922DE" w:rsidRPr="009110F7">
              <w:rPr>
                <w:color w:val="0D0D0D" w:themeColor="text1" w:themeTint="F2"/>
                <w:spacing w:val="-4"/>
              </w:rPr>
              <w:t xml:space="preserve">Belgii </w:t>
            </w:r>
            <w:r w:rsidR="00716F48" w:rsidRPr="009110F7">
              <w:rPr>
                <w:color w:val="0D0D0D" w:themeColor="text1" w:themeTint="F2"/>
                <w:spacing w:val="-4"/>
              </w:rPr>
              <w:t>i </w:t>
            </w:r>
            <w:r w:rsidR="00C922DE" w:rsidRPr="009110F7">
              <w:rPr>
                <w:color w:val="0D0D0D" w:themeColor="text1" w:themeTint="F2"/>
                <w:spacing w:val="-4"/>
              </w:rPr>
              <w:t>Slovinsku.</w:t>
            </w:r>
          </w:p>
        </w:tc>
      </w:tr>
    </w:tbl>
    <w:p w:rsidR="00935BD4" w:rsidRPr="009110F7" w:rsidRDefault="00935BD4" w:rsidP="001554C2">
      <w:pPr>
        <w:pStyle w:val="Nadpis11"/>
      </w:pPr>
      <w:bookmarkStart w:id="8" w:name="_Toc517166411"/>
      <w:r w:rsidRPr="009110F7">
        <w:lastRenderedPageBreak/>
        <w:t>4. Vnější vztahy</w:t>
      </w:r>
      <w:bookmarkEnd w:id="8"/>
    </w:p>
    <w:tbl>
      <w:tblPr>
        <w:tblW w:w="9639" w:type="dxa"/>
        <w:tblInd w:w="-15" w:type="dxa"/>
        <w:tblCellMar>
          <w:left w:w="0" w:type="dxa"/>
          <w:right w:w="0" w:type="dxa"/>
        </w:tblCellMar>
        <w:tblLook w:val="00A0"/>
      </w:tblPr>
      <w:tblGrid>
        <w:gridCol w:w="1888"/>
        <w:gridCol w:w="250"/>
        <w:gridCol w:w="7501"/>
      </w:tblGrid>
      <w:tr w:rsidR="001554C2" w:rsidRPr="009110F7" w:rsidTr="008D127E">
        <w:trPr>
          <w:trHeight w:val="145"/>
        </w:trPr>
        <w:tc>
          <w:tcPr>
            <w:tcW w:w="1888" w:type="dxa"/>
            <w:shd w:val="clear" w:color="auto" w:fill="auto"/>
            <w:tcMar>
              <w:left w:w="0" w:type="dxa"/>
            </w:tcMar>
          </w:tcPr>
          <w:p w:rsidR="001554C2" w:rsidRPr="009110F7" w:rsidRDefault="001554C2" w:rsidP="00965797">
            <w:pPr>
              <w:pStyle w:val="Marginlie"/>
            </w:pPr>
            <w:r w:rsidRPr="009110F7">
              <w:t>Hodnota vývozu se meziročně snížila.</w:t>
            </w:r>
          </w:p>
        </w:tc>
        <w:tc>
          <w:tcPr>
            <w:tcW w:w="250" w:type="dxa"/>
            <w:shd w:val="clear" w:color="auto" w:fill="auto"/>
            <w:tcMar>
              <w:left w:w="0" w:type="dxa"/>
            </w:tcMar>
          </w:tcPr>
          <w:p w:rsidR="001554C2" w:rsidRPr="009110F7" w:rsidRDefault="001554C2" w:rsidP="00965797">
            <w:pPr>
              <w:pStyle w:val="Textpoznpodarou"/>
              <w:jc w:val="both"/>
              <w:rPr>
                <w:spacing w:val="-4"/>
              </w:rPr>
            </w:pPr>
          </w:p>
        </w:tc>
        <w:tc>
          <w:tcPr>
            <w:tcW w:w="7501" w:type="dxa"/>
            <w:shd w:val="clear" w:color="auto" w:fill="auto"/>
            <w:tcMar>
              <w:left w:w="0" w:type="dxa"/>
            </w:tcMar>
          </w:tcPr>
          <w:p w:rsidR="001554C2" w:rsidRPr="009110F7" w:rsidRDefault="001554C2" w:rsidP="00446D44">
            <w:pPr>
              <w:rPr>
                <w:spacing w:val="-2"/>
              </w:rPr>
            </w:pPr>
            <w:r w:rsidRPr="009110F7">
              <w:rPr>
                <w:spacing w:val="-2"/>
              </w:rPr>
              <w:t>Hodnota vývozu zboží v 1</w:t>
            </w:r>
            <w:r w:rsidR="00716F48" w:rsidRPr="009110F7">
              <w:rPr>
                <w:spacing w:val="-2"/>
              </w:rPr>
              <w:t>. čtvrt</w:t>
            </w:r>
            <w:r w:rsidRPr="009110F7">
              <w:rPr>
                <w:spacing w:val="-2"/>
              </w:rPr>
              <w:t>letí letošního roku dosáhla 890,</w:t>
            </w:r>
            <w:r w:rsidR="00167CB9" w:rsidRPr="009110F7">
              <w:rPr>
                <w:spacing w:val="-2"/>
              </w:rPr>
              <w:t>3 </w:t>
            </w:r>
            <w:r w:rsidRPr="009110F7">
              <w:rPr>
                <w:spacing w:val="-2"/>
              </w:rPr>
              <w:t>mld. korun</w:t>
            </w:r>
            <w:r w:rsidRPr="009110F7">
              <w:rPr>
                <w:rStyle w:val="Znakapoznpodarou"/>
                <w:spacing w:val="-2"/>
              </w:rPr>
              <w:footnoteReference w:id="30"/>
            </w:r>
            <w:r w:rsidRPr="009110F7">
              <w:rPr>
                <w:spacing w:val="-2"/>
              </w:rPr>
              <w:t xml:space="preserve"> a meziročně se snížila </w:t>
            </w:r>
            <w:r w:rsidR="00716F48" w:rsidRPr="009110F7">
              <w:rPr>
                <w:spacing w:val="-2"/>
              </w:rPr>
              <w:t>o </w:t>
            </w:r>
            <w:r w:rsidRPr="009110F7">
              <w:rPr>
                <w:spacing w:val="-2"/>
              </w:rPr>
              <w:t>13,</w:t>
            </w:r>
            <w:r w:rsidR="00167CB9" w:rsidRPr="009110F7">
              <w:rPr>
                <w:spacing w:val="-2"/>
              </w:rPr>
              <w:t>2 </w:t>
            </w:r>
            <w:r w:rsidRPr="009110F7">
              <w:rPr>
                <w:spacing w:val="-2"/>
              </w:rPr>
              <w:t>mld. (</w:t>
            </w:r>
            <w:r w:rsidR="00CA37FF">
              <w:rPr>
                <w:spacing w:val="-2"/>
              </w:rPr>
              <w:t>-</w:t>
            </w:r>
            <w:r w:rsidRPr="009110F7">
              <w:rPr>
                <w:spacing w:val="-2"/>
              </w:rPr>
              <w:t>1,5</w:t>
            </w:r>
            <w:r w:rsidR="00167CB9" w:rsidRPr="009110F7">
              <w:rPr>
                <w:spacing w:val="-2"/>
              </w:rPr>
              <w:t> %</w:t>
            </w:r>
            <w:r w:rsidRPr="009110F7">
              <w:rPr>
                <w:spacing w:val="-2"/>
              </w:rPr>
              <w:t xml:space="preserve">). Jde </w:t>
            </w:r>
            <w:r w:rsidR="00716F48" w:rsidRPr="009110F7">
              <w:rPr>
                <w:spacing w:val="-2"/>
              </w:rPr>
              <w:t>o </w:t>
            </w:r>
            <w:r w:rsidRPr="009110F7">
              <w:rPr>
                <w:spacing w:val="-2"/>
              </w:rPr>
              <w:t>první meziroční pokles od</w:t>
            </w:r>
            <w:r w:rsidR="00446D44" w:rsidRPr="009110F7">
              <w:rPr>
                <w:spacing w:val="-2"/>
              </w:rPr>
              <w:t> </w:t>
            </w:r>
            <w:r w:rsidRPr="009110F7">
              <w:rPr>
                <w:spacing w:val="-2"/>
              </w:rPr>
              <w:t>3. čtvrtletí 2016. Tento výsledek je však nutné vidět v kontextu exportně mimořádně vydařeného 1</w:t>
            </w:r>
            <w:r w:rsidR="00716F48" w:rsidRPr="009110F7">
              <w:rPr>
                <w:spacing w:val="-2"/>
              </w:rPr>
              <w:t>. čtvrt</w:t>
            </w:r>
            <w:r w:rsidRPr="009110F7">
              <w:rPr>
                <w:spacing w:val="-2"/>
              </w:rPr>
              <w:t xml:space="preserve">letí 2017, se kterým srovnáváme. Dalším významným faktorem, který se zčásti promítl do hodnoty vývozu, je </w:t>
            </w:r>
            <w:r w:rsidR="00716F48" w:rsidRPr="009110F7">
              <w:rPr>
                <w:spacing w:val="-2"/>
              </w:rPr>
              <w:t>i </w:t>
            </w:r>
            <w:r w:rsidRPr="009110F7">
              <w:rPr>
                <w:spacing w:val="-2"/>
              </w:rPr>
              <w:t xml:space="preserve">meziroční posílení koruny. </w:t>
            </w:r>
          </w:p>
        </w:tc>
      </w:tr>
      <w:tr w:rsidR="001554C2" w:rsidRPr="009110F7" w:rsidTr="008D127E">
        <w:trPr>
          <w:trHeight w:val="145"/>
        </w:trPr>
        <w:tc>
          <w:tcPr>
            <w:tcW w:w="1888" w:type="dxa"/>
            <w:shd w:val="clear" w:color="auto" w:fill="auto"/>
            <w:tcMar>
              <w:left w:w="0" w:type="dxa"/>
            </w:tcMar>
          </w:tcPr>
          <w:p w:rsidR="001554C2" w:rsidRPr="009110F7" w:rsidRDefault="001554C2" w:rsidP="00965797">
            <w:pPr>
              <w:pStyle w:val="Marginlie"/>
            </w:pPr>
            <w:r w:rsidRPr="009110F7">
              <w:t xml:space="preserve">Pokles se týkal obchodu s EU </w:t>
            </w:r>
            <w:r w:rsidR="00716F48" w:rsidRPr="009110F7">
              <w:t>i </w:t>
            </w:r>
            <w:r w:rsidR="00923CB0">
              <w:t xml:space="preserve">se </w:t>
            </w:r>
            <w:r w:rsidRPr="009110F7">
              <w:t>zem</w:t>
            </w:r>
            <w:r w:rsidR="00923CB0">
              <w:t>ěmi</w:t>
            </w:r>
            <w:r w:rsidRPr="009110F7">
              <w:t xml:space="preserve"> mimo EU. </w:t>
            </w:r>
          </w:p>
        </w:tc>
        <w:tc>
          <w:tcPr>
            <w:tcW w:w="250" w:type="dxa"/>
            <w:shd w:val="clear" w:color="auto" w:fill="auto"/>
            <w:tcMar>
              <w:left w:w="0" w:type="dxa"/>
            </w:tcMar>
          </w:tcPr>
          <w:p w:rsidR="001554C2" w:rsidRPr="009110F7" w:rsidRDefault="001554C2" w:rsidP="00965797">
            <w:pPr>
              <w:pStyle w:val="Textpoznpodarou"/>
              <w:jc w:val="both"/>
              <w:rPr>
                <w:spacing w:val="-4"/>
              </w:rPr>
            </w:pPr>
          </w:p>
        </w:tc>
        <w:tc>
          <w:tcPr>
            <w:tcW w:w="7501" w:type="dxa"/>
            <w:shd w:val="clear" w:color="auto" w:fill="auto"/>
            <w:tcMar>
              <w:left w:w="0" w:type="dxa"/>
            </w:tcMar>
          </w:tcPr>
          <w:p w:rsidR="001554C2" w:rsidRPr="009110F7" w:rsidRDefault="001554C2" w:rsidP="001B3E38">
            <w:r w:rsidRPr="009110F7">
              <w:t>Celkový pokles hodnoty vývozu se pr</w:t>
            </w:r>
            <w:r w:rsidR="001B3E38">
              <w:t xml:space="preserve">ojevil </w:t>
            </w:r>
            <w:r w:rsidR="00716F48" w:rsidRPr="009110F7">
              <w:t>i </w:t>
            </w:r>
            <w:r w:rsidR="001B3E38">
              <w:t>na</w:t>
            </w:r>
            <w:r w:rsidRPr="009110F7">
              <w:t xml:space="preserve"> teritoriální</w:t>
            </w:r>
            <w:r w:rsidR="001B3E38">
              <w:t>m</w:t>
            </w:r>
            <w:r w:rsidRPr="009110F7">
              <w:t xml:space="preserve"> pohledu na export. Vývoz do zemí EU v 1</w:t>
            </w:r>
            <w:r w:rsidR="00716F48" w:rsidRPr="009110F7">
              <w:t>. čtvrt</w:t>
            </w:r>
            <w:r w:rsidRPr="009110F7">
              <w:t xml:space="preserve">letí meziročně poklesl </w:t>
            </w:r>
            <w:r w:rsidR="00716F48" w:rsidRPr="009110F7">
              <w:t>o </w:t>
            </w:r>
            <w:r w:rsidRPr="009110F7">
              <w:t>9,</w:t>
            </w:r>
            <w:r w:rsidR="00167CB9" w:rsidRPr="009110F7">
              <w:t>5 </w:t>
            </w:r>
            <w:r w:rsidRPr="009110F7">
              <w:t>mld. korun (</w:t>
            </w:r>
            <w:r w:rsidR="00CA37FF">
              <w:t>-</w:t>
            </w:r>
            <w:r w:rsidRPr="009110F7">
              <w:t>1,3</w:t>
            </w:r>
            <w:r w:rsidR="00167CB9" w:rsidRPr="009110F7">
              <w:t> %</w:t>
            </w:r>
            <w:r w:rsidRPr="009110F7">
              <w:t>) a u zemí mimo EU bylo snížení ještě větší (3,</w:t>
            </w:r>
            <w:r w:rsidR="00167CB9" w:rsidRPr="009110F7">
              <w:t>8 </w:t>
            </w:r>
            <w:r w:rsidRPr="009110F7">
              <w:t xml:space="preserve">mld., </w:t>
            </w:r>
            <w:r w:rsidR="00CA37FF">
              <w:t>-</w:t>
            </w:r>
            <w:r w:rsidRPr="009110F7">
              <w:t>2,7</w:t>
            </w:r>
            <w:r w:rsidR="00167CB9" w:rsidRPr="009110F7">
              <w:t> %</w:t>
            </w:r>
            <w:r w:rsidRPr="009110F7">
              <w:t>). Meziroční pokles zaznamenala hodnota exportu do Německa (6,</w:t>
            </w:r>
            <w:r w:rsidR="00167CB9" w:rsidRPr="009110F7">
              <w:t>4 </w:t>
            </w:r>
            <w:r w:rsidRPr="009110F7">
              <w:t>mld.</w:t>
            </w:r>
            <w:r w:rsidR="00923CB0">
              <w:t>,</w:t>
            </w:r>
            <w:r w:rsidRPr="009110F7">
              <w:t xml:space="preserve"> </w:t>
            </w:r>
            <w:r w:rsidR="00CA37FF">
              <w:t>-</w:t>
            </w:r>
            <w:r w:rsidRPr="009110F7">
              <w:t>2,2</w:t>
            </w:r>
            <w:r w:rsidR="00167CB9" w:rsidRPr="009110F7">
              <w:t> %</w:t>
            </w:r>
            <w:r w:rsidRPr="009110F7">
              <w:t xml:space="preserve">), na Slovensko (3,7 mld., </w:t>
            </w:r>
            <w:r w:rsidR="00CA37FF">
              <w:t>-</w:t>
            </w:r>
            <w:r w:rsidRPr="009110F7">
              <w:t>4,8</w:t>
            </w:r>
            <w:r w:rsidR="00167CB9" w:rsidRPr="009110F7">
              <w:t> %</w:t>
            </w:r>
            <w:r w:rsidRPr="009110F7">
              <w:t>), do</w:t>
            </w:r>
            <w:r w:rsidR="00446D44" w:rsidRPr="009110F7">
              <w:t> </w:t>
            </w:r>
            <w:r w:rsidRPr="009110F7">
              <w:t>Velké Británie (3,</w:t>
            </w:r>
            <w:r w:rsidR="00167CB9" w:rsidRPr="009110F7">
              <w:t>3 </w:t>
            </w:r>
            <w:r w:rsidRPr="009110F7">
              <w:t>mld.</w:t>
            </w:r>
            <w:r w:rsidR="00923CB0">
              <w:t>,</w:t>
            </w:r>
            <w:r w:rsidRPr="009110F7">
              <w:t xml:space="preserve"> </w:t>
            </w:r>
            <w:r w:rsidR="00CA37FF">
              <w:t>-</w:t>
            </w:r>
            <w:r w:rsidRPr="009110F7">
              <w:t>7,0</w:t>
            </w:r>
            <w:r w:rsidR="00167CB9" w:rsidRPr="009110F7">
              <w:t> %</w:t>
            </w:r>
            <w:r w:rsidRPr="009110F7">
              <w:t xml:space="preserve">). Mírně se snížila </w:t>
            </w:r>
            <w:r w:rsidR="00716F48" w:rsidRPr="009110F7">
              <w:t>i </w:t>
            </w:r>
            <w:r w:rsidRPr="009110F7">
              <w:t xml:space="preserve">hodnota vývozu do Francie (0,7 mld., </w:t>
            </w:r>
            <w:r w:rsidR="00CA37FF">
              <w:t>-</w:t>
            </w:r>
            <w:r w:rsidRPr="009110F7">
              <w:t>1,4</w:t>
            </w:r>
            <w:r w:rsidR="00167CB9" w:rsidRPr="009110F7">
              <w:t> %</w:t>
            </w:r>
            <w:r w:rsidRPr="009110F7">
              <w:t xml:space="preserve">) </w:t>
            </w:r>
            <w:r w:rsidR="00716F48" w:rsidRPr="009110F7">
              <w:t>a </w:t>
            </w:r>
            <w:r w:rsidRPr="009110F7">
              <w:t>Polska (0,</w:t>
            </w:r>
            <w:r w:rsidR="00167CB9" w:rsidRPr="009110F7">
              <w:t>2 </w:t>
            </w:r>
            <w:r w:rsidRPr="009110F7">
              <w:t xml:space="preserve">mld., </w:t>
            </w:r>
            <w:r w:rsidR="00CA37FF">
              <w:t>-</w:t>
            </w:r>
            <w:r w:rsidRPr="009110F7">
              <w:t>0,4</w:t>
            </w:r>
            <w:r w:rsidR="00167CB9" w:rsidRPr="009110F7">
              <w:t> %</w:t>
            </w:r>
            <w:r w:rsidRPr="009110F7">
              <w:t>). Naopak velmi výrazně narostl vývoz do Nizozemska (3,</w:t>
            </w:r>
            <w:r w:rsidR="00167CB9" w:rsidRPr="009110F7">
              <w:t>2 </w:t>
            </w:r>
            <w:r w:rsidRPr="009110F7">
              <w:t>mld., 14,4</w:t>
            </w:r>
            <w:r w:rsidR="00167CB9" w:rsidRPr="009110F7">
              <w:t> %</w:t>
            </w:r>
            <w:r w:rsidRPr="009110F7">
              <w:t>). Z mimoevropských zemí výrazně klesl vývoz do</w:t>
            </w:r>
            <w:r w:rsidR="00446D44" w:rsidRPr="009110F7">
              <w:t> </w:t>
            </w:r>
            <w:r w:rsidRPr="009110F7">
              <w:t>Spojených států (1,</w:t>
            </w:r>
            <w:r w:rsidR="00167CB9" w:rsidRPr="009110F7">
              <w:t>9 </w:t>
            </w:r>
            <w:r w:rsidRPr="009110F7">
              <w:t xml:space="preserve">mld., </w:t>
            </w:r>
            <w:r w:rsidR="00CA37FF">
              <w:t>-</w:t>
            </w:r>
            <w:r w:rsidRPr="009110F7">
              <w:t>9,5</w:t>
            </w:r>
            <w:r w:rsidR="00167CB9" w:rsidRPr="009110F7">
              <w:t> %</w:t>
            </w:r>
            <w:r w:rsidRPr="009110F7">
              <w:t>). Meziroční přírůstek vykázal vývoz do Ruské federace (0,</w:t>
            </w:r>
            <w:r w:rsidR="00167CB9" w:rsidRPr="009110F7">
              <w:t>6 </w:t>
            </w:r>
            <w:r w:rsidRPr="009110F7">
              <w:t>mld., 3,9</w:t>
            </w:r>
            <w:r w:rsidR="00167CB9" w:rsidRPr="009110F7">
              <w:t> %</w:t>
            </w:r>
            <w:r w:rsidRPr="009110F7">
              <w:t xml:space="preserve">) </w:t>
            </w:r>
            <w:r w:rsidR="00716F48" w:rsidRPr="009110F7">
              <w:t>a </w:t>
            </w:r>
            <w:r w:rsidRPr="009110F7">
              <w:t>Číny (0,</w:t>
            </w:r>
            <w:r w:rsidR="00167CB9" w:rsidRPr="009110F7">
              <w:t>8 </w:t>
            </w:r>
            <w:r w:rsidRPr="009110F7">
              <w:t>mld., 7,8</w:t>
            </w:r>
            <w:r w:rsidR="00167CB9" w:rsidRPr="009110F7">
              <w:t> %</w:t>
            </w:r>
            <w:r w:rsidRPr="009110F7">
              <w:t xml:space="preserve">). </w:t>
            </w:r>
          </w:p>
        </w:tc>
      </w:tr>
      <w:tr w:rsidR="001554C2" w:rsidRPr="009110F7" w:rsidTr="008D127E">
        <w:trPr>
          <w:trHeight w:val="170"/>
        </w:trPr>
        <w:tc>
          <w:tcPr>
            <w:tcW w:w="1888" w:type="dxa"/>
            <w:shd w:val="clear" w:color="auto" w:fill="auto"/>
            <w:tcMar>
              <w:left w:w="0" w:type="dxa"/>
            </w:tcMar>
          </w:tcPr>
          <w:p w:rsidR="001554C2" w:rsidRPr="009110F7" w:rsidRDefault="001554C2" w:rsidP="00965797">
            <w:pPr>
              <w:pStyle w:val="Marginlie"/>
            </w:pPr>
            <w:r w:rsidRPr="009110F7">
              <w:t>Poprvé od roku 2013 klesla hodnota vývozu motorových vozidel.</w:t>
            </w:r>
          </w:p>
        </w:tc>
        <w:tc>
          <w:tcPr>
            <w:tcW w:w="250" w:type="dxa"/>
            <w:shd w:val="clear" w:color="auto" w:fill="auto"/>
            <w:tcMar>
              <w:left w:w="0" w:type="dxa"/>
            </w:tcMar>
          </w:tcPr>
          <w:p w:rsidR="001554C2" w:rsidRPr="009110F7" w:rsidRDefault="001554C2" w:rsidP="00965797">
            <w:pPr>
              <w:pStyle w:val="Textpoznpodarou"/>
              <w:jc w:val="both"/>
              <w:rPr>
                <w:spacing w:val="-4"/>
              </w:rPr>
            </w:pPr>
          </w:p>
        </w:tc>
        <w:tc>
          <w:tcPr>
            <w:tcW w:w="7501" w:type="dxa"/>
            <w:shd w:val="clear" w:color="auto" w:fill="auto"/>
            <w:tcMar>
              <w:left w:w="0" w:type="dxa"/>
            </w:tcMar>
          </w:tcPr>
          <w:p w:rsidR="001554C2" w:rsidRPr="009110F7" w:rsidRDefault="001554C2" w:rsidP="00965797">
            <w:r w:rsidRPr="009110F7">
              <w:t>Český vývoz silně závisí na automobilovém průmyslu. Motorová vozidla tvoří bezmála třetinu domácího exportu. V 1</w:t>
            </w:r>
            <w:r w:rsidR="00716F48" w:rsidRPr="009110F7">
              <w:t>. čtvrt</w:t>
            </w:r>
            <w:r w:rsidRPr="009110F7">
              <w:t xml:space="preserve">letí 2018 však došlo </w:t>
            </w:r>
            <w:r w:rsidR="00716F48" w:rsidRPr="009110F7">
              <w:t>k </w:t>
            </w:r>
            <w:r w:rsidRPr="009110F7">
              <w:t>meziročnímu poklesu hodnoty exportu motorových vozidel ve výši 18,</w:t>
            </w:r>
            <w:r w:rsidR="00167CB9" w:rsidRPr="009110F7">
              <w:t>2 </w:t>
            </w:r>
            <w:r w:rsidRPr="009110F7">
              <w:t>mld. korun (6,7</w:t>
            </w:r>
            <w:r w:rsidR="00167CB9" w:rsidRPr="009110F7">
              <w:t> %</w:t>
            </w:r>
            <w:r w:rsidRPr="009110F7">
              <w:t xml:space="preserve">, poprvé od 1. čtvrtletí 2013). Do značné míry jde </w:t>
            </w:r>
            <w:r w:rsidR="00716F48" w:rsidRPr="009110F7">
              <w:t>o </w:t>
            </w:r>
            <w:r w:rsidRPr="009110F7">
              <w:t>důsledek srovnání s mimořádně vydařeným 1</w:t>
            </w:r>
            <w:r w:rsidR="00716F48" w:rsidRPr="009110F7">
              <w:t>. čtvrt</w:t>
            </w:r>
            <w:r w:rsidRPr="009110F7">
              <w:t xml:space="preserve">letím loňského roku. Podobný důvod lze vidět </w:t>
            </w:r>
            <w:r w:rsidR="00716F48" w:rsidRPr="009110F7">
              <w:t>i </w:t>
            </w:r>
            <w:r w:rsidRPr="009110F7">
              <w:t xml:space="preserve">za stagnací vývozu strojů </w:t>
            </w:r>
            <w:r w:rsidR="00716F48" w:rsidRPr="009110F7">
              <w:t>a </w:t>
            </w:r>
            <w:r w:rsidRPr="009110F7">
              <w:t>zařízení (1,</w:t>
            </w:r>
            <w:r w:rsidR="00167CB9" w:rsidRPr="009110F7">
              <w:t>1 </w:t>
            </w:r>
            <w:r w:rsidRPr="009110F7">
              <w:t>mld., 1,1</w:t>
            </w:r>
            <w:r w:rsidR="00167CB9" w:rsidRPr="009110F7">
              <w:t> %</w:t>
            </w:r>
            <w:r w:rsidRPr="009110F7">
              <w:t>) nebo zpomalením růstu exportu elektrických zařízení (3,2 mld., 4,3</w:t>
            </w:r>
            <w:r w:rsidR="00167CB9" w:rsidRPr="009110F7">
              <w:t> %</w:t>
            </w:r>
            <w:r w:rsidRPr="009110F7">
              <w:t xml:space="preserve">). Meziročně se snížila </w:t>
            </w:r>
            <w:r w:rsidR="00716F48" w:rsidRPr="009110F7">
              <w:t>i </w:t>
            </w:r>
            <w:r w:rsidRPr="009110F7">
              <w:t xml:space="preserve">hodnota vývozu chemických látek </w:t>
            </w:r>
            <w:r w:rsidR="00716F48" w:rsidRPr="009110F7">
              <w:t>a </w:t>
            </w:r>
            <w:r w:rsidRPr="009110F7">
              <w:t>přípravků (1,</w:t>
            </w:r>
            <w:r w:rsidR="00167CB9" w:rsidRPr="009110F7">
              <w:t>0 </w:t>
            </w:r>
            <w:r w:rsidRPr="009110F7">
              <w:t xml:space="preserve">mld., </w:t>
            </w:r>
            <w:r w:rsidR="00CA37FF">
              <w:t>-</w:t>
            </w:r>
            <w:r w:rsidRPr="009110F7">
              <w:t>2,3</w:t>
            </w:r>
            <w:r w:rsidR="00167CB9" w:rsidRPr="009110F7">
              <w:t> %</w:t>
            </w:r>
            <w:r w:rsidRPr="009110F7">
              <w:t>). V 1</w:t>
            </w:r>
            <w:r w:rsidR="00716F48" w:rsidRPr="009110F7">
              <w:t>. čtvrt</w:t>
            </w:r>
            <w:r w:rsidRPr="009110F7">
              <w:t xml:space="preserve">letí se však dařilo vývozu počítačů, elektronických </w:t>
            </w:r>
            <w:r w:rsidR="00716F48" w:rsidRPr="009110F7">
              <w:t>a </w:t>
            </w:r>
            <w:r w:rsidRPr="009110F7">
              <w:t xml:space="preserve">optických přístrojů (nárůst </w:t>
            </w:r>
            <w:r w:rsidR="00716F48" w:rsidRPr="009110F7">
              <w:t>o </w:t>
            </w:r>
            <w:r w:rsidRPr="009110F7">
              <w:t>9,</w:t>
            </w:r>
            <w:r w:rsidR="00167CB9" w:rsidRPr="009110F7">
              <w:t>8 </w:t>
            </w:r>
            <w:r w:rsidRPr="009110F7">
              <w:t>mld., 13,3</w:t>
            </w:r>
            <w:r w:rsidR="00167CB9" w:rsidRPr="009110F7">
              <w:t> %</w:t>
            </w:r>
            <w:r w:rsidRPr="009110F7">
              <w:t>).</w:t>
            </w:r>
            <w:r w:rsidR="00161553" w:rsidRPr="009110F7">
              <w:t xml:space="preserve"> </w:t>
            </w:r>
          </w:p>
        </w:tc>
      </w:tr>
      <w:tr w:rsidR="001554C2" w:rsidRPr="009110F7" w:rsidTr="008D127E">
        <w:trPr>
          <w:trHeight w:val="145"/>
        </w:trPr>
        <w:tc>
          <w:tcPr>
            <w:tcW w:w="1888" w:type="dxa"/>
            <w:shd w:val="clear" w:color="auto" w:fill="auto"/>
            <w:tcMar>
              <w:left w:w="0" w:type="dxa"/>
            </w:tcMar>
          </w:tcPr>
          <w:p w:rsidR="001554C2" w:rsidRPr="009110F7" w:rsidRDefault="001554C2" w:rsidP="00965797">
            <w:pPr>
              <w:pStyle w:val="Marginlie"/>
            </w:pPr>
            <w:r w:rsidRPr="009110F7">
              <w:t xml:space="preserve">Hodnota dovozu se rovněž snížila. Pokles byl výraznější </w:t>
            </w:r>
            <w:r w:rsidR="00716F48" w:rsidRPr="009110F7">
              <w:t>u </w:t>
            </w:r>
            <w:r w:rsidRPr="009110F7">
              <w:t>zemí mimo EU.</w:t>
            </w:r>
          </w:p>
        </w:tc>
        <w:tc>
          <w:tcPr>
            <w:tcW w:w="250" w:type="dxa"/>
            <w:shd w:val="clear" w:color="auto" w:fill="auto"/>
            <w:tcMar>
              <w:left w:w="0" w:type="dxa"/>
            </w:tcMar>
          </w:tcPr>
          <w:p w:rsidR="001554C2" w:rsidRPr="009110F7" w:rsidRDefault="001554C2" w:rsidP="00965797">
            <w:pPr>
              <w:pStyle w:val="Textpoznpodarou"/>
              <w:jc w:val="both"/>
              <w:rPr>
                <w:spacing w:val="-4"/>
              </w:rPr>
            </w:pPr>
          </w:p>
        </w:tc>
        <w:tc>
          <w:tcPr>
            <w:tcW w:w="7501" w:type="dxa"/>
            <w:shd w:val="clear" w:color="auto" w:fill="auto"/>
            <w:tcMar>
              <w:left w:w="0" w:type="dxa"/>
            </w:tcMar>
          </w:tcPr>
          <w:p w:rsidR="001554C2" w:rsidRPr="009110F7" w:rsidRDefault="001554C2" w:rsidP="00CA37FF">
            <w:r w:rsidRPr="009110F7">
              <w:t xml:space="preserve">Poklesl </w:t>
            </w:r>
            <w:r w:rsidR="00716F48" w:rsidRPr="009110F7">
              <w:t>i </w:t>
            </w:r>
            <w:r w:rsidRPr="009110F7">
              <w:t>dovoz. Snížení v 1</w:t>
            </w:r>
            <w:r w:rsidR="00716F48" w:rsidRPr="009110F7">
              <w:t>. čtvrt</w:t>
            </w:r>
            <w:r w:rsidRPr="009110F7">
              <w:t>letí dosáhlo 4,</w:t>
            </w:r>
            <w:r w:rsidR="00167CB9" w:rsidRPr="009110F7">
              <w:t>0 </w:t>
            </w:r>
            <w:r w:rsidRPr="009110F7">
              <w:t>mld. korun (</w:t>
            </w:r>
            <w:r w:rsidR="00CA37FF">
              <w:t>-</w:t>
            </w:r>
            <w:r w:rsidRPr="009110F7">
              <w:t>0,5</w:t>
            </w:r>
            <w:r w:rsidR="00167CB9" w:rsidRPr="009110F7">
              <w:t> %</w:t>
            </w:r>
            <w:r w:rsidRPr="009110F7">
              <w:t>)</w:t>
            </w:r>
            <w:r w:rsidR="00D03A72">
              <w:t>,</w:t>
            </w:r>
            <w:r w:rsidRPr="009110F7">
              <w:t xml:space="preserve"> </w:t>
            </w:r>
            <w:r w:rsidR="00716F48" w:rsidRPr="009110F7">
              <w:t>a </w:t>
            </w:r>
            <w:r w:rsidRPr="009110F7">
              <w:t xml:space="preserve">výsledná </w:t>
            </w:r>
            <w:r w:rsidRPr="007434E5">
              <w:rPr>
                <w:w w:val="104"/>
              </w:rPr>
              <w:t>hodnota importu tak činila 832,</w:t>
            </w:r>
            <w:r w:rsidR="00167CB9" w:rsidRPr="007434E5">
              <w:rPr>
                <w:w w:val="104"/>
              </w:rPr>
              <w:t>5 </w:t>
            </w:r>
            <w:r w:rsidRPr="007434E5">
              <w:rPr>
                <w:w w:val="104"/>
              </w:rPr>
              <w:t>mld. Snížil se dovoz ze zemí mimo EU (3,</w:t>
            </w:r>
            <w:r w:rsidR="00167CB9" w:rsidRPr="007434E5">
              <w:rPr>
                <w:w w:val="104"/>
              </w:rPr>
              <w:t>9 </w:t>
            </w:r>
            <w:r w:rsidRPr="007434E5">
              <w:rPr>
                <w:w w:val="104"/>
              </w:rPr>
              <w:t>mld.,</w:t>
            </w:r>
            <w:r w:rsidRPr="009110F7">
              <w:t xml:space="preserve"> </w:t>
            </w:r>
            <w:r w:rsidR="00CA37FF">
              <w:t>-</w:t>
            </w:r>
            <w:r w:rsidRPr="009110F7">
              <w:t>1,5</w:t>
            </w:r>
            <w:r w:rsidR="00167CB9" w:rsidRPr="009110F7">
              <w:t> %</w:t>
            </w:r>
            <w:r w:rsidRPr="009110F7">
              <w:t xml:space="preserve">). Unijní import se zvýšil </w:t>
            </w:r>
            <w:r w:rsidR="00716F48" w:rsidRPr="009110F7">
              <w:t>o </w:t>
            </w:r>
            <w:r w:rsidRPr="009110F7">
              <w:t>0,</w:t>
            </w:r>
            <w:r w:rsidR="00167CB9" w:rsidRPr="009110F7">
              <w:t>2 </w:t>
            </w:r>
            <w:r w:rsidRPr="009110F7">
              <w:t xml:space="preserve">mld. korun. Nejvýraznější propad </w:t>
            </w:r>
            <w:r w:rsidR="007434E5" w:rsidRPr="009110F7">
              <w:t xml:space="preserve">zachytila </w:t>
            </w:r>
            <w:r w:rsidRPr="009110F7">
              <w:t xml:space="preserve">statistika zahraničního obchodu </w:t>
            </w:r>
            <w:r w:rsidR="00716F48" w:rsidRPr="009110F7">
              <w:t>u </w:t>
            </w:r>
            <w:r w:rsidRPr="009110F7">
              <w:t>hodnoty dovozu z Ruské federace (6,</w:t>
            </w:r>
            <w:r w:rsidR="00167CB9" w:rsidRPr="009110F7">
              <w:t>6 </w:t>
            </w:r>
            <w:r w:rsidRPr="009110F7">
              <w:t xml:space="preserve">mld. korun, </w:t>
            </w:r>
            <w:r w:rsidR="00CA37FF">
              <w:t>-</w:t>
            </w:r>
            <w:r w:rsidRPr="009110F7">
              <w:t>23,6</w:t>
            </w:r>
            <w:r w:rsidR="00167CB9" w:rsidRPr="009110F7">
              <w:t> %</w:t>
            </w:r>
            <w:r w:rsidRPr="009110F7">
              <w:t>). Vývoj importu z hlediska jednotlivých druhů zboží byl do jisté míry podobný</w:t>
            </w:r>
            <w:r w:rsidR="00161553" w:rsidRPr="009110F7">
              <w:t xml:space="preserve"> </w:t>
            </w:r>
            <w:r w:rsidRPr="009110F7">
              <w:t>výše popsanému vývozu. Poklesla hodnota dovozu motorových vozidel (7,</w:t>
            </w:r>
            <w:r w:rsidR="00167CB9" w:rsidRPr="009110F7">
              <w:t>0 </w:t>
            </w:r>
            <w:r w:rsidRPr="009110F7">
              <w:t xml:space="preserve">mld. korun, </w:t>
            </w:r>
            <w:r w:rsidR="00CA37FF">
              <w:t>-</w:t>
            </w:r>
            <w:r w:rsidRPr="009110F7">
              <w:t>4,9</w:t>
            </w:r>
            <w:r w:rsidR="00167CB9" w:rsidRPr="009110F7">
              <w:t> %</w:t>
            </w:r>
            <w:r w:rsidRPr="009110F7">
              <w:t>). Mírně se snížila hodnota dovozu elektrických zařízení (0,</w:t>
            </w:r>
            <w:r w:rsidR="00167CB9" w:rsidRPr="009110F7">
              <w:t>5 </w:t>
            </w:r>
            <w:r w:rsidRPr="009110F7">
              <w:t xml:space="preserve">mld., </w:t>
            </w:r>
            <w:r w:rsidR="00CA37FF">
              <w:noBreakHyphen/>
            </w:r>
            <w:r w:rsidRPr="009110F7">
              <w:t xml:space="preserve">0,8 %) </w:t>
            </w:r>
            <w:r w:rsidR="00716F48" w:rsidRPr="009110F7">
              <w:t>a </w:t>
            </w:r>
            <w:r w:rsidRPr="009110F7">
              <w:t xml:space="preserve">zpomalil růst </w:t>
            </w:r>
            <w:r w:rsidR="00716F48" w:rsidRPr="009110F7">
              <w:t>u </w:t>
            </w:r>
            <w:r w:rsidRPr="009110F7">
              <w:t xml:space="preserve">strojů </w:t>
            </w:r>
            <w:r w:rsidR="00716F48" w:rsidRPr="009110F7">
              <w:t>a </w:t>
            </w:r>
            <w:r w:rsidRPr="009110F7">
              <w:t>zařízení (2,</w:t>
            </w:r>
            <w:r w:rsidR="00167CB9" w:rsidRPr="009110F7">
              <w:t>5 </w:t>
            </w:r>
            <w:r w:rsidRPr="009110F7">
              <w:t>mld., 3,3</w:t>
            </w:r>
            <w:r w:rsidR="00167CB9" w:rsidRPr="009110F7">
              <w:t> %</w:t>
            </w:r>
            <w:r w:rsidRPr="009110F7">
              <w:t xml:space="preserve">). Meziročně se propadl dovoz ropy </w:t>
            </w:r>
            <w:r w:rsidR="00716F48" w:rsidRPr="009110F7">
              <w:t>a </w:t>
            </w:r>
            <w:r w:rsidRPr="009110F7">
              <w:t>zemního plynu (5,</w:t>
            </w:r>
            <w:r w:rsidR="00167CB9" w:rsidRPr="009110F7">
              <w:t>3 </w:t>
            </w:r>
            <w:r w:rsidRPr="009110F7">
              <w:t xml:space="preserve">mld., </w:t>
            </w:r>
            <w:r w:rsidR="001B3E38">
              <w:t>-</w:t>
            </w:r>
            <w:r w:rsidRPr="009110F7">
              <w:t>16,8</w:t>
            </w:r>
            <w:r w:rsidR="00167CB9" w:rsidRPr="009110F7">
              <w:t> %</w:t>
            </w:r>
            <w:r w:rsidRPr="009110F7">
              <w:t xml:space="preserve">), snížení potkalo </w:t>
            </w:r>
            <w:r w:rsidR="00716F48" w:rsidRPr="009110F7">
              <w:t>i </w:t>
            </w:r>
            <w:r w:rsidRPr="009110F7">
              <w:t>chemické látky a přípravky (1,</w:t>
            </w:r>
            <w:r w:rsidR="00167CB9" w:rsidRPr="009110F7">
              <w:t>2 </w:t>
            </w:r>
            <w:r w:rsidRPr="009110F7">
              <w:t xml:space="preserve">mld., </w:t>
            </w:r>
            <w:r w:rsidR="001B3E38">
              <w:t>-</w:t>
            </w:r>
            <w:r w:rsidRPr="009110F7">
              <w:t xml:space="preserve">1,7 %) </w:t>
            </w:r>
            <w:r w:rsidR="00716F48" w:rsidRPr="009110F7">
              <w:t>a </w:t>
            </w:r>
            <w:r w:rsidRPr="009110F7">
              <w:t xml:space="preserve">pryžové </w:t>
            </w:r>
            <w:r w:rsidR="00716F48" w:rsidRPr="009110F7">
              <w:t>a </w:t>
            </w:r>
            <w:r w:rsidRPr="009110F7">
              <w:t>plastové výrobky (1,</w:t>
            </w:r>
            <w:r w:rsidR="00167CB9" w:rsidRPr="009110F7">
              <w:t>8 </w:t>
            </w:r>
            <w:r w:rsidRPr="009110F7">
              <w:t xml:space="preserve">mld., </w:t>
            </w:r>
            <w:r w:rsidR="00CA37FF">
              <w:t>-</w:t>
            </w:r>
            <w:r w:rsidRPr="009110F7">
              <w:t>3,9</w:t>
            </w:r>
            <w:r w:rsidR="00167CB9" w:rsidRPr="009110F7">
              <w:t> %</w:t>
            </w:r>
            <w:r w:rsidRPr="009110F7">
              <w:t xml:space="preserve">). </w:t>
            </w:r>
          </w:p>
        </w:tc>
      </w:tr>
      <w:tr w:rsidR="001554C2" w:rsidRPr="009110F7" w:rsidTr="008D127E">
        <w:trPr>
          <w:trHeight w:val="145"/>
        </w:trPr>
        <w:tc>
          <w:tcPr>
            <w:tcW w:w="1888" w:type="dxa"/>
            <w:shd w:val="clear" w:color="auto" w:fill="auto"/>
            <w:tcMar>
              <w:left w:w="0" w:type="dxa"/>
            </w:tcMar>
          </w:tcPr>
          <w:p w:rsidR="001554C2" w:rsidRPr="009110F7" w:rsidRDefault="001554C2" w:rsidP="00965797">
            <w:pPr>
              <w:pStyle w:val="Marginlie"/>
            </w:pPr>
            <w:r w:rsidRPr="009110F7">
              <w:t>Česko však stále dosahuje přebytku zahraničního obchodu se zbožím.</w:t>
            </w:r>
          </w:p>
        </w:tc>
        <w:tc>
          <w:tcPr>
            <w:tcW w:w="250" w:type="dxa"/>
            <w:shd w:val="clear" w:color="auto" w:fill="auto"/>
            <w:tcMar>
              <w:left w:w="0" w:type="dxa"/>
            </w:tcMar>
          </w:tcPr>
          <w:p w:rsidR="001554C2" w:rsidRPr="009110F7" w:rsidRDefault="001554C2" w:rsidP="00965797">
            <w:pPr>
              <w:pStyle w:val="Textpoznpodarou"/>
              <w:jc w:val="both"/>
              <w:rPr>
                <w:spacing w:val="-4"/>
              </w:rPr>
            </w:pPr>
          </w:p>
        </w:tc>
        <w:tc>
          <w:tcPr>
            <w:tcW w:w="7501" w:type="dxa"/>
            <w:shd w:val="clear" w:color="auto" w:fill="auto"/>
            <w:tcMar>
              <w:left w:w="0" w:type="dxa"/>
            </w:tcMar>
          </w:tcPr>
          <w:p w:rsidR="001554C2" w:rsidRPr="009110F7" w:rsidRDefault="001554C2" w:rsidP="001554C2">
            <w:r w:rsidRPr="009110F7">
              <w:t xml:space="preserve">Podobně jako v roce 2017 </w:t>
            </w:r>
            <w:r w:rsidR="00716F48" w:rsidRPr="009110F7">
              <w:t>i </w:t>
            </w:r>
            <w:r w:rsidRPr="009110F7">
              <w:t>v 1</w:t>
            </w:r>
            <w:r w:rsidR="00716F48" w:rsidRPr="009110F7">
              <w:t>. čtvrt</w:t>
            </w:r>
            <w:r w:rsidRPr="009110F7">
              <w:t xml:space="preserve">letí </w:t>
            </w:r>
            <w:r w:rsidR="00197A70">
              <w:t xml:space="preserve">2018 </w:t>
            </w:r>
            <w:r w:rsidRPr="009110F7">
              <w:t xml:space="preserve">překonala dynamika dovozu vývoz, </w:t>
            </w:r>
            <w:r w:rsidR="00716F48" w:rsidRPr="009110F7">
              <w:t>a </w:t>
            </w:r>
            <w:r w:rsidRPr="009110F7">
              <w:t xml:space="preserve">tak bilance zahraničního obchodu meziročně klesla </w:t>
            </w:r>
            <w:r w:rsidR="00716F48" w:rsidRPr="009110F7">
              <w:t>o </w:t>
            </w:r>
            <w:r w:rsidRPr="009110F7">
              <w:t>9,</w:t>
            </w:r>
            <w:r w:rsidR="00167CB9" w:rsidRPr="009110F7">
              <w:t>2 </w:t>
            </w:r>
            <w:r w:rsidRPr="009110F7">
              <w:t xml:space="preserve">mld. korun. Zůstala však kladná </w:t>
            </w:r>
            <w:r w:rsidR="00716F48" w:rsidRPr="009110F7">
              <w:t>a </w:t>
            </w:r>
            <w:r w:rsidRPr="009110F7">
              <w:t>dosáhla 57,8 mld. Většina z poklesu přebytku připadla na obchod se státy EU (</w:t>
            </w:r>
            <w:r w:rsidR="00CA37FF">
              <w:t>-</w:t>
            </w:r>
            <w:r w:rsidRPr="009110F7">
              <w:t>9,</w:t>
            </w:r>
            <w:r w:rsidR="00167CB9" w:rsidRPr="009110F7">
              <w:t>7 </w:t>
            </w:r>
            <w:r w:rsidRPr="009110F7">
              <w:t>mld. korun), který přesto setrval v přebytku 180,</w:t>
            </w:r>
            <w:r w:rsidR="00167CB9" w:rsidRPr="009110F7">
              <w:t>7 </w:t>
            </w:r>
            <w:r w:rsidRPr="009110F7">
              <w:t xml:space="preserve">mld. korun. Deficit obchodu se státy mimo EU se meziročně nezměnil </w:t>
            </w:r>
            <w:r w:rsidR="00716F48" w:rsidRPr="009110F7">
              <w:t>a </w:t>
            </w:r>
            <w:r w:rsidRPr="009110F7">
              <w:t xml:space="preserve">setrval na 117,6 mld. korun. Snížil se přebytek obchodu s Německem </w:t>
            </w:r>
            <w:r w:rsidR="00716F48" w:rsidRPr="009110F7">
              <w:t>o </w:t>
            </w:r>
            <w:r w:rsidRPr="009110F7">
              <w:t>4,</w:t>
            </w:r>
            <w:r w:rsidR="00167CB9" w:rsidRPr="009110F7">
              <w:t>2 </w:t>
            </w:r>
            <w:r w:rsidRPr="009110F7">
              <w:t xml:space="preserve">mld. korun, s Velkou Británií o 3,1 mld., se Slovenskem </w:t>
            </w:r>
            <w:r w:rsidR="00716F48" w:rsidRPr="009110F7">
              <w:t>o </w:t>
            </w:r>
            <w:r w:rsidRPr="009110F7">
              <w:t>2,</w:t>
            </w:r>
            <w:r w:rsidR="00167CB9" w:rsidRPr="009110F7">
              <w:t>0 </w:t>
            </w:r>
            <w:r w:rsidRPr="009110F7">
              <w:t xml:space="preserve">mld. </w:t>
            </w:r>
            <w:r w:rsidR="00716F48" w:rsidRPr="009110F7">
              <w:t>a o </w:t>
            </w:r>
            <w:r w:rsidRPr="009110F7">
              <w:t>0,</w:t>
            </w:r>
            <w:r w:rsidR="00167CB9" w:rsidRPr="009110F7">
              <w:t>9 </w:t>
            </w:r>
            <w:r w:rsidRPr="009110F7">
              <w:t>mld. s Francií. Výrazně se zvýšil přebytek obchodu s Nizozemskem (</w:t>
            </w:r>
            <w:r w:rsidR="00716F48" w:rsidRPr="009110F7">
              <w:t>o </w:t>
            </w:r>
            <w:r w:rsidRPr="009110F7">
              <w:t>3,</w:t>
            </w:r>
            <w:r w:rsidR="00167CB9" w:rsidRPr="009110F7">
              <w:t>7 </w:t>
            </w:r>
            <w:r w:rsidRPr="009110F7">
              <w:t xml:space="preserve">mld., výsledné saldo 4,5 mld.). Výrazné snížení hodnoty dovozu ropy </w:t>
            </w:r>
            <w:r w:rsidR="00716F48" w:rsidRPr="009110F7">
              <w:t>a </w:t>
            </w:r>
            <w:r w:rsidRPr="009110F7">
              <w:t xml:space="preserve">zemního plynu se projevilo na bilanci obchodu s Ruskem, která zůstala záporná, saldo se však zmírnilo </w:t>
            </w:r>
            <w:r w:rsidR="00716F48" w:rsidRPr="009110F7">
              <w:t>o </w:t>
            </w:r>
            <w:r w:rsidRPr="009110F7">
              <w:t>7,</w:t>
            </w:r>
            <w:r w:rsidR="00167CB9" w:rsidRPr="009110F7">
              <w:t>2 </w:t>
            </w:r>
            <w:r w:rsidRPr="009110F7">
              <w:t xml:space="preserve">mld. korun. </w:t>
            </w:r>
          </w:p>
        </w:tc>
      </w:tr>
      <w:tr w:rsidR="001554C2" w:rsidRPr="009110F7" w:rsidTr="008D127E">
        <w:trPr>
          <w:trHeight w:val="170"/>
        </w:trPr>
        <w:tc>
          <w:tcPr>
            <w:tcW w:w="1888" w:type="dxa"/>
            <w:shd w:val="clear" w:color="auto" w:fill="auto"/>
            <w:tcMar>
              <w:left w:w="0" w:type="dxa"/>
            </w:tcMar>
          </w:tcPr>
          <w:p w:rsidR="001554C2" w:rsidRPr="009110F7" w:rsidRDefault="001554C2" w:rsidP="00965797">
            <w:pPr>
              <w:pStyle w:val="Marginlie"/>
            </w:pPr>
            <w:r w:rsidRPr="009110F7">
              <w:lastRenderedPageBreak/>
              <w:t>Struktura bilance zahraničního obchodu zůstala zachována.</w:t>
            </w:r>
          </w:p>
        </w:tc>
        <w:tc>
          <w:tcPr>
            <w:tcW w:w="250" w:type="dxa"/>
            <w:shd w:val="clear" w:color="auto" w:fill="auto"/>
            <w:tcMar>
              <w:left w:w="0" w:type="dxa"/>
            </w:tcMar>
          </w:tcPr>
          <w:p w:rsidR="001554C2" w:rsidRPr="009110F7" w:rsidRDefault="001554C2" w:rsidP="00965797">
            <w:pPr>
              <w:pStyle w:val="Textpoznpodarou"/>
              <w:jc w:val="both"/>
              <w:rPr>
                <w:spacing w:val="-4"/>
              </w:rPr>
            </w:pPr>
          </w:p>
        </w:tc>
        <w:tc>
          <w:tcPr>
            <w:tcW w:w="7501" w:type="dxa"/>
            <w:shd w:val="clear" w:color="auto" w:fill="auto"/>
            <w:tcMar>
              <w:left w:w="0" w:type="dxa"/>
            </w:tcMar>
          </w:tcPr>
          <w:p w:rsidR="001554C2" w:rsidRPr="009110F7" w:rsidRDefault="00716F48" w:rsidP="00965797">
            <w:r w:rsidRPr="009110F7">
              <w:t>Z </w:t>
            </w:r>
            <w:r w:rsidR="001554C2" w:rsidRPr="009110F7">
              <w:t>hlediska zbožové struktury největšího přebytku bilance dosahuje Česko tradičně u obchodu s motorovými vozidly. V 1</w:t>
            </w:r>
            <w:r w:rsidRPr="009110F7">
              <w:t>. čtvrt</w:t>
            </w:r>
            <w:r w:rsidR="001554C2" w:rsidRPr="009110F7">
              <w:t>letí kladné saldo činilo 119,</w:t>
            </w:r>
            <w:r w:rsidR="00167CB9" w:rsidRPr="009110F7">
              <w:t>1 </w:t>
            </w:r>
            <w:r w:rsidR="001554C2" w:rsidRPr="009110F7">
              <w:t xml:space="preserve">mld. korun, meziročně se však snížilo </w:t>
            </w:r>
            <w:r w:rsidRPr="009110F7">
              <w:t>o </w:t>
            </w:r>
            <w:r w:rsidR="001554C2" w:rsidRPr="009110F7">
              <w:t>11,</w:t>
            </w:r>
            <w:r w:rsidR="00167CB9" w:rsidRPr="009110F7">
              <w:t>2 </w:t>
            </w:r>
            <w:r w:rsidR="001554C2" w:rsidRPr="009110F7">
              <w:t xml:space="preserve">mld. Pokles přebytku zaznamenal </w:t>
            </w:r>
            <w:r w:rsidRPr="009110F7">
              <w:t>i </w:t>
            </w:r>
            <w:r w:rsidR="001554C2" w:rsidRPr="009110F7">
              <w:t xml:space="preserve">obchod se stroji </w:t>
            </w:r>
            <w:r w:rsidRPr="009110F7">
              <w:t>a </w:t>
            </w:r>
            <w:r w:rsidR="001554C2" w:rsidRPr="009110F7">
              <w:t>zařízeními (1,</w:t>
            </w:r>
            <w:r w:rsidR="00167CB9" w:rsidRPr="009110F7">
              <w:t>5 </w:t>
            </w:r>
            <w:r w:rsidR="001554C2" w:rsidRPr="009110F7">
              <w:t xml:space="preserve">mld.). Naopak přebytek se zvýšil </w:t>
            </w:r>
            <w:r w:rsidRPr="009110F7">
              <w:t>u </w:t>
            </w:r>
            <w:r w:rsidR="001554C2" w:rsidRPr="009110F7">
              <w:t>obchodu s elektrickými zařízeními (3,</w:t>
            </w:r>
            <w:r w:rsidR="00167CB9" w:rsidRPr="009110F7">
              <w:t>7 </w:t>
            </w:r>
            <w:r w:rsidR="001554C2" w:rsidRPr="009110F7">
              <w:t xml:space="preserve">mld.). Pozitivní vývoj exportu napomohl zmírnění záporného salda u počítačů, elektronických </w:t>
            </w:r>
            <w:r w:rsidRPr="009110F7">
              <w:t>a </w:t>
            </w:r>
            <w:r w:rsidR="001554C2" w:rsidRPr="009110F7">
              <w:t xml:space="preserve">optických přístrojů </w:t>
            </w:r>
            <w:r w:rsidRPr="009110F7">
              <w:t>o </w:t>
            </w:r>
            <w:r w:rsidR="001554C2" w:rsidRPr="009110F7">
              <w:t>7,</w:t>
            </w:r>
            <w:r w:rsidR="00167CB9" w:rsidRPr="009110F7">
              <w:t>4 </w:t>
            </w:r>
            <w:r w:rsidR="001554C2" w:rsidRPr="009110F7">
              <w:t xml:space="preserve">mld. Zmírnění deficitu bilance lze vidět </w:t>
            </w:r>
            <w:r w:rsidRPr="009110F7">
              <w:t>i u </w:t>
            </w:r>
            <w:r w:rsidR="001554C2" w:rsidRPr="009110F7">
              <w:t xml:space="preserve">ropy </w:t>
            </w:r>
            <w:r w:rsidRPr="009110F7">
              <w:t>a </w:t>
            </w:r>
            <w:r w:rsidR="001554C2" w:rsidRPr="009110F7">
              <w:t>zemního plynu (4,</w:t>
            </w:r>
            <w:r w:rsidR="00167CB9" w:rsidRPr="009110F7">
              <w:t>5 </w:t>
            </w:r>
            <w:r w:rsidR="001554C2" w:rsidRPr="009110F7">
              <w:t>mld.).</w:t>
            </w:r>
          </w:p>
        </w:tc>
      </w:tr>
      <w:tr w:rsidR="001554C2" w:rsidRPr="009110F7" w:rsidTr="008D127E">
        <w:trPr>
          <w:trHeight w:val="170"/>
        </w:trPr>
        <w:tc>
          <w:tcPr>
            <w:tcW w:w="1888" w:type="dxa"/>
            <w:vMerge w:val="restart"/>
            <w:shd w:val="clear" w:color="auto" w:fill="auto"/>
            <w:tcMar>
              <w:left w:w="0" w:type="dxa"/>
            </w:tcMar>
          </w:tcPr>
          <w:p w:rsidR="001554C2" w:rsidRPr="009110F7" w:rsidRDefault="001554C2" w:rsidP="00965797">
            <w:pPr>
              <w:pStyle w:val="Marginlie"/>
            </w:pPr>
          </w:p>
        </w:tc>
        <w:tc>
          <w:tcPr>
            <w:tcW w:w="250" w:type="dxa"/>
            <w:vMerge w:val="restart"/>
            <w:shd w:val="clear" w:color="auto" w:fill="auto"/>
            <w:tcMar>
              <w:left w:w="0" w:type="dxa"/>
            </w:tcMar>
          </w:tcPr>
          <w:p w:rsidR="001554C2" w:rsidRPr="009110F7" w:rsidRDefault="001554C2" w:rsidP="00965797">
            <w:pPr>
              <w:pStyle w:val="Textpoznpodarou"/>
              <w:jc w:val="both"/>
              <w:rPr>
                <w:spacing w:val="-4"/>
              </w:rPr>
            </w:pPr>
          </w:p>
        </w:tc>
        <w:tc>
          <w:tcPr>
            <w:tcW w:w="7501" w:type="dxa"/>
            <w:shd w:val="clear" w:color="auto" w:fill="auto"/>
            <w:tcMar>
              <w:left w:w="0" w:type="dxa"/>
            </w:tcMar>
          </w:tcPr>
          <w:p w:rsidR="001554C2" w:rsidRPr="009110F7" w:rsidRDefault="00935BD4" w:rsidP="00053713">
            <w:pPr>
              <w:spacing w:after="0"/>
              <w:rPr>
                <w:b/>
                <w:szCs w:val="20"/>
              </w:rPr>
            </w:pPr>
            <w:r w:rsidRPr="009110F7">
              <w:rPr>
                <w:rFonts w:cs="Arial"/>
                <w:b/>
                <w:bCs/>
                <w:color w:val="000000"/>
                <w:szCs w:val="20"/>
              </w:rPr>
              <w:t>Graf</w:t>
            </w:r>
            <w:r w:rsidR="006F42BB">
              <w:rPr>
                <w:rFonts w:cs="Arial"/>
                <w:b/>
                <w:bCs/>
                <w:color w:val="000000"/>
                <w:szCs w:val="20"/>
              </w:rPr>
              <w:t> </w:t>
            </w:r>
            <w:r w:rsidR="00167CB9" w:rsidRPr="009110F7">
              <w:rPr>
                <w:rFonts w:cs="Arial"/>
                <w:b/>
                <w:bCs/>
                <w:color w:val="000000"/>
                <w:szCs w:val="20"/>
              </w:rPr>
              <w:t>č. </w:t>
            </w:r>
            <w:r w:rsidR="00716F48" w:rsidRPr="009110F7">
              <w:rPr>
                <w:rFonts w:cs="Arial"/>
                <w:b/>
                <w:bCs/>
                <w:color w:val="000000"/>
                <w:szCs w:val="20"/>
              </w:rPr>
              <w:t>9</w:t>
            </w:r>
            <w:r w:rsidR="00053713">
              <w:rPr>
                <w:b/>
              </w:rPr>
              <w:t xml:space="preserve">  </w:t>
            </w:r>
            <w:r w:rsidR="001554C2" w:rsidRPr="009110F7">
              <w:rPr>
                <w:b/>
                <w:spacing w:val="-4"/>
                <w:szCs w:val="20"/>
              </w:rPr>
              <w:t>Bilance zahraničního obchodu* ve statistice zahraničního obchodu (kumulace 1. čtvrtletí, v mld. korun, vybrané oddíly klasifikace CPA)</w:t>
            </w:r>
          </w:p>
        </w:tc>
      </w:tr>
      <w:tr w:rsidR="001554C2" w:rsidRPr="009110F7" w:rsidTr="008D127E">
        <w:trPr>
          <w:trHeight w:val="170"/>
        </w:trPr>
        <w:tc>
          <w:tcPr>
            <w:tcW w:w="1888" w:type="dxa"/>
            <w:vMerge/>
            <w:shd w:val="clear" w:color="auto" w:fill="auto"/>
            <w:tcMar>
              <w:left w:w="0" w:type="dxa"/>
            </w:tcMar>
          </w:tcPr>
          <w:p w:rsidR="001554C2" w:rsidRPr="009110F7" w:rsidRDefault="001554C2" w:rsidP="00965797">
            <w:pPr>
              <w:pStyle w:val="Marginlie"/>
            </w:pPr>
          </w:p>
        </w:tc>
        <w:tc>
          <w:tcPr>
            <w:tcW w:w="250" w:type="dxa"/>
            <w:vMerge/>
            <w:shd w:val="clear" w:color="auto" w:fill="auto"/>
            <w:tcMar>
              <w:left w:w="0" w:type="dxa"/>
            </w:tcMar>
          </w:tcPr>
          <w:p w:rsidR="001554C2" w:rsidRPr="009110F7" w:rsidRDefault="001554C2" w:rsidP="00965797">
            <w:pPr>
              <w:pStyle w:val="Textpoznpodarou"/>
              <w:jc w:val="both"/>
              <w:rPr>
                <w:spacing w:val="-4"/>
              </w:rPr>
            </w:pPr>
          </w:p>
        </w:tc>
        <w:tc>
          <w:tcPr>
            <w:tcW w:w="7501" w:type="dxa"/>
            <w:shd w:val="clear" w:color="auto" w:fill="auto"/>
            <w:tcMar>
              <w:left w:w="0" w:type="dxa"/>
            </w:tcMar>
          </w:tcPr>
          <w:p w:rsidR="001554C2" w:rsidRPr="009110F7" w:rsidRDefault="001554C2" w:rsidP="00965797">
            <w:pPr>
              <w:spacing w:after="0"/>
            </w:pPr>
            <w:r w:rsidRPr="009110F7">
              <w:rPr>
                <w:noProof/>
              </w:rPr>
              <w:drawing>
                <wp:inline distT="0" distB="0" distL="0" distR="0">
                  <wp:extent cx="4737600" cy="3553200"/>
                  <wp:effectExtent l="19050" t="0" r="0" b="0"/>
                  <wp:docPr id="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1554C2" w:rsidRPr="009110F7" w:rsidTr="008D127E">
        <w:trPr>
          <w:trHeight w:val="170"/>
        </w:trPr>
        <w:tc>
          <w:tcPr>
            <w:tcW w:w="1888" w:type="dxa"/>
            <w:vMerge/>
            <w:shd w:val="clear" w:color="auto" w:fill="auto"/>
            <w:tcMar>
              <w:left w:w="0" w:type="dxa"/>
            </w:tcMar>
          </w:tcPr>
          <w:p w:rsidR="001554C2" w:rsidRPr="009110F7" w:rsidRDefault="001554C2" w:rsidP="00965797">
            <w:pPr>
              <w:pStyle w:val="Marginlie"/>
            </w:pPr>
          </w:p>
        </w:tc>
        <w:tc>
          <w:tcPr>
            <w:tcW w:w="250" w:type="dxa"/>
            <w:vMerge/>
            <w:shd w:val="clear" w:color="auto" w:fill="auto"/>
            <w:tcMar>
              <w:left w:w="0" w:type="dxa"/>
            </w:tcMar>
          </w:tcPr>
          <w:p w:rsidR="001554C2" w:rsidRPr="009110F7" w:rsidRDefault="001554C2" w:rsidP="00965797">
            <w:pPr>
              <w:pStyle w:val="Textpoznpodarou"/>
              <w:jc w:val="both"/>
              <w:rPr>
                <w:spacing w:val="-4"/>
              </w:rPr>
            </w:pPr>
          </w:p>
        </w:tc>
        <w:tc>
          <w:tcPr>
            <w:tcW w:w="7501" w:type="dxa"/>
            <w:shd w:val="clear" w:color="auto" w:fill="auto"/>
            <w:tcMar>
              <w:left w:w="0" w:type="dxa"/>
            </w:tcMar>
          </w:tcPr>
          <w:p w:rsidR="001554C2" w:rsidRPr="009110F7" w:rsidRDefault="001554C2" w:rsidP="00965797">
            <w:pPr>
              <w:spacing w:after="0"/>
              <w:rPr>
                <w:sz w:val="14"/>
                <w:szCs w:val="14"/>
              </w:rPr>
            </w:pPr>
            <w:r w:rsidRPr="009110F7">
              <w:rPr>
                <w:sz w:val="14"/>
                <w:szCs w:val="14"/>
              </w:rPr>
              <w:t>Zdroj: ČSÚ</w:t>
            </w:r>
          </w:p>
          <w:p w:rsidR="001554C2" w:rsidRPr="009110F7" w:rsidRDefault="001554C2" w:rsidP="00965797">
            <w:pPr>
              <w:rPr>
                <w:sz w:val="14"/>
                <w:szCs w:val="14"/>
              </w:rPr>
            </w:pPr>
            <w:r w:rsidRPr="009110F7">
              <w:rPr>
                <w:sz w:val="14"/>
                <w:szCs w:val="14"/>
              </w:rPr>
              <w:t>*</w:t>
            </w:r>
            <w:r w:rsidR="00716F48" w:rsidRPr="009110F7">
              <w:rPr>
                <w:sz w:val="14"/>
                <w:szCs w:val="14"/>
              </w:rPr>
              <w:t>v </w:t>
            </w:r>
            <w:r w:rsidRPr="009110F7">
              <w:rPr>
                <w:sz w:val="14"/>
                <w:szCs w:val="14"/>
              </w:rPr>
              <w:t>národním pojetí</w:t>
            </w:r>
          </w:p>
        </w:tc>
      </w:tr>
      <w:tr w:rsidR="001554C2" w:rsidRPr="009110F7" w:rsidTr="008D127E">
        <w:trPr>
          <w:trHeight w:val="145"/>
        </w:trPr>
        <w:tc>
          <w:tcPr>
            <w:tcW w:w="1888" w:type="dxa"/>
            <w:shd w:val="clear" w:color="auto" w:fill="auto"/>
            <w:tcMar>
              <w:left w:w="0" w:type="dxa"/>
            </w:tcMar>
          </w:tcPr>
          <w:p w:rsidR="001554C2" w:rsidRPr="009110F7" w:rsidRDefault="001554C2" w:rsidP="00965797">
            <w:pPr>
              <w:pStyle w:val="Marginlie"/>
            </w:pPr>
            <w:r w:rsidRPr="009110F7">
              <w:t>Kladné saldo obchodu se službami se zvýšilo.</w:t>
            </w:r>
          </w:p>
        </w:tc>
        <w:tc>
          <w:tcPr>
            <w:tcW w:w="250" w:type="dxa"/>
            <w:shd w:val="clear" w:color="auto" w:fill="auto"/>
            <w:tcMar>
              <w:left w:w="0" w:type="dxa"/>
            </w:tcMar>
          </w:tcPr>
          <w:p w:rsidR="001554C2" w:rsidRPr="009110F7" w:rsidRDefault="001554C2" w:rsidP="00965797">
            <w:pPr>
              <w:pStyle w:val="Textpoznpodarou"/>
              <w:jc w:val="both"/>
              <w:rPr>
                <w:spacing w:val="-4"/>
              </w:rPr>
            </w:pPr>
          </w:p>
        </w:tc>
        <w:tc>
          <w:tcPr>
            <w:tcW w:w="7501" w:type="dxa"/>
            <w:shd w:val="clear" w:color="auto" w:fill="auto"/>
            <w:tcMar>
              <w:left w:w="0" w:type="dxa"/>
            </w:tcMar>
          </w:tcPr>
          <w:p w:rsidR="001554C2" w:rsidRPr="009110F7" w:rsidRDefault="003B1F9D" w:rsidP="00965797">
            <w:pPr>
              <w:rPr>
                <w:rFonts w:ascii="Segoe UI" w:hAnsi="Segoe UI" w:cs="Segoe UI"/>
                <w:szCs w:val="20"/>
              </w:rPr>
            </w:pPr>
            <w:r w:rsidRPr="009110F7">
              <w:t>Podle údajů ČNB skončil běžný účet platební bilance v 1</w:t>
            </w:r>
            <w:r w:rsidR="00716F48" w:rsidRPr="009110F7">
              <w:t>. čtvrt</w:t>
            </w:r>
            <w:r w:rsidRPr="009110F7">
              <w:t xml:space="preserve">letí v přebytku, ten se však výrazně meziročně snížil. Ve směru kladného salda působil obchod se zbožím </w:t>
            </w:r>
            <w:r w:rsidR="00716F48" w:rsidRPr="009110F7">
              <w:t>a </w:t>
            </w:r>
            <w:r w:rsidRPr="009110F7">
              <w:t>službami, který dosáhl přebytku 113,</w:t>
            </w:r>
            <w:r w:rsidR="00167CB9" w:rsidRPr="009110F7">
              <w:t>1 </w:t>
            </w:r>
            <w:r w:rsidRPr="009110F7">
              <w:t xml:space="preserve">mld. korun (meziroční snížení </w:t>
            </w:r>
            <w:r w:rsidR="00716F48" w:rsidRPr="009110F7">
              <w:t>o </w:t>
            </w:r>
            <w:r w:rsidRPr="009110F7">
              <w:t>4,</w:t>
            </w:r>
            <w:r w:rsidR="00167CB9" w:rsidRPr="009110F7">
              <w:t>2 </w:t>
            </w:r>
            <w:r w:rsidRPr="009110F7">
              <w:t>mld.). Klesalo však pouze kladné saldo obchodu se zbožím. Služby skončily v přebytku 32,</w:t>
            </w:r>
            <w:r w:rsidR="00167CB9" w:rsidRPr="009110F7">
              <w:t>0 </w:t>
            </w:r>
            <w:r w:rsidRPr="009110F7">
              <w:t xml:space="preserve">mld. korun </w:t>
            </w:r>
            <w:r w:rsidR="00716F48" w:rsidRPr="009110F7">
              <w:t>a </w:t>
            </w:r>
            <w:r w:rsidRPr="009110F7">
              <w:t xml:space="preserve">navýšily jej </w:t>
            </w:r>
            <w:r w:rsidR="00716F48" w:rsidRPr="009110F7">
              <w:t>o </w:t>
            </w:r>
            <w:r w:rsidRPr="009110F7">
              <w:t>3,</w:t>
            </w:r>
            <w:r w:rsidR="00167CB9" w:rsidRPr="009110F7">
              <w:t>5 </w:t>
            </w:r>
            <w:r w:rsidRPr="009110F7">
              <w:t>mld. Výrazně se však prohloubilo záporné saldo prvotních důchodů. Čistý odliv důchodů z investic se totiž meziročně zvýšil o 25,4 mld. korun. Saldo druhotných důchodů v 1</w:t>
            </w:r>
            <w:r w:rsidR="00716F48" w:rsidRPr="009110F7">
              <w:t>. čtvrt</w:t>
            </w:r>
            <w:r w:rsidRPr="009110F7">
              <w:t xml:space="preserve">letí činilo </w:t>
            </w:r>
            <w:r w:rsidR="00CA37FF">
              <w:t>-</w:t>
            </w:r>
            <w:r w:rsidRPr="009110F7">
              <w:t>20,</w:t>
            </w:r>
            <w:r w:rsidR="00167CB9" w:rsidRPr="009110F7">
              <w:t>3 </w:t>
            </w:r>
            <w:r w:rsidRPr="009110F7">
              <w:t xml:space="preserve">mld. korun a prohloubilo se </w:t>
            </w:r>
            <w:r w:rsidR="00716F48" w:rsidRPr="009110F7">
              <w:t>o </w:t>
            </w:r>
            <w:r w:rsidRPr="009110F7">
              <w:t>5,</w:t>
            </w:r>
            <w:r w:rsidR="00167CB9" w:rsidRPr="009110F7">
              <w:t>2 </w:t>
            </w:r>
            <w:r w:rsidRPr="009110F7">
              <w:t>mld.</w:t>
            </w:r>
          </w:p>
        </w:tc>
      </w:tr>
      <w:tr w:rsidR="001554C2" w:rsidRPr="009110F7" w:rsidTr="008D127E">
        <w:trPr>
          <w:trHeight w:val="145"/>
        </w:trPr>
        <w:tc>
          <w:tcPr>
            <w:tcW w:w="1888" w:type="dxa"/>
            <w:shd w:val="clear" w:color="auto" w:fill="auto"/>
            <w:tcMar>
              <w:left w:w="0" w:type="dxa"/>
            </w:tcMar>
          </w:tcPr>
          <w:p w:rsidR="001554C2" w:rsidRPr="009110F7" w:rsidRDefault="001554C2" w:rsidP="00965797">
            <w:pPr>
              <w:pStyle w:val="Marginlie"/>
            </w:pPr>
            <w:r w:rsidRPr="009110F7">
              <w:t>Meziroční srovnání na finančním účtu je značně poznamenáno očekávaným ukončením intervencí v minulém roce.</w:t>
            </w:r>
          </w:p>
        </w:tc>
        <w:tc>
          <w:tcPr>
            <w:tcW w:w="250" w:type="dxa"/>
            <w:shd w:val="clear" w:color="auto" w:fill="auto"/>
            <w:tcMar>
              <w:left w:w="0" w:type="dxa"/>
            </w:tcMar>
          </w:tcPr>
          <w:p w:rsidR="001554C2" w:rsidRPr="009110F7" w:rsidRDefault="001554C2" w:rsidP="00965797">
            <w:pPr>
              <w:pStyle w:val="Textpoznpodarou"/>
              <w:jc w:val="both"/>
              <w:rPr>
                <w:spacing w:val="-4"/>
              </w:rPr>
            </w:pPr>
          </w:p>
        </w:tc>
        <w:tc>
          <w:tcPr>
            <w:tcW w:w="7501" w:type="dxa"/>
            <w:shd w:val="clear" w:color="auto" w:fill="auto"/>
            <w:tcMar>
              <w:left w:w="0" w:type="dxa"/>
            </w:tcMar>
          </w:tcPr>
          <w:p w:rsidR="003B1F9D" w:rsidRPr="009110F7" w:rsidRDefault="003B1F9D" w:rsidP="003B1F9D">
            <w:pPr>
              <w:rPr>
                <w:rFonts w:ascii="Segoe UI" w:hAnsi="Segoe UI" w:cs="Segoe UI"/>
                <w:szCs w:val="20"/>
              </w:rPr>
            </w:pPr>
            <w:r w:rsidRPr="009110F7">
              <w:t>Finanční účet dosáhl v 1</w:t>
            </w:r>
            <w:r w:rsidR="00716F48" w:rsidRPr="009110F7">
              <w:t>. čtvrt</w:t>
            </w:r>
            <w:r w:rsidRPr="009110F7">
              <w:t>letí přebytku 43,</w:t>
            </w:r>
            <w:r w:rsidR="00167CB9" w:rsidRPr="009110F7">
              <w:t>7 </w:t>
            </w:r>
            <w:r w:rsidRPr="009110F7">
              <w:t xml:space="preserve">mld. korun. To je </w:t>
            </w:r>
            <w:r w:rsidR="00716F48" w:rsidRPr="009110F7">
              <w:t>o </w:t>
            </w:r>
            <w:r w:rsidRPr="009110F7">
              <w:t>52,</w:t>
            </w:r>
            <w:r w:rsidR="00167CB9" w:rsidRPr="009110F7">
              <w:t>8 </w:t>
            </w:r>
            <w:r w:rsidRPr="009110F7">
              <w:t xml:space="preserve">mld. nižší hodnota než ve stejném období minulého roku, které bylo poznamenáno očekávaným ukončením intervencí. Došlo také k meziročnímu poklesu objemu rezervních aktiv </w:t>
            </w:r>
            <w:r w:rsidR="00716F48" w:rsidRPr="009110F7">
              <w:t>o </w:t>
            </w:r>
            <w:r w:rsidRPr="009110F7">
              <w:t>1 123,</w:t>
            </w:r>
            <w:r w:rsidR="00167CB9" w:rsidRPr="009110F7">
              <w:t>4 </w:t>
            </w:r>
            <w:r w:rsidRPr="009110F7">
              <w:t xml:space="preserve">mld. korun. Snížil se rovněž čistý příliv portfoliových investic </w:t>
            </w:r>
            <w:r w:rsidR="00716F48" w:rsidRPr="009110F7">
              <w:t>o </w:t>
            </w:r>
            <w:r w:rsidRPr="009110F7">
              <w:t>304,</w:t>
            </w:r>
            <w:r w:rsidR="00167CB9" w:rsidRPr="009110F7">
              <w:t>0 </w:t>
            </w:r>
            <w:r w:rsidRPr="009110F7">
              <w:t xml:space="preserve">mld. korun, což bylo způsobeno čistým odlivem </w:t>
            </w:r>
            <w:r w:rsidR="00716F48" w:rsidRPr="009110F7">
              <w:t>u </w:t>
            </w:r>
            <w:r w:rsidRPr="009110F7">
              <w:t xml:space="preserve">dluhových cenných papírů </w:t>
            </w:r>
            <w:r w:rsidR="00716F48" w:rsidRPr="009110F7">
              <w:t>o </w:t>
            </w:r>
            <w:r w:rsidRPr="009110F7">
              <w:t>291,</w:t>
            </w:r>
            <w:r w:rsidR="00167CB9" w:rsidRPr="009110F7">
              <w:t>9 </w:t>
            </w:r>
            <w:r w:rsidRPr="009110F7">
              <w:t>mld. korun. Čistý příliv přímých investic dosáhl 8,</w:t>
            </w:r>
            <w:r w:rsidR="00167CB9" w:rsidRPr="009110F7">
              <w:t>5 </w:t>
            </w:r>
            <w:r w:rsidRPr="009110F7">
              <w:t xml:space="preserve">mld. a meziročně se snížil </w:t>
            </w:r>
            <w:r w:rsidR="00716F48" w:rsidRPr="009110F7">
              <w:t>o </w:t>
            </w:r>
            <w:r w:rsidRPr="009110F7">
              <w:t>54,</w:t>
            </w:r>
            <w:r w:rsidR="00167CB9" w:rsidRPr="009110F7">
              <w:t>2 </w:t>
            </w:r>
            <w:r w:rsidRPr="009110F7">
              <w:t xml:space="preserve">mld. Saldo reinvestic </w:t>
            </w:r>
            <w:r w:rsidR="00752323" w:rsidRPr="009110F7">
              <w:t>zisků dosáhlo 26,</w:t>
            </w:r>
            <w:r w:rsidR="00167CB9" w:rsidRPr="009110F7">
              <w:t>9 </w:t>
            </w:r>
            <w:r w:rsidR="00752323" w:rsidRPr="009110F7">
              <w:t>mld. korun.</w:t>
            </w:r>
          </w:p>
        </w:tc>
      </w:tr>
    </w:tbl>
    <w:p w:rsidR="00935BD4" w:rsidRPr="009110F7" w:rsidRDefault="00935BD4" w:rsidP="00935BD4">
      <w:pPr>
        <w:pStyle w:val="Normalodrka"/>
        <w:numPr>
          <w:ilvl w:val="0"/>
          <w:numId w:val="0"/>
        </w:numPr>
        <w:ind w:left="357"/>
      </w:pPr>
    </w:p>
    <w:p w:rsidR="000D3058" w:rsidRPr="009110F7" w:rsidRDefault="000D3058" w:rsidP="000D3058">
      <w:pPr>
        <w:pStyle w:val="Nadpis11"/>
      </w:pPr>
      <w:bookmarkStart w:id="9" w:name="_Toc511215218"/>
      <w:bookmarkStart w:id="10" w:name="_Toc517166412"/>
      <w:bookmarkEnd w:id="9"/>
      <w:r w:rsidRPr="009110F7">
        <w:lastRenderedPageBreak/>
        <w:t>5. Ceny</w:t>
      </w:r>
      <w:bookmarkEnd w:id="10"/>
    </w:p>
    <w:tbl>
      <w:tblPr>
        <w:tblW w:w="9639" w:type="dxa"/>
        <w:tblInd w:w="-15" w:type="dxa"/>
        <w:tblCellMar>
          <w:left w:w="0" w:type="dxa"/>
          <w:right w:w="0" w:type="dxa"/>
        </w:tblCellMar>
        <w:tblLook w:val="00A0"/>
      </w:tblPr>
      <w:tblGrid>
        <w:gridCol w:w="1888"/>
        <w:gridCol w:w="250"/>
        <w:gridCol w:w="7501"/>
      </w:tblGrid>
      <w:tr w:rsidR="000D3058" w:rsidRPr="009110F7" w:rsidTr="00965797">
        <w:trPr>
          <w:trHeight w:val="145"/>
        </w:trPr>
        <w:tc>
          <w:tcPr>
            <w:tcW w:w="1888" w:type="dxa"/>
            <w:shd w:val="clear" w:color="auto" w:fill="auto"/>
            <w:tcMar>
              <w:left w:w="0" w:type="dxa"/>
            </w:tcMar>
          </w:tcPr>
          <w:p w:rsidR="000D3058" w:rsidRPr="009110F7" w:rsidRDefault="000D3058" w:rsidP="00965797">
            <w:pPr>
              <w:pStyle w:val="Marginlie"/>
            </w:pPr>
            <w:r w:rsidRPr="009110F7">
              <w:t>Celkový růst cenové hladiny se v 1</w:t>
            </w:r>
            <w:r w:rsidR="00716F48" w:rsidRPr="009110F7">
              <w:t>. čtvrt</w:t>
            </w:r>
            <w:r w:rsidRPr="009110F7">
              <w:t>letí zrychlil na 2,6</w:t>
            </w:r>
            <w:r w:rsidR="00167CB9" w:rsidRPr="009110F7">
              <w:t> %</w:t>
            </w:r>
            <w:r w:rsidRPr="009110F7">
              <w:t>.</w:t>
            </w:r>
          </w:p>
        </w:tc>
        <w:tc>
          <w:tcPr>
            <w:tcW w:w="250" w:type="dxa"/>
            <w:shd w:val="clear" w:color="auto" w:fill="auto"/>
            <w:tcMar>
              <w:left w:w="0" w:type="dxa"/>
            </w:tcMar>
          </w:tcPr>
          <w:p w:rsidR="000D3058" w:rsidRPr="009110F7" w:rsidRDefault="000D3058" w:rsidP="00965797">
            <w:pPr>
              <w:pStyle w:val="Textpoznpodarou"/>
              <w:jc w:val="both"/>
              <w:rPr>
                <w:spacing w:val="-4"/>
              </w:rPr>
            </w:pPr>
          </w:p>
        </w:tc>
        <w:tc>
          <w:tcPr>
            <w:tcW w:w="7501" w:type="dxa"/>
            <w:shd w:val="clear" w:color="auto" w:fill="auto"/>
            <w:tcMar>
              <w:left w:w="0" w:type="dxa"/>
            </w:tcMar>
          </w:tcPr>
          <w:p w:rsidR="000D3058" w:rsidRPr="009110F7" w:rsidRDefault="000D3058" w:rsidP="00A44B0D">
            <w:pPr>
              <w:rPr>
                <w:spacing w:val="-4"/>
                <w:szCs w:val="20"/>
              </w:rPr>
            </w:pPr>
            <w:r w:rsidRPr="009110F7">
              <w:rPr>
                <w:spacing w:val="-4"/>
                <w:szCs w:val="20"/>
              </w:rPr>
              <w:t>Celkov</w:t>
            </w:r>
            <w:r w:rsidR="00B8561A">
              <w:rPr>
                <w:spacing w:val="-4"/>
                <w:szCs w:val="20"/>
              </w:rPr>
              <w:t>á</w:t>
            </w:r>
            <w:r w:rsidRPr="009110F7">
              <w:rPr>
                <w:spacing w:val="-4"/>
                <w:szCs w:val="20"/>
              </w:rPr>
              <w:t xml:space="preserve"> cenová hladina měřen</w:t>
            </w:r>
            <w:r w:rsidR="00B8561A">
              <w:rPr>
                <w:spacing w:val="-4"/>
                <w:szCs w:val="20"/>
              </w:rPr>
              <w:t>á</w:t>
            </w:r>
            <w:r w:rsidRPr="009110F7">
              <w:rPr>
                <w:spacing w:val="-4"/>
                <w:szCs w:val="20"/>
              </w:rPr>
              <w:t xml:space="preserve"> deflátorem HDP se v 1</w:t>
            </w:r>
            <w:r w:rsidR="00716F48" w:rsidRPr="009110F7">
              <w:rPr>
                <w:spacing w:val="-4"/>
                <w:szCs w:val="20"/>
              </w:rPr>
              <w:t>. čtvrt</w:t>
            </w:r>
            <w:r w:rsidRPr="009110F7">
              <w:rPr>
                <w:spacing w:val="-4"/>
                <w:szCs w:val="20"/>
              </w:rPr>
              <w:t xml:space="preserve">letí zvýšila </w:t>
            </w:r>
            <w:r w:rsidR="00716F48" w:rsidRPr="009110F7">
              <w:rPr>
                <w:spacing w:val="-4"/>
                <w:szCs w:val="20"/>
              </w:rPr>
              <w:t>o </w:t>
            </w:r>
            <w:r w:rsidRPr="009110F7">
              <w:rPr>
                <w:spacing w:val="-4"/>
                <w:szCs w:val="20"/>
              </w:rPr>
              <w:t>2,6</w:t>
            </w:r>
            <w:r w:rsidR="00167CB9" w:rsidRPr="009110F7">
              <w:rPr>
                <w:spacing w:val="-4"/>
                <w:szCs w:val="20"/>
              </w:rPr>
              <w:t> %</w:t>
            </w:r>
            <w:r w:rsidRPr="009110F7">
              <w:rPr>
                <w:spacing w:val="-4"/>
                <w:szCs w:val="20"/>
              </w:rPr>
              <w:t>. Růst cenové hladiny již více než rok zrychluje</w:t>
            </w:r>
            <w:r w:rsidR="00B8561A">
              <w:rPr>
                <w:spacing w:val="-4"/>
                <w:szCs w:val="20"/>
              </w:rPr>
              <w:t>, a to v důsledku růstu</w:t>
            </w:r>
            <w:r w:rsidRPr="009110F7">
              <w:rPr>
                <w:spacing w:val="-4"/>
                <w:szCs w:val="20"/>
              </w:rPr>
              <w:t xml:space="preserve"> cen spotřebních statků (celkem v 1</w:t>
            </w:r>
            <w:r w:rsidR="00716F48" w:rsidRPr="009110F7">
              <w:rPr>
                <w:spacing w:val="-4"/>
                <w:szCs w:val="20"/>
              </w:rPr>
              <w:t>. čtvrt</w:t>
            </w:r>
            <w:r w:rsidRPr="009110F7">
              <w:rPr>
                <w:spacing w:val="-4"/>
                <w:szCs w:val="20"/>
              </w:rPr>
              <w:t xml:space="preserve">letí </w:t>
            </w:r>
            <w:r w:rsidR="00716F48" w:rsidRPr="009110F7">
              <w:rPr>
                <w:spacing w:val="-4"/>
                <w:szCs w:val="20"/>
              </w:rPr>
              <w:t>o </w:t>
            </w:r>
            <w:r w:rsidRPr="009110F7">
              <w:rPr>
                <w:spacing w:val="-4"/>
                <w:szCs w:val="20"/>
              </w:rPr>
              <w:t>3,5</w:t>
            </w:r>
            <w:r w:rsidR="00167CB9" w:rsidRPr="009110F7">
              <w:rPr>
                <w:spacing w:val="-4"/>
                <w:szCs w:val="20"/>
              </w:rPr>
              <w:t> %</w:t>
            </w:r>
            <w:r w:rsidRPr="009110F7">
              <w:rPr>
                <w:spacing w:val="-4"/>
                <w:szCs w:val="20"/>
              </w:rPr>
              <w:t xml:space="preserve">, </w:t>
            </w:r>
            <w:r w:rsidR="00716F48" w:rsidRPr="009110F7">
              <w:rPr>
                <w:spacing w:val="-4"/>
                <w:szCs w:val="20"/>
              </w:rPr>
              <w:t>u </w:t>
            </w:r>
            <w:r w:rsidRPr="009110F7">
              <w:rPr>
                <w:spacing w:val="-4"/>
                <w:szCs w:val="20"/>
              </w:rPr>
              <w:t xml:space="preserve">domácností </w:t>
            </w:r>
            <w:r w:rsidR="00716F48" w:rsidRPr="009110F7">
              <w:rPr>
                <w:spacing w:val="-4"/>
                <w:szCs w:val="20"/>
              </w:rPr>
              <w:t>o </w:t>
            </w:r>
            <w:r w:rsidRPr="009110F7">
              <w:rPr>
                <w:spacing w:val="-4"/>
                <w:szCs w:val="20"/>
              </w:rPr>
              <w:t>2,3</w:t>
            </w:r>
            <w:r w:rsidR="00167CB9" w:rsidRPr="009110F7">
              <w:rPr>
                <w:spacing w:val="-4"/>
                <w:szCs w:val="20"/>
              </w:rPr>
              <w:t> %</w:t>
            </w:r>
            <w:r w:rsidRPr="009110F7">
              <w:rPr>
                <w:spacing w:val="-4"/>
                <w:szCs w:val="20"/>
              </w:rPr>
              <w:t xml:space="preserve">, </w:t>
            </w:r>
            <w:r w:rsidR="00716F48" w:rsidRPr="009110F7">
              <w:rPr>
                <w:spacing w:val="-4"/>
                <w:szCs w:val="20"/>
              </w:rPr>
              <w:t>u </w:t>
            </w:r>
            <w:r w:rsidRPr="009110F7">
              <w:rPr>
                <w:spacing w:val="-4"/>
                <w:szCs w:val="20"/>
              </w:rPr>
              <w:t xml:space="preserve">vládních institucí </w:t>
            </w:r>
            <w:r w:rsidR="00716F48" w:rsidRPr="009110F7">
              <w:rPr>
                <w:spacing w:val="-4"/>
                <w:szCs w:val="20"/>
              </w:rPr>
              <w:t>o </w:t>
            </w:r>
            <w:r w:rsidRPr="009110F7">
              <w:rPr>
                <w:spacing w:val="-4"/>
                <w:szCs w:val="20"/>
              </w:rPr>
              <w:t>6,4</w:t>
            </w:r>
            <w:r w:rsidR="00167CB9" w:rsidRPr="009110F7">
              <w:rPr>
                <w:spacing w:val="-4"/>
                <w:szCs w:val="20"/>
              </w:rPr>
              <w:t> %</w:t>
            </w:r>
            <w:r w:rsidRPr="009110F7">
              <w:rPr>
                <w:spacing w:val="-4"/>
                <w:szCs w:val="20"/>
              </w:rPr>
              <w:t>). V minulém roce celkový růst cenové hladiny tlumily záporné směnné relace. Ty</w:t>
            </w:r>
            <w:r w:rsidR="00A44B0D" w:rsidRPr="009110F7">
              <w:rPr>
                <w:spacing w:val="-4"/>
                <w:szCs w:val="20"/>
              </w:rPr>
              <w:t> </w:t>
            </w:r>
            <w:r w:rsidRPr="009110F7">
              <w:rPr>
                <w:spacing w:val="-4"/>
                <w:szCs w:val="20"/>
              </w:rPr>
              <w:t>v 1. čtvrtletí dosáhly 101,1</w:t>
            </w:r>
            <w:r w:rsidR="00167CB9" w:rsidRPr="009110F7">
              <w:rPr>
                <w:spacing w:val="-4"/>
                <w:szCs w:val="20"/>
              </w:rPr>
              <w:t> %</w:t>
            </w:r>
            <w:r w:rsidRPr="009110F7">
              <w:rPr>
                <w:spacing w:val="-4"/>
                <w:szCs w:val="20"/>
              </w:rPr>
              <w:t xml:space="preserve">, </w:t>
            </w:r>
            <w:r w:rsidR="00716F48" w:rsidRPr="009110F7">
              <w:rPr>
                <w:spacing w:val="-4"/>
                <w:szCs w:val="20"/>
              </w:rPr>
              <w:t>a </w:t>
            </w:r>
            <w:r w:rsidRPr="009110F7">
              <w:rPr>
                <w:spacing w:val="-4"/>
                <w:szCs w:val="20"/>
              </w:rPr>
              <w:t>tak jedinou položkou, která tlumila růst cenové hladiny</w:t>
            </w:r>
            <w:r w:rsidR="00A44B0D" w:rsidRPr="009110F7">
              <w:rPr>
                <w:spacing w:val="-4"/>
                <w:szCs w:val="20"/>
              </w:rPr>
              <w:t>,</w:t>
            </w:r>
            <w:r w:rsidRPr="009110F7">
              <w:rPr>
                <w:spacing w:val="-4"/>
                <w:szCs w:val="20"/>
              </w:rPr>
              <w:t xml:space="preserve"> byly kapitálové statky (</w:t>
            </w:r>
            <w:r w:rsidR="00CA37FF">
              <w:rPr>
                <w:spacing w:val="-4"/>
                <w:szCs w:val="20"/>
              </w:rPr>
              <w:t>-</w:t>
            </w:r>
            <w:r w:rsidRPr="009110F7">
              <w:rPr>
                <w:spacing w:val="-4"/>
                <w:szCs w:val="20"/>
              </w:rPr>
              <w:t>0,9</w:t>
            </w:r>
            <w:r w:rsidR="00167CB9" w:rsidRPr="009110F7">
              <w:rPr>
                <w:spacing w:val="-4"/>
                <w:szCs w:val="20"/>
              </w:rPr>
              <w:t> %</w:t>
            </w:r>
            <w:r w:rsidRPr="009110F7">
              <w:rPr>
                <w:spacing w:val="-4"/>
                <w:szCs w:val="20"/>
              </w:rPr>
              <w:t xml:space="preserve">). </w:t>
            </w:r>
          </w:p>
        </w:tc>
      </w:tr>
      <w:tr w:rsidR="000D3058" w:rsidRPr="009110F7" w:rsidTr="00965797">
        <w:trPr>
          <w:trHeight w:val="145"/>
        </w:trPr>
        <w:tc>
          <w:tcPr>
            <w:tcW w:w="1888" w:type="dxa"/>
            <w:shd w:val="clear" w:color="auto" w:fill="auto"/>
            <w:tcMar>
              <w:left w:w="0" w:type="dxa"/>
            </w:tcMar>
          </w:tcPr>
          <w:p w:rsidR="000D3058" w:rsidRPr="009110F7" w:rsidRDefault="000D3058" w:rsidP="00965797">
            <w:pPr>
              <w:pStyle w:val="Marginlie"/>
            </w:pPr>
            <w:r w:rsidRPr="009110F7">
              <w:t>Meziroční růst spotřebitelských cen se v 1. čtvrtletí zpomalil.</w:t>
            </w:r>
          </w:p>
        </w:tc>
        <w:tc>
          <w:tcPr>
            <w:tcW w:w="250" w:type="dxa"/>
            <w:shd w:val="clear" w:color="auto" w:fill="auto"/>
            <w:tcMar>
              <w:left w:w="0" w:type="dxa"/>
            </w:tcMar>
          </w:tcPr>
          <w:p w:rsidR="000D3058" w:rsidRPr="009110F7" w:rsidRDefault="000D3058" w:rsidP="00965797">
            <w:pPr>
              <w:pStyle w:val="Textpoznpodarou"/>
              <w:jc w:val="both"/>
              <w:rPr>
                <w:spacing w:val="-4"/>
              </w:rPr>
            </w:pPr>
          </w:p>
        </w:tc>
        <w:tc>
          <w:tcPr>
            <w:tcW w:w="7501" w:type="dxa"/>
            <w:shd w:val="clear" w:color="auto" w:fill="auto"/>
            <w:tcMar>
              <w:left w:w="0" w:type="dxa"/>
            </w:tcMar>
          </w:tcPr>
          <w:p w:rsidR="000D3058" w:rsidRPr="009110F7" w:rsidRDefault="000D3058" w:rsidP="001B3E38">
            <w:r w:rsidRPr="009110F7">
              <w:t>Meziroční růst spotřebitelských cen se v 1</w:t>
            </w:r>
            <w:r w:rsidR="00716F48" w:rsidRPr="009110F7">
              <w:t>. čtvrt</w:t>
            </w:r>
            <w:r w:rsidRPr="009110F7">
              <w:t>letí neudržel nad 2% hranicí. Ještě v lednu sice činil 2,2</w:t>
            </w:r>
            <w:r w:rsidR="00167CB9" w:rsidRPr="009110F7">
              <w:t> %</w:t>
            </w:r>
            <w:r w:rsidRPr="009110F7">
              <w:t xml:space="preserve">, ale následně zpomalil </w:t>
            </w:r>
            <w:r w:rsidR="00716F48" w:rsidRPr="009110F7">
              <w:t>a </w:t>
            </w:r>
            <w:r w:rsidRPr="009110F7">
              <w:t>za celý kvartál dosáhl 1,9</w:t>
            </w:r>
            <w:r w:rsidR="00167CB9" w:rsidRPr="009110F7">
              <w:t> %</w:t>
            </w:r>
            <w:r w:rsidRPr="009110F7">
              <w:t>. Na</w:t>
            </w:r>
            <w:r w:rsidR="00A44B0D" w:rsidRPr="009110F7">
              <w:t> </w:t>
            </w:r>
            <w:r w:rsidRPr="009110F7">
              <w:t xml:space="preserve">meziroční dynamice se projevila vysoká srovnávací základna počátku roku 2017 (především </w:t>
            </w:r>
            <w:r w:rsidR="00716F48" w:rsidRPr="009110F7">
              <w:t>u </w:t>
            </w:r>
            <w:r w:rsidRPr="009110F7">
              <w:t xml:space="preserve">potravin </w:t>
            </w:r>
            <w:r w:rsidR="00716F48" w:rsidRPr="009110F7">
              <w:t>a </w:t>
            </w:r>
            <w:r w:rsidRPr="009110F7">
              <w:t xml:space="preserve">dopravy). Nejvíce k meziročnímu růstu spotřebitelských cen přispěly náklady na bydlení </w:t>
            </w:r>
            <w:r w:rsidR="00716F48" w:rsidRPr="009110F7">
              <w:t>a </w:t>
            </w:r>
            <w:r w:rsidRPr="009110F7">
              <w:t>energie (0,6</w:t>
            </w:r>
            <w:r w:rsidR="00167CB9" w:rsidRPr="009110F7">
              <w:t> p.</w:t>
            </w:r>
            <w:r w:rsidRPr="009110F7">
              <w:t> </w:t>
            </w:r>
            <w:proofErr w:type="spellStart"/>
            <w:r w:rsidRPr="009110F7">
              <w:t>b</w:t>
            </w:r>
            <w:proofErr w:type="spellEnd"/>
            <w:r w:rsidRPr="009110F7">
              <w:t xml:space="preserve">.), </w:t>
            </w:r>
            <w:r w:rsidR="001B3E38">
              <w:t>a</w:t>
            </w:r>
            <w:r w:rsidRPr="009110F7">
              <w:t xml:space="preserve"> potraviny </w:t>
            </w:r>
            <w:r w:rsidR="00716F48" w:rsidRPr="009110F7">
              <w:t>a </w:t>
            </w:r>
            <w:r w:rsidRPr="009110F7">
              <w:t>nealkoholické nápoje (0,</w:t>
            </w:r>
            <w:r w:rsidR="001B3E38">
              <w:t>6</w:t>
            </w:r>
            <w:r w:rsidR="00167CB9" w:rsidRPr="009110F7">
              <w:t> p.</w:t>
            </w:r>
            <w:r w:rsidRPr="009110F7">
              <w:t> </w:t>
            </w:r>
            <w:proofErr w:type="spellStart"/>
            <w:r w:rsidRPr="009110F7">
              <w:t>b</w:t>
            </w:r>
            <w:proofErr w:type="spellEnd"/>
            <w:r w:rsidRPr="009110F7">
              <w:t xml:space="preserve">.) </w:t>
            </w:r>
            <w:r w:rsidR="00716F48" w:rsidRPr="009110F7">
              <w:t>a </w:t>
            </w:r>
            <w:r w:rsidRPr="009110F7">
              <w:t>shodně 0,2</w:t>
            </w:r>
            <w:r w:rsidR="00167CB9" w:rsidRPr="009110F7">
              <w:t> p.</w:t>
            </w:r>
            <w:r w:rsidRPr="009110F7">
              <w:t> </w:t>
            </w:r>
            <w:proofErr w:type="spellStart"/>
            <w:r w:rsidRPr="009110F7">
              <w:t>b</w:t>
            </w:r>
            <w:proofErr w:type="spellEnd"/>
            <w:r w:rsidRPr="009110F7">
              <w:t xml:space="preserve">. alkoholické nápoje </w:t>
            </w:r>
            <w:r w:rsidR="00716F48" w:rsidRPr="009110F7">
              <w:t>a </w:t>
            </w:r>
            <w:r w:rsidRPr="009110F7">
              <w:t xml:space="preserve">tabák </w:t>
            </w:r>
            <w:r w:rsidR="00716F48" w:rsidRPr="009110F7">
              <w:t>a </w:t>
            </w:r>
            <w:r w:rsidRPr="009110F7">
              <w:t>stravování a</w:t>
            </w:r>
            <w:r w:rsidR="00B8561A">
              <w:t> </w:t>
            </w:r>
            <w:r w:rsidRPr="009110F7">
              <w:t xml:space="preserve">ubytování. Příspěvek cen dopravy, který byl </w:t>
            </w:r>
            <w:r w:rsidR="00716F48" w:rsidRPr="009110F7">
              <w:t>v </w:t>
            </w:r>
            <w:r w:rsidRPr="009110F7">
              <w:t xml:space="preserve">minulých letech důležitý pro dynamiku růstu cen, </w:t>
            </w:r>
            <w:r w:rsidR="00716F48" w:rsidRPr="009110F7">
              <w:t>v </w:t>
            </w:r>
            <w:r w:rsidRPr="009110F7">
              <w:t>1</w:t>
            </w:r>
            <w:r w:rsidR="00716F48" w:rsidRPr="009110F7">
              <w:t>. čtvrt</w:t>
            </w:r>
            <w:r w:rsidRPr="009110F7">
              <w:t>letí klesl na 0,1</w:t>
            </w:r>
            <w:r w:rsidR="00167CB9" w:rsidRPr="009110F7">
              <w:t> p.</w:t>
            </w:r>
            <w:r w:rsidRPr="009110F7">
              <w:t> </w:t>
            </w:r>
            <w:proofErr w:type="spellStart"/>
            <w:r w:rsidRPr="009110F7">
              <w:t>b</w:t>
            </w:r>
            <w:proofErr w:type="spellEnd"/>
            <w:r w:rsidRPr="009110F7">
              <w:t>.</w:t>
            </w:r>
          </w:p>
        </w:tc>
      </w:tr>
      <w:tr w:rsidR="000D3058" w:rsidRPr="009110F7" w:rsidTr="00965797">
        <w:trPr>
          <w:trHeight w:val="170"/>
        </w:trPr>
        <w:tc>
          <w:tcPr>
            <w:tcW w:w="1888" w:type="dxa"/>
            <w:vMerge w:val="restart"/>
            <w:shd w:val="clear" w:color="auto" w:fill="auto"/>
            <w:tcMar>
              <w:left w:w="0" w:type="dxa"/>
            </w:tcMar>
          </w:tcPr>
          <w:p w:rsidR="000D3058" w:rsidRPr="009110F7" w:rsidRDefault="000D3058" w:rsidP="00965797">
            <w:pPr>
              <w:pStyle w:val="Marginlie"/>
            </w:pPr>
          </w:p>
        </w:tc>
        <w:tc>
          <w:tcPr>
            <w:tcW w:w="250" w:type="dxa"/>
            <w:vMerge w:val="restart"/>
            <w:shd w:val="clear" w:color="auto" w:fill="auto"/>
            <w:tcMar>
              <w:left w:w="0" w:type="dxa"/>
            </w:tcMar>
          </w:tcPr>
          <w:p w:rsidR="000D3058" w:rsidRPr="009110F7" w:rsidRDefault="000D3058" w:rsidP="00965797">
            <w:pPr>
              <w:pStyle w:val="Textpoznpodarou"/>
              <w:jc w:val="both"/>
              <w:rPr>
                <w:spacing w:val="-4"/>
              </w:rPr>
            </w:pPr>
          </w:p>
        </w:tc>
        <w:tc>
          <w:tcPr>
            <w:tcW w:w="7501" w:type="dxa"/>
            <w:shd w:val="clear" w:color="auto" w:fill="auto"/>
            <w:tcMar>
              <w:left w:w="0" w:type="dxa"/>
            </w:tcMar>
          </w:tcPr>
          <w:p w:rsidR="000D3058" w:rsidRPr="009110F7" w:rsidRDefault="00935BD4" w:rsidP="0015753D">
            <w:pPr>
              <w:spacing w:after="0"/>
              <w:rPr>
                <w:b/>
                <w:szCs w:val="20"/>
              </w:rPr>
            </w:pPr>
            <w:r w:rsidRPr="009110F7">
              <w:rPr>
                <w:rFonts w:cs="Arial"/>
                <w:b/>
                <w:bCs/>
                <w:color w:val="000000"/>
                <w:szCs w:val="20"/>
              </w:rPr>
              <w:t>Graf</w:t>
            </w:r>
            <w:r w:rsidR="00B8561A">
              <w:rPr>
                <w:rFonts w:cs="Arial"/>
                <w:b/>
                <w:bCs/>
                <w:color w:val="000000"/>
                <w:szCs w:val="20"/>
              </w:rPr>
              <w:t> </w:t>
            </w:r>
            <w:r w:rsidR="00167CB9" w:rsidRPr="009110F7">
              <w:rPr>
                <w:rFonts w:cs="Arial"/>
                <w:b/>
                <w:bCs/>
                <w:color w:val="000000"/>
                <w:szCs w:val="20"/>
              </w:rPr>
              <w:t>č. </w:t>
            </w:r>
            <w:r w:rsidRPr="009110F7">
              <w:rPr>
                <w:rFonts w:cs="Arial"/>
                <w:b/>
                <w:bCs/>
                <w:color w:val="000000"/>
                <w:szCs w:val="20"/>
              </w:rPr>
              <w:t>10</w:t>
            </w:r>
            <w:r w:rsidR="0015753D">
              <w:rPr>
                <w:rFonts w:cs="Arial"/>
                <w:b/>
                <w:bCs/>
                <w:color w:val="000000"/>
                <w:szCs w:val="20"/>
              </w:rPr>
              <w:t xml:space="preserve">  </w:t>
            </w:r>
            <w:r w:rsidR="000D3058" w:rsidRPr="009110F7">
              <w:rPr>
                <w:rFonts w:cs="Arial"/>
                <w:b/>
                <w:bCs/>
                <w:color w:val="000000"/>
                <w:szCs w:val="20"/>
              </w:rPr>
              <w:t>Ceny ve vybraných oddílech indexu spotřebitelských cen</w:t>
            </w:r>
            <w:r w:rsidR="000D3058" w:rsidRPr="009110F7">
              <w:rPr>
                <w:rFonts w:cs="Arial"/>
                <w:b/>
                <w:color w:val="000000"/>
                <w:szCs w:val="20"/>
              </w:rPr>
              <w:t xml:space="preserve"> (y/y v</w:t>
            </w:r>
            <w:r w:rsidR="00167CB9" w:rsidRPr="009110F7">
              <w:rPr>
                <w:rFonts w:cs="Arial"/>
                <w:b/>
                <w:color w:val="000000"/>
                <w:szCs w:val="20"/>
              </w:rPr>
              <w:t> %</w:t>
            </w:r>
            <w:r w:rsidR="000D3058" w:rsidRPr="009110F7">
              <w:rPr>
                <w:rFonts w:cs="Arial"/>
                <w:b/>
                <w:color w:val="000000"/>
                <w:szCs w:val="20"/>
              </w:rPr>
              <w:t>)</w:t>
            </w:r>
          </w:p>
        </w:tc>
      </w:tr>
      <w:tr w:rsidR="000D3058" w:rsidRPr="009110F7" w:rsidTr="00965797">
        <w:trPr>
          <w:trHeight w:val="170"/>
        </w:trPr>
        <w:tc>
          <w:tcPr>
            <w:tcW w:w="1888" w:type="dxa"/>
            <w:vMerge/>
            <w:shd w:val="clear" w:color="auto" w:fill="auto"/>
            <w:tcMar>
              <w:left w:w="0" w:type="dxa"/>
            </w:tcMar>
          </w:tcPr>
          <w:p w:rsidR="000D3058" w:rsidRPr="009110F7" w:rsidRDefault="000D3058" w:rsidP="00965797">
            <w:pPr>
              <w:pStyle w:val="Marginlie"/>
            </w:pPr>
          </w:p>
        </w:tc>
        <w:tc>
          <w:tcPr>
            <w:tcW w:w="250" w:type="dxa"/>
            <w:vMerge/>
            <w:shd w:val="clear" w:color="auto" w:fill="auto"/>
            <w:tcMar>
              <w:left w:w="0" w:type="dxa"/>
            </w:tcMar>
          </w:tcPr>
          <w:p w:rsidR="000D3058" w:rsidRPr="009110F7" w:rsidRDefault="000D3058" w:rsidP="00965797">
            <w:pPr>
              <w:pStyle w:val="Textpoznpodarou"/>
              <w:jc w:val="both"/>
              <w:rPr>
                <w:spacing w:val="-4"/>
              </w:rPr>
            </w:pPr>
          </w:p>
        </w:tc>
        <w:tc>
          <w:tcPr>
            <w:tcW w:w="7501" w:type="dxa"/>
            <w:shd w:val="clear" w:color="auto" w:fill="auto"/>
            <w:tcMar>
              <w:left w:w="0" w:type="dxa"/>
            </w:tcMar>
          </w:tcPr>
          <w:p w:rsidR="000D3058" w:rsidRPr="009110F7" w:rsidRDefault="000D3058" w:rsidP="00965797">
            <w:pPr>
              <w:spacing w:after="0"/>
            </w:pPr>
            <w:r w:rsidRPr="009110F7">
              <w:rPr>
                <w:noProof/>
              </w:rPr>
              <w:drawing>
                <wp:inline distT="0" distB="0" distL="0" distR="0">
                  <wp:extent cx="4737600" cy="3553200"/>
                  <wp:effectExtent l="0" t="0" r="0" b="0"/>
                  <wp:docPr id="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0D3058" w:rsidRPr="009110F7" w:rsidTr="00965797">
        <w:trPr>
          <w:trHeight w:val="170"/>
        </w:trPr>
        <w:tc>
          <w:tcPr>
            <w:tcW w:w="1888" w:type="dxa"/>
            <w:vMerge/>
            <w:shd w:val="clear" w:color="auto" w:fill="auto"/>
            <w:tcMar>
              <w:left w:w="0" w:type="dxa"/>
            </w:tcMar>
          </w:tcPr>
          <w:p w:rsidR="000D3058" w:rsidRPr="009110F7" w:rsidRDefault="000D3058" w:rsidP="00965797">
            <w:pPr>
              <w:pStyle w:val="Marginlie"/>
            </w:pPr>
          </w:p>
        </w:tc>
        <w:tc>
          <w:tcPr>
            <w:tcW w:w="250" w:type="dxa"/>
            <w:vMerge/>
            <w:shd w:val="clear" w:color="auto" w:fill="auto"/>
            <w:tcMar>
              <w:left w:w="0" w:type="dxa"/>
            </w:tcMar>
          </w:tcPr>
          <w:p w:rsidR="000D3058" w:rsidRPr="009110F7" w:rsidRDefault="000D3058" w:rsidP="00965797">
            <w:pPr>
              <w:pStyle w:val="Textpoznpodarou"/>
              <w:jc w:val="both"/>
              <w:rPr>
                <w:spacing w:val="-4"/>
              </w:rPr>
            </w:pPr>
          </w:p>
        </w:tc>
        <w:tc>
          <w:tcPr>
            <w:tcW w:w="7501" w:type="dxa"/>
            <w:shd w:val="clear" w:color="auto" w:fill="auto"/>
            <w:tcMar>
              <w:left w:w="0" w:type="dxa"/>
            </w:tcMar>
          </w:tcPr>
          <w:p w:rsidR="000D3058" w:rsidRPr="009110F7" w:rsidRDefault="000D3058" w:rsidP="00965797">
            <w:pPr>
              <w:rPr>
                <w:sz w:val="14"/>
                <w:szCs w:val="14"/>
              </w:rPr>
            </w:pPr>
            <w:r w:rsidRPr="009110F7">
              <w:rPr>
                <w:sz w:val="14"/>
                <w:szCs w:val="14"/>
              </w:rPr>
              <w:t>Zdroj: ČSÚ</w:t>
            </w:r>
          </w:p>
        </w:tc>
      </w:tr>
      <w:tr w:rsidR="000D3058" w:rsidRPr="009110F7" w:rsidTr="00965797">
        <w:trPr>
          <w:trHeight w:val="145"/>
        </w:trPr>
        <w:tc>
          <w:tcPr>
            <w:tcW w:w="1888" w:type="dxa"/>
            <w:shd w:val="clear" w:color="auto" w:fill="auto"/>
            <w:tcMar>
              <w:left w:w="0" w:type="dxa"/>
            </w:tcMar>
          </w:tcPr>
          <w:p w:rsidR="000D3058" w:rsidRPr="009110F7" w:rsidRDefault="000D3058" w:rsidP="00965797">
            <w:pPr>
              <w:pStyle w:val="Marginlie"/>
            </w:pPr>
            <w:r w:rsidRPr="009110F7">
              <w:t xml:space="preserve">Ceny bydlení </w:t>
            </w:r>
            <w:r w:rsidR="00716F48" w:rsidRPr="009110F7">
              <w:t>a </w:t>
            </w:r>
            <w:r w:rsidRPr="009110F7">
              <w:t>energií pokračují ve více než 2% růstu.</w:t>
            </w:r>
          </w:p>
        </w:tc>
        <w:tc>
          <w:tcPr>
            <w:tcW w:w="250" w:type="dxa"/>
            <w:shd w:val="clear" w:color="auto" w:fill="auto"/>
            <w:tcMar>
              <w:left w:w="0" w:type="dxa"/>
            </w:tcMar>
          </w:tcPr>
          <w:p w:rsidR="000D3058" w:rsidRPr="009110F7" w:rsidRDefault="000D3058" w:rsidP="00965797">
            <w:pPr>
              <w:pStyle w:val="Textpoznpodarou"/>
              <w:jc w:val="both"/>
              <w:rPr>
                <w:spacing w:val="-4"/>
              </w:rPr>
            </w:pPr>
          </w:p>
        </w:tc>
        <w:tc>
          <w:tcPr>
            <w:tcW w:w="7501" w:type="dxa"/>
            <w:shd w:val="clear" w:color="auto" w:fill="auto"/>
            <w:tcMar>
              <w:left w:w="0" w:type="dxa"/>
            </w:tcMar>
          </w:tcPr>
          <w:p w:rsidR="000D3058" w:rsidRPr="009110F7" w:rsidRDefault="000D3058" w:rsidP="00965797">
            <w:r w:rsidRPr="009110F7">
              <w:t xml:space="preserve">Bydlení, voda, energie </w:t>
            </w:r>
            <w:r w:rsidR="00716F48" w:rsidRPr="009110F7">
              <w:t>a </w:t>
            </w:r>
            <w:r w:rsidRPr="009110F7">
              <w:t xml:space="preserve">paliva mají ve spotřebním koši nejvyšší váhu, ale jejich příspěvek k celkovému růstu cen byl v minulých letech limitován nižším růstem cen bydlení </w:t>
            </w:r>
            <w:r w:rsidR="00716F48" w:rsidRPr="009110F7">
              <w:t>a </w:t>
            </w:r>
            <w:r w:rsidRPr="009110F7">
              <w:t xml:space="preserve">poklesem cen energií. To se postupně měnilo v roce 2017 </w:t>
            </w:r>
            <w:r w:rsidR="00716F48" w:rsidRPr="009110F7">
              <w:t>a v </w:t>
            </w:r>
            <w:r w:rsidRPr="009110F7">
              <w:t xml:space="preserve">letošním 1. čtvrtletí vzrostly ceny bydlení </w:t>
            </w:r>
            <w:r w:rsidR="00716F48" w:rsidRPr="009110F7">
              <w:t>a </w:t>
            </w:r>
            <w:r w:rsidRPr="009110F7">
              <w:t xml:space="preserve">energií </w:t>
            </w:r>
            <w:r w:rsidR="00716F48" w:rsidRPr="009110F7">
              <w:t>o </w:t>
            </w:r>
            <w:r w:rsidRPr="009110F7">
              <w:t>2,3</w:t>
            </w:r>
            <w:r w:rsidR="00167CB9" w:rsidRPr="009110F7">
              <w:t> %</w:t>
            </w:r>
            <w:r w:rsidRPr="009110F7">
              <w:t xml:space="preserve">. </w:t>
            </w:r>
            <w:r w:rsidR="00716F48" w:rsidRPr="009110F7">
              <w:t>Z </w:t>
            </w:r>
            <w:r w:rsidRPr="009110F7">
              <w:t xml:space="preserve">toho ceny nájemného </w:t>
            </w:r>
            <w:r w:rsidR="00716F48" w:rsidRPr="009110F7">
              <w:t>z </w:t>
            </w:r>
            <w:r w:rsidRPr="009110F7">
              <w:t xml:space="preserve">bytu dosáhly 2,3% meziročního navýšení, imputované nájemné vzrostlo </w:t>
            </w:r>
            <w:r w:rsidR="00716F48" w:rsidRPr="009110F7">
              <w:t>o </w:t>
            </w:r>
            <w:r w:rsidRPr="009110F7">
              <w:t>3,9</w:t>
            </w:r>
            <w:r w:rsidR="00167CB9" w:rsidRPr="009110F7">
              <w:t> %</w:t>
            </w:r>
            <w:r w:rsidRPr="009110F7">
              <w:t xml:space="preserve"> (mírné zpomalení oproti </w:t>
            </w:r>
            <w:r w:rsidR="00716F48" w:rsidRPr="009110F7">
              <w:t>2. </w:t>
            </w:r>
            <w:r w:rsidRPr="009110F7">
              <w:t xml:space="preserve">pololetí 2017) </w:t>
            </w:r>
            <w:r w:rsidR="00716F48" w:rsidRPr="009110F7">
              <w:t>a </w:t>
            </w:r>
            <w:r w:rsidRPr="009110F7">
              <w:t xml:space="preserve">ceny energií vzrostly meziročně </w:t>
            </w:r>
            <w:r w:rsidR="00716F48" w:rsidRPr="009110F7">
              <w:t>v </w:t>
            </w:r>
            <w:r w:rsidRPr="009110F7">
              <w:t>1. čtvrtletí o 1,1</w:t>
            </w:r>
            <w:r w:rsidR="00167CB9" w:rsidRPr="009110F7">
              <w:t> %</w:t>
            </w:r>
            <w:r w:rsidRPr="009110F7">
              <w:t>. Meziroční růst cen energií se objevil poprvé od dubna 2016.</w:t>
            </w:r>
            <w:r w:rsidR="00161553" w:rsidRPr="009110F7">
              <w:t xml:space="preserve"> </w:t>
            </w:r>
            <w:r w:rsidRPr="009110F7">
              <w:t xml:space="preserve">Výrazněji rostly </w:t>
            </w:r>
            <w:r w:rsidR="00716F48" w:rsidRPr="009110F7">
              <w:t>i </w:t>
            </w:r>
            <w:r w:rsidRPr="009110F7">
              <w:t xml:space="preserve">ceny běžné údržby </w:t>
            </w:r>
            <w:r w:rsidR="00716F48" w:rsidRPr="009110F7">
              <w:t>a </w:t>
            </w:r>
            <w:r w:rsidRPr="009110F7">
              <w:t>oprav bytu (3,2</w:t>
            </w:r>
            <w:r w:rsidR="00167CB9" w:rsidRPr="009110F7">
              <w:t> %</w:t>
            </w:r>
            <w:r w:rsidRPr="009110F7">
              <w:t>).</w:t>
            </w:r>
          </w:p>
        </w:tc>
      </w:tr>
      <w:tr w:rsidR="000D3058" w:rsidRPr="009110F7" w:rsidTr="00965797">
        <w:trPr>
          <w:trHeight w:val="145"/>
        </w:trPr>
        <w:tc>
          <w:tcPr>
            <w:tcW w:w="1888" w:type="dxa"/>
            <w:shd w:val="clear" w:color="auto" w:fill="auto"/>
            <w:tcMar>
              <w:left w:w="0" w:type="dxa"/>
            </w:tcMar>
          </w:tcPr>
          <w:p w:rsidR="000D3058" w:rsidRPr="009110F7" w:rsidRDefault="000D3058" w:rsidP="00965797">
            <w:pPr>
              <w:pStyle w:val="Marginlie"/>
            </w:pPr>
            <w:r w:rsidRPr="009110F7">
              <w:t>Růst cen nemovitostí je stále vysoký, postupně však zpomaluje.</w:t>
            </w:r>
          </w:p>
        </w:tc>
        <w:tc>
          <w:tcPr>
            <w:tcW w:w="250" w:type="dxa"/>
            <w:shd w:val="clear" w:color="auto" w:fill="auto"/>
            <w:tcMar>
              <w:left w:w="0" w:type="dxa"/>
            </w:tcMar>
          </w:tcPr>
          <w:p w:rsidR="000D3058" w:rsidRPr="009110F7" w:rsidRDefault="000D3058" w:rsidP="00965797">
            <w:pPr>
              <w:pStyle w:val="Textpoznpodarou"/>
              <w:jc w:val="both"/>
              <w:rPr>
                <w:spacing w:val="-4"/>
              </w:rPr>
            </w:pPr>
          </w:p>
        </w:tc>
        <w:tc>
          <w:tcPr>
            <w:tcW w:w="7501" w:type="dxa"/>
            <w:shd w:val="clear" w:color="auto" w:fill="auto"/>
            <w:tcMar>
              <w:left w:w="0" w:type="dxa"/>
            </w:tcMar>
          </w:tcPr>
          <w:p w:rsidR="000D3058" w:rsidRPr="009110F7" w:rsidRDefault="000D3058" w:rsidP="006741CD">
            <w:r w:rsidRPr="009110F7">
              <w:t>Ceny nemovitostí v minulém roce prošly turbulentním vývojem, když meziroční tempo růstu atakovalo 20</w:t>
            </w:r>
            <w:r w:rsidR="00167CB9" w:rsidRPr="009110F7">
              <w:t> %</w:t>
            </w:r>
            <w:r w:rsidRPr="009110F7">
              <w:t xml:space="preserve">. Konec roku pak přinesl jistý útlum </w:t>
            </w:r>
            <w:r w:rsidR="00716F48" w:rsidRPr="009110F7">
              <w:t>a </w:t>
            </w:r>
            <w:r w:rsidRPr="009110F7">
              <w:t>1</w:t>
            </w:r>
            <w:r w:rsidR="00716F48" w:rsidRPr="009110F7">
              <w:t>. čtvrt</w:t>
            </w:r>
            <w:r w:rsidRPr="009110F7">
              <w:t xml:space="preserve">letí 2018 potvrdilo, že ceny bytů již nerostou tak rychle. Ukázalo se to hlavně </w:t>
            </w:r>
            <w:r w:rsidR="00716F48" w:rsidRPr="009110F7">
              <w:t>u </w:t>
            </w:r>
            <w:r w:rsidRPr="009110F7">
              <w:t xml:space="preserve">realizovaných </w:t>
            </w:r>
            <w:r w:rsidRPr="009110F7">
              <w:lastRenderedPageBreak/>
              <w:t xml:space="preserve">cen starších bytů, které se v ČR zvýšily </w:t>
            </w:r>
            <w:r w:rsidR="00716F48" w:rsidRPr="009110F7">
              <w:t>o </w:t>
            </w:r>
            <w:r w:rsidRPr="009110F7">
              <w:t>9,3</w:t>
            </w:r>
            <w:r w:rsidR="00167CB9" w:rsidRPr="009110F7">
              <w:t> %</w:t>
            </w:r>
            <w:r w:rsidRPr="009110F7">
              <w:t xml:space="preserve"> (</w:t>
            </w:r>
            <w:r w:rsidR="00716F48" w:rsidRPr="009110F7">
              <w:t>v </w:t>
            </w:r>
            <w:r w:rsidRPr="009110F7">
              <w:t xml:space="preserve">Praze </w:t>
            </w:r>
            <w:r w:rsidR="008B6106">
              <w:t>o </w:t>
            </w:r>
            <w:r w:rsidRPr="009110F7">
              <w:t>8,4</w:t>
            </w:r>
            <w:r w:rsidR="00167CB9" w:rsidRPr="009110F7">
              <w:t> %</w:t>
            </w:r>
            <w:r w:rsidRPr="009110F7">
              <w:t xml:space="preserve">). Podobně se zmírnil růst realizovaných cen nových bytů </w:t>
            </w:r>
            <w:r w:rsidR="00716F48" w:rsidRPr="009110F7">
              <w:t>v </w:t>
            </w:r>
            <w:r w:rsidRPr="009110F7">
              <w:t>Praze (9,7</w:t>
            </w:r>
            <w:r w:rsidR="00167CB9" w:rsidRPr="009110F7">
              <w:t> %</w:t>
            </w:r>
            <w:r w:rsidRPr="009110F7">
              <w:t>). Nabídkové ceny bytů se zatím drží na vysoké úrovni růstu (12,8</w:t>
            </w:r>
            <w:r w:rsidR="00167CB9" w:rsidRPr="009110F7">
              <w:t> %</w:t>
            </w:r>
            <w:r w:rsidRPr="009110F7">
              <w:t xml:space="preserve"> v ČR, 15,1</w:t>
            </w:r>
            <w:r w:rsidR="00167CB9" w:rsidRPr="009110F7">
              <w:t> %</w:t>
            </w:r>
            <w:r w:rsidRPr="009110F7">
              <w:t xml:space="preserve"> </w:t>
            </w:r>
            <w:r w:rsidR="00716F48" w:rsidRPr="009110F7">
              <w:t>v </w:t>
            </w:r>
            <w:r w:rsidRPr="009110F7">
              <w:t>Praze), zdá se však, že již dále nezrychlují.</w:t>
            </w:r>
          </w:p>
        </w:tc>
      </w:tr>
      <w:tr w:rsidR="000D3058" w:rsidRPr="009110F7" w:rsidTr="00965797">
        <w:trPr>
          <w:trHeight w:val="170"/>
        </w:trPr>
        <w:tc>
          <w:tcPr>
            <w:tcW w:w="1888" w:type="dxa"/>
            <w:vMerge w:val="restart"/>
            <w:shd w:val="clear" w:color="auto" w:fill="auto"/>
            <w:tcMar>
              <w:left w:w="0" w:type="dxa"/>
            </w:tcMar>
          </w:tcPr>
          <w:p w:rsidR="000D3058" w:rsidRPr="009110F7" w:rsidRDefault="000D3058" w:rsidP="00965797">
            <w:pPr>
              <w:pStyle w:val="Marginlie"/>
            </w:pPr>
          </w:p>
        </w:tc>
        <w:tc>
          <w:tcPr>
            <w:tcW w:w="250" w:type="dxa"/>
            <w:vMerge w:val="restart"/>
            <w:shd w:val="clear" w:color="auto" w:fill="auto"/>
            <w:tcMar>
              <w:left w:w="0" w:type="dxa"/>
            </w:tcMar>
          </w:tcPr>
          <w:p w:rsidR="000D3058" w:rsidRPr="009110F7" w:rsidRDefault="000D3058" w:rsidP="00965797">
            <w:pPr>
              <w:pStyle w:val="Textpoznpodarou"/>
              <w:jc w:val="both"/>
              <w:rPr>
                <w:spacing w:val="-4"/>
              </w:rPr>
            </w:pPr>
          </w:p>
        </w:tc>
        <w:tc>
          <w:tcPr>
            <w:tcW w:w="7501" w:type="dxa"/>
            <w:shd w:val="clear" w:color="auto" w:fill="auto"/>
            <w:tcMar>
              <w:left w:w="0" w:type="dxa"/>
            </w:tcMar>
          </w:tcPr>
          <w:p w:rsidR="000D3058" w:rsidRPr="009110F7" w:rsidRDefault="00B8561A" w:rsidP="0015753D">
            <w:pPr>
              <w:spacing w:after="0"/>
              <w:rPr>
                <w:b/>
                <w:szCs w:val="20"/>
              </w:rPr>
            </w:pPr>
            <w:r>
              <w:rPr>
                <w:b/>
                <w:spacing w:val="-4"/>
                <w:szCs w:val="20"/>
                <w:lang w:eastAsia="en-US"/>
              </w:rPr>
              <w:t>Graf </w:t>
            </w:r>
            <w:r w:rsidR="00167CB9" w:rsidRPr="009110F7">
              <w:rPr>
                <w:b/>
                <w:spacing w:val="-4"/>
                <w:szCs w:val="20"/>
                <w:lang w:eastAsia="en-US"/>
              </w:rPr>
              <w:t>č. </w:t>
            </w:r>
            <w:r w:rsidR="00935BD4" w:rsidRPr="009110F7">
              <w:rPr>
                <w:b/>
                <w:spacing w:val="-4"/>
                <w:szCs w:val="20"/>
                <w:lang w:eastAsia="en-US"/>
              </w:rPr>
              <w:t>11</w:t>
            </w:r>
            <w:r w:rsidR="0015753D">
              <w:rPr>
                <w:b/>
              </w:rPr>
              <w:t xml:space="preserve">  </w:t>
            </w:r>
            <w:r w:rsidR="000D3058" w:rsidRPr="009110F7">
              <w:rPr>
                <w:b/>
                <w:spacing w:val="-4"/>
                <w:szCs w:val="20"/>
                <w:lang w:eastAsia="en-US"/>
              </w:rPr>
              <w:t>Ceny nemovitostí (meziroční změna, v</w:t>
            </w:r>
            <w:r w:rsidR="00167CB9" w:rsidRPr="009110F7">
              <w:rPr>
                <w:b/>
                <w:spacing w:val="-4"/>
                <w:szCs w:val="20"/>
                <w:lang w:eastAsia="en-US"/>
              </w:rPr>
              <w:t> %</w:t>
            </w:r>
            <w:r w:rsidR="000D3058" w:rsidRPr="009110F7">
              <w:rPr>
                <w:b/>
                <w:spacing w:val="-4"/>
                <w:szCs w:val="20"/>
                <w:lang w:eastAsia="en-US"/>
              </w:rPr>
              <w:t>)</w:t>
            </w:r>
          </w:p>
        </w:tc>
      </w:tr>
      <w:tr w:rsidR="000D3058" w:rsidRPr="009110F7" w:rsidTr="00965797">
        <w:trPr>
          <w:trHeight w:val="170"/>
        </w:trPr>
        <w:tc>
          <w:tcPr>
            <w:tcW w:w="1888" w:type="dxa"/>
            <w:vMerge/>
            <w:shd w:val="clear" w:color="auto" w:fill="auto"/>
            <w:tcMar>
              <w:left w:w="0" w:type="dxa"/>
            </w:tcMar>
          </w:tcPr>
          <w:p w:rsidR="000D3058" w:rsidRPr="009110F7" w:rsidRDefault="000D3058" w:rsidP="00965797">
            <w:pPr>
              <w:pStyle w:val="Marginlie"/>
            </w:pPr>
          </w:p>
        </w:tc>
        <w:tc>
          <w:tcPr>
            <w:tcW w:w="250" w:type="dxa"/>
            <w:vMerge/>
            <w:shd w:val="clear" w:color="auto" w:fill="auto"/>
            <w:tcMar>
              <w:left w:w="0" w:type="dxa"/>
            </w:tcMar>
          </w:tcPr>
          <w:p w:rsidR="000D3058" w:rsidRPr="009110F7" w:rsidRDefault="000D3058" w:rsidP="00965797">
            <w:pPr>
              <w:pStyle w:val="Textpoznpodarou"/>
              <w:jc w:val="both"/>
              <w:rPr>
                <w:spacing w:val="-4"/>
              </w:rPr>
            </w:pPr>
          </w:p>
        </w:tc>
        <w:tc>
          <w:tcPr>
            <w:tcW w:w="7501" w:type="dxa"/>
            <w:shd w:val="clear" w:color="auto" w:fill="auto"/>
            <w:tcMar>
              <w:left w:w="0" w:type="dxa"/>
            </w:tcMar>
          </w:tcPr>
          <w:p w:rsidR="000D3058" w:rsidRPr="009110F7" w:rsidRDefault="000D3058" w:rsidP="00965797">
            <w:pPr>
              <w:spacing w:after="0"/>
            </w:pPr>
            <w:r w:rsidRPr="009110F7">
              <w:rPr>
                <w:noProof/>
              </w:rPr>
              <w:drawing>
                <wp:inline distT="0" distB="0" distL="0" distR="0">
                  <wp:extent cx="4737600" cy="3553200"/>
                  <wp:effectExtent l="1905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0D3058" w:rsidRPr="009110F7" w:rsidTr="00965797">
        <w:trPr>
          <w:trHeight w:val="170"/>
        </w:trPr>
        <w:tc>
          <w:tcPr>
            <w:tcW w:w="1888" w:type="dxa"/>
            <w:vMerge/>
            <w:shd w:val="clear" w:color="auto" w:fill="auto"/>
            <w:tcMar>
              <w:left w:w="0" w:type="dxa"/>
            </w:tcMar>
          </w:tcPr>
          <w:p w:rsidR="000D3058" w:rsidRPr="009110F7" w:rsidRDefault="000D3058" w:rsidP="00965797">
            <w:pPr>
              <w:pStyle w:val="Marginlie"/>
            </w:pPr>
          </w:p>
        </w:tc>
        <w:tc>
          <w:tcPr>
            <w:tcW w:w="250" w:type="dxa"/>
            <w:vMerge/>
            <w:shd w:val="clear" w:color="auto" w:fill="auto"/>
            <w:tcMar>
              <w:left w:w="0" w:type="dxa"/>
            </w:tcMar>
          </w:tcPr>
          <w:p w:rsidR="000D3058" w:rsidRPr="009110F7" w:rsidRDefault="000D3058" w:rsidP="00965797">
            <w:pPr>
              <w:pStyle w:val="Textpoznpodarou"/>
              <w:jc w:val="both"/>
              <w:rPr>
                <w:spacing w:val="-4"/>
              </w:rPr>
            </w:pPr>
          </w:p>
        </w:tc>
        <w:tc>
          <w:tcPr>
            <w:tcW w:w="7501" w:type="dxa"/>
            <w:shd w:val="clear" w:color="auto" w:fill="auto"/>
            <w:tcMar>
              <w:left w:w="0" w:type="dxa"/>
            </w:tcMar>
          </w:tcPr>
          <w:p w:rsidR="000D3058" w:rsidRPr="009110F7" w:rsidRDefault="000D3058" w:rsidP="00965797">
            <w:pPr>
              <w:rPr>
                <w:sz w:val="14"/>
                <w:szCs w:val="14"/>
              </w:rPr>
            </w:pPr>
            <w:r w:rsidRPr="009110F7">
              <w:rPr>
                <w:sz w:val="14"/>
                <w:szCs w:val="14"/>
              </w:rPr>
              <w:t>Zdroj: ČSÚ</w:t>
            </w:r>
          </w:p>
        </w:tc>
      </w:tr>
      <w:tr w:rsidR="000D3058" w:rsidRPr="009110F7" w:rsidTr="00965797">
        <w:trPr>
          <w:trHeight w:val="145"/>
        </w:trPr>
        <w:tc>
          <w:tcPr>
            <w:tcW w:w="1888" w:type="dxa"/>
            <w:shd w:val="clear" w:color="auto" w:fill="auto"/>
            <w:tcMar>
              <w:left w:w="0" w:type="dxa"/>
            </w:tcMar>
          </w:tcPr>
          <w:p w:rsidR="000D3058" w:rsidRPr="009110F7" w:rsidRDefault="000D3058" w:rsidP="00965797">
            <w:pPr>
              <w:pStyle w:val="Marginlie"/>
            </w:pPr>
            <w:r w:rsidRPr="009110F7">
              <w:t xml:space="preserve">Ceny potravin </w:t>
            </w:r>
            <w:r w:rsidR="00716F48" w:rsidRPr="009110F7">
              <w:t>a </w:t>
            </w:r>
            <w:r w:rsidRPr="009110F7">
              <w:t>nealkoholických nápojů ovlivňovaly celkový vývoj v menší míře než loni.</w:t>
            </w:r>
          </w:p>
        </w:tc>
        <w:tc>
          <w:tcPr>
            <w:tcW w:w="250" w:type="dxa"/>
            <w:shd w:val="clear" w:color="auto" w:fill="auto"/>
            <w:tcMar>
              <w:left w:w="0" w:type="dxa"/>
            </w:tcMar>
          </w:tcPr>
          <w:p w:rsidR="000D3058" w:rsidRPr="009110F7" w:rsidRDefault="000D3058" w:rsidP="00965797">
            <w:pPr>
              <w:pStyle w:val="Textpoznpodarou"/>
              <w:jc w:val="both"/>
              <w:rPr>
                <w:spacing w:val="-4"/>
              </w:rPr>
            </w:pPr>
          </w:p>
        </w:tc>
        <w:tc>
          <w:tcPr>
            <w:tcW w:w="7501" w:type="dxa"/>
            <w:shd w:val="clear" w:color="auto" w:fill="auto"/>
            <w:tcMar>
              <w:left w:w="0" w:type="dxa"/>
            </w:tcMar>
          </w:tcPr>
          <w:p w:rsidR="000D3058" w:rsidRPr="009110F7" w:rsidRDefault="000D3058" w:rsidP="00965797">
            <w:r w:rsidRPr="009110F7">
              <w:t xml:space="preserve">Další složkou spotřebního koše, která výrazně ovlivnila celkový růst spotřebitelských cen, byly potraviny </w:t>
            </w:r>
            <w:r w:rsidR="00716F48" w:rsidRPr="009110F7">
              <w:t>a </w:t>
            </w:r>
            <w:r w:rsidRPr="009110F7">
              <w:t xml:space="preserve">nealkoholické nápoje. Ty byly </w:t>
            </w:r>
            <w:r w:rsidR="00716F48" w:rsidRPr="009110F7">
              <w:t>v </w:t>
            </w:r>
            <w:r w:rsidRPr="009110F7">
              <w:t xml:space="preserve">minulém roce nejdůležitějším faktorem pro růst cen, nyní jejich meziroční dynamika oslabila (mimo jiné vlivem vysoké základny minulého roku) </w:t>
            </w:r>
            <w:r w:rsidR="00716F48" w:rsidRPr="009110F7">
              <w:t>a </w:t>
            </w:r>
            <w:r w:rsidRPr="009110F7">
              <w:t xml:space="preserve">přírůstek </w:t>
            </w:r>
            <w:r w:rsidR="00716F48" w:rsidRPr="009110F7">
              <w:t>v </w:t>
            </w:r>
            <w:r w:rsidRPr="009110F7">
              <w:t>1</w:t>
            </w:r>
            <w:r w:rsidR="00716F48" w:rsidRPr="009110F7">
              <w:t>. čtvrt</w:t>
            </w:r>
            <w:r w:rsidRPr="009110F7">
              <w:t>letí dosáhl 2,9</w:t>
            </w:r>
            <w:r w:rsidR="00167CB9" w:rsidRPr="009110F7">
              <w:t> %</w:t>
            </w:r>
            <w:r w:rsidRPr="009110F7">
              <w:t xml:space="preserve"> (za rok 2017 to bylo 5,2</w:t>
            </w:r>
            <w:r w:rsidR="00167CB9" w:rsidRPr="009110F7">
              <w:t> %</w:t>
            </w:r>
            <w:r w:rsidRPr="009110F7">
              <w:t>).</w:t>
            </w:r>
            <w:r w:rsidR="00161553" w:rsidRPr="009110F7">
              <w:t xml:space="preserve"> </w:t>
            </w:r>
            <w:r w:rsidRPr="009110F7">
              <w:t>Došlo ke zmírnění cenového růstu všech skupin potravin. Nejsilněji v 1</w:t>
            </w:r>
            <w:r w:rsidR="00716F48" w:rsidRPr="009110F7">
              <w:t>. čtvrt</w:t>
            </w:r>
            <w:r w:rsidRPr="009110F7">
              <w:t xml:space="preserve">letí meziročně rostly ceny mléka, sýrů </w:t>
            </w:r>
            <w:r w:rsidR="00716F48" w:rsidRPr="009110F7">
              <w:t>a </w:t>
            </w:r>
            <w:r w:rsidRPr="009110F7">
              <w:t xml:space="preserve">vajec, olejů </w:t>
            </w:r>
            <w:r w:rsidR="00716F48" w:rsidRPr="009110F7">
              <w:t>a </w:t>
            </w:r>
            <w:r w:rsidRPr="009110F7">
              <w:t xml:space="preserve">tuků </w:t>
            </w:r>
            <w:r w:rsidR="00716F48" w:rsidRPr="009110F7">
              <w:t>a </w:t>
            </w:r>
            <w:r w:rsidRPr="009110F7">
              <w:t xml:space="preserve">ovoce (shodně </w:t>
            </w:r>
            <w:r w:rsidR="00716F48" w:rsidRPr="009110F7">
              <w:t>o </w:t>
            </w:r>
            <w:r w:rsidRPr="009110F7">
              <w:t>8,1</w:t>
            </w:r>
            <w:r w:rsidR="00167CB9" w:rsidRPr="009110F7">
              <w:t> %</w:t>
            </w:r>
            <w:r w:rsidRPr="009110F7">
              <w:t>).</w:t>
            </w:r>
            <w:r w:rsidR="00161553" w:rsidRPr="009110F7">
              <w:t xml:space="preserve"> </w:t>
            </w:r>
            <w:r w:rsidR="00716F48" w:rsidRPr="009110F7">
              <w:t>I </w:t>
            </w:r>
            <w:r w:rsidRPr="009110F7">
              <w:t xml:space="preserve">nadále poměrně silně rostly ceny pekárenských výrobků </w:t>
            </w:r>
            <w:r w:rsidR="00716F48" w:rsidRPr="009110F7">
              <w:t>a </w:t>
            </w:r>
            <w:r w:rsidRPr="009110F7">
              <w:t xml:space="preserve">obilovin (2,8 %) </w:t>
            </w:r>
            <w:r w:rsidR="00716F48" w:rsidRPr="009110F7">
              <w:t>a </w:t>
            </w:r>
            <w:r w:rsidRPr="009110F7">
              <w:t>masa (3,6</w:t>
            </w:r>
            <w:r w:rsidR="00167CB9" w:rsidRPr="009110F7">
              <w:t> %</w:t>
            </w:r>
            <w:r w:rsidRPr="009110F7">
              <w:t xml:space="preserve">). Ceny alkoholických nápojů </w:t>
            </w:r>
            <w:r w:rsidR="00716F48" w:rsidRPr="009110F7">
              <w:t>a </w:t>
            </w:r>
            <w:r w:rsidRPr="009110F7">
              <w:t xml:space="preserve">tabáku vzrostly </w:t>
            </w:r>
            <w:r w:rsidR="00716F48" w:rsidRPr="009110F7">
              <w:t>v </w:t>
            </w:r>
            <w:r w:rsidRPr="009110F7">
              <w:t>1</w:t>
            </w:r>
            <w:r w:rsidR="00716F48" w:rsidRPr="009110F7">
              <w:t>. čtvrt</w:t>
            </w:r>
            <w:r w:rsidRPr="009110F7">
              <w:t>letí o 2,5</w:t>
            </w:r>
            <w:r w:rsidR="00167CB9" w:rsidRPr="009110F7">
              <w:t> %</w:t>
            </w:r>
            <w:r w:rsidRPr="009110F7">
              <w:t>. Jak je výše zmíněno, ceny dopravy se tentokrát nepromítaly do celkové dynamiky tak výrazně jako dříve. Výrazněji rostly totiž jen ceny nákupů samotných dopravních prostředků (2,5</w:t>
            </w:r>
            <w:r w:rsidR="00167CB9" w:rsidRPr="009110F7">
              <w:t> %</w:t>
            </w:r>
            <w:r w:rsidRPr="009110F7">
              <w:t>). Ceny provozu osobních dopravních prostředků meziročně stagnovaly (0,1</w:t>
            </w:r>
            <w:r w:rsidR="00167CB9" w:rsidRPr="009110F7">
              <w:t> %</w:t>
            </w:r>
            <w:r w:rsidRPr="009110F7">
              <w:t>).</w:t>
            </w:r>
            <w:r w:rsidR="00161553" w:rsidRPr="009110F7">
              <w:t xml:space="preserve"> </w:t>
            </w:r>
            <w:r w:rsidRPr="009110F7">
              <w:t xml:space="preserve">Ceny stravování </w:t>
            </w:r>
            <w:r w:rsidR="00716F48" w:rsidRPr="009110F7">
              <w:t>a </w:t>
            </w:r>
            <w:r w:rsidRPr="009110F7">
              <w:t xml:space="preserve">ubytování </w:t>
            </w:r>
            <w:r w:rsidR="00716F48" w:rsidRPr="009110F7">
              <w:t>v </w:t>
            </w:r>
            <w:r w:rsidRPr="009110F7">
              <w:t>1</w:t>
            </w:r>
            <w:r w:rsidR="00716F48" w:rsidRPr="009110F7">
              <w:t>. čtvrt</w:t>
            </w:r>
            <w:r w:rsidRPr="009110F7">
              <w:t xml:space="preserve">letí meziročně rostly </w:t>
            </w:r>
            <w:r w:rsidR="00716F48" w:rsidRPr="009110F7">
              <w:t>o </w:t>
            </w:r>
            <w:r w:rsidRPr="009110F7">
              <w:t>3,5</w:t>
            </w:r>
            <w:r w:rsidR="00167CB9" w:rsidRPr="009110F7">
              <w:t> %</w:t>
            </w:r>
            <w:r w:rsidRPr="009110F7">
              <w:t xml:space="preserve">. </w:t>
            </w:r>
            <w:r w:rsidR="00716F48" w:rsidRPr="009110F7">
              <w:t>V </w:t>
            </w:r>
            <w:r w:rsidRPr="009110F7">
              <w:t xml:space="preserve">porovnání </w:t>
            </w:r>
            <w:r w:rsidR="00716F48" w:rsidRPr="009110F7">
              <w:t>s </w:t>
            </w:r>
            <w:r w:rsidRPr="009110F7">
              <w:t>dynamikou minulého roku tak došlo ke zpomalení.</w:t>
            </w:r>
          </w:p>
        </w:tc>
      </w:tr>
      <w:tr w:rsidR="000D3058" w:rsidRPr="009110F7" w:rsidTr="00965797">
        <w:trPr>
          <w:trHeight w:val="145"/>
        </w:trPr>
        <w:tc>
          <w:tcPr>
            <w:tcW w:w="1888" w:type="dxa"/>
            <w:shd w:val="clear" w:color="auto" w:fill="auto"/>
            <w:tcMar>
              <w:left w:w="0" w:type="dxa"/>
            </w:tcMar>
          </w:tcPr>
          <w:p w:rsidR="000D3058" w:rsidRPr="009110F7" w:rsidRDefault="00716F48" w:rsidP="00965797">
            <w:pPr>
              <w:pStyle w:val="Marginlie"/>
            </w:pPr>
            <w:r w:rsidRPr="009110F7">
              <w:t>I </w:t>
            </w:r>
            <w:r w:rsidR="000D3058" w:rsidRPr="009110F7">
              <w:t>v Evropě se cenový růst zmírnil.</w:t>
            </w:r>
          </w:p>
        </w:tc>
        <w:tc>
          <w:tcPr>
            <w:tcW w:w="250" w:type="dxa"/>
            <w:shd w:val="clear" w:color="auto" w:fill="auto"/>
            <w:tcMar>
              <w:left w:w="0" w:type="dxa"/>
            </w:tcMar>
          </w:tcPr>
          <w:p w:rsidR="000D3058" w:rsidRPr="009110F7" w:rsidRDefault="000D3058" w:rsidP="00965797">
            <w:pPr>
              <w:pStyle w:val="Textpoznpodarou"/>
              <w:jc w:val="both"/>
              <w:rPr>
                <w:spacing w:val="-4"/>
              </w:rPr>
            </w:pPr>
          </w:p>
        </w:tc>
        <w:tc>
          <w:tcPr>
            <w:tcW w:w="7501" w:type="dxa"/>
            <w:shd w:val="clear" w:color="auto" w:fill="auto"/>
            <w:tcMar>
              <w:left w:w="0" w:type="dxa"/>
            </w:tcMar>
          </w:tcPr>
          <w:p w:rsidR="000D3058" w:rsidRDefault="000D3058" w:rsidP="00965797">
            <w:pPr>
              <w:spacing w:after="0"/>
            </w:pPr>
            <w:r w:rsidRPr="009110F7">
              <w:t xml:space="preserve">Zpomalení cenové dynamiky </w:t>
            </w:r>
            <w:r w:rsidR="00716F48" w:rsidRPr="009110F7">
              <w:t>v </w:t>
            </w:r>
            <w:r w:rsidRPr="009110F7">
              <w:t>1</w:t>
            </w:r>
            <w:r w:rsidR="00716F48" w:rsidRPr="009110F7">
              <w:t>. čtvrt</w:t>
            </w:r>
            <w:r w:rsidRPr="009110F7">
              <w:t xml:space="preserve">letí se odehrálo </w:t>
            </w:r>
            <w:r w:rsidR="00716F48" w:rsidRPr="009110F7">
              <w:t>i v </w:t>
            </w:r>
            <w:r w:rsidRPr="009110F7">
              <w:t xml:space="preserve">Evropské unii. Celkově v EU harmonizovaný index spotřebitelských cen meziročně vzrostl </w:t>
            </w:r>
            <w:r w:rsidR="00716F48" w:rsidRPr="009110F7">
              <w:t>o </w:t>
            </w:r>
            <w:r w:rsidRPr="009110F7">
              <w:t>1,5</w:t>
            </w:r>
            <w:r w:rsidR="00167CB9" w:rsidRPr="009110F7">
              <w:t> %</w:t>
            </w:r>
            <w:r w:rsidRPr="009110F7">
              <w:t>. V </w:t>
            </w:r>
            <w:proofErr w:type="spellStart"/>
            <w:r w:rsidR="008C4B50">
              <w:t>e</w:t>
            </w:r>
            <w:r w:rsidRPr="009110F7">
              <w:t>urozóně</w:t>
            </w:r>
            <w:proofErr w:type="spellEnd"/>
            <w:r w:rsidRPr="009110F7">
              <w:t xml:space="preserve"> se spotřebitelské ceny zvyšovaly pomaleji (1,</w:t>
            </w:r>
            <w:r w:rsidR="001B3E38">
              <w:t>2</w:t>
            </w:r>
            <w:r w:rsidR="00167CB9" w:rsidRPr="009110F7">
              <w:t> %</w:t>
            </w:r>
            <w:r w:rsidRPr="009110F7">
              <w:t xml:space="preserve">). Nejsilnější růst spotřebitelských cen </w:t>
            </w:r>
            <w:r w:rsidR="00716F48" w:rsidRPr="009110F7">
              <w:t>v </w:t>
            </w:r>
            <w:r w:rsidRPr="009110F7">
              <w:t>1</w:t>
            </w:r>
            <w:r w:rsidR="00716F48" w:rsidRPr="009110F7">
              <w:t>. čtvrt</w:t>
            </w:r>
            <w:r w:rsidRPr="009110F7">
              <w:t>letí zaznamenal</w:t>
            </w:r>
            <w:r w:rsidR="008C4B50">
              <w:t>y</w:t>
            </w:r>
            <w:r w:rsidRPr="009110F7">
              <w:t xml:space="preserve"> Rumunsko (3,7</w:t>
            </w:r>
            <w:r w:rsidR="00167CB9" w:rsidRPr="009110F7">
              <w:t> %</w:t>
            </w:r>
            <w:r w:rsidRPr="009110F7">
              <w:t>), Estonsko (3,2</w:t>
            </w:r>
            <w:r w:rsidR="00167CB9" w:rsidRPr="009110F7">
              <w:t> %</w:t>
            </w:r>
            <w:r w:rsidRPr="009110F7">
              <w:t xml:space="preserve">) </w:t>
            </w:r>
            <w:r w:rsidR="00716F48" w:rsidRPr="009110F7">
              <w:t>a </w:t>
            </w:r>
            <w:r w:rsidRPr="009110F7">
              <w:t>Litva (3,1</w:t>
            </w:r>
            <w:r w:rsidR="00167CB9" w:rsidRPr="009110F7">
              <w:t> %</w:t>
            </w:r>
            <w:r w:rsidRPr="009110F7">
              <w:t>). Jedinou zemí EU, kde ceny meziročně klesly, byl Kypr (</w:t>
            </w:r>
            <w:r w:rsidR="00CA37FF">
              <w:t>-</w:t>
            </w:r>
            <w:r w:rsidRPr="009110F7">
              <w:t>0,8</w:t>
            </w:r>
            <w:r w:rsidR="00167CB9" w:rsidRPr="009110F7">
              <w:t> %</w:t>
            </w:r>
            <w:r w:rsidRPr="009110F7">
              <w:t xml:space="preserve">). Výrazně zpomalil růst </w:t>
            </w:r>
            <w:r w:rsidR="0015753D">
              <w:t xml:space="preserve">spotřebitelských cen </w:t>
            </w:r>
            <w:r w:rsidR="00716F48" w:rsidRPr="009110F7">
              <w:t>v </w:t>
            </w:r>
            <w:r w:rsidRPr="009110F7">
              <w:t>Řecku (na 0,3</w:t>
            </w:r>
            <w:r w:rsidR="00167CB9" w:rsidRPr="009110F7">
              <w:t> %</w:t>
            </w:r>
            <w:r w:rsidRPr="009110F7">
              <w:t xml:space="preserve">), jen </w:t>
            </w:r>
            <w:r w:rsidR="00716F48" w:rsidRPr="009110F7">
              <w:t>o </w:t>
            </w:r>
            <w:r w:rsidRPr="009110F7">
              <w:t>0,5</w:t>
            </w:r>
            <w:r w:rsidR="00167CB9" w:rsidRPr="009110F7">
              <w:t> %</w:t>
            </w:r>
            <w:r w:rsidRPr="009110F7">
              <w:t xml:space="preserve"> se zvýšily ceny </w:t>
            </w:r>
            <w:r w:rsidR="00716F48" w:rsidRPr="009110F7">
              <w:t>v </w:t>
            </w:r>
            <w:r w:rsidRPr="009110F7">
              <w:t xml:space="preserve">Dánsku a Irsku. </w:t>
            </w:r>
          </w:p>
          <w:p w:rsidR="0015753D" w:rsidRDefault="0015753D" w:rsidP="00965797">
            <w:pPr>
              <w:spacing w:after="0"/>
            </w:pPr>
          </w:p>
          <w:p w:rsidR="0015753D" w:rsidRDefault="0015753D" w:rsidP="00965797">
            <w:pPr>
              <w:spacing w:after="0"/>
            </w:pPr>
          </w:p>
          <w:p w:rsidR="0015753D" w:rsidRPr="009110F7" w:rsidRDefault="0015753D" w:rsidP="00965797">
            <w:pPr>
              <w:spacing w:after="0"/>
            </w:pPr>
          </w:p>
          <w:p w:rsidR="000D3058" w:rsidRPr="009110F7" w:rsidRDefault="000D3058" w:rsidP="00965797">
            <w:pPr>
              <w:spacing w:after="0"/>
            </w:pPr>
          </w:p>
        </w:tc>
      </w:tr>
      <w:tr w:rsidR="000D3058" w:rsidRPr="009110F7" w:rsidTr="00965797">
        <w:trPr>
          <w:trHeight w:val="170"/>
        </w:trPr>
        <w:tc>
          <w:tcPr>
            <w:tcW w:w="1888" w:type="dxa"/>
            <w:vMerge w:val="restart"/>
            <w:shd w:val="clear" w:color="auto" w:fill="auto"/>
            <w:tcMar>
              <w:left w:w="0" w:type="dxa"/>
            </w:tcMar>
          </w:tcPr>
          <w:p w:rsidR="000D3058" w:rsidRPr="009110F7" w:rsidRDefault="000D3058" w:rsidP="00965797">
            <w:pPr>
              <w:pStyle w:val="Marginlie"/>
            </w:pPr>
          </w:p>
        </w:tc>
        <w:tc>
          <w:tcPr>
            <w:tcW w:w="250" w:type="dxa"/>
            <w:vMerge w:val="restart"/>
            <w:shd w:val="clear" w:color="auto" w:fill="auto"/>
            <w:tcMar>
              <w:left w:w="0" w:type="dxa"/>
            </w:tcMar>
          </w:tcPr>
          <w:p w:rsidR="000D3058" w:rsidRPr="009110F7" w:rsidRDefault="000D3058" w:rsidP="00965797">
            <w:pPr>
              <w:pStyle w:val="Textpoznpodarou"/>
              <w:jc w:val="both"/>
              <w:rPr>
                <w:spacing w:val="-4"/>
              </w:rPr>
            </w:pPr>
          </w:p>
        </w:tc>
        <w:tc>
          <w:tcPr>
            <w:tcW w:w="7501" w:type="dxa"/>
            <w:shd w:val="clear" w:color="auto" w:fill="auto"/>
            <w:tcMar>
              <w:left w:w="0" w:type="dxa"/>
            </w:tcMar>
          </w:tcPr>
          <w:p w:rsidR="000D3058" w:rsidRPr="009110F7" w:rsidRDefault="00B8561A" w:rsidP="0015753D">
            <w:pPr>
              <w:spacing w:after="0"/>
              <w:rPr>
                <w:b/>
                <w:szCs w:val="20"/>
              </w:rPr>
            </w:pPr>
            <w:r>
              <w:rPr>
                <w:b/>
                <w:szCs w:val="20"/>
              </w:rPr>
              <w:t>Graf </w:t>
            </w:r>
            <w:r w:rsidR="00167CB9" w:rsidRPr="009110F7">
              <w:rPr>
                <w:b/>
                <w:szCs w:val="20"/>
              </w:rPr>
              <w:t>č. </w:t>
            </w:r>
            <w:r w:rsidR="00935BD4" w:rsidRPr="009110F7">
              <w:rPr>
                <w:b/>
                <w:szCs w:val="20"/>
              </w:rPr>
              <w:t>12</w:t>
            </w:r>
            <w:r w:rsidR="0015753D">
              <w:rPr>
                <w:b/>
                <w:szCs w:val="20"/>
              </w:rPr>
              <w:t xml:space="preserve">  </w:t>
            </w:r>
            <w:r w:rsidR="000D3058" w:rsidRPr="009110F7">
              <w:rPr>
                <w:b/>
                <w:spacing w:val="-4"/>
                <w:szCs w:val="20"/>
                <w:lang w:eastAsia="en-US"/>
              </w:rPr>
              <w:t>Ceny hlavních skupin průmyslových výrobců (meziroční změna, v %, podle klasifikace CPA)</w:t>
            </w:r>
          </w:p>
        </w:tc>
      </w:tr>
      <w:tr w:rsidR="000D3058" w:rsidRPr="009110F7" w:rsidTr="00965797">
        <w:trPr>
          <w:trHeight w:val="170"/>
        </w:trPr>
        <w:tc>
          <w:tcPr>
            <w:tcW w:w="1888" w:type="dxa"/>
            <w:vMerge/>
            <w:shd w:val="clear" w:color="auto" w:fill="auto"/>
            <w:tcMar>
              <w:left w:w="0" w:type="dxa"/>
            </w:tcMar>
          </w:tcPr>
          <w:p w:rsidR="000D3058" w:rsidRPr="009110F7" w:rsidRDefault="000D3058" w:rsidP="00965797">
            <w:pPr>
              <w:pStyle w:val="Marginlie"/>
            </w:pPr>
          </w:p>
        </w:tc>
        <w:tc>
          <w:tcPr>
            <w:tcW w:w="250" w:type="dxa"/>
            <w:vMerge/>
            <w:shd w:val="clear" w:color="auto" w:fill="auto"/>
            <w:tcMar>
              <w:left w:w="0" w:type="dxa"/>
            </w:tcMar>
          </w:tcPr>
          <w:p w:rsidR="000D3058" w:rsidRPr="009110F7" w:rsidRDefault="000D3058" w:rsidP="00965797">
            <w:pPr>
              <w:pStyle w:val="Textpoznpodarou"/>
              <w:jc w:val="both"/>
              <w:rPr>
                <w:spacing w:val="-4"/>
              </w:rPr>
            </w:pPr>
          </w:p>
        </w:tc>
        <w:tc>
          <w:tcPr>
            <w:tcW w:w="7501" w:type="dxa"/>
            <w:shd w:val="clear" w:color="auto" w:fill="auto"/>
            <w:tcMar>
              <w:left w:w="0" w:type="dxa"/>
            </w:tcMar>
          </w:tcPr>
          <w:p w:rsidR="000D3058" w:rsidRPr="009110F7" w:rsidRDefault="000D3058" w:rsidP="00965797">
            <w:pPr>
              <w:spacing w:after="0"/>
            </w:pPr>
            <w:r w:rsidRPr="009110F7">
              <w:rPr>
                <w:noProof/>
              </w:rPr>
              <w:drawing>
                <wp:inline distT="0" distB="0" distL="0" distR="0">
                  <wp:extent cx="4737600" cy="3553200"/>
                  <wp:effectExtent l="0" t="0" r="0" b="0"/>
                  <wp:docPr id="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0D3058" w:rsidRPr="009110F7" w:rsidTr="00965797">
        <w:trPr>
          <w:trHeight w:val="170"/>
        </w:trPr>
        <w:tc>
          <w:tcPr>
            <w:tcW w:w="1888" w:type="dxa"/>
            <w:vMerge/>
            <w:shd w:val="clear" w:color="auto" w:fill="auto"/>
            <w:tcMar>
              <w:left w:w="0" w:type="dxa"/>
            </w:tcMar>
          </w:tcPr>
          <w:p w:rsidR="000D3058" w:rsidRPr="009110F7" w:rsidRDefault="000D3058" w:rsidP="00965797">
            <w:pPr>
              <w:pStyle w:val="Marginlie"/>
            </w:pPr>
          </w:p>
        </w:tc>
        <w:tc>
          <w:tcPr>
            <w:tcW w:w="250" w:type="dxa"/>
            <w:vMerge/>
            <w:shd w:val="clear" w:color="auto" w:fill="auto"/>
            <w:tcMar>
              <w:left w:w="0" w:type="dxa"/>
            </w:tcMar>
          </w:tcPr>
          <w:p w:rsidR="000D3058" w:rsidRPr="009110F7" w:rsidRDefault="000D3058" w:rsidP="00965797">
            <w:pPr>
              <w:pStyle w:val="Textpoznpodarou"/>
              <w:jc w:val="both"/>
              <w:rPr>
                <w:spacing w:val="-4"/>
              </w:rPr>
            </w:pPr>
          </w:p>
        </w:tc>
        <w:tc>
          <w:tcPr>
            <w:tcW w:w="7501" w:type="dxa"/>
            <w:shd w:val="clear" w:color="auto" w:fill="auto"/>
            <w:tcMar>
              <w:left w:w="0" w:type="dxa"/>
            </w:tcMar>
          </w:tcPr>
          <w:p w:rsidR="000D3058" w:rsidRPr="009110F7" w:rsidRDefault="000D3058" w:rsidP="00965797">
            <w:pPr>
              <w:rPr>
                <w:sz w:val="14"/>
                <w:szCs w:val="14"/>
              </w:rPr>
            </w:pPr>
            <w:r w:rsidRPr="009110F7">
              <w:rPr>
                <w:sz w:val="14"/>
                <w:szCs w:val="14"/>
              </w:rPr>
              <w:t>Zdroj: ČSÚ</w:t>
            </w:r>
          </w:p>
        </w:tc>
      </w:tr>
      <w:tr w:rsidR="000D3058" w:rsidRPr="009110F7" w:rsidTr="00965797">
        <w:trPr>
          <w:trHeight w:val="145"/>
        </w:trPr>
        <w:tc>
          <w:tcPr>
            <w:tcW w:w="1888" w:type="dxa"/>
            <w:shd w:val="clear" w:color="auto" w:fill="auto"/>
            <w:tcMar>
              <w:left w:w="0" w:type="dxa"/>
            </w:tcMar>
          </w:tcPr>
          <w:p w:rsidR="000D3058" w:rsidRPr="009110F7" w:rsidRDefault="000D3058" w:rsidP="00965797">
            <w:pPr>
              <w:pStyle w:val="Marginlie"/>
            </w:pPr>
            <w:r w:rsidRPr="009110F7">
              <w:t>Ceny průmyslových výrobců v 1</w:t>
            </w:r>
            <w:r w:rsidR="00716F48" w:rsidRPr="009110F7">
              <w:t>. čtvrt</w:t>
            </w:r>
            <w:r w:rsidRPr="009110F7">
              <w:t>letí stagnovaly.</w:t>
            </w:r>
          </w:p>
        </w:tc>
        <w:tc>
          <w:tcPr>
            <w:tcW w:w="250" w:type="dxa"/>
            <w:shd w:val="clear" w:color="auto" w:fill="auto"/>
            <w:tcMar>
              <w:left w:w="0" w:type="dxa"/>
            </w:tcMar>
          </w:tcPr>
          <w:p w:rsidR="000D3058" w:rsidRPr="009110F7" w:rsidRDefault="000D3058" w:rsidP="00965797">
            <w:pPr>
              <w:pStyle w:val="Textpoznpodarou"/>
              <w:jc w:val="both"/>
              <w:rPr>
                <w:spacing w:val="-4"/>
              </w:rPr>
            </w:pPr>
          </w:p>
        </w:tc>
        <w:tc>
          <w:tcPr>
            <w:tcW w:w="7501" w:type="dxa"/>
            <w:shd w:val="clear" w:color="auto" w:fill="auto"/>
            <w:tcMar>
              <w:left w:w="0" w:type="dxa"/>
            </w:tcMar>
          </w:tcPr>
          <w:p w:rsidR="000D3058" w:rsidRPr="009110F7" w:rsidRDefault="000D3058" w:rsidP="00A44B0D">
            <w:r w:rsidRPr="009110F7">
              <w:t>Meziroční dynamika cen průmyslových výrobců se v minulém roce dostala do</w:t>
            </w:r>
            <w:r w:rsidR="00A44B0D" w:rsidRPr="009110F7">
              <w:t> </w:t>
            </w:r>
            <w:r w:rsidRPr="009110F7">
              <w:t xml:space="preserve">kladných čísel, postupně však růst zpomaloval </w:t>
            </w:r>
            <w:r w:rsidR="00716F48" w:rsidRPr="009110F7">
              <w:t>a </w:t>
            </w:r>
            <w:r w:rsidR="000C0EA8">
              <w:t>v </w:t>
            </w:r>
            <w:r w:rsidRPr="009110F7">
              <w:t>1</w:t>
            </w:r>
            <w:r w:rsidR="00716F48" w:rsidRPr="009110F7">
              <w:t>. čtvrt</w:t>
            </w:r>
            <w:r w:rsidRPr="009110F7">
              <w:t>letí 2018 tento vývoj pokračoval. Meziroční přírůstek dosáhl jen 0,1</w:t>
            </w:r>
            <w:r w:rsidR="00167CB9" w:rsidRPr="009110F7">
              <w:t> %</w:t>
            </w:r>
            <w:r w:rsidRPr="009110F7">
              <w:t xml:space="preserve"> (loni ceny výrobců vzrostly o</w:t>
            </w:r>
            <w:r w:rsidR="00A44B0D" w:rsidRPr="009110F7">
              <w:t> </w:t>
            </w:r>
            <w:r w:rsidRPr="009110F7">
              <w:t>1,8</w:t>
            </w:r>
            <w:r w:rsidR="00A44B0D" w:rsidRPr="009110F7">
              <w:t> </w:t>
            </w:r>
            <w:r w:rsidRPr="009110F7">
              <w:t xml:space="preserve">%). Hlavním dílem se na tom podílel zpracovatelský průmysl, který má v indexu nejvyšší váhu. Ceny zde meziročně klesly </w:t>
            </w:r>
            <w:r w:rsidR="00716F48" w:rsidRPr="009110F7">
              <w:t>o </w:t>
            </w:r>
            <w:r w:rsidRPr="009110F7">
              <w:t>0,4</w:t>
            </w:r>
            <w:r w:rsidR="00167CB9" w:rsidRPr="009110F7">
              <w:t> %</w:t>
            </w:r>
            <w:r w:rsidRPr="009110F7">
              <w:t>. Výrazně se totiž snižovaly ceny dopravních prostředků (</w:t>
            </w:r>
            <w:r w:rsidR="00CA37FF">
              <w:t>-</w:t>
            </w:r>
            <w:r w:rsidRPr="009110F7">
              <w:t>4,1</w:t>
            </w:r>
            <w:r w:rsidR="00167CB9" w:rsidRPr="009110F7">
              <w:t> %</w:t>
            </w:r>
            <w:r w:rsidRPr="009110F7">
              <w:t xml:space="preserve">) </w:t>
            </w:r>
            <w:r w:rsidR="00716F48" w:rsidRPr="009110F7">
              <w:t>a </w:t>
            </w:r>
            <w:r w:rsidRPr="009110F7">
              <w:t xml:space="preserve">rovněž chemických látek </w:t>
            </w:r>
            <w:r w:rsidR="00716F48" w:rsidRPr="009110F7">
              <w:t>a </w:t>
            </w:r>
            <w:r w:rsidRPr="009110F7">
              <w:t>výrobků (</w:t>
            </w:r>
            <w:r w:rsidR="00CA37FF">
              <w:t>-</w:t>
            </w:r>
            <w:r w:rsidRPr="009110F7">
              <w:t>5,7</w:t>
            </w:r>
            <w:r w:rsidR="00167CB9" w:rsidRPr="009110F7">
              <w:t> %</w:t>
            </w:r>
            <w:r w:rsidRPr="009110F7">
              <w:t xml:space="preserve">). Tyto dva oddíly dohromady snížily růst cen výrobců </w:t>
            </w:r>
            <w:r w:rsidR="00716F48" w:rsidRPr="009110F7">
              <w:t>o </w:t>
            </w:r>
            <w:r w:rsidRPr="009110F7">
              <w:t>0,8</w:t>
            </w:r>
            <w:r w:rsidR="00167CB9" w:rsidRPr="009110F7">
              <w:t> p.</w:t>
            </w:r>
            <w:r w:rsidRPr="009110F7">
              <w:t> </w:t>
            </w:r>
            <w:proofErr w:type="spellStart"/>
            <w:r w:rsidRPr="009110F7">
              <w:t>b</w:t>
            </w:r>
            <w:proofErr w:type="spellEnd"/>
            <w:r w:rsidRPr="009110F7">
              <w:t xml:space="preserve">. Naopak kladně působily ceny obecných kovů </w:t>
            </w:r>
            <w:r w:rsidR="00716F48" w:rsidRPr="009110F7">
              <w:t>a </w:t>
            </w:r>
            <w:r w:rsidRPr="009110F7">
              <w:t>kovodělných výrobků (meziroční růst o</w:t>
            </w:r>
            <w:r w:rsidR="00A44B0D" w:rsidRPr="009110F7">
              <w:t> </w:t>
            </w:r>
            <w:r w:rsidRPr="009110F7">
              <w:t>3,4</w:t>
            </w:r>
            <w:r w:rsidR="00A44B0D" w:rsidRPr="009110F7">
              <w:t> </w:t>
            </w:r>
            <w:r w:rsidRPr="009110F7">
              <w:t>%, příspěvek 0,4</w:t>
            </w:r>
            <w:r w:rsidR="00167CB9" w:rsidRPr="009110F7">
              <w:t> p.</w:t>
            </w:r>
            <w:r w:rsidRPr="009110F7">
              <w:t> </w:t>
            </w:r>
            <w:proofErr w:type="spellStart"/>
            <w:r w:rsidRPr="009110F7">
              <w:t>b</w:t>
            </w:r>
            <w:proofErr w:type="spellEnd"/>
            <w:r w:rsidRPr="009110F7">
              <w:t xml:space="preserve">.). Z oddílů, které přispěly k celkovému růstu indexu, mírně rostly ještě ceny potravinářských výrobků, nápojů </w:t>
            </w:r>
            <w:r w:rsidR="00716F48" w:rsidRPr="009110F7">
              <w:t>a </w:t>
            </w:r>
            <w:r w:rsidRPr="009110F7">
              <w:t>tabáku (0,5</w:t>
            </w:r>
            <w:r w:rsidR="00167CB9" w:rsidRPr="009110F7">
              <w:t> %</w:t>
            </w:r>
            <w:r w:rsidRPr="009110F7">
              <w:t xml:space="preserve">), dřeva, papíru </w:t>
            </w:r>
            <w:r w:rsidR="00716F48" w:rsidRPr="009110F7">
              <w:t>a </w:t>
            </w:r>
            <w:r w:rsidRPr="009110F7">
              <w:t>tisku (1,7</w:t>
            </w:r>
            <w:r w:rsidR="00167CB9" w:rsidRPr="009110F7">
              <w:t> %</w:t>
            </w:r>
            <w:r w:rsidRPr="009110F7">
              <w:t xml:space="preserve">) </w:t>
            </w:r>
            <w:r w:rsidR="00716F48" w:rsidRPr="009110F7">
              <w:t>a </w:t>
            </w:r>
            <w:r w:rsidRPr="009110F7">
              <w:t>nábytku (1,4</w:t>
            </w:r>
            <w:r w:rsidR="00167CB9" w:rsidRPr="009110F7">
              <w:t> %</w:t>
            </w:r>
            <w:r w:rsidRPr="009110F7">
              <w:t xml:space="preserve">). Sekce těžba </w:t>
            </w:r>
            <w:r w:rsidR="00716F48" w:rsidRPr="009110F7">
              <w:t>a </w:t>
            </w:r>
            <w:r w:rsidRPr="009110F7">
              <w:t xml:space="preserve">dobývání pokračovala v růstu </w:t>
            </w:r>
            <w:r w:rsidR="00716F48" w:rsidRPr="009110F7">
              <w:t>a </w:t>
            </w:r>
            <w:r w:rsidRPr="009110F7">
              <w:t xml:space="preserve">ceny se zde meziročně navýšily </w:t>
            </w:r>
            <w:r w:rsidR="00716F48" w:rsidRPr="009110F7">
              <w:t>o </w:t>
            </w:r>
            <w:r w:rsidRPr="009110F7">
              <w:t>5,4</w:t>
            </w:r>
            <w:r w:rsidR="00167CB9" w:rsidRPr="009110F7">
              <w:t> %</w:t>
            </w:r>
            <w:r w:rsidRPr="009110F7">
              <w:t xml:space="preserve">. V lednu 2018 poprvé od prosince 2013 vzrostly ceny elektřiny, plynu, páry </w:t>
            </w:r>
            <w:r w:rsidR="00716F48" w:rsidRPr="009110F7">
              <w:t>a </w:t>
            </w:r>
            <w:r w:rsidRPr="009110F7">
              <w:t>klimatizovaného vzduchu (za celé 1.</w:t>
            </w:r>
            <w:r w:rsidR="00A44B0D" w:rsidRPr="009110F7">
              <w:t> </w:t>
            </w:r>
            <w:r w:rsidRPr="009110F7">
              <w:t xml:space="preserve">čtvrtletí </w:t>
            </w:r>
            <w:r w:rsidR="00716F48" w:rsidRPr="009110F7">
              <w:t>o </w:t>
            </w:r>
            <w:r w:rsidRPr="009110F7">
              <w:t>1,5</w:t>
            </w:r>
            <w:r w:rsidR="00167CB9" w:rsidRPr="009110F7">
              <w:t> %</w:t>
            </w:r>
            <w:r w:rsidRPr="009110F7">
              <w:t>).</w:t>
            </w:r>
          </w:p>
        </w:tc>
      </w:tr>
      <w:tr w:rsidR="000D3058" w:rsidRPr="009110F7" w:rsidTr="00965797">
        <w:trPr>
          <w:trHeight w:val="145"/>
        </w:trPr>
        <w:tc>
          <w:tcPr>
            <w:tcW w:w="1888" w:type="dxa"/>
            <w:shd w:val="clear" w:color="auto" w:fill="auto"/>
            <w:tcMar>
              <w:left w:w="0" w:type="dxa"/>
            </w:tcMar>
          </w:tcPr>
          <w:p w:rsidR="000D3058" w:rsidRPr="009110F7" w:rsidRDefault="000D3058" w:rsidP="00965797">
            <w:pPr>
              <w:pStyle w:val="Marginlie"/>
            </w:pPr>
            <w:r w:rsidRPr="009110F7">
              <w:t>Ceny výrobců v EU rostly podstatně rychlejším tempem než v ČR.</w:t>
            </w:r>
          </w:p>
        </w:tc>
        <w:tc>
          <w:tcPr>
            <w:tcW w:w="250" w:type="dxa"/>
            <w:shd w:val="clear" w:color="auto" w:fill="auto"/>
            <w:tcMar>
              <w:left w:w="0" w:type="dxa"/>
            </w:tcMar>
          </w:tcPr>
          <w:p w:rsidR="000D3058" w:rsidRPr="009110F7" w:rsidRDefault="000D3058" w:rsidP="00965797">
            <w:pPr>
              <w:pStyle w:val="Textpoznpodarou"/>
              <w:jc w:val="both"/>
              <w:rPr>
                <w:spacing w:val="-4"/>
              </w:rPr>
            </w:pPr>
          </w:p>
        </w:tc>
        <w:tc>
          <w:tcPr>
            <w:tcW w:w="7501" w:type="dxa"/>
            <w:shd w:val="clear" w:color="auto" w:fill="auto"/>
            <w:tcMar>
              <w:left w:w="0" w:type="dxa"/>
            </w:tcMar>
          </w:tcPr>
          <w:p w:rsidR="000D3058" w:rsidRPr="009110F7" w:rsidRDefault="00716F48" w:rsidP="001B3E38">
            <w:r w:rsidRPr="009110F7">
              <w:t>V </w:t>
            </w:r>
            <w:r w:rsidR="000D3058" w:rsidRPr="009110F7">
              <w:t xml:space="preserve">porovnání </w:t>
            </w:r>
            <w:r w:rsidRPr="009110F7">
              <w:t>s </w:t>
            </w:r>
            <w:r w:rsidR="000D3058" w:rsidRPr="009110F7">
              <w:t>Evropskou unií se růst cen výrobců v Česku výrazně propadl. Navzdory zpomalení se totiž meziroční přírůstek v EU v 1</w:t>
            </w:r>
            <w:r w:rsidRPr="009110F7">
              <w:t>. čtvrt</w:t>
            </w:r>
            <w:r w:rsidR="000D3058" w:rsidRPr="009110F7">
              <w:t>letí udržel na 2,</w:t>
            </w:r>
            <w:r w:rsidR="001B3E38">
              <w:t>1</w:t>
            </w:r>
            <w:r w:rsidR="00167CB9" w:rsidRPr="009110F7">
              <w:t> %</w:t>
            </w:r>
            <w:r w:rsidR="000D3058" w:rsidRPr="009110F7">
              <w:t>. Nejvíce rostly ceny výrobců v Estonsku (5,3</w:t>
            </w:r>
            <w:r w:rsidR="00167CB9" w:rsidRPr="009110F7">
              <w:t> %</w:t>
            </w:r>
            <w:r w:rsidR="000D3058" w:rsidRPr="009110F7">
              <w:t>, výrazné zrychlení oproti loňskému roku), v Bulharsku (4,9</w:t>
            </w:r>
            <w:r w:rsidR="00167CB9" w:rsidRPr="009110F7">
              <w:t> %</w:t>
            </w:r>
            <w:r w:rsidR="000D3058" w:rsidRPr="009110F7">
              <w:t xml:space="preserve">) </w:t>
            </w:r>
            <w:r w:rsidRPr="009110F7">
              <w:t>a </w:t>
            </w:r>
            <w:r w:rsidR="000D3058" w:rsidRPr="009110F7">
              <w:t>v Lotyšsku (3,8</w:t>
            </w:r>
            <w:r w:rsidR="00167CB9" w:rsidRPr="009110F7">
              <w:t> %</w:t>
            </w:r>
            <w:r w:rsidR="000D3058" w:rsidRPr="009110F7">
              <w:t>). Naopak ceny výrobců klesaly v Lucembursku (</w:t>
            </w:r>
            <w:r w:rsidR="00CA37FF">
              <w:t>-</w:t>
            </w:r>
            <w:r w:rsidR="000D3058" w:rsidRPr="009110F7">
              <w:t>2,</w:t>
            </w:r>
            <w:r w:rsidR="001B3E38">
              <w:t>0</w:t>
            </w:r>
            <w:r w:rsidR="00167CB9" w:rsidRPr="009110F7">
              <w:t> %</w:t>
            </w:r>
            <w:r w:rsidR="000D3058" w:rsidRPr="009110F7">
              <w:t>), v Irsku (</w:t>
            </w:r>
            <w:r w:rsidR="00CA37FF">
              <w:t>-</w:t>
            </w:r>
            <w:r w:rsidR="000D3058" w:rsidRPr="009110F7">
              <w:t>1,4</w:t>
            </w:r>
            <w:r w:rsidR="00167CB9" w:rsidRPr="009110F7">
              <w:t> %</w:t>
            </w:r>
            <w:r w:rsidR="000D3058" w:rsidRPr="009110F7">
              <w:t xml:space="preserve">) </w:t>
            </w:r>
            <w:r w:rsidRPr="009110F7">
              <w:t>a </w:t>
            </w:r>
            <w:r w:rsidR="000D3058" w:rsidRPr="009110F7">
              <w:t>na Kypru (</w:t>
            </w:r>
            <w:r w:rsidR="00CA37FF">
              <w:t>-</w:t>
            </w:r>
            <w:r w:rsidR="000D3058" w:rsidRPr="009110F7">
              <w:t>0</w:t>
            </w:r>
            <w:r w:rsidR="001B3E38">
              <w:t>,8</w:t>
            </w:r>
            <w:r w:rsidR="00167CB9" w:rsidRPr="009110F7">
              <w:t> %</w:t>
            </w:r>
            <w:r w:rsidR="000D3058" w:rsidRPr="009110F7">
              <w:t xml:space="preserve">). </w:t>
            </w:r>
          </w:p>
        </w:tc>
      </w:tr>
      <w:tr w:rsidR="000D3058" w:rsidRPr="009110F7" w:rsidTr="00965797">
        <w:trPr>
          <w:trHeight w:val="145"/>
        </w:trPr>
        <w:tc>
          <w:tcPr>
            <w:tcW w:w="1888" w:type="dxa"/>
            <w:shd w:val="clear" w:color="auto" w:fill="auto"/>
            <w:tcMar>
              <w:left w:w="0" w:type="dxa"/>
            </w:tcMar>
          </w:tcPr>
          <w:p w:rsidR="000D3058" w:rsidRPr="009110F7" w:rsidRDefault="000D3058" w:rsidP="00965797">
            <w:pPr>
              <w:pStyle w:val="Marginlie"/>
            </w:pPr>
            <w:r w:rsidRPr="009110F7">
              <w:t>Ceny zemědělských výrobců si navzdory celkovému zpomalení udržely poměrně silné tempo růstu.</w:t>
            </w:r>
          </w:p>
        </w:tc>
        <w:tc>
          <w:tcPr>
            <w:tcW w:w="250" w:type="dxa"/>
            <w:shd w:val="clear" w:color="auto" w:fill="auto"/>
            <w:tcMar>
              <w:left w:w="0" w:type="dxa"/>
            </w:tcMar>
          </w:tcPr>
          <w:p w:rsidR="000D3058" w:rsidRPr="009110F7" w:rsidRDefault="000D3058" w:rsidP="00965797">
            <w:pPr>
              <w:pStyle w:val="Textpoznpodarou"/>
              <w:jc w:val="both"/>
              <w:rPr>
                <w:spacing w:val="-4"/>
              </w:rPr>
            </w:pPr>
          </w:p>
        </w:tc>
        <w:tc>
          <w:tcPr>
            <w:tcW w:w="7501" w:type="dxa"/>
            <w:shd w:val="clear" w:color="auto" w:fill="auto"/>
            <w:tcMar>
              <w:left w:w="0" w:type="dxa"/>
            </w:tcMar>
          </w:tcPr>
          <w:p w:rsidR="000D3058" w:rsidRPr="009110F7" w:rsidRDefault="000D3058" w:rsidP="00A44B0D">
            <w:r w:rsidRPr="009110F7">
              <w:t xml:space="preserve">Ceny zemědělských výrobců minulý rok rostly výrazným tempem </w:t>
            </w:r>
            <w:r w:rsidR="00716F48" w:rsidRPr="009110F7">
              <w:t>a </w:t>
            </w:r>
            <w:r w:rsidRPr="009110F7">
              <w:t>navzdory celkovému zpomalení byl v 1</w:t>
            </w:r>
            <w:r w:rsidR="00716F48" w:rsidRPr="009110F7">
              <w:t>. čtvrt</w:t>
            </w:r>
            <w:r w:rsidRPr="009110F7">
              <w:t>letí meziroční nárůst stále nadprůměrný (4,0</w:t>
            </w:r>
            <w:r w:rsidR="00167CB9" w:rsidRPr="009110F7">
              <w:t> %</w:t>
            </w:r>
            <w:r w:rsidRPr="009110F7">
              <w:t>). Podobně jako v minulém roce rostly výrazněji ceny v živočišné výrobě (5,7</w:t>
            </w:r>
            <w:r w:rsidR="00167CB9" w:rsidRPr="009110F7">
              <w:t> %</w:t>
            </w:r>
            <w:r w:rsidRPr="009110F7">
              <w:t>) a</w:t>
            </w:r>
            <w:r w:rsidR="00A44B0D" w:rsidRPr="009110F7">
              <w:t> </w:t>
            </w:r>
            <w:r w:rsidRPr="009110F7">
              <w:t>rostlinná výroba zdražovala mírněji (2,5</w:t>
            </w:r>
            <w:r w:rsidR="00167CB9" w:rsidRPr="009110F7">
              <w:t> %</w:t>
            </w:r>
            <w:r w:rsidRPr="009110F7">
              <w:t xml:space="preserve">). </w:t>
            </w:r>
            <w:r w:rsidR="00716F48" w:rsidRPr="009110F7">
              <w:t>U </w:t>
            </w:r>
            <w:r w:rsidRPr="009110F7">
              <w:t>rostlinné výroby pokračoval meziroční růst cen obilovin (6,2</w:t>
            </w:r>
            <w:r w:rsidR="00167CB9" w:rsidRPr="009110F7">
              <w:t> %</w:t>
            </w:r>
            <w:r w:rsidRPr="009110F7">
              <w:t xml:space="preserve">), </w:t>
            </w:r>
            <w:proofErr w:type="spellStart"/>
            <w:r w:rsidRPr="009110F7">
              <w:t>proinflačně</w:t>
            </w:r>
            <w:proofErr w:type="spellEnd"/>
            <w:r w:rsidRPr="009110F7">
              <w:t xml:space="preserve"> působilo </w:t>
            </w:r>
            <w:r w:rsidR="00716F48" w:rsidRPr="009110F7">
              <w:t>i </w:t>
            </w:r>
            <w:r w:rsidRPr="009110F7">
              <w:t>ovoce (72,1</w:t>
            </w:r>
            <w:r w:rsidR="00167CB9" w:rsidRPr="009110F7">
              <w:t> %</w:t>
            </w:r>
            <w:r w:rsidRPr="009110F7">
              <w:t xml:space="preserve">) </w:t>
            </w:r>
            <w:r w:rsidR="00716F48" w:rsidRPr="009110F7">
              <w:t>a </w:t>
            </w:r>
            <w:r w:rsidRPr="009110F7">
              <w:t>zelenina (13,4</w:t>
            </w:r>
            <w:r w:rsidR="00167CB9" w:rsidRPr="009110F7">
              <w:t> %</w:t>
            </w:r>
            <w:r w:rsidRPr="009110F7">
              <w:t>). Naopak ceny olejnin se v 1</w:t>
            </w:r>
            <w:r w:rsidR="00716F48" w:rsidRPr="009110F7">
              <w:t>. čtvrt</w:t>
            </w:r>
            <w:r w:rsidRPr="009110F7">
              <w:t xml:space="preserve">letí propadly </w:t>
            </w:r>
            <w:r w:rsidR="00716F48" w:rsidRPr="009110F7">
              <w:t>o </w:t>
            </w:r>
            <w:r w:rsidRPr="009110F7">
              <w:t>6,7</w:t>
            </w:r>
            <w:r w:rsidR="00167CB9" w:rsidRPr="009110F7">
              <w:t> %</w:t>
            </w:r>
            <w:r w:rsidRPr="009110F7">
              <w:t xml:space="preserve">. Meziroční růst cen živočišné výroby </w:t>
            </w:r>
            <w:r w:rsidR="007F20F3">
              <w:t>sil</w:t>
            </w:r>
            <w:r w:rsidRPr="009110F7">
              <w:t xml:space="preserve">ně zpomalil, ale </w:t>
            </w:r>
            <w:r w:rsidR="00716F48" w:rsidRPr="009110F7">
              <w:t>i </w:t>
            </w:r>
            <w:r w:rsidRPr="009110F7">
              <w:t>tak dosáhl výrazných 5,7</w:t>
            </w:r>
            <w:r w:rsidR="00167CB9" w:rsidRPr="009110F7">
              <w:t> %</w:t>
            </w:r>
            <w:r w:rsidRPr="009110F7">
              <w:t xml:space="preserve">. Přitom </w:t>
            </w:r>
            <w:r w:rsidR="007F20F3">
              <w:t>markant</w:t>
            </w:r>
            <w:r w:rsidRPr="009110F7">
              <w:t>ně klesly ceny jatečních prasat (</w:t>
            </w:r>
            <w:r w:rsidR="00CA37FF">
              <w:t>-</w:t>
            </w:r>
            <w:r w:rsidRPr="009110F7">
              <w:t>12,3</w:t>
            </w:r>
            <w:r w:rsidR="00167CB9" w:rsidRPr="009110F7">
              <w:t> %</w:t>
            </w:r>
            <w:r w:rsidRPr="009110F7">
              <w:t xml:space="preserve">), které mají v indexu vysokou váhu. Snížily se </w:t>
            </w:r>
            <w:r w:rsidRPr="009110F7">
              <w:lastRenderedPageBreak/>
              <w:t>i</w:t>
            </w:r>
            <w:r w:rsidR="00A44B0D" w:rsidRPr="009110F7">
              <w:t> </w:t>
            </w:r>
            <w:r w:rsidRPr="009110F7">
              <w:t>ceny drůbeže (</w:t>
            </w:r>
            <w:r w:rsidR="00CA37FF">
              <w:t>-</w:t>
            </w:r>
            <w:r w:rsidRPr="009110F7">
              <w:t>3,3</w:t>
            </w:r>
            <w:r w:rsidR="00167CB9" w:rsidRPr="009110F7">
              <w:t> %</w:t>
            </w:r>
            <w:r w:rsidRPr="009110F7">
              <w:t>). Tyto poklesy kompenzoval stále silný meziroční růst cen mléka (15,8</w:t>
            </w:r>
            <w:r w:rsidR="00167CB9" w:rsidRPr="009110F7">
              <w:t> %</w:t>
            </w:r>
            <w:r w:rsidRPr="009110F7">
              <w:t xml:space="preserve">) </w:t>
            </w:r>
            <w:r w:rsidR="00716F48" w:rsidRPr="009110F7">
              <w:t>a </w:t>
            </w:r>
            <w:r w:rsidRPr="009110F7">
              <w:t>vajec (10,7</w:t>
            </w:r>
            <w:r w:rsidR="00167CB9" w:rsidRPr="009110F7">
              <w:t> %</w:t>
            </w:r>
            <w:r w:rsidRPr="009110F7">
              <w:t>).</w:t>
            </w:r>
          </w:p>
        </w:tc>
      </w:tr>
      <w:tr w:rsidR="000D3058" w:rsidRPr="009110F7" w:rsidTr="00965797">
        <w:trPr>
          <w:trHeight w:val="145"/>
        </w:trPr>
        <w:tc>
          <w:tcPr>
            <w:tcW w:w="1888" w:type="dxa"/>
            <w:shd w:val="clear" w:color="auto" w:fill="auto"/>
            <w:tcMar>
              <w:left w:w="0" w:type="dxa"/>
            </w:tcMar>
          </w:tcPr>
          <w:p w:rsidR="000D3058" w:rsidRPr="009110F7" w:rsidRDefault="000D3058" w:rsidP="00965797">
            <w:pPr>
              <w:pStyle w:val="Marginlie"/>
            </w:pPr>
            <w:r w:rsidRPr="009110F7">
              <w:lastRenderedPageBreak/>
              <w:t>Ceny tržních služeb již dále nezrychlovaly.</w:t>
            </w:r>
          </w:p>
        </w:tc>
        <w:tc>
          <w:tcPr>
            <w:tcW w:w="250" w:type="dxa"/>
            <w:shd w:val="clear" w:color="auto" w:fill="auto"/>
            <w:tcMar>
              <w:left w:w="0" w:type="dxa"/>
            </w:tcMar>
          </w:tcPr>
          <w:p w:rsidR="000D3058" w:rsidRPr="009110F7" w:rsidRDefault="000D3058" w:rsidP="00965797">
            <w:pPr>
              <w:pStyle w:val="Textpoznpodarou"/>
              <w:jc w:val="both"/>
              <w:rPr>
                <w:spacing w:val="-4"/>
              </w:rPr>
            </w:pPr>
          </w:p>
        </w:tc>
        <w:tc>
          <w:tcPr>
            <w:tcW w:w="7501" w:type="dxa"/>
            <w:shd w:val="clear" w:color="auto" w:fill="auto"/>
            <w:tcMar>
              <w:left w:w="0" w:type="dxa"/>
            </w:tcMar>
          </w:tcPr>
          <w:p w:rsidR="000D3058" w:rsidRPr="009110F7" w:rsidRDefault="000D3058" w:rsidP="00A44B0D">
            <w:r w:rsidRPr="009110F7">
              <w:t xml:space="preserve">Meziroční dynamika cen tržních služeb v minulém roce zrychlovala </w:t>
            </w:r>
            <w:r w:rsidR="00716F48" w:rsidRPr="009110F7">
              <w:t>a </w:t>
            </w:r>
            <w:r w:rsidRPr="009110F7">
              <w:t>v 1</w:t>
            </w:r>
            <w:r w:rsidR="00716F48" w:rsidRPr="009110F7">
              <w:t>. čtvrt</w:t>
            </w:r>
            <w:r w:rsidRPr="009110F7">
              <w:t>letí se přírůstek udržel na hodnotě předchozího kvartálu (1,7</w:t>
            </w:r>
            <w:r w:rsidR="00167CB9" w:rsidRPr="009110F7">
              <w:t> %</w:t>
            </w:r>
            <w:r w:rsidRPr="009110F7">
              <w:t xml:space="preserve">). Meziroční přírůstky se zvýšily například </w:t>
            </w:r>
            <w:r w:rsidR="00716F48" w:rsidRPr="009110F7">
              <w:t>u </w:t>
            </w:r>
            <w:r w:rsidRPr="009110F7">
              <w:t xml:space="preserve">pozemní </w:t>
            </w:r>
            <w:r w:rsidR="00716F48" w:rsidRPr="009110F7">
              <w:t>a </w:t>
            </w:r>
            <w:r w:rsidRPr="009110F7">
              <w:t>potrubní dopravy (na 1,0</w:t>
            </w:r>
            <w:r w:rsidR="00167CB9" w:rsidRPr="009110F7">
              <w:t> %</w:t>
            </w:r>
            <w:r w:rsidRPr="009110F7">
              <w:t xml:space="preserve">), </w:t>
            </w:r>
            <w:r w:rsidR="00716F48" w:rsidRPr="009110F7">
              <w:t>u </w:t>
            </w:r>
            <w:r w:rsidRPr="009110F7">
              <w:t>poštovních a</w:t>
            </w:r>
            <w:r w:rsidR="00A44B0D" w:rsidRPr="009110F7">
              <w:t> </w:t>
            </w:r>
            <w:r w:rsidRPr="009110F7">
              <w:t>kurýrních služeb (3,5</w:t>
            </w:r>
            <w:r w:rsidR="00167CB9" w:rsidRPr="009110F7">
              <w:t> %</w:t>
            </w:r>
            <w:r w:rsidRPr="009110F7">
              <w:t xml:space="preserve">), </w:t>
            </w:r>
            <w:r w:rsidR="00716F48" w:rsidRPr="009110F7">
              <w:t>u </w:t>
            </w:r>
            <w:r w:rsidRPr="009110F7">
              <w:t>služeb v oblasti nemovitostí (2,2</w:t>
            </w:r>
            <w:r w:rsidR="00167CB9" w:rsidRPr="009110F7">
              <w:t> %</w:t>
            </w:r>
            <w:r w:rsidRPr="009110F7">
              <w:t xml:space="preserve">) </w:t>
            </w:r>
            <w:r w:rsidR="00716F48" w:rsidRPr="009110F7">
              <w:t>a </w:t>
            </w:r>
            <w:r w:rsidRPr="009110F7">
              <w:t>nejvýrazněji u</w:t>
            </w:r>
            <w:r w:rsidR="00A44B0D" w:rsidRPr="009110F7">
              <w:t> </w:t>
            </w:r>
            <w:r w:rsidRPr="009110F7">
              <w:t>služeb v oblasti zaměstnání (12,5</w:t>
            </w:r>
            <w:r w:rsidR="00167CB9" w:rsidRPr="009110F7">
              <w:t> %</w:t>
            </w:r>
            <w:r w:rsidRPr="009110F7">
              <w:t xml:space="preserve">). Stabilně rostly ceny služeb v oblasti programování </w:t>
            </w:r>
            <w:r w:rsidR="00716F48" w:rsidRPr="009110F7">
              <w:t>a </w:t>
            </w:r>
            <w:r w:rsidR="0022441D">
              <w:t>v </w:t>
            </w:r>
            <w:r w:rsidRPr="009110F7">
              <w:t>souvisejících službách (1,7</w:t>
            </w:r>
            <w:r w:rsidR="00167CB9" w:rsidRPr="009110F7">
              <w:t> %</w:t>
            </w:r>
            <w:r w:rsidRPr="009110F7">
              <w:t>). Celkový růst cen tlumil pokles u</w:t>
            </w:r>
            <w:r w:rsidR="00A44B0D" w:rsidRPr="009110F7">
              <w:t> </w:t>
            </w:r>
            <w:r w:rsidRPr="009110F7">
              <w:t xml:space="preserve">skladování </w:t>
            </w:r>
            <w:r w:rsidR="00716F48" w:rsidRPr="00311C4D">
              <w:rPr>
                <w:w w:val="106"/>
              </w:rPr>
              <w:t>a </w:t>
            </w:r>
            <w:r w:rsidRPr="00311C4D">
              <w:rPr>
                <w:w w:val="106"/>
              </w:rPr>
              <w:t>podpůrných služeb v dopravě (</w:t>
            </w:r>
            <w:r w:rsidR="00CA37FF">
              <w:rPr>
                <w:w w:val="106"/>
              </w:rPr>
              <w:t>-</w:t>
            </w:r>
            <w:r w:rsidRPr="00311C4D">
              <w:rPr>
                <w:w w:val="106"/>
              </w:rPr>
              <w:t>2,1</w:t>
            </w:r>
            <w:r w:rsidR="00167CB9" w:rsidRPr="00311C4D">
              <w:rPr>
                <w:w w:val="106"/>
              </w:rPr>
              <w:t> %</w:t>
            </w:r>
            <w:r w:rsidRPr="00311C4D">
              <w:rPr>
                <w:w w:val="106"/>
              </w:rPr>
              <w:t xml:space="preserve">) </w:t>
            </w:r>
            <w:r w:rsidR="00716F48" w:rsidRPr="00311C4D">
              <w:rPr>
                <w:w w:val="106"/>
              </w:rPr>
              <w:t>a </w:t>
            </w:r>
            <w:r w:rsidRPr="00311C4D">
              <w:rPr>
                <w:w w:val="106"/>
              </w:rPr>
              <w:t xml:space="preserve">rovněž </w:t>
            </w:r>
            <w:r w:rsidR="00716F48" w:rsidRPr="00311C4D">
              <w:rPr>
                <w:w w:val="106"/>
              </w:rPr>
              <w:t>u </w:t>
            </w:r>
            <w:r w:rsidRPr="00311C4D">
              <w:rPr>
                <w:w w:val="106"/>
              </w:rPr>
              <w:t>telekomunikačních služeb</w:t>
            </w:r>
            <w:r w:rsidRPr="009110F7">
              <w:t xml:space="preserve"> </w:t>
            </w:r>
            <w:r w:rsidR="005570D6">
              <w:t xml:space="preserve"> </w:t>
            </w:r>
            <w:r w:rsidRPr="009110F7">
              <w:t>(</w:t>
            </w:r>
            <w:r w:rsidR="00CA37FF">
              <w:t>-</w:t>
            </w:r>
            <w:r w:rsidRPr="009110F7">
              <w:t>0,8</w:t>
            </w:r>
            <w:r w:rsidR="00167CB9" w:rsidRPr="009110F7">
              <w:t> %</w:t>
            </w:r>
            <w:r w:rsidRPr="009110F7">
              <w:t>).</w:t>
            </w:r>
          </w:p>
        </w:tc>
      </w:tr>
      <w:tr w:rsidR="000D3058" w:rsidRPr="009110F7" w:rsidTr="00965797">
        <w:trPr>
          <w:trHeight w:val="145"/>
        </w:trPr>
        <w:tc>
          <w:tcPr>
            <w:tcW w:w="1888" w:type="dxa"/>
            <w:shd w:val="clear" w:color="auto" w:fill="auto"/>
            <w:tcMar>
              <w:left w:w="0" w:type="dxa"/>
            </w:tcMar>
          </w:tcPr>
          <w:p w:rsidR="000D3058" w:rsidRPr="009110F7" w:rsidRDefault="000D3058" w:rsidP="00965797">
            <w:pPr>
              <w:pStyle w:val="Marginlie"/>
            </w:pPr>
            <w:r w:rsidRPr="009110F7">
              <w:t xml:space="preserve">Ceny zahraničního obchodu opět ovlivňovalo posilování koruny. </w:t>
            </w:r>
          </w:p>
        </w:tc>
        <w:tc>
          <w:tcPr>
            <w:tcW w:w="250" w:type="dxa"/>
            <w:shd w:val="clear" w:color="auto" w:fill="auto"/>
            <w:tcMar>
              <w:left w:w="0" w:type="dxa"/>
            </w:tcMar>
          </w:tcPr>
          <w:p w:rsidR="000D3058" w:rsidRPr="009110F7" w:rsidRDefault="000D3058" w:rsidP="00965797">
            <w:pPr>
              <w:pStyle w:val="Textpoznpodarou"/>
              <w:jc w:val="both"/>
              <w:rPr>
                <w:spacing w:val="-4"/>
              </w:rPr>
            </w:pPr>
          </w:p>
        </w:tc>
        <w:tc>
          <w:tcPr>
            <w:tcW w:w="7501" w:type="dxa"/>
            <w:shd w:val="clear" w:color="auto" w:fill="auto"/>
            <w:tcMar>
              <w:left w:w="0" w:type="dxa"/>
            </w:tcMar>
          </w:tcPr>
          <w:p w:rsidR="000D3058" w:rsidRPr="009110F7" w:rsidRDefault="000D3058" w:rsidP="001B3E38">
            <w:r w:rsidRPr="009110F7">
              <w:t xml:space="preserve">Ceny vývozu </w:t>
            </w:r>
            <w:r w:rsidR="00716F48" w:rsidRPr="009110F7">
              <w:t>i </w:t>
            </w:r>
            <w:r w:rsidRPr="009110F7">
              <w:t>dovozu v 1</w:t>
            </w:r>
            <w:r w:rsidR="00716F48" w:rsidRPr="009110F7">
              <w:t>. čtvrt</w:t>
            </w:r>
            <w:r w:rsidRPr="009110F7">
              <w:t xml:space="preserve">letí 2018 meziročně klesaly </w:t>
            </w:r>
            <w:r w:rsidR="00716F48" w:rsidRPr="009110F7">
              <w:t>a </w:t>
            </w:r>
            <w:r w:rsidRPr="009110F7">
              <w:t xml:space="preserve">stále se projevoval vliv posilujícího kurzu koruny. Ceny vývozu klesly </w:t>
            </w:r>
            <w:r w:rsidR="00716F48" w:rsidRPr="009110F7">
              <w:t>o </w:t>
            </w:r>
            <w:r w:rsidRPr="009110F7">
              <w:t>4,4</w:t>
            </w:r>
            <w:r w:rsidR="00167CB9" w:rsidRPr="009110F7">
              <w:t> %</w:t>
            </w:r>
            <w:r w:rsidRPr="009110F7">
              <w:t xml:space="preserve">. Na propadu se projevily stroje </w:t>
            </w:r>
            <w:r w:rsidR="00716F48" w:rsidRPr="009110F7">
              <w:t>a </w:t>
            </w:r>
            <w:r w:rsidRPr="009110F7">
              <w:t>dopravní prostředky (</w:t>
            </w:r>
            <w:r w:rsidR="00CA37FF">
              <w:t>-</w:t>
            </w:r>
            <w:r w:rsidRPr="009110F7">
              <w:t>5,2</w:t>
            </w:r>
            <w:r w:rsidR="00167CB9" w:rsidRPr="009110F7">
              <w:t> %</w:t>
            </w:r>
            <w:r w:rsidRPr="009110F7">
              <w:t>), které mají v českém vývozu klíčovou pozici, a</w:t>
            </w:r>
            <w:r w:rsidR="00A44B0D" w:rsidRPr="009110F7">
              <w:t> </w:t>
            </w:r>
            <w:r w:rsidRPr="009110F7">
              <w:t>rovněž minerální paliva (</w:t>
            </w:r>
            <w:r w:rsidR="00CA37FF">
              <w:t>-</w:t>
            </w:r>
            <w:r w:rsidRPr="009110F7">
              <w:t>11,7</w:t>
            </w:r>
            <w:r w:rsidR="00167CB9" w:rsidRPr="009110F7">
              <w:t> %</w:t>
            </w:r>
            <w:r w:rsidRPr="009110F7">
              <w:t xml:space="preserve">). Ceny dovozu klesly </w:t>
            </w:r>
            <w:r w:rsidR="00716F48" w:rsidRPr="009110F7">
              <w:t>o </w:t>
            </w:r>
            <w:r w:rsidRPr="009110F7">
              <w:t>6,1</w:t>
            </w:r>
            <w:r w:rsidR="00167CB9" w:rsidRPr="009110F7">
              <w:t> %</w:t>
            </w:r>
            <w:r w:rsidRPr="009110F7">
              <w:t xml:space="preserve">. Propad zaznamenaly zejména ostatní </w:t>
            </w:r>
            <w:r w:rsidR="001B3E38">
              <w:t>suroviny</w:t>
            </w:r>
            <w:r w:rsidRPr="009110F7">
              <w:t xml:space="preserve"> (</w:t>
            </w:r>
            <w:r w:rsidR="00CA37FF">
              <w:t>-</w:t>
            </w:r>
            <w:r w:rsidRPr="009110F7">
              <w:t>10,5</w:t>
            </w:r>
            <w:r w:rsidR="00167CB9" w:rsidRPr="009110F7">
              <w:t> %</w:t>
            </w:r>
            <w:r w:rsidRPr="009110F7">
              <w:t xml:space="preserve">), výrazně se snížily </w:t>
            </w:r>
            <w:r w:rsidR="00716F48" w:rsidRPr="009110F7">
              <w:t>i </w:t>
            </w:r>
            <w:r w:rsidRPr="009110F7">
              <w:t xml:space="preserve">ceny dovážených strojů </w:t>
            </w:r>
            <w:r w:rsidR="00716F48" w:rsidRPr="009110F7">
              <w:t>a </w:t>
            </w:r>
            <w:r w:rsidRPr="009110F7">
              <w:t>dopravních prostředků (</w:t>
            </w:r>
            <w:r w:rsidR="00CA37FF">
              <w:t>-</w:t>
            </w:r>
            <w:r w:rsidRPr="009110F7">
              <w:t>8,7</w:t>
            </w:r>
            <w:r w:rsidR="00167CB9" w:rsidRPr="009110F7">
              <w:t> %</w:t>
            </w:r>
            <w:r w:rsidRPr="009110F7">
              <w:t>). Výraznější propad cen u</w:t>
            </w:r>
            <w:r w:rsidR="00A44B0D" w:rsidRPr="009110F7">
              <w:t> </w:t>
            </w:r>
            <w:r w:rsidRPr="009110F7">
              <w:t xml:space="preserve">dovozu byl spojen s posílením koruny vůči dolaru, které značně překonalo posílení kurzu vůči euru. Země mimo EU </w:t>
            </w:r>
            <w:r w:rsidR="00716F48" w:rsidRPr="009110F7">
              <w:t>a </w:t>
            </w:r>
            <w:proofErr w:type="spellStart"/>
            <w:r w:rsidRPr="009110F7">
              <w:t>eurozónu</w:t>
            </w:r>
            <w:proofErr w:type="spellEnd"/>
            <w:r w:rsidRPr="009110F7">
              <w:t xml:space="preserve"> mají ve struktuře dovozu významnější pozici než ve vývozu. S tím koresponduje </w:t>
            </w:r>
            <w:r w:rsidR="00716F48" w:rsidRPr="009110F7">
              <w:t>i </w:t>
            </w:r>
            <w:r w:rsidRPr="009110F7">
              <w:t>vývoj směnných relací, které byly v 1.</w:t>
            </w:r>
            <w:r w:rsidR="00A44B0D" w:rsidRPr="009110F7">
              <w:t> </w:t>
            </w:r>
            <w:r w:rsidRPr="009110F7">
              <w:t xml:space="preserve">čtvrtletí kladné </w:t>
            </w:r>
            <w:r w:rsidR="00716F48" w:rsidRPr="009110F7">
              <w:t>a </w:t>
            </w:r>
            <w:r w:rsidRPr="009110F7">
              <w:t>dosáhly 101,8</w:t>
            </w:r>
            <w:r w:rsidR="00167CB9" w:rsidRPr="009110F7">
              <w:t> %</w:t>
            </w:r>
            <w:r w:rsidRPr="009110F7">
              <w:t>. V kladném směru působily směnné relace obchodu s ostatními materiály (109,2</w:t>
            </w:r>
            <w:r w:rsidR="00167CB9" w:rsidRPr="009110F7">
              <w:t> %</w:t>
            </w:r>
            <w:r w:rsidRPr="009110F7">
              <w:t xml:space="preserve">) </w:t>
            </w:r>
            <w:r w:rsidR="00716F48" w:rsidRPr="009110F7">
              <w:t>i </w:t>
            </w:r>
            <w:r w:rsidRPr="009110F7">
              <w:t xml:space="preserve">stroji </w:t>
            </w:r>
            <w:r w:rsidR="00716F48" w:rsidRPr="009110F7">
              <w:t>a </w:t>
            </w:r>
            <w:r w:rsidRPr="009110F7">
              <w:t>dopravními prostředky (103,8</w:t>
            </w:r>
            <w:r w:rsidR="00167CB9" w:rsidRPr="009110F7">
              <w:t> %</w:t>
            </w:r>
            <w:r w:rsidRPr="009110F7">
              <w:t>). Záporných směnných relací dosáhl obchod s chemikáliemi (98,2</w:t>
            </w:r>
            <w:r w:rsidR="00167CB9" w:rsidRPr="009110F7">
              <w:t> %</w:t>
            </w:r>
            <w:r w:rsidRPr="009110F7">
              <w:t>), minerálními palivy (90,9</w:t>
            </w:r>
            <w:r w:rsidR="00167CB9" w:rsidRPr="009110F7">
              <w:t> %</w:t>
            </w:r>
            <w:r w:rsidRPr="009110F7">
              <w:t>)</w:t>
            </w:r>
            <w:r w:rsidR="001B3E38">
              <w:t xml:space="preserve"> a </w:t>
            </w:r>
            <w:r w:rsidRPr="009110F7">
              <w:t xml:space="preserve">nápoji </w:t>
            </w:r>
            <w:r w:rsidR="00716F48" w:rsidRPr="009110F7">
              <w:t>a </w:t>
            </w:r>
            <w:r w:rsidRPr="009110F7">
              <w:t>tabákem (97,9</w:t>
            </w:r>
            <w:r w:rsidR="00167CB9" w:rsidRPr="009110F7">
              <w:t> %</w:t>
            </w:r>
            <w:r w:rsidRPr="009110F7">
              <w:t>)</w:t>
            </w:r>
            <w:r w:rsidR="001B3E38">
              <w:t>.</w:t>
            </w:r>
            <w:r w:rsidRPr="009110F7">
              <w:t xml:space="preserve"> </w:t>
            </w:r>
          </w:p>
        </w:tc>
      </w:tr>
      <w:tr w:rsidR="000D3058" w:rsidRPr="009110F7" w:rsidTr="00965797">
        <w:trPr>
          <w:trHeight w:val="170"/>
        </w:trPr>
        <w:tc>
          <w:tcPr>
            <w:tcW w:w="1888" w:type="dxa"/>
            <w:vMerge w:val="restart"/>
            <w:shd w:val="clear" w:color="auto" w:fill="auto"/>
            <w:tcMar>
              <w:left w:w="0" w:type="dxa"/>
            </w:tcMar>
          </w:tcPr>
          <w:p w:rsidR="000D3058" w:rsidRPr="009110F7" w:rsidRDefault="000D3058" w:rsidP="00965797">
            <w:pPr>
              <w:pStyle w:val="Marginlie"/>
            </w:pPr>
          </w:p>
        </w:tc>
        <w:tc>
          <w:tcPr>
            <w:tcW w:w="250" w:type="dxa"/>
            <w:vMerge w:val="restart"/>
            <w:shd w:val="clear" w:color="auto" w:fill="auto"/>
            <w:tcMar>
              <w:left w:w="0" w:type="dxa"/>
            </w:tcMar>
          </w:tcPr>
          <w:p w:rsidR="000D3058" w:rsidRPr="009110F7" w:rsidRDefault="000D3058" w:rsidP="00965797">
            <w:pPr>
              <w:pStyle w:val="Textpoznpodarou"/>
              <w:jc w:val="both"/>
              <w:rPr>
                <w:spacing w:val="-4"/>
              </w:rPr>
            </w:pPr>
          </w:p>
        </w:tc>
        <w:tc>
          <w:tcPr>
            <w:tcW w:w="7501" w:type="dxa"/>
            <w:shd w:val="clear" w:color="auto" w:fill="auto"/>
            <w:tcMar>
              <w:left w:w="0" w:type="dxa"/>
            </w:tcMar>
          </w:tcPr>
          <w:p w:rsidR="000D3058" w:rsidRPr="009110F7" w:rsidRDefault="00B8561A" w:rsidP="0015753D">
            <w:pPr>
              <w:spacing w:after="0"/>
              <w:rPr>
                <w:szCs w:val="20"/>
              </w:rPr>
            </w:pPr>
            <w:r>
              <w:rPr>
                <w:b/>
                <w:szCs w:val="20"/>
              </w:rPr>
              <w:t>Graf </w:t>
            </w:r>
            <w:r w:rsidR="00167CB9" w:rsidRPr="009110F7">
              <w:rPr>
                <w:b/>
                <w:szCs w:val="20"/>
              </w:rPr>
              <w:t>č. </w:t>
            </w:r>
            <w:r w:rsidR="00935BD4" w:rsidRPr="009110F7">
              <w:rPr>
                <w:b/>
                <w:szCs w:val="20"/>
              </w:rPr>
              <w:t>13</w:t>
            </w:r>
            <w:r w:rsidR="0015753D">
              <w:rPr>
                <w:b/>
              </w:rPr>
              <w:t xml:space="preserve">  </w:t>
            </w:r>
            <w:r w:rsidR="000D3058" w:rsidRPr="009110F7">
              <w:rPr>
                <w:rFonts w:cs="Arial"/>
                <w:b/>
                <w:bCs/>
                <w:color w:val="000000"/>
                <w:szCs w:val="20"/>
              </w:rPr>
              <w:t>Deflátory</w:t>
            </w:r>
            <w:r w:rsidR="000D3058" w:rsidRPr="009110F7">
              <w:rPr>
                <w:rFonts w:cs="Arial"/>
                <w:b/>
                <w:color w:val="000000"/>
                <w:szCs w:val="20"/>
              </w:rPr>
              <w:t xml:space="preserve"> (očištěno </w:t>
            </w:r>
            <w:r w:rsidR="00716F48" w:rsidRPr="009110F7">
              <w:rPr>
                <w:rFonts w:cs="Arial"/>
                <w:b/>
                <w:color w:val="000000"/>
                <w:szCs w:val="20"/>
              </w:rPr>
              <w:t>o </w:t>
            </w:r>
            <w:r w:rsidR="000D3058" w:rsidRPr="009110F7">
              <w:rPr>
                <w:rFonts w:cs="Arial"/>
                <w:b/>
                <w:color w:val="000000"/>
                <w:szCs w:val="20"/>
              </w:rPr>
              <w:t>sezónní a kalendářní vlivy, y/</w:t>
            </w:r>
            <w:r w:rsidR="00716F48" w:rsidRPr="009110F7">
              <w:rPr>
                <w:rFonts w:cs="Arial"/>
                <w:b/>
                <w:color w:val="000000"/>
                <w:szCs w:val="20"/>
              </w:rPr>
              <w:t>y </w:t>
            </w:r>
            <w:r w:rsidR="000D3058" w:rsidRPr="009110F7">
              <w:rPr>
                <w:rFonts w:cs="Arial"/>
                <w:b/>
                <w:color w:val="000000"/>
                <w:szCs w:val="20"/>
              </w:rPr>
              <w:t>v</w:t>
            </w:r>
            <w:r w:rsidR="00167CB9" w:rsidRPr="009110F7">
              <w:rPr>
                <w:rFonts w:cs="Arial"/>
                <w:b/>
                <w:color w:val="000000"/>
                <w:szCs w:val="20"/>
              </w:rPr>
              <w:t> %</w:t>
            </w:r>
            <w:r w:rsidR="000D3058" w:rsidRPr="009110F7">
              <w:rPr>
                <w:rFonts w:cs="Arial"/>
                <w:b/>
                <w:color w:val="000000"/>
                <w:szCs w:val="20"/>
              </w:rPr>
              <w:t>)</w:t>
            </w:r>
          </w:p>
        </w:tc>
      </w:tr>
      <w:tr w:rsidR="000D3058" w:rsidRPr="009110F7" w:rsidTr="00965797">
        <w:trPr>
          <w:trHeight w:val="170"/>
        </w:trPr>
        <w:tc>
          <w:tcPr>
            <w:tcW w:w="1888" w:type="dxa"/>
            <w:vMerge/>
            <w:shd w:val="clear" w:color="auto" w:fill="auto"/>
            <w:tcMar>
              <w:left w:w="0" w:type="dxa"/>
            </w:tcMar>
          </w:tcPr>
          <w:p w:rsidR="000D3058" w:rsidRPr="009110F7" w:rsidRDefault="000D3058" w:rsidP="00965797">
            <w:pPr>
              <w:pStyle w:val="Marginlie"/>
            </w:pPr>
          </w:p>
        </w:tc>
        <w:tc>
          <w:tcPr>
            <w:tcW w:w="250" w:type="dxa"/>
            <w:vMerge/>
            <w:shd w:val="clear" w:color="auto" w:fill="auto"/>
            <w:tcMar>
              <w:left w:w="0" w:type="dxa"/>
            </w:tcMar>
          </w:tcPr>
          <w:p w:rsidR="000D3058" w:rsidRPr="009110F7" w:rsidRDefault="000D3058" w:rsidP="00965797">
            <w:pPr>
              <w:pStyle w:val="Textpoznpodarou"/>
              <w:jc w:val="both"/>
              <w:rPr>
                <w:spacing w:val="-4"/>
              </w:rPr>
            </w:pPr>
          </w:p>
        </w:tc>
        <w:tc>
          <w:tcPr>
            <w:tcW w:w="7501" w:type="dxa"/>
            <w:shd w:val="clear" w:color="auto" w:fill="auto"/>
            <w:tcMar>
              <w:left w:w="0" w:type="dxa"/>
            </w:tcMar>
          </w:tcPr>
          <w:p w:rsidR="000D3058" w:rsidRPr="009110F7" w:rsidRDefault="000D3058" w:rsidP="00965797">
            <w:pPr>
              <w:spacing w:after="0"/>
            </w:pPr>
            <w:r w:rsidRPr="009110F7">
              <w:rPr>
                <w:noProof/>
              </w:rPr>
              <w:drawing>
                <wp:inline distT="0" distB="0" distL="0" distR="0">
                  <wp:extent cx="4737600" cy="3553200"/>
                  <wp:effectExtent l="0" t="0" r="0" b="0"/>
                  <wp:docPr id="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0D3058" w:rsidRPr="009110F7" w:rsidTr="00965797">
        <w:trPr>
          <w:trHeight w:val="170"/>
        </w:trPr>
        <w:tc>
          <w:tcPr>
            <w:tcW w:w="1888" w:type="dxa"/>
            <w:vMerge/>
            <w:shd w:val="clear" w:color="auto" w:fill="auto"/>
            <w:tcMar>
              <w:left w:w="0" w:type="dxa"/>
            </w:tcMar>
          </w:tcPr>
          <w:p w:rsidR="000D3058" w:rsidRPr="009110F7" w:rsidRDefault="000D3058" w:rsidP="00965797">
            <w:pPr>
              <w:pStyle w:val="Marginlie"/>
            </w:pPr>
          </w:p>
        </w:tc>
        <w:tc>
          <w:tcPr>
            <w:tcW w:w="250" w:type="dxa"/>
            <w:vMerge/>
            <w:shd w:val="clear" w:color="auto" w:fill="auto"/>
            <w:tcMar>
              <w:left w:w="0" w:type="dxa"/>
            </w:tcMar>
          </w:tcPr>
          <w:p w:rsidR="000D3058" w:rsidRPr="009110F7" w:rsidRDefault="000D3058" w:rsidP="00965797">
            <w:pPr>
              <w:pStyle w:val="Textpoznpodarou"/>
              <w:jc w:val="both"/>
              <w:rPr>
                <w:spacing w:val="-4"/>
              </w:rPr>
            </w:pPr>
          </w:p>
        </w:tc>
        <w:tc>
          <w:tcPr>
            <w:tcW w:w="7501" w:type="dxa"/>
            <w:shd w:val="clear" w:color="auto" w:fill="auto"/>
            <w:tcMar>
              <w:left w:w="0" w:type="dxa"/>
            </w:tcMar>
          </w:tcPr>
          <w:p w:rsidR="000D3058" w:rsidRPr="009110F7" w:rsidRDefault="000D3058" w:rsidP="00965797">
            <w:pPr>
              <w:rPr>
                <w:sz w:val="14"/>
                <w:szCs w:val="14"/>
              </w:rPr>
            </w:pPr>
            <w:r w:rsidRPr="009110F7">
              <w:rPr>
                <w:sz w:val="14"/>
                <w:szCs w:val="14"/>
              </w:rPr>
              <w:t>Zdroj: ČSÚ</w:t>
            </w:r>
          </w:p>
        </w:tc>
      </w:tr>
    </w:tbl>
    <w:p w:rsidR="000D3058" w:rsidRPr="009110F7" w:rsidRDefault="000D3058" w:rsidP="00935BD4">
      <w:pPr>
        <w:pStyle w:val="Normalodrka"/>
        <w:numPr>
          <w:ilvl w:val="0"/>
          <w:numId w:val="0"/>
        </w:numPr>
        <w:ind w:left="357"/>
      </w:pPr>
    </w:p>
    <w:p w:rsidR="000D3058" w:rsidRPr="009110F7" w:rsidRDefault="00935BD4" w:rsidP="000D3058">
      <w:pPr>
        <w:pStyle w:val="Nadpis11"/>
      </w:pPr>
      <w:bookmarkStart w:id="11" w:name="_Toc517166413"/>
      <w:r w:rsidRPr="009110F7">
        <w:lastRenderedPageBreak/>
        <w:t>6</w:t>
      </w:r>
      <w:r w:rsidR="000D3058" w:rsidRPr="009110F7">
        <w:t xml:space="preserve">. </w:t>
      </w:r>
      <w:r w:rsidRPr="009110F7">
        <w:t>Trh práce</w:t>
      </w:r>
      <w:bookmarkEnd w:id="11"/>
    </w:p>
    <w:tbl>
      <w:tblPr>
        <w:tblW w:w="9639" w:type="dxa"/>
        <w:tblInd w:w="-15" w:type="dxa"/>
        <w:tblCellMar>
          <w:left w:w="0" w:type="dxa"/>
          <w:right w:w="0" w:type="dxa"/>
        </w:tblCellMar>
        <w:tblLook w:val="00A0"/>
      </w:tblPr>
      <w:tblGrid>
        <w:gridCol w:w="1878"/>
        <w:gridCol w:w="247"/>
        <w:gridCol w:w="7514"/>
      </w:tblGrid>
      <w:tr w:rsidR="00935BD4" w:rsidRPr="009110F7" w:rsidTr="00965797">
        <w:trPr>
          <w:trHeight w:val="145"/>
        </w:trPr>
        <w:tc>
          <w:tcPr>
            <w:tcW w:w="1878" w:type="dxa"/>
            <w:shd w:val="clear" w:color="auto" w:fill="auto"/>
            <w:tcMar>
              <w:left w:w="0" w:type="dxa"/>
            </w:tcMar>
          </w:tcPr>
          <w:p w:rsidR="00935BD4" w:rsidRPr="009110F7" w:rsidRDefault="00935BD4" w:rsidP="00965797">
            <w:pPr>
              <w:pStyle w:val="Marginlie"/>
            </w:pPr>
            <w:r w:rsidRPr="009110F7">
              <w:t>Celková zaměstnanost nadále rostla. Na trh práce vstupovaly nezaměstnané i neaktivní osoby, zvyšovala se role zahraničních pracovníků.</w:t>
            </w:r>
          </w:p>
        </w:tc>
        <w:tc>
          <w:tcPr>
            <w:tcW w:w="247" w:type="dxa"/>
            <w:shd w:val="clear" w:color="auto" w:fill="auto"/>
            <w:tcMar>
              <w:left w:w="0" w:type="dxa"/>
            </w:tcMar>
          </w:tcPr>
          <w:p w:rsidR="00935BD4" w:rsidRPr="009110F7" w:rsidRDefault="00935BD4" w:rsidP="00965797">
            <w:pPr>
              <w:pStyle w:val="Textpoznpodarou"/>
              <w:jc w:val="both"/>
              <w:rPr>
                <w:spacing w:val="-4"/>
              </w:rPr>
            </w:pPr>
          </w:p>
        </w:tc>
        <w:tc>
          <w:tcPr>
            <w:tcW w:w="7514" w:type="dxa"/>
            <w:shd w:val="clear" w:color="auto" w:fill="auto"/>
            <w:tcMar>
              <w:left w:w="0" w:type="dxa"/>
            </w:tcMar>
          </w:tcPr>
          <w:p w:rsidR="00935BD4" w:rsidRPr="009110F7" w:rsidRDefault="00935BD4" w:rsidP="00935BD4">
            <w:pPr>
              <w:spacing w:after="200"/>
            </w:pPr>
            <w:r w:rsidRPr="009110F7">
              <w:t xml:space="preserve">Trh práce v Česku na počátku roku 2018 skýtal mimořádně příznivé podmínky pro zaměstnance </w:t>
            </w:r>
            <w:r w:rsidR="00716F48" w:rsidRPr="009110F7">
              <w:t>i </w:t>
            </w:r>
            <w:r w:rsidRPr="009110F7">
              <w:t xml:space="preserve">lidi hledající práci. Pokračující svižný růst ekonomiky byl doprovázen silnou poptávkou po pracovní síle. </w:t>
            </w:r>
            <w:r w:rsidRPr="009110F7">
              <w:rPr>
                <w:rFonts w:cs="Arial"/>
                <w:color w:val="0D0D0D" w:themeColor="text1" w:themeTint="F2"/>
                <w:spacing w:val="-4"/>
              </w:rPr>
              <w:t>Počet pracovníků</w:t>
            </w:r>
            <w:r w:rsidRPr="009110F7">
              <w:rPr>
                <w:rStyle w:val="Znakapoznpodarou"/>
                <w:color w:val="0D0D0D" w:themeColor="text1" w:themeTint="F2"/>
                <w:spacing w:val="-4"/>
              </w:rPr>
              <w:footnoteReference w:id="31"/>
            </w:r>
            <w:r w:rsidRPr="009110F7">
              <w:rPr>
                <w:rFonts w:cs="Arial"/>
                <w:color w:val="0D0D0D" w:themeColor="text1" w:themeTint="F2"/>
                <w:spacing w:val="-4"/>
              </w:rPr>
              <w:t xml:space="preserve"> byl </w:t>
            </w:r>
            <w:r w:rsidR="000E6253">
              <w:rPr>
                <w:rFonts w:cs="Arial"/>
                <w:color w:val="0D0D0D" w:themeColor="text1" w:themeTint="F2"/>
                <w:spacing w:val="-4"/>
              </w:rPr>
              <w:t>v </w:t>
            </w:r>
            <w:r w:rsidRPr="009110F7">
              <w:rPr>
                <w:rFonts w:cs="Arial"/>
                <w:color w:val="0D0D0D" w:themeColor="text1" w:themeTint="F2"/>
                <w:szCs w:val="20"/>
              </w:rPr>
              <w:t>1</w:t>
            </w:r>
            <w:r w:rsidR="00716F48" w:rsidRPr="009110F7">
              <w:rPr>
                <w:rFonts w:cs="Arial"/>
                <w:color w:val="0D0D0D" w:themeColor="text1" w:themeTint="F2"/>
                <w:szCs w:val="20"/>
              </w:rPr>
              <w:t>. čtvrt</w:t>
            </w:r>
            <w:r w:rsidRPr="009110F7">
              <w:rPr>
                <w:rFonts w:cs="Arial"/>
                <w:color w:val="0D0D0D" w:themeColor="text1" w:themeTint="F2"/>
                <w:szCs w:val="20"/>
              </w:rPr>
              <w:t xml:space="preserve">letí 2018 </w:t>
            </w:r>
            <w:r w:rsidRPr="009110F7">
              <w:rPr>
                <w:rFonts w:cs="Arial"/>
                <w:color w:val="0D0D0D" w:themeColor="text1" w:themeTint="F2"/>
                <w:spacing w:val="-4"/>
              </w:rPr>
              <w:t>meziročně o 1,7</w:t>
            </w:r>
            <w:r w:rsidR="00167CB9" w:rsidRPr="009110F7">
              <w:rPr>
                <w:rFonts w:cs="Arial"/>
                <w:color w:val="0D0D0D" w:themeColor="text1" w:themeTint="F2"/>
                <w:spacing w:val="-4"/>
              </w:rPr>
              <w:t> %</w:t>
            </w:r>
            <w:r w:rsidRPr="009110F7">
              <w:rPr>
                <w:rFonts w:cs="Arial"/>
                <w:color w:val="0D0D0D" w:themeColor="text1" w:themeTint="F2"/>
                <w:spacing w:val="-4"/>
              </w:rPr>
              <w:t xml:space="preserve"> vyšší. Zaměstnanost posílila i v </w:t>
            </w:r>
            <w:proofErr w:type="spellStart"/>
            <w:r w:rsidRPr="009110F7">
              <w:rPr>
                <w:rFonts w:cs="Arial"/>
                <w:color w:val="0D0D0D" w:themeColor="text1" w:themeTint="F2"/>
                <w:spacing w:val="-4"/>
              </w:rPr>
              <w:t>mezičtvrtletním</w:t>
            </w:r>
            <w:proofErr w:type="spellEnd"/>
            <w:r w:rsidRPr="009110F7">
              <w:rPr>
                <w:rFonts w:cs="Arial"/>
                <w:color w:val="0D0D0D" w:themeColor="text1" w:themeTint="F2"/>
                <w:spacing w:val="-4"/>
              </w:rPr>
              <w:t xml:space="preserve"> srovnání (+0,5</w:t>
            </w:r>
            <w:r w:rsidR="00167CB9" w:rsidRPr="009110F7">
              <w:rPr>
                <w:rFonts w:cs="Arial"/>
                <w:color w:val="0D0D0D" w:themeColor="text1" w:themeTint="F2"/>
                <w:spacing w:val="-4"/>
              </w:rPr>
              <w:t> %</w:t>
            </w:r>
            <w:r w:rsidRPr="009110F7">
              <w:rPr>
                <w:rFonts w:cs="Arial"/>
                <w:color w:val="0D0D0D" w:themeColor="text1" w:themeTint="F2"/>
                <w:spacing w:val="-4"/>
              </w:rPr>
              <w:t xml:space="preserve">) </w:t>
            </w:r>
            <w:r w:rsidR="00716F48" w:rsidRPr="009110F7">
              <w:rPr>
                <w:rFonts w:cs="Arial"/>
                <w:color w:val="0D0D0D" w:themeColor="text1" w:themeTint="F2"/>
                <w:spacing w:val="-4"/>
              </w:rPr>
              <w:t>a </w:t>
            </w:r>
            <w:r w:rsidRPr="009110F7">
              <w:rPr>
                <w:rFonts w:cs="Arial"/>
                <w:color w:val="0D0D0D" w:themeColor="text1" w:themeTint="F2"/>
                <w:spacing w:val="-4"/>
              </w:rPr>
              <w:t xml:space="preserve">naznačila tak, že její stagnace pozorovaná v posledním loňském čtvrtletí byla spíše jen dočasným přerušením dlouhodobého růstového trendu. Absolutní počet pracovníků </w:t>
            </w:r>
            <w:r w:rsidR="00716F48" w:rsidRPr="009110F7">
              <w:rPr>
                <w:rFonts w:cs="Arial"/>
                <w:color w:val="0D0D0D" w:themeColor="text1" w:themeTint="F2"/>
                <w:spacing w:val="-4"/>
              </w:rPr>
              <w:t>v </w:t>
            </w:r>
            <w:r w:rsidRPr="009110F7">
              <w:rPr>
                <w:rFonts w:cs="Arial"/>
                <w:color w:val="0D0D0D" w:themeColor="text1" w:themeTint="F2"/>
                <w:spacing w:val="-4"/>
              </w:rPr>
              <w:t>ekonomice opět dosáhl svého maxima v historii ČR. K vysokému počtu pracovníků přispívala nejen klesající nezaměstnanost či prodlužující se věková hranice odchodu do důchodu, ale i příliv pracovní síly ze zahraničí</w:t>
            </w:r>
            <w:r w:rsidRPr="009110F7">
              <w:rPr>
                <w:rStyle w:val="Znakapoznpodarou"/>
                <w:color w:val="0D0D0D" w:themeColor="text1" w:themeTint="F2"/>
                <w:spacing w:val="-4"/>
              </w:rPr>
              <w:footnoteReference w:id="32"/>
            </w:r>
            <w:r w:rsidRPr="009110F7">
              <w:rPr>
                <w:rFonts w:cs="Arial"/>
                <w:color w:val="0D0D0D" w:themeColor="text1" w:themeTint="F2"/>
                <w:spacing w:val="-4"/>
              </w:rPr>
              <w:t xml:space="preserve">. Z rezervoáru potenciální pracovní síly z tuzemska se na trh práce dařilo včlenit </w:t>
            </w:r>
            <w:r w:rsidR="00716F48" w:rsidRPr="009110F7">
              <w:rPr>
                <w:rFonts w:cs="Arial"/>
                <w:color w:val="0D0D0D" w:themeColor="text1" w:themeTint="F2"/>
                <w:spacing w:val="-4"/>
              </w:rPr>
              <w:t>i </w:t>
            </w:r>
            <w:r w:rsidRPr="009110F7">
              <w:rPr>
                <w:rFonts w:cs="Arial"/>
                <w:color w:val="0D0D0D" w:themeColor="text1" w:themeTint="F2"/>
                <w:spacing w:val="-4"/>
                <w:szCs w:val="20"/>
              </w:rPr>
              <w:t>část dosud ekonomicky neaktivních. Dokládá to i</w:t>
            </w:r>
            <w:r w:rsidRPr="009110F7">
              <w:rPr>
                <w:rFonts w:cs="Arial"/>
                <w:color w:val="0D0D0D" w:themeColor="text1" w:themeTint="F2"/>
                <w:szCs w:val="20"/>
              </w:rPr>
              <w:t> </w:t>
            </w:r>
            <w:r w:rsidRPr="009110F7">
              <w:rPr>
                <w:rFonts w:cs="Arial"/>
                <w:color w:val="0D0D0D" w:themeColor="text1" w:themeTint="F2"/>
                <w:spacing w:val="-4"/>
                <w:szCs w:val="20"/>
              </w:rPr>
              <w:t xml:space="preserve">klesající četnost </w:t>
            </w:r>
            <w:r w:rsidRPr="009110F7">
              <w:rPr>
                <w:rFonts w:cs="Arial"/>
                <w:bCs/>
                <w:color w:val="0D0D0D" w:themeColor="text1" w:themeTint="F2"/>
                <w:szCs w:val="20"/>
              </w:rPr>
              <w:t>osob, které nepracují, aktivně práci nehledají (</w:t>
            </w:r>
            <w:r w:rsidR="00716F48" w:rsidRPr="009110F7">
              <w:rPr>
                <w:rFonts w:cs="Arial"/>
                <w:bCs/>
                <w:color w:val="0D0D0D" w:themeColor="text1" w:themeTint="F2"/>
                <w:szCs w:val="20"/>
              </w:rPr>
              <w:t>a </w:t>
            </w:r>
            <w:r w:rsidRPr="009110F7">
              <w:rPr>
                <w:rFonts w:cs="Arial"/>
                <w:bCs/>
                <w:color w:val="0D0D0D" w:themeColor="text1" w:themeTint="F2"/>
                <w:szCs w:val="20"/>
              </w:rPr>
              <w:t>nesplňují tak podmínky ILO pro nezaměstnané)</w:t>
            </w:r>
            <w:r w:rsidRPr="009110F7">
              <w:rPr>
                <w:rFonts w:cs="Arial"/>
                <w:color w:val="0D0D0D" w:themeColor="text1" w:themeTint="F2"/>
                <w:szCs w:val="20"/>
              </w:rPr>
              <w:t>, ale přitom uvádějí, že by chtěly pracovat. V 1.</w:t>
            </w:r>
            <w:r w:rsidRPr="009110F7">
              <w:rPr>
                <w:rFonts w:cs="Arial"/>
                <w:color w:val="0D0D0D" w:themeColor="text1" w:themeTint="F2"/>
                <w:spacing w:val="-4"/>
              </w:rPr>
              <w:t> </w:t>
            </w:r>
            <w:r w:rsidRPr="009110F7">
              <w:rPr>
                <w:rFonts w:cs="Arial"/>
                <w:color w:val="0D0D0D" w:themeColor="text1" w:themeTint="F2"/>
                <w:szCs w:val="20"/>
              </w:rPr>
              <w:t>čtvrtletí jejich počet dosahoval 113,5</w:t>
            </w:r>
            <w:r w:rsidRPr="009110F7">
              <w:rPr>
                <w:rFonts w:cs="Arial"/>
                <w:color w:val="0D0D0D" w:themeColor="text1" w:themeTint="F2"/>
                <w:spacing w:val="-4"/>
              </w:rPr>
              <w:t> </w:t>
            </w:r>
            <w:r w:rsidRPr="009110F7">
              <w:rPr>
                <w:rFonts w:cs="Arial"/>
                <w:color w:val="0D0D0D" w:themeColor="text1" w:themeTint="F2"/>
                <w:szCs w:val="20"/>
              </w:rPr>
              <w:t>tis., za poslední dva roky se snížil o</w:t>
            </w:r>
            <w:r w:rsidRPr="009110F7">
              <w:rPr>
                <w:rFonts w:cs="Arial"/>
                <w:color w:val="0D0D0D" w:themeColor="text1" w:themeTint="F2"/>
                <w:spacing w:val="-4"/>
              </w:rPr>
              <w:t> </w:t>
            </w:r>
            <w:r w:rsidRPr="009110F7">
              <w:rPr>
                <w:rFonts w:cs="Arial"/>
                <w:color w:val="0D0D0D" w:themeColor="text1" w:themeTint="F2"/>
                <w:szCs w:val="20"/>
              </w:rPr>
              <w:t>bezmála 3</w:t>
            </w:r>
            <w:r w:rsidR="00167CB9" w:rsidRPr="009110F7">
              <w:rPr>
                <w:rFonts w:cs="Arial"/>
                <w:color w:val="0D0D0D" w:themeColor="text1" w:themeTint="F2"/>
                <w:szCs w:val="20"/>
              </w:rPr>
              <w:t>0 </w:t>
            </w:r>
            <w:r w:rsidRPr="009110F7">
              <w:rPr>
                <w:rFonts w:cs="Arial"/>
                <w:color w:val="0D0D0D" w:themeColor="text1" w:themeTint="F2"/>
                <w:szCs w:val="20"/>
              </w:rPr>
              <w:t>tis</w:t>
            </w:r>
            <w:r w:rsidR="0080734C">
              <w:rPr>
                <w:rFonts w:cs="Arial"/>
                <w:color w:val="0D0D0D" w:themeColor="text1" w:themeTint="F2"/>
                <w:szCs w:val="20"/>
              </w:rPr>
              <w:t>íc</w:t>
            </w:r>
            <w:r w:rsidRPr="009110F7">
              <w:rPr>
                <w:rFonts w:cs="Arial"/>
                <w:color w:val="0D0D0D" w:themeColor="text1" w:themeTint="F2"/>
                <w:szCs w:val="20"/>
              </w:rPr>
              <w:t>.</w:t>
            </w:r>
          </w:p>
        </w:tc>
      </w:tr>
      <w:tr w:rsidR="00935BD4" w:rsidRPr="009110F7" w:rsidTr="00965797">
        <w:trPr>
          <w:trHeight w:val="170"/>
        </w:trPr>
        <w:tc>
          <w:tcPr>
            <w:tcW w:w="1878" w:type="dxa"/>
            <w:shd w:val="clear" w:color="auto" w:fill="auto"/>
            <w:tcMar>
              <w:left w:w="0" w:type="dxa"/>
            </w:tcMar>
          </w:tcPr>
          <w:p w:rsidR="00935BD4" w:rsidRPr="009110F7" w:rsidRDefault="00935BD4" w:rsidP="00965797">
            <w:pPr>
              <w:pStyle w:val="Marginlie"/>
            </w:pPr>
            <w:r w:rsidRPr="009110F7">
              <w:t xml:space="preserve">Míra zaměstnanosti rostla podobným tempem </w:t>
            </w:r>
            <w:r w:rsidR="00716F48" w:rsidRPr="009110F7">
              <w:t>u </w:t>
            </w:r>
            <w:r w:rsidRPr="009110F7">
              <w:t xml:space="preserve">obou pohlaví. </w:t>
            </w:r>
            <w:r w:rsidR="00716F48" w:rsidRPr="009110F7">
              <w:t>U </w:t>
            </w:r>
            <w:r w:rsidRPr="009110F7">
              <w:t>mužů atakovala hranici 82</w:t>
            </w:r>
            <w:r w:rsidR="00167CB9" w:rsidRPr="009110F7">
              <w:t> %</w:t>
            </w:r>
            <w:r w:rsidRPr="009110F7">
              <w:t xml:space="preserve"> </w:t>
            </w:r>
            <w:r w:rsidR="00716F48" w:rsidRPr="009110F7">
              <w:t>a </w:t>
            </w:r>
            <w:r w:rsidRPr="009110F7">
              <w:t>nadále držela primát mezi státy EU.</w:t>
            </w:r>
          </w:p>
        </w:tc>
        <w:tc>
          <w:tcPr>
            <w:tcW w:w="247" w:type="dxa"/>
            <w:shd w:val="clear" w:color="auto" w:fill="auto"/>
            <w:tcMar>
              <w:left w:w="0" w:type="dxa"/>
            </w:tcMar>
          </w:tcPr>
          <w:p w:rsidR="00935BD4" w:rsidRPr="009110F7" w:rsidRDefault="00935BD4" w:rsidP="00965797">
            <w:pPr>
              <w:pStyle w:val="Textpoznpodarou"/>
              <w:jc w:val="both"/>
              <w:rPr>
                <w:spacing w:val="-4"/>
              </w:rPr>
            </w:pPr>
          </w:p>
        </w:tc>
        <w:tc>
          <w:tcPr>
            <w:tcW w:w="7514" w:type="dxa"/>
            <w:shd w:val="clear" w:color="auto" w:fill="auto"/>
            <w:tcMar>
              <w:left w:w="0" w:type="dxa"/>
            </w:tcMar>
          </w:tcPr>
          <w:p w:rsidR="00935BD4" w:rsidRPr="009110F7" w:rsidRDefault="00935BD4" w:rsidP="00935BD4">
            <w:pPr>
              <w:spacing w:after="200"/>
              <w:rPr>
                <w:rFonts w:cs="Arial"/>
                <w:spacing w:val="-4"/>
              </w:rPr>
            </w:pPr>
            <w:r w:rsidRPr="009110F7">
              <w:rPr>
                <w:rFonts w:cs="Arial"/>
                <w:spacing w:val="-4"/>
              </w:rPr>
              <w:t xml:space="preserve">Výše uvedené vlivy se promítly </w:t>
            </w:r>
            <w:r w:rsidR="00716F48" w:rsidRPr="009110F7">
              <w:rPr>
                <w:rFonts w:cs="Arial"/>
                <w:spacing w:val="-4"/>
              </w:rPr>
              <w:t>i </w:t>
            </w:r>
            <w:r w:rsidRPr="009110F7">
              <w:rPr>
                <w:rFonts w:cs="Arial"/>
                <w:spacing w:val="-4"/>
              </w:rPr>
              <w:t>do rostoucí míry zaměstnanosti. Ve věkové skupině 15–64 pracovalo na konci března (dle sezónně očištěných dat) 67,3</w:t>
            </w:r>
            <w:r w:rsidR="00167CB9" w:rsidRPr="009110F7">
              <w:rPr>
                <w:rFonts w:cs="Arial"/>
                <w:spacing w:val="-4"/>
              </w:rPr>
              <w:t> %</w:t>
            </w:r>
            <w:r w:rsidRPr="009110F7">
              <w:rPr>
                <w:rFonts w:cs="Arial"/>
                <w:spacing w:val="-4"/>
              </w:rPr>
              <w:t xml:space="preserve"> žen </w:t>
            </w:r>
            <w:r w:rsidR="00716F48" w:rsidRPr="009110F7">
              <w:rPr>
                <w:rFonts w:cs="Arial"/>
                <w:spacing w:val="-4"/>
              </w:rPr>
              <w:t>a </w:t>
            </w:r>
            <w:r w:rsidRPr="009110F7">
              <w:rPr>
                <w:rFonts w:cs="Arial"/>
                <w:spacing w:val="-4"/>
              </w:rPr>
              <w:t>81,8</w:t>
            </w:r>
            <w:r w:rsidR="00167CB9" w:rsidRPr="009110F7">
              <w:rPr>
                <w:rFonts w:cs="Arial"/>
                <w:spacing w:val="-4"/>
              </w:rPr>
              <w:t> %</w:t>
            </w:r>
            <w:r w:rsidRPr="009110F7">
              <w:rPr>
                <w:rFonts w:cs="Arial"/>
                <w:spacing w:val="-4"/>
              </w:rPr>
              <w:t xml:space="preserve"> mužů. </w:t>
            </w:r>
            <w:r w:rsidRPr="009110F7">
              <w:rPr>
                <w:rFonts w:cs="Arial"/>
                <w:color w:val="0D0D0D" w:themeColor="text1" w:themeTint="F2"/>
                <w:spacing w:val="-4"/>
              </w:rPr>
              <w:t xml:space="preserve">Zaměstnanost mužů byla již více než rok nejvyšší ze všech států EU. Zaměstnanost žen řadila ČR nadále až na jedenácté místo </w:t>
            </w:r>
            <w:r w:rsidR="00716F48" w:rsidRPr="009110F7">
              <w:rPr>
                <w:rFonts w:cs="Arial"/>
                <w:color w:val="0D0D0D" w:themeColor="text1" w:themeTint="F2"/>
                <w:spacing w:val="-4"/>
              </w:rPr>
              <w:t>i </w:t>
            </w:r>
            <w:r w:rsidRPr="009110F7">
              <w:rPr>
                <w:rFonts w:cs="Arial"/>
                <w:color w:val="0D0D0D" w:themeColor="text1" w:themeTint="F2"/>
                <w:spacing w:val="-4"/>
              </w:rPr>
              <w:t xml:space="preserve">přesto, že se meziročně zvyšovala dvojnásobně vyšším tempem než v Unii. V míře zaměstnanosti žen, podmíněné zčásti </w:t>
            </w:r>
            <w:r w:rsidR="00716F48" w:rsidRPr="009110F7">
              <w:rPr>
                <w:rFonts w:cs="Arial"/>
                <w:color w:val="0D0D0D" w:themeColor="text1" w:themeTint="F2"/>
                <w:spacing w:val="-4"/>
              </w:rPr>
              <w:t>i </w:t>
            </w:r>
            <w:r w:rsidRPr="009110F7">
              <w:rPr>
                <w:rFonts w:cs="Arial"/>
                <w:color w:val="0D0D0D" w:themeColor="text1" w:themeTint="F2"/>
                <w:spacing w:val="-4"/>
              </w:rPr>
              <w:t>kulturními vlivy, však panují mezi státy EU velké rozdíly (od 75</w:t>
            </w:r>
            <w:r w:rsidR="00167CB9" w:rsidRPr="009110F7">
              <w:rPr>
                <w:rFonts w:cs="Arial"/>
                <w:color w:val="0D0D0D" w:themeColor="text1" w:themeTint="F2"/>
                <w:spacing w:val="-4"/>
              </w:rPr>
              <w:t> %</w:t>
            </w:r>
            <w:r w:rsidRPr="009110F7">
              <w:rPr>
                <w:rFonts w:cs="Arial"/>
                <w:color w:val="0D0D0D" w:themeColor="text1" w:themeTint="F2"/>
                <w:spacing w:val="-4"/>
              </w:rPr>
              <w:t xml:space="preserve"> ve Švédsku či 73</w:t>
            </w:r>
            <w:r w:rsidR="00167CB9" w:rsidRPr="009110F7">
              <w:rPr>
                <w:rFonts w:cs="Arial"/>
                <w:color w:val="0D0D0D" w:themeColor="text1" w:themeTint="F2"/>
                <w:spacing w:val="-4"/>
              </w:rPr>
              <w:t> %</w:t>
            </w:r>
            <w:r w:rsidRPr="009110F7">
              <w:rPr>
                <w:rFonts w:cs="Arial"/>
                <w:color w:val="0D0D0D" w:themeColor="text1" w:themeTint="F2"/>
                <w:spacing w:val="-4"/>
              </w:rPr>
              <w:t xml:space="preserve"> v Estonsku po 49</w:t>
            </w:r>
            <w:r w:rsidR="00167CB9" w:rsidRPr="009110F7">
              <w:rPr>
                <w:rFonts w:cs="Arial"/>
                <w:color w:val="0D0D0D" w:themeColor="text1" w:themeTint="F2"/>
                <w:spacing w:val="-4"/>
              </w:rPr>
              <w:t> %</w:t>
            </w:r>
            <w:r w:rsidRPr="009110F7">
              <w:rPr>
                <w:rFonts w:cs="Arial"/>
                <w:color w:val="0D0D0D" w:themeColor="text1" w:themeTint="F2"/>
                <w:spacing w:val="-4"/>
              </w:rPr>
              <w:t xml:space="preserve"> v Itálii </w:t>
            </w:r>
            <w:r w:rsidR="00716F48" w:rsidRPr="009110F7">
              <w:rPr>
                <w:rFonts w:cs="Arial"/>
                <w:color w:val="0D0D0D" w:themeColor="text1" w:themeTint="F2"/>
                <w:spacing w:val="-4"/>
              </w:rPr>
              <w:t>a </w:t>
            </w:r>
            <w:r w:rsidRPr="009110F7">
              <w:rPr>
                <w:rFonts w:cs="Arial"/>
                <w:color w:val="0D0D0D" w:themeColor="text1" w:themeTint="F2"/>
                <w:spacing w:val="-4"/>
              </w:rPr>
              <w:t>44</w:t>
            </w:r>
            <w:r w:rsidR="00167CB9" w:rsidRPr="009110F7">
              <w:rPr>
                <w:rFonts w:cs="Arial"/>
                <w:color w:val="0D0D0D" w:themeColor="text1" w:themeTint="F2"/>
                <w:spacing w:val="-4"/>
              </w:rPr>
              <w:t> %</w:t>
            </w:r>
            <w:r w:rsidRPr="009110F7">
              <w:rPr>
                <w:rFonts w:cs="Arial"/>
                <w:color w:val="0D0D0D" w:themeColor="text1" w:themeTint="F2"/>
                <w:spacing w:val="-4"/>
              </w:rPr>
              <w:t xml:space="preserve"> v Řecku). </w:t>
            </w:r>
          </w:p>
        </w:tc>
      </w:tr>
      <w:tr w:rsidR="00935BD4" w:rsidRPr="009110F7" w:rsidTr="00965797">
        <w:trPr>
          <w:trHeight w:val="170"/>
        </w:trPr>
        <w:tc>
          <w:tcPr>
            <w:tcW w:w="1878" w:type="dxa"/>
            <w:vMerge w:val="restart"/>
            <w:shd w:val="clear" w:color="auto" w:fill="auto"/>
            <w:tcMar>
              <w:left w:w="0" w:type="dxa"/>
            </w:tcMar>
          </w:tcPr>
          <w:p w:rsidR="00935BD4" w:rsidRPr="009110F7" w:rsidRDefault="00935BD4" w:rsidP="00965797">
            <w:pPr>
              <w:pStyle w:val="Marginlie"/>
            </w:pPr>
          </w:p>
        </w:tc>
        <w:tc>
          <w:tcPr>
            <w:tcW w:w="247" w:type="dxa"/>
            <w:vMerge w:val="restart"/>
            <w:shd w:val="clear" w:color="auto" w:fill="auto"/>
            <w:tcMar>
              <w:left w:w="0" w:type="dxa"/>
            </w:tcMar>
          </w:tcPr>
          <w:p w:rsidR="00935BD4" w:rsidRPr="009110F7" w:rsidRDefault="00935BD4" w:rsidP="00965797">
            <w:pPr>
              <w:pStyle w:val="Textpoznpodarou"/>
              <w:jc w:val="both"/>
              <w:rPr>
                <w:spacing w:val="-4"/>
              </w:rPr>
            </w:pPr>
          </w:p>
        </w:tc>
        <w:tc>
          <w:tcPr>
            <w:tcW w:w="7514" w:type="dxa"/>
            <w:shd w:val="clear" w:color="auto" w:fill="auto"/>
            <w:tcMar>
              <w:left w:w="0" w:type="dxa"/>
            </w:tcMar>
          </w:tcPr>
          <w:p w:rsidR="00935BD4" w:rsidRPr="009110F7" w:rsidRDefault="00B8561A" w:rsidP="0015753D">
            <w:pPr>
              <w:spacing w:after="0" w:line="240" w:lineRule="auto"/>
              <w:rPr>
                <w:rFonts w:cs="Arial"/>
                <w:bCs/>
              </w:rPr>
            </w:pPr>
            <w:r>
              <w:rPr>
                <w:rFonts w:cs="Arial"/>
                <w:b/>
                <w:bCs/>
                <w:color w:val="000000"/>
                <w:szCs w:val="20"/>
              </w:rPr>
              <w:t>Graf </w:t>
            </w:r>
            <w:r w:rsidR="00167CB9" w:rsidRPr="009110F7">
              <w:rPr>
                <w:rFonts w:cs="Arial"/>
                <w:b/>
                <w:bCs/>
                <w:color w:val="000000"/>
                <w:szCs w:val="20"/>
              </w:rPr>
              <w:t>č. </w:t>
            </w:r>
            <w:r w:rsidR="00935BD4" w:rsidRPr="009110F7">
              <w:rPr>
                <w:rFonts w:cs="Arial"/>
                <w:b/>
                <w:bCs/>
                <w:color w:val="000000"/>
                <w:szCs w:val="20"/>
              </w:rPr>
              <w:t>14</w:t>
            </w:r>
            <w:r w:rsidR="0015753D">
              <w:rPr>
                <w:b/>
              </w:rPr>
              <w:t xml:space="preserve">  </w:t>
            </w:r>
            <w:r w:rsidR="00935BD4" w:rsidRPr="009110F7">
              <w:rPr>
                <w:b/>
                <w:lang w:eastAsia="en-US"/>
              </w:rPr>
              <w:t xml:space="preserve">Celková zaměstnanost </w:t>
            </w:r>
            <w:r w:rsidR="00935BD4" w:rsidRPr="009110F7">
              <w:rPr>
                <w:lang w:eastAsia="en-US"/>
              </w:rPr>
              <w:t>(</w:t>
            </w:r>
            <w:r w:rsidR="00935BD4" w:rsidRPr="009110F7">
              <w:rPr>
                <w:spacing w:val="-2"/>
              </w:rPr>
              <w:t>meziročně</w:t>
            </w:r>
            <w:r w:rsidR="00935BD4" w:rsidRPr="009110F7">
              <w:rPr>
                <w:bCs/>
                <w:spacing w:val="-2"/>
              </w:rPr>
              <w:t xml:space="preserve"> v</w:t>
            </w:r>
            <w:r w:rsidR="00167CB9" w:rsidRPr="009110F7">
              <w:rPr>
                <w:bCs/>
                <w:spacing w:val="-2"/>
              </w:rPr>
              <w:t> %</w:t>
            </w:r>
            <w:r w:rsidR="00935BD4" w:rsidRPr="009110F7">
              <w:rPr>
                <w:bCs/>
                <w:spacing w:val="-2"/>
              </w:rPr>
              <w:t xml:space="preserve">) </w:t>
            </w:r>
            <w:r w:rsidR="00716F48" w:rsidRPr="009110F7">
              <w:rPr>
                <w:b/>
                <w:bCs/>
                <w:spacing w:val="-2"/>
              </w:rPr>
              <w:t>a </w:t>
            </w:r>
            <w:r w:rsidR="00935BD4" w:rsidRPr="009110F7">
              <w:rPr>
                <w:b/>
                <w:bCs/>
                <w:spacing w:val="-2"/>
              </w:rPr>
              <w:t>příspěvky hlavních odvětví</w:t>
            </w:r>
            <w:r w:rsidR="00161553" w:rsidRPr="009110F7">
              <w:rPr>
                <w:b/>
                <w:bCs/>
                <w:spacing w:val="-2"/>
              </w:rPr>
              <w:t xml:space="preserve"> </w:t>
            </w:r>
            <w:r w:rsidR="00935BD4" w:rsidRPr="009110F7">
              <w:rPr>
                <w:b/>
                <w:bCs/>
                <w:spacing w:val="-2"/>
              </w:rPr>
              <w:t>k meziroční změně zaměstnanosti</w:t>
            </w:r>
            <w:r w:rsidR="00935BD4" w:rsidRPr="009110F7">
              <w:rPr>
                <w:bCs/>
                <w:spacing w:val="-2"/>
              </w:rPr>
              <w:t xml:space="preserve"> (</w:t>
            </w:r>
            <w:r w:rsidR="00716F48" w:rsidRPr="009110F7">
              <w:rPr>
                <w:bCs/>
                <w:spacing w:val="-2"/>
              </w:rPr>
              <w:t>v </w:t>
            </w:r>
            <w:r w:rsidR="00935BD4" w:rsidRPr="009110F7">
              <w:rPr>
                <w:bCs/>
                <w:spacing w:val="-2"/>
              </w:rPr>
              <w:t>procentních bodech)</w:t>
            </w:r>
          </w:p>
        </w:tc>
      </w:tr>
      <w:tr w:rsidR="00935BD4" w:rsidRPr="009110F7" w:rsidTr="00965797">
        <w:trPr>
          <w:trHeight w:val="170"/>
        </w:trPr>
        <w:tc>
          <w:tcPr>
            <w:tcW w:w="1878" w:type="dxa"/>
            <w:vMerge/>
            <w:shd w:val="clear" w:color="auto" w:fill="auto"/>
            <w:tcMar>
              <w:left w:w="0" w:type="dxa"/>
            </w:tcMar>
          </w:tcPr>
          <w:p w:rsidR="00935BD4" w:rsidRPr="009110F7" w:rsidRDefault="00935BD4" w:rsidP="00965797">
            <w:pPr>
              <w:pStyle w:val="Marginlie"/>
            </w:pPr>
          </w:p>
        </w:tc>
        <w:tc>
          <w:tcPr>
            <w:tcW w:w="247" w:type="dxa"/>
            <w:vMerge/>
            <w:shd w:val="clear" w:color="auto" w:fill="auto"/>
            <w:tcMar>
              <w:left w:w="0" w:type="dxa"/>
            </w:tcMar>
          </w:tcPr>
          <w:p w:rsidR="00935BD4" w:rsidRPr="009110F7" w:rsidRDefault="00935BD4" w:rsidP="00965797">
            <w:pPr>
              <w:pStyle w:val="Textpoznpodarou"/>
              <w:jc w:val="both"/>
              <w:rPr>
                <w:spacing w:val="-4"/>
              </w:rPr>
            </w:pPr>
          </w:p>
        </w:tc>
        <w:tc>
          <w:tcPr>
            <w:tcW w:w="7514" w:type="dxa"/>
            <w:shd w:val="clear" w:color="auto" w:fill="auto"/>
            <w:tcMar>
              <w:left w:w="0" w:type="dxa"/>
            </w:tcMar>
          </w:tcPr>
          <w:p w:rsidR="00935BD4" w:rsidRPr="009110F7" w:rsidRDefault="004F12A4" w:rsidP="00965797">
            <w:pPr>
              <w:spacing w:after="0"/>
            </w:pPr>
            <w:r w:rsidRPr="009110F7">
              <w:rPr>
                <w:noProof/>
              </w:rPr>
              <w:drawing>
                <wp:inline distT="0" distB="0" distL="0" distR="0">
                  <wp:extent cx="4726855" cy="3410768"/>
                  <wp:effectExtent l="19050" t="0" r="0" b="0"/>
                  <wp:docPr id="20"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935BD4" w:rsidRPr="009110F7" w:rsidTr="00965797">
        <w:trPr>
          <w:trHeight w:val="170"/>
        </w:trPr>
        <w:tc>
          <w:tcPr>
            <w:tcW w:w="1878" w:type="dxa"/>
            <w:vMerge/>
            <w:shd w:val="clear" w:color="auto" w:fill="auto"/>
            <w:tcMar>
              <w:left w:w="0" w:type="dxa"/>
            </w:tcMar>
          </w:tcPr>
          <w:p w:rsidR="00935BD4" w:rsidRPr="009110F7" w:rsidRDefault="00935BD4" w:rsidP="00965797">
            <w:pPr>
              <w:pStyle w:val="Marginlie"/>
            </w:pPr>
          </w:p>
        </w:tc>
        <w:tc>
          <w:tcPr>
            <w:tcW w:w="247" w:type="dxa"/>
            <w:vMerge/>
            <w:shd w:val="clear" w:color="auto" w:fill="auto"/>
            <w:tcMar>
              <w:left w:w="0" w:type="dxa"/>
            </w:tcMar>
          </w:tcPr>
          <w:p w:rsidR="00935BD4" w:rsidRPr="009110F7" w:rsidRDefault="00935BD4" w:rsidP="00965797">
            <w:pPr>
              <w:pStyle w:val="Textpoznpodarou"/>
              <w:jc w:val="both"/>
              <w:rPr>
                <w:spacing w:val="-4"/>
              </w:rPr>
            </w:pPr>
          </w:p>
        </w:tc>
        <w:tc>
          <w:tcPr>
            <w:tcW w:w="7514" w:type="dxa"/>
            <w:shd w:val="clear" w:color="auto" w:fill="auto"/>
            <w:tcMar>
              <w:left w:w="0" w:type="dxa"/>
            </w:tcMar>
          </w:tcPr>
          <w:p w:rsidR="00935BD4" w:rsidRPr="009110F7" w:rsidRDefault="00935BD4" w:rsidP="00965797">
            <w:pPr>
              <w:spacing w:after="0"/>
              <w:jc w:val="left"/>
              <w:rPr>
                <w:rFonts w:cs="Arial"/>
                <w:sz w:val="14"/>
                <w:szCs w:val="14"/>
              </w:rPr>
            </w:pPr>
            <w:r w:rsidRPr="009110F7">
              <w:rPr>
                <w:rFonts w:cs="Arial"/>
                <w:sz w:val="14"/>
                <w:szCs w:val="14"/>
              </w:rPr>
              <w:t xml:space="preserve">*Zahrnuje odvětví: Těžba </w:t>
            </w:r>
            <w:r w:rsidR="00716F48" w:rsidRPr="009110F7">
              <w:rPr>
                <w:rFonts w:cs="Arial"/>
                <w:sz w:val="14"/>
                <w:szCs w:val="14"/>
              </w:rPr>
              <w:t>a </w:t>
            </w:r>
            <w:r w:rsidRPr="009110F7">
              <w:rPr>
                <w:rFonts w:cs="Arial"/>
                <w:sz w:val="14"/>
                <w:szCs w:val="14"/>
              </w:rPr>
              <w:t xml:space="preserve">energetika, Peněžnictví </w:t>
            </w:r>
            <w:r w:rsidR="00716F48" w:rsidRPr="009110F7">
              <w:rPr>
                <w:rFonts w:cs="Arial"/>
                <w:sz w:val="14"/>
                <w:szCs w:val="14"/>
              </w:rPr>
              <w:t>a </w:t>
            </w:r>
            <w:r w:rsidRPr="009110F7">
              <w:rPr>
                <w:rFonts w:cs="Arial"/>
                <w:sz w:val="14"/>
                <w:szCs w:val="14"/>
              </w:rPr>
              <w:t xml:space="preserve">pojišťovnictví, Činnosti </w:t>
            </w:r>
            <w:r w:rsidR="00716F48" w:rsidRPr="009110F7">
              <w:rPr>
                <w:rFonts w:cs="Arial"/>
                <w:sz w:val="14"/>
                <w:szCs w:val="14"/>
              </w:rPr>
              <w:t>v </w:t>
            </w:r>
            <w:r w:rsidRPr="009110F7">
              <w:rPr>
                <w:rFonts w:cs="Arial"/>
                <w:sz w:val="14"/>
                <w:szCs w:val="14"/>
              </w:rPr>
              <w:t xml:space="preserve">oblasti nemovitostí, Kulturní, zábavní </w:t>
            </w:r>
            <w:r w:rsidR="00716F48" w:rsidRPr="009110F7">
              <w:rPr>
                <w:rFonts w:cs="Arial"/>
                <w:sz w:val="14"/>
                <w:szCs w:val="14"/>
              </w:rPr>
              <w:t>a </w:t>
            </w:r>
            <w:r w:rsidRPr="009110F7">
              <w:rPr>
                <w:rFonts w:cs="Arial"/>
                <w:sz w:val="14"/>
                <w:szCs w:val="14"/>
              </w:rPr>
              <w:t>rekreační činnosti, Ostatní služby.                                                                                            Zdroj: ČSÚ (národní účty)</w:t>
            </w:r>
          </w:p>
        </w:tc>
      </w:tr>
      <w:tr w:rsidR="00935BD4" w:rsidRPr="009110F7" w:rsidTr="00965797">
        <w:trPr>
          <w:trHeight w:val="145"/>
        </w:trPr>
        <w:tc>
          <w:tcPr>
            <w:tcW w:w="1878" w:type="dxa"/>
            <w:shd w:val="clear" w:color="auto" w:fill="auto"/>
            <w:tcMar>
              <w:left w:w="0" w:type="dxa"/>
            </w:tcMar>
          </w:tcPr>
          <w:p w:rsidR="00935BD4" w:rsidRPr="009110F7" w:rsidRDefault="00716F48" w:rsidP="00965797">
            <w:pPr>
              <w:pStyle w:val="Marginlie"/>
            </w:pPr>
            <w:r w:rsidRPr="009110F7">
              <w:lastRenderedPageBreak/>
              <w:t>K </w:t>
            </w:r>
            <w:r w:rsidR="00935BD4" w:rsidRPr="009110F7">
              <w:t>meziročnímu růstu zaměstnanosti letos přispěli téměř výhradně jen zaměstnanci.</w:t>
            </w:r>
          </w:p>
          <w:p w:rsidR="00935BD4" w:rsidRPr="009110F7" w:rsidRDefault="00935BD4" w:rsidP="00965797">
            <w:pPr>
              <w:pStyle w:val="Marginlie"/>
            </w:pPr>
          </w:p>
          <w:p w:rsidR="00935BD4" w:rsidRPr="009110F7" w:rsidRDefault="00935BD4" w:rsidP="00965797">
            <w:pPr>
              <w:pStyle w:val="Marginlie"/>
            </w:pPr>
          </w:p>
          <w:p w:rsidR="00935BD4" w:rsidRPr="009110F7" w:rsidRDefault="00935BD4" w:rsidP="00965797">
            <w:pPr>
              <w:pStyle w:val="Marginlie"/>
            </w:pPr>
          </w:p>
          <w:p w:rsidR="00935BD4" w:rsidRPr="009110F7" w:rsidRDefault="00935BD4" w:rsidP="00965797">
            <w:pPr>
              <w:pStyle w:val="Marginlie"/>
            </w:pPr>
          </w:p>
          <w:p w:rsidR="00935BD4" w:rsidRPr="009110F7" w:rsidRDefault="00935BD4" w:rsidP="00965797">
            <w:pPr>
              <w:pStyle w:val="Marginlie"/>
            </w:pPr>
          </w:p>
          <w:p w:rsidR="00935BD4" w:rsidRPr="009110F7" w:rsidRDefault="00935BD4" w:rsidP="00965797">
            <w:pPr>
              <w:pStyle w:val="Marginlie"/>
            </w:pPr>
          </w:p>
          <w:p w:rsidR="00167CB9" w:rsidRPr="009110F7" w:rsidRDefault="00935BD4" w:rsidP="00965797">
            <w:pPr>
              <w:pStyle w:val="Marginlie"/>
            </w:pPr>
            <w:r w:rsidRPr="009110F7">
              <w:t>Těžiště tvorby nových pracovních míst bylo nadále v terciární sféře. Růst zaměstnanosti ve zpracovatelském průmyslu po výraznějším loňském zvolnění letos opět mírně zrychlil.</w:t>
            </w:r>
          </w:p>
          <w:p w:rsidR="00935BD4" w:rsidRPr="009110F7" w:rsidRDefault="00935BD4" w:rsidP="00965797">
            <w:pPr>
              <w:pStyle w:val="Marginlie"/>
            </w:pPr>
          </w:p>
        </w:tc>
        <w:tc>
          <w:tcPr>
            <w:tcW w:w="247" w:type="dxa"/>
            <w:shd w:val="clear" w:color="auto" w:fill="auto"/>
            <w:tcMar>
              <w:left w:w="0" w:type="dxa"/>
            </w:tcMar>
          </w:tcPr>
          <w:p w:rsidR="00935BD4" w:rsidRPr="009110F7" w:rsidRDefault="00935BD4" w:rsidP="00965797">
            <w:pPr>
              <w:pStyle w:val="Textpoznpodarou"/>
              <w:jc w:val="both"/>
              <w:rPr>
                <w:spacing w:val="-4"/>
              </w:rPr>
            </w:pPr>
          </w:p>
        </w:tc>
        <w:tc>
          <w:tcPr>
            <w:tcW w:w="7514" w:type="dxa"/>
            <w:shd w:val="clear" w:color="auto" w:fill="auto"/>
            <w:tcMar>
              <w:left w:w="0" w:type="dxa"/>
            </w:tcMar>
          </w:tcPr>
          <w:p w:rsidR="00935BD4" w:rsidRPr="009110F7" w:rsidRDefault="00935BD4" w:rsidP="00965797">
            <w:pPr>
              <w:rPr>
                <w:rFonts w:cs="Arial"/>
                <w:color w:val="0D0D0D" w:themeColor="text1" w:themeTint="F2"/>
                <w:spacing w:val="-4"/>
              </w:rPr>
            </w:pPr>
            <w:r w:rsidRPr="009110F7">
              <w:rPr>
                <w:rFonts w:cs="Arial"/>
                <w:color w:val="0D0D0D" w:themeColor="text1" w:themeTint="F2"/>
                <w:spacing w:val="-4"/>
              </w:rPr>
              <w:t xml:space="preserve">Za meziročním navýšením celkové zaměstnanosti letos stáli téměř výhradně jen zaměstnanci. Počty </w:t>
            </w:r>
            <w:proofErr w:type="spellStart"/>
            <w:r w:rsidRPr="009110F7">
              <w:rPr>
                <w:rFonts w:cs="Arial"/>
                <w:color w:val="0D0D0D" w:themeColor="text1" w:themeTint="F2"/>
                <w:spacing w:val="-4"/>
              </w:rPr>
              <w:t>sebezaměstnaných</w:t>
            </w:r>
            <w:proofErr w:type="spellEnd"/>
            <w:r w:rsidRPr="009110F7">
              <w:rPr>
                <w:rFonts w:cs="Arial"/>
                <w:color w:val="0D0D0D" w:themeColor="text1" w:themeTint="F2"/>
                <w:spacing w:val="-4"/>
              </w:rPr>
              <w:t xml:space="preserve"> fakticky stagnovaly, k čemuž přispěla </w:t>
            </w:r>
            <w:r w:rsidR="00716F48" w:rsidRPr="009110F7">
              <w:rPr>
                <w:rFonts w:cs="Arial"/>
                <w:color w:val="0D0D0D" w:themeColor="text1" w:themeTint="F2"/>
                <w:spacing w:val="-4"/>
              </w:rPr>
              <w:t>i </w:t>
            </w:r>
            <w:r w:rsidRPr="009110F7">
              <w:rPr>
                <w:rFonts w:cs="Arial"/>
                <w:color w:val="0D0D0D" w:themeColor="text1" w:themeTint="F2"/>
                <w:spacing w:val="-4"/>
              </w:rPr>
              <w:t>vyšší loňská základna (</w:t>
            </w:r>
            <w:r w:rsidR="00716F48" w:rsidRPr="009110F7">
              <w:rPr>
                <w:rFonts w:cs="Arial"/>
                <w:color w:val="0D0D0D" w:themeColor="text1" w:themeTint="F2"/>
                <w:spacing w:val="-4"/>
              </w:rPr>
              <w:t>v </w:t>
            </w:r>
            <w:r w:rsidRPr="009110F7">
              <w:rPr>
                <w:rFonts w:cs="Arial"/>
                <w:color w:val="0D0D0D" w:themeColor="text1" w:themeTint="F2"/>
                <w:spacing w:val="-4"/>
              </w:rPr>
              <w:t>1</w:t>
            </w:r>
            <w:r w:rsidR="00716F48" w:rsidRPr="009110F7">
              <w:rPr>
                <w:rFonts w:cs="Arial"/>
                <w:color w:val="0D0D0D" w:themeColor="text1" w:themeTint="F2"/>
                <w:spacing w:val="-4"/>
              </w:rPr>
              <w:t>. čtvrt</w:t>
            </w:r>
            <w:r w:rsidRPr="009110F7">
              <w:rPr>
                <w:rFonts w:cs="Arial"/>
                <w:color w:val="0D0D0D" w:themeColor="text1" w:themeTint="F2"/>
                <w:spacing w:val="-4"/>
              </w:rPr>
              <w:t xml:space="preserve">letí 2017 se jejich počty meziročně zvýšily </w:t>
            </w:r>
            <w:r w:rsidR="00716F48" w:rsidRPr="009110F7">
              <w:rPr>
                <w:rFonts w:cs="Arial"/>
                <w:color w:val="0D0D0D" w:themeColor="text1" w:themeTint="F2"/>
                <w:spacing w:val="-4"/>
              </w:rPr>
              <w:t>o </w:t>
            </w:r>
            <w:r w:rsidRPr="009110F7">
              <w:rPr>
                <w:rFonts w:cs="Arial"/>
                <w:color w:val="0D0D0D" w:themeColor="text1" w:themeTint="F2"/>
                <w:spacing w:val="-4"/>
              </w:rPr>
              <w:t>téměř 5</w:t>
            </w:r>
            <w:r w:rsidR="00167CB9" w:rsidRPr="009110F7">
              <w:rPr>
                <w:rFonts w:cs="Arial"/>
                <w:color w:val="0D0D0D" w:themeColor="text1" w:themeTint="F2"/>
                <w:spacing w:val="-4"/>
              </w:rPr>
              <w:t> %</w:t>
            </w:r>
            <w:r w:rsidRPr="009110F7">
              <w:rPr>
                <w:rFonts w:cs="Arial"/>
                <w:color w:val="0D0D0D" w:themeColor="text1" w:themeTint="F2"/>
                <w:spacing w:val="-4"/>
              </w:rPr>
              <w:t xml:space="preserve">). Podnikatelů přibývalo letos </w:t>
            </w:r>
            <w:r w:rsidR="00716F48" w:rsidRPr="009110F7">
              <w:rPr>
                <w:rFonts w:cs="Arial"/>
                <w:color w:val="0D0D0D" w:themeColor="text1" w:themeTint="F2"/>
                <w:spacing w:val="-4"/>
              </w:rPr>
              <w:t>i </w:t>
            </w:r>
            <w:r w:rsidRPr="009110F7">
              <w:rPr>
                <w:rFonts w:cs="Arial"/>
                <w:color w:val="0D0D0D" w:themeColor="text1" w:themeTint="F2"/>
                <w:spacing w:val="-4"/>
              </w:rPr>
              <w:t xml:space="preserve">vloni jen ve zpracovatelském průmyslu. Z hlediska odvětvové skladby celkové zaměstnanosti pokračoval trend posilování terciárního sektoru. Role zpracovatelského průmyslu, jenž intenzivně nabíral pracovníky v letech 2015 </w:t>
            </w:r>
            <w:r w:rsidR="00716F48" w:rsidRPr="009110F7">
              <w:rPr>
                <w:rFonts w:cs="Arial"/>
                <w:color w:val="0D0D0D" w:themeColor="text1" w:themeTint="F2"/>
                <w:spacing w:val="-4"/>
              </w:rPr>
              <w:t>i </w:t>
            </w:r>
            <w:r w:rsidRPr="009110F7">
              <w:rPr>
                <w:rFonts w:cs="Arial"/>
                <w:color w:val="0D0D0D" w:themeColor="text1" w:themeTint="F2"/>
                <w:spacing w:val="-4"/>
              </w:rPr>
              <w:t>2016, postupně slábla, stále však zůstávala významn</w:t>
            </w:r>
            <w:r w:rsidR="00486A4D">
              <w:rPr>
                <w:rFonts w:cs="Arial"/>
                <w:color w:val="0D0D0D" w:themeColor="text1" w:themeTint="F2"/>
                <w:spacing w:val="-4"/>
              </w:rPr>
              <w:t>ou</w:t>
            </w:r>
            <w:r w:rsidRPr="009110F7">
              <w:rPr>
                <w:rFonts w:cs="Arial"/>
                <w:color w:val="0D0D0D" w:themeColor="text1" w:themeTint="F2"/>
                <w:spacing w:val="-4"/>
              </w:rPr>
              <w:t xml:space="preserve"> (v 1</w:t>
            </w:r>
            <w:r w:rsidR="00716F48" w:rsidRPr="009110F7">
              <w:rPr>
                <w:rFonts w:cs="Arial"/>
                <w:color w:val="0D0D0D" w:themeColor="text1" w:themeTint="F2"/>
                <w:spacing w:val="-4"/>
              </w:rPr>
              <w:t>. čtvrt</w:t>
            </w:r>
            <w:r w:rsidRPr="009110F7">
              <w:rPr>
                <w:rFonts w:cs="Arial"/>
                <w:color w:val="0D0D0D" w:themeColor="text1" w:themeTint="F2"/>
                <w:spacing w:val="-4"/>
              </w:rPr>
              <w:t xml:space="preserve">letí 2018 se </w:t>
            </w:r>
            <w:r w:rsidR="00486A4D">
              <w:rPr>
                <w:rFonts w:cs="Arial"/>
                <w:color w:val="0D0D0D" w:themeColor="text1" w:themeTint="F2"/>
                <w:spacing w:val="-4"/>
              </w:rPr>
              <w:t xml:space="preserve">zpracovatelský průmysl </w:t>
            </w:r>
            <w:r w:rsidRPr="009110F7">
              <w:rPr>
                <w:rFonts w:cs="Arial"/>
                <w:color w:val="0D0D0D" w:themeColor="text1" w:themeTint="F2"/>
                <w:spacing w:val="-4"/>
              </w:rPr>
              <w:t>na meziročním růstu celkové zaměstnanosti podílel více než třetinou). Klíčový však zůstal příspěvek sektoru služeb (+6</w:t>
            </w:r>
            <w:r w:rsidR="00167CB9" w:rsidRPr="009110F7">
              <w:rPr>
                <w:rFonts w:cs="Arial"/>
                <w:color w:val="0D0D0D" w:themeColor="text1" w:themeTint="F2"/>
                <w:spacing w:val="-4"/>
              </w:rPr>
              <w:t>2 </w:t>
            </w:r>
            <w:r w:rsidRPr="009110F7">
              <w:rPr>
                <w:rFonts w:cs="Arial"/>
                <w:color w:val="0D0D0D" w:themeColor="text1" w:themeTint="F2"/>
                <w:spacing w:val="-4"/>
              </w:rPr>
              <w:t xml:space="preserve">tis., </w:t>
            </w:r>
            <w:r w:rsidR="00716F48" w:rsidRPr="009110F7">
              <w:rPr>
                <w:rFonts w:cs="Arial"/>
                <w:color w:val="0D0D0D" w:themeColor="text1" w:themeTint="F2"/>
                <w:spacing w:val="-4"/>
              </w:rPr>
              <w:t>o </w:t>
            </w:r>
            <w:r w:rsidRPr="009110F7">
              <w:rPr>
                <w:rFonts w:cs="Arial"/>
                <w:color w:val="0D0D0D" w:themeColor="text1" w:themeTint="F2"/>
                <w:spacing w:val="-4"/>
              </w:rPr>
              <w:t>rok dříve +7</w:t>
            </w:r>
            <w:r w:rsidR="00167CB9" w:rsidRPr="009110F7">
              <w:rPr>
                <w:rFonts w:cs="Arial"/>
                <w:color w:val="0D0D0D" w:themeColor="text1" w:themeTint="F2"/>
                <w:spacing w:val="-4"/>
              </w:rPr>
              <w:t>0 </w:t>
            </w:r>
            <w:r w:rsidRPr="009110F7">
              <w:rPr>
                <w:rFonts w:cs="Arial"/>
                <w:color w:val="0D0D0D" w:themeColor="text1" w:themeTint="F2"/>
                <w:spacing w:val="-4"/>
              </w:rPr>
              <w:t>tis.). Nejvíce letos navyšovalo stavy pracovníků dlouhodobě růstové odvětví informačních a komunikačních činností (+4,1 %). K růstu sektoru služeb ale nejvíce přispěla váhově významná odvětví s dominancí státu (+2,6</w:t>
            </w:r>
            <w:r w:rsidR="00167CB9" w:rsidRPr="009110F7">
              <w:rPr>
                <w:rFonts w:cs="Arial"/>
                <w:color w:val="0D0D0D" w:themeColor="text1" w:themeTint="F2"/>
                <w:spacing w:val="-4"/>
              </w:rPr>
              <w:t> %</w:t>
            </w:r>
            <w:r w:rsidRPr="009110F7">
              <w:rPr>
                <w:rFonts w:cs="Arial"/>
                <w:color w:val="0D0D0D" w:themeColor="text1" w:themeTint="F2"/>
                <w:spacing w:val="-4"/>
              </w:rPr>
              <w:t xml:space="preserve">), kde sílila zaměstnanost ve vzdělávání </w:t>
            </w:r>
            <w:r w:rsidR="00716F48" w:rsidRPr="009110F7">
              <w:rPr>
                <w:rFonts w:cs="Arial"/>
                <w:color w:val="0D0D0D" w:themeColor="text1" w:themeTint="F2"/>
                <w:spacing w:val="-4"/>
              </w:rPr>
              <w:t>i </w:t>
            </w:r>
            <w:r w:rsidRPr="009110F7">
              <w:rPr>
                <w:rFonts w:cs="Arial"/>
                <w:color w:val="0D0D0D" w:themeColor="text1" w:themeTint="F2"/>
                <w:spacing w:val="-4"/>
              </w:rPr>
              <w:t xml:space="preserve">v oblastech souvisejících s bezpečností státu. Naopak peněžnictví </w:t>
            </w:r>
            <w:r w:rsidR="00716F48" w:rsidRPr="009110F7">
              <w:rPr>
                <w:rFonts w:cs="Arial"/>
                <w:color w:val="0D0D0D" w:themeColor="text1" w:themeTint="F2"/>
                <w:spacing w:val="-4"/>
              </w:rPr>
              <w:t>a </w:t>
            </w:r>
            <w:r w:rsidRPr="009110F7">
              <w:rPr>
                <w:rFonts w:cs="Arial"/>
                <w:color w:val="0D0D0D" w:themeColor="text1" w:themeTint="F2"/>
                <w:spacing w:val="-4"/>
              </w:rPr>
              <w:t xml:space="preserve">pojišťovnictví navázalo na loňský mírný pokles zaměstnanosti. Obsazených pracovních míst letos nepřibývalo ani v primárním sektoru </w:t>
            </w:r>
            <w:r w:rsidR="00716F48" w:rsidRPr="009110F7">
              <w:rPr>
                <w:rFonts w:cs="Arial"/>
                <w:color w:val="0D0D0D" w:themeColor="text1" w:themeTint="F2"/>
                <w:spacing w:val="-4"/>
              </w:rPr>
              <w:t>a </w:t>
            </w:r>
            <w:r w:rsidRPr="009110F7">
              <w:rPr>
                <w:rFonts w:cs="Arial"/>
                <w:color w:val="0D0D0D" w:themeColor="text1" w:themeTint="F2"/>
                <w:spacing w:val="-4"/>
              </w:rPr>
              <w:t xml:space="preserve">také </w:t>
            </w:r>
            <w:r w:rsidR="009624D2">
              <w:rPr>
                <w:rFonts w:cs="Arial"/>
                <w:color w:val="0D0D0D" w:themeColor="text1" w:themeTint="F2"/>
                <w:spacing w:val="-4"/>
              </w:rPr>
              <w:t xml:space="preserve">ve </w:t>
            </w:r>
            <w:r w:rsidRPr="009110F7">
              <w:rPr>
                <w:rFonts w:cs="Arial"/>
                <w:color w:val="0D0D0D" w:themeColor="text1" w:themeTint="F2"/>
                <w:spacing w:val="-4"/>
              </w:rPr>
              <w:t>stavebnictví, kde mírn</w:t>
            </w:r>
            <w:r w:rsidR="009624D2">
              <w:rPr>
                <w:rFonts w:cs="Arial"/>
                <w:color w:val="0D0D0D" w:themeColor="text1" w:themeTint="F2"/>
                <w:spacing w:val="-4"/>
              </w:rPr>
              <w:t>é</w:t>
            </w:r>
            <w:r w:rsidRPr="009110F7">
              <w:rPr>
                <w:rFonts w:cs="Arial"/>
                <w:color w:val="0D0D0D" w:themeColor="text1" w:themeTint="F2"/>
                <w:spacing w:val="-4"/>
              </w:rPr>
              <w:t xml:space="preserve"> loňské oživení vlivem nárůstu podnikatelské aktivity již nepokračovalo.</w:t>
            </w:r>
          </w:p>
        </w:tc>
      </w:tr>
      <w:tr w:rsidR="00935BD4" w:rsidRPr="009110F7" w:rsidTr="00965797">
        <w:trPr>
          <w:trHeight w:val="145"/>
        </w:trPr>
        <w:tc>
          <w:tcPr>
            <w:tcW w:w="1878" w:type="dxa"/>
            <w:shd w:val="clear" w:color="auto" w:fill="auto"/>
            <w:tcMar>
              <w:left w:w="0" w:type="dxa"/>
            </w:tcMar>
          </w:tcPr>
          <w:p w:rsidR="00935BD4" w:rsidRPr="009110F7" w:rsidRDefault="00935BD4" w:rsidP="00965797">
            <w:pPr>
              <w:pStyle w:val="Marginlie"/>
            </w:pPr>
          </w:p>
        </w:tc>
        <w:tc>
          <w:tcPr>
            <w:tcW w:w="247" w:type="dxa"/>
            <w:shd w:val="clear" w:color="auto" w:fill="auto"/>
            <w:tcMar>
              <w:left w:w="0" w:type="dxa"/>
            </w:tcMar>
          </w:tcPr>
          <w:p w:rsidR="00935BD4" w:rsidRPr="009110F7" w:rsidRDefault="00935BD4" w:rsidP="00965797">
            <w:pPr>
              <w:pStyle w:val="Textpoznpodarou"/>
              <w:jc w:val="both"/>
              <w:rPr>
                <w:spacing w:val="-4"/>
              </w:rPr>
            </w:pPr>
          </w:p>
        </w:tc>
        <w:tc>
          <w:tcPr>
            <w:tcW w:w="7514" w:type="dxa"/>
            <w:shd w:val="clear" w:color="auto" w:fill="auto"/>
            <w:tcMar>
              <w:left w:w="0" w:type="dxa"/>
            </w:tcMar>
          </w:tcPr>
          <w:p w:rsidR="00935BD4" w:rsidRPr="009110F7" w:rsidRDefault="00B8561A" w:rsidP="00CA37FF">
            <w:pPr>
              <w:pStyle w:val="Textpoznpodarou"/>
            </w:pPr>
            <w:r>
              <w:rPr>
                <w:b/>
              </w:rPr>
              <w:t>Graf </w:t>
            </w:r>
            <w:r w:rsidR="00167CB9" w:rsidRPr="009110F7">
              <w:rPr>
                <w:b/>
              </w:rPr>
              <w:t>č. </w:t>
            </w:r>
            <w:r w:rsidR="00935BD4" w:rsidRPr="009110F7">
              <w:rPr>
                <w:b/>
              </w:rPr>
              <w:t>15</w:t>
            </w:r>
            <w:r w:rsidR="007E1788">
              <w:rPr>
                <w:b/>
              </w:rPr>
              <w:t xml:space="preserve">  </w:t>
            </w:r>
            <w:r w:rsidR="00935BD4" w:rsidRPr="009110F7">
              <w:rPr>
                <w:rFonts w:cs="Arial"/>
                <w:b/>
                <w:bCs/>
                <w:spacing w:val="-2"/>
              </w:rPr>
              <w:t xml:space="preserve">Obecná míra nezaměstnanosti mužů </w:t>
            </w:r>
            <w:r w:rsidR="00716F48" w:rsidRPr="009110F7">
              <w:rPr>
                <w:rFonts w:cs="Arial"/>
                <w:b/>
                <w:bCs/>
                <w:spacing w:val="-2"/>
              </w:rPr>
              <w:t>a </w:t>
            </w:r>
            <w:r w:rsidR="00935BD4" w:rsidRPr="009110F7">
              <w:rPr>
                <w:rFonts w:cs="Arial"/>
                <w:b/>
                <w:bCs/>
                <w:spacing w:val="-2"/>
              </w:rPr>
              <w:t xml:space="preserve">žen </w:t>
            </w:r>
            <w:r w:rsidR="00935BD4" w:rsidRPr="009110F7">
              <w:rPr>
                <w:rFonts w:cs="Arial"/>
                <w:bCs/>
                <w:spacing w:val="-2"/>
              </w:rPr>
              <w:t>(v</w:t>
            </w:r>
            <w:r w:rsidR="00167CB9" w:rsidRPr="009110F7">
              <w:rPr>
                <w:rFonts w:cs="Arial"/>
                <w:bCs/>
                <w:spacing w:val="-2"/>
              </w:rPr>
              <w:t> %</w:t>
            </w:r>
            <w:r w:rsidR="00935BD4" w:rsidRPr="009110F7">
              <w:rPr>
                <w:rFonts w:cs="Arial"/>
                <w:bCs/>
                <w:spacing w:val="-2"/>
              </w:rPr>
              <w:t>, sezónně očištěno)</w:t>
            </w:r>
            <w:r w:rsidR="00935BD4" w:rsidRPr="009110F7">
              <w:rPr>
                <w:rFonts w:cs="Arial"/>
                <w:b/>
                <w:bCs/>
                <w:spacing w:val="-2"/>
              </w:rPr>
              <w:t xml:space="preserve"> </w:t>
            </w:r>
            <w:r w:rsidR="00716F48" w:rsidRPr="009110F7">
              <w:rPr>
                <w:rFonts w:cs="Arial"/>
                <w:b/>
                <w:bCs/>
                <w:spacing w:val="-2"/>
              </w:rPr>
              <w:t>a </w:t>
            </w:r>
            <w:r w:rsidR="00935BD4" w:rsidRPr="009110F7">
              <w:rPr>
                <w:rFonts w:cs="Arial"/>
                <w:b/>
                <w:bCs/>
                <w:spacing w:val="-2"/>
              </w:rPr>
              <w:t xml:space="preserve">vybrané skupiny nezaměstnaných </w:t>
            </w:r>
            <w:r w:rsidR="00935BD4" w:rsidRPr="009110F7">
              <w:rPr>
                <w:rFonts w:cs="Arial"/>
                <w:bCs/>
                <w:spacing w:val="-2"/>
              </w:rPr>
              <w:t>(y/y, v</w:t>
            </w:r>
            <w:r w:rsidR="00167CB9" w:rsidRPr="009110F7">
              <w:rPr>
                <w:rFonts w:cs="Arial"/>
                <w:bCs/>
                <w:spacing w:val="-2"/>
              </w:rPr>
              <w:t> %</w:t>
            </w:r>
            <w:r w:rsidR="00935BD4" w:rsidRPr="009110F7">
              <w:rPr>
                <w:rFonts w:cs="Arial"/>
                <w:bCs/>
                <w:spacing w:val="-2"/>
              </w:rPr>
              <w:t>)</w:t>
            </w:r>
          </w:p>
        </w:tc>
      </w:tr>
      <w:tr w:rsidR="00935BD4" w:rsidRPr="009110F7" w:rsidTr="00965797">
        <w:trPr>
          <w:trHeight w:val="145"/>
        </w:trPr>
        <w:tc>
          <w:tcPr>
            <w:tcW w:w="1878" w:type="dxa"/>
            <w:shd w:val="clear" w:color="auto" w:fill="auto"/>
            <w:tcMar>
              <w:left w:w="0" w:type="dxa"/>
            </w:tcMar>
          </w:tcPr>
          <w:p w:rsidR="00935BD4" w:rsidRPr="009110F7" w:rsidRDefault="00935BD4" w:rsidP="00965797">
            <w:pPr>
              <w:pStyle w:val="Marginlie"/>
            </w:pPr>
          </w:p>
        </w:tc>
        <w:tc>
          <w:tcPr>
            <w:tcW w:w="247" w:type="dxa"/>
            <w:shd w:val="clear" w:color="auto" w:fill="auto"/>
            <w:tcMar>
              <w:left w:w="0" w:type="dxa"/>
            </w:tcMar>
          </w:tcPr>
          <w:p w:rsidR="00935BD4" w:rsidRPr="009110F7" w:rsidRDefault="00935BD4" w:rsidP="00965797">
            <w:pPr>
              <w:pStyle w:val="Textpoznpodarou"/>
              <w:jc w:val="both"/>
              <w:rPr>
                <w:spacing w:val="-4"/>
              </w:rPr>
            </w:pPr>
          </w:p>
        </w:tc>
        <w:tc>
          <w:tcPr>
            <w:tcW w:w="7514" w:type="dxa"/>
            <w:shd w:val="clear" w:color="auto" w:fill="auto"/>
            <w:tcMar>
              <w:left w:w="0" w:type="dxa"/>
            </w:tcMar>
          </w:tcPr>
          <w:p w:rsidR="00935BD4" w:rsidRPr="009110F7" w:rsidRDefault="00935BD4" w:rsidP="00965797">
            <w:pPr>
              <w:spacing w:after="0" w:line="240" w:lineRule="auto"/>
              <w:rPr>
                <w:spacing w:val="-2"/>
                <w:szCs w:val="20"/>
              </w:rPr>
            </w:pPr>
            <w:r w:rsidRPr="009110F7">
              <w:rPr>
                <w:noProof/>
                <w:spacing w:val="-2"/>
                <w:szCs w:val="20"/>
              </w:rPr>
              <w:drawing>
                <wp:inline distT="0" distB="0" distL="0" distR="0">
                  <wp:extent cx="4752000" cy="3528000"/>
                  <wp:effectExtent l="19050" t="0" r="0" b="0"/>
                  <wp:docPr id="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935BD4" w:rsidRPr="009110F7" w:rsidTr="00965797">
        <w:trPr>
          <w:trHeight w:val="145"/>
        </w:trPr>
        <w:tc>
          <w:tcPr>
            <w:tcW w:w="1878" w:type="dxa"/>
            <w:shd w:val="clear" w:color="auto" w:fill="auto"/>
            <w:tcMar>
              <w:left w:w="0" w:type="dxa"/>
            </w:tcMar>
          </w:tcPr>
          <w:p w:rsidR="00935BD4" w:rsidRPr="009110F7" w:rsidRDefault="00935BD4" w:rsidP="00965797">
            <w:pPr>
              <w:pStyle w:val="Marginlie"/>
            </w:pPr>
          </w:p>
        </w:tc>
        <w:tc>
          <w:tcPr>
            <w:tcW w:w="247" w:type="dxa"/>
            <w:shd w:val="clear" w:color="auto" w:fill="auto"/>
            <w:tcMar>
              <w:left w:w="0" w:type="dxa"/>
            </w:tcMar>
          </w:tcPr>
          <w:p w:rsidR="00935BD4" w:rsidRPr="009110F7" w:rsidRDefault="00935BD4" w:rsidP="00965797">
            <w:pPr>
              <w:pStyle w:val="Textpoznpodarou"/>
              <w:jc w:val="both"/>
              <w:rPr>
                <w:spacing w:val="-4"/>
              </w:rPr>
            </w:pPr>
          </w:p>
        </w:tc>
        <w:tc>
          <w:tcPr>
            <w:tcW w:w="7514" w:type="dxa"/>
            <w:shd w:val="clear" w:color="auto" w:fill="auto"/>
            <w:tcMar>
              <w:left w:w="0" w:type="dxa"/>
            </w:tcMar>
          </w:tcPr>
          <w:p w:rsidR="00935BD4" w:rsidRPr="009110F7" w:rsidRDefault="00935BD4" w:rsidP="00965797">
            <w:pPr>
              <w:spacing w:after="200"/>
              <w:rPr>
                <w:spacing w:val="-2"/>
                <w:szCs w:val="20"/>
              </w:rPr>
            </w:pPr>
            <w:r w:rsidRPr="009110F7">
              <w:rPr>
                <w:rFonts w:cs="Arial"/>
                <w:sz w:val="14"/>
                <w:szCs w:val="14"/>
              </w:rPr>
              <w:t>Zdroj: ČSÚ (VŠPS</w:t>
            </w:r>
            <w:r w:rsidR="00E129E7">
              <w:rPr>
                <w:rFonts w:cs="Arial"/>
                <w:sz w:val="14"/>
                <w:szCs w:val="14"/>
              </w:rPr>
              <w:t xml:space="preserve"> – </w:t>
            </w:r>
            <w:r w:rsidRPr="009110F7">
              <w:rPr>
                <w:rFonts w:cs="Arial"/>
                <w:sz w:val="14"/>
                <w:szCs w:val="14"/>
              </w:rPr>
              <w:t>výběrové šetření pracovních sil)</w:t>
            </w:r>
          </w:p>
        </w:tc>
      </w:tr>
      <w:tr w:rsidR="00935BD4" w:rsidRPr="009110F7" w:rsidTr="00965797">
        <w:trPr>
          <w:trHeight w:val="145"/>
        </w:trPr>
        <w:tc>
          <w:tcPr>
            <w:tcW w:w="1878" w:type="dxa"/>
            <w:shd w:val="clear" w:color="auto" w:fill="auto"/>
            <w:tcMar>
              <w:left w:w="0" w:type="dxa"/>
            </w:tcMar>
          </w:tcPr>
          <w:p w:rsidR="00167CB9" w:rsidRPr="009110F7" w:rsidRDefault="00935BD4" w:rsidP="00965797">
            <w:pPr>
              <w:pStyle w:val="Marginlie"/>
            </w:pPr>
            <w:r w:rsidRPr="009110F7">
              <w:t>Obecn</w:t>
            </w:r>
            <w:r w:rsidR="003908A6" w:rsidRPr="009110F7">
              <w:t>á míra nezaměstnanosti kle</w:t>
            </w:r>
            <w:r w:rsidR="009624D2">
              <w:t>s</w:t>
            </w:r>
            <w:r w:rsidR="003908A6" w:rsidRPr="009110F7">
              <w:t>la na</w:t>
            </w:r>
            <w:r w:rsidRPr="009110F7">
              <w:t xml:space="preserve"> další historické minimum.</w:t>
            </w:r>
          </w:p>
          <w:p w:rsidR="00935BD4" w:rsidRPr="009110F7" w:rsidRDefault="00716F48" w:rsidP="00965797">
            <w:pPr>
              <w:pStyle w:val="Marginlie"/>
            </w:pPr>
            <w:r w:rsidRPr="009110F7">
              <w:t>O </w:t>
            </w:r>
            <w:r w:rsidR="00935BD4" w:rsidRPr="009110F7">
              <w:t>meziroční redukci nezaměstnanosti se z poloviny zasloužil</w:t>
            </w:r>
            <w:r w:rsidR="009624D2">
              <w:t>y</w:t>
            </w:r>
            <w:r w:rsidR="00935BD4" w:rsidRPr="009110F7">
              <w:t xml:space="preserve"> osoby, jež byly bez práce déle než rok.</w:t>
            </w:r>
          </w:p>
          <w:p w:rsidR="00935BD4" w:rsidRPr="009110F7" w:rsidRDefault="00935BD4" w:rsidP="00965797">
            <w:pPr>
              <w:pStyle w:val="Marginlie"/>
            </w:pPr>
          </w:p>
          <w:p w:rsidR="00935BD4" w:rsidRPr="009110F7" w:rsidRDefault="00935BD4" w:rsidP="00965797">
            <w:pPr>
              <w:pStyle w:val="Marginlie"/>
            </w:pPr>
          </w:p>
          <w:p w:rsidR="00935BD4" w:rsidRPr="009110F7" w:rsidRDefault="00935BD4" w:rsidP="00965797">
            <w:pPr>
              <w:pStyle w:val="Marginlie"/>
            </w:pPr>
          </w:p>
          <w:p w:rsidR="00935BD4" w:rsidRPr="009110F7" w:rsidRDefault="00935BD4" w:rsidP="00965797">
            <w:pPr>
              <w:pStyle w:val="Marginlie"/>
            </w:pPr>
          </w:p>
          <w:p w:rsidR="00935BD4" w:rsidRPr="009110F7" w:rsidRDefault="00935BD4" w:rsidP="00965797">
            <w:pPr>
              <w:pStyle w:val="Marginlie"/>
            </w:pPr>
          </w:p>
          <w:p w:rsidR="00935BD4" w:rsidRPr="009110F7" w:rsidRDefault="00935BD4" w:rsidP="00965797">
            <w:pPr>
              <w:pStyle w:val="Marginlie"/>
            </w:pPr>
          </w:p>
          <w:p w:rsidR="00935BD4" w:rsidRPr="009110F7" w:rsidRDefault="00935BD4" w:rsidP="00965797">
            <w:pPr>
              <w:pStyle w:val="Marginlie"/>
            </w:pPr>
          </w:p>
        </w:tc>
        <w:tc>
          <w:tcPr>
            <w:tcW w:w="247" w:type="dxa"/>
            <w:shd w:val="clear" w:color="auto" w:fill="auto"/>
            <w:tcMar>
              <w:left w:w="0" w:type="dxa"/>
            </w:tcMar>
          </w:tcPr>
          <w:p w:rsidR="00935BD4" w:rsidRPr="009110F7" w:rsidRDefault="00935BD4" w:rsidP="00965797">
            <w:pPr>
              <w:pStyle w:val="Textpoznpodarou"/>
              <w:jc w:val="both"/>
              <w:rPr>
                <w:spacing w:val="-4"/>
              </w:rPr>
            </w:pPr>
          </w:p>
        </w:tc>
        <w:tc>
          <w:tcPr>
            <w:tcW w:w="7514" w:type="dxa"/>
            <w:shd w:val="clear" w:color="auto" w:fill="auto"/>
            <w:tcMar>
              <w:left w:w="0" w:type="dxa"/>
            </w:tcMar>
          </w:tcPr>
          <w:p w:rsidR="00935BD4" w:rsidRPr="009110F7" w:rsidRDefault="00935BD4" w:rsidP="00965797">
            <w:pPr>
              <w:spacing w:after="220"/>
              <w:rPr>
                <w:rFonts w:cs="Arial"/>
                <w:color w:val="0D0D0D" w:themeColor="text1" w:themeTint="F2"/>
                <w:spacing w:val="-4"/>
              </w:rPr>
            </w:pPr>
            <w:r w:rsidRPr="009110F7">
              <w:rPr>
                <w:rFonts w:cs="Arial"/>
                <w:color w:val="0D0D0D" w:themeColor="text1" w:themeTint="F2"/>
                <w:spacing w:val="-4"/>
              </w:rPr>
              <w:t>Obecná míra nezaměstnanosti nadále klesala. V březnu 2018 dosáhla (dle sezónně očištěných údajů) 1,8</w:t>
            </w:r>
            <w:r w:rsidR="00167CB9" w:rsidRPr="009110F7">
              <w:rPr>
                <w:rFonts w:cs="Arial"/>
                <w:color w:val="0D0D0D" w:themeColor="text1" w:themeTint="F2"/>
                <w:spacing w:val="-4"/>
              </w:rPr>
              <w:t> %</w:t>
            </w:r>
            <w:r w:rsidRPr="009110F7">
              <w:rPr>
                <w:rFonts w:cs="Arial"/>
                <w:color w:val="0D0D0D" w:themeColor="text1" w:themeTint="F2"/>
                <w:spacing w:val="-4"/>
              </w:rPr>
              <w:t xml:space="preserve"> </w:t>
            </w:r>
            <w:r w:rsidR="00716F48" w:rsidRPr="009110F7">
              <w:rPr>
                <w:rFonts w:cs="Arial"/>
                <w:color w:val="0D0D0D" w:themeColor="text1" w:themeTint="F2"/>
                <w:spacing w:val="-4"/>
              </w:rPr>
              <w:t>u </w:t>
            </w:r>
            <w:r w:rsidRPr="009110F7">
              <w:rPr>
                <w:rFonts w:cs="Arial"/>
                <w:color w:val="0D0D0D" w:themeColor="text1" w:themeTint="F2"/>
                <w:spacing w:val="-4"/>
              </w:rPr>
              <w:t xml:space="preserve">mužů </w:t>
            </w:r>
            <w:r w:rsidR="00716F48" w:rsidRPr="009110F7">
              <w:rPr>
                <w:rFonts w:cs="Arial"/>
                <w:color w:val="0D0D0D" w:themeColor="text1" w:themeTint="F2"/>
                <w:spacing w:val="-4"/>
              </w:rPr>
              <w:t>a </w:t>
            </w:r>
            <w:r w:rsidRPr="009110F7">
              <w:rPr>
                <w:rFonts w:cs="Arial"/>
                <w:color w:val="0D0D0D" w:themeColor="text1" w:themeTint="F2"/>
                <w:spacing w:val="-4"/>
              </w:rPr>
              <w:t>2,8</w:t>
            </w:r>
            <w:r w:rsidR="00167CB9" w:rsidRPr="009110F7">
              <w:rPr>
                <w:rFonts w:cs="Arial"/>
                <w:color w:val="0D0D0D" w:themeColor="text1" w:themeTint="F2"/>
                <w:spacing w:val="-4"/>
              </w:rPr>
              <w:t> %</w:t>
            </w:r>
            <w:r w:rsidRPr="009110F7">
              <w:rPr>
                <w:rFonts w:cs="Arial"/>
                <w:color w:val="0D0D0D" w:themeColor="text1" w:themeTint="F2"/>
                <w:spacing w:val="-4"/>
              </w:rPr>
              <w:t xml:space="preserve"> </w:t>
            </w:r>
            <w:r w:rsidR="00716F48" w:rsidRPr="009110F7">
              <w:rPr>
                <w:rFonts w:cs="Arial"/>
                <w:color w:val="0D0D0D" w:themeColor="text1" w:themeTint="F2"/>
                <w:spacing w:val="-4"/>
              </w:rPr>
              <w:t>u </w:t>
            </w:r>
            <w:r w:rsidRPr="009110F7">
              <w:rPr>
                <w:rFonts w:cs="Arial"/>
                <w:color w:val="0D0D0D" w:themeColor="text1" w:themeTint="F2"/>
                <w:spacing w:val="-4"/>
              </w:rPr>
              <w:t xml:space="preserve">žen. Oproti stejnému období loňského roku se celková nezaměstnanost snížila </w:t>
            </w:r>
            <w:r w:rsidR="00716F48" w:rsidRPr="009110F7">
              <w:rPr>
                <w:rFonts w:cs="Arial"/>
                <w:color w:val="0D0D0D" w:themeColor="text1" w:themeTint="F2"/>
                <w:spacing w:val="-4"/>
              </w:rPr>
              <w:t>o </w:t>
            </w:r>
            <w:r w:rsidRPr="009110F7">
              <w:rPr>
                <w:rFonts w:cs="Arial"/>
                <w:color w:val="0D0D0D" w:themeColor="text1" w:themeTint="F2"/>
                <w:spacing w:val="-4"/>
              </w:rPr>
              <w:t>1,0</w:t>
            </w:r>
            <w:r w:rsidR="00167CB9" w:rsidRPr="009110F7">
              <w:rPr>
                <w:rFonts w:cs="Arial"/>
                <w:color w:val="0D0D0D" w:themeColor="text1" w:themeTint="F2"/>
                <w:spacing w:val="-4"/>
              </w:rPr>
              <w:t> p. </w:t>
            </w:r>
            <w:proofErr w:type="spellStart"/>
            <w:r w:rsidR="00167CB9" w:rsidRPr="009110F7">
              <w:rPr>
                <w:rFonts w:cs="Arial"/>
                <w:color w:val="0D0D0D" w:themeColor="text1" w:themeTint="F2"/>
                <w:spacing w:val="-4"/>
              </w:rPr>
              <w:t>b</w:t>
            </w:r>
            <w:proofErr w:type="spellEnd"/>
            <w:r w:rsidR="00167CB9" w:rsidRPr="009110F7">
              <w:rPr>
                <w:rFonts w:cs="Arial"/>
                <w:color w:val="0D0D0D" w:themeColor="text1" w:themeTint="F2"/>
                <w:spacing w:val="-4"/>
              </w:rPr>
              <w:t>.</w:t>
            </w:r>
            <w:r w:rsidRPr="009110F7">
              <w:rPr>
                <w:rFonts w:cs="Arial"/>
                <w:color w:val="0D0D0D" w:themeColor="text1" w:themeTint="F2"/>
                <w:spacing w:val="-4"/>
              </w:rPr>
              <w:t>, k čemuž přispěl především příznivý vývoj u žen (</w:t>
            </w:r>
            <w:r w:rsidR="00CA37FF">
              <w:rPr>
                <w:rFonts w:cs="Arial"/>
                <w:color w:val="0D0D0D" w:themeColor="text1" w:themeTint="F2"/>
                <w:spacing w:val="-4"/>
              </w:rPr>
              <w:t>-</w:t>
            </w:r>
            <w:r w:rsidRPr="009110F7">
              <w:rPr>
                <w:rFonts w:cs="Arial"/>
                <w:color w:val="0D0D0D" w:themeColor="text1" w:themeTint="F2"/>
                <w:spacing w:val="-4"/>
              </w:rPr>
              <w:t>1,6</w:t>
            </w:r>
            <w:r w:rsidR="00167CB9" w:rsidRPr="009110F7">
              <w:rPr>
                <w:rFonts w:cs="Arial"/>
                <w:color w:val="0D0D0D" w:themeColor="text1" w:themeTint="F2"/>
                <w:spacing w:val="-4"/>
              </w:rPr>
              <w:t> p. </w:t>
            </w:r>
            <w:proofErr w:type="spellStart"/>
            <w:r w:rsidR="00167CB9" w:rsidRPr="009110F7">
              <w:rPr>
                <w:rFonts w:cs="Arial"/>
                <w:color w:val="0D0D0D" w:themeColor="text1" w:themeTint="F2"/>
                <w:spacing w:val="-4"/>
              </w:rPr>
              <w:t>b</w:t>
            </w:r>
            <w:proofErr w:type="spellEnd"/>
            <w:r w:rsidR="00167CB9" w:rsidRPr="009110F7">
              <w:rPr>
                <w:rFonts w:cs="Arial"/>
                <w:color w:val="0D0D0D" w:themeColor="text1" w:themeTint="F2"/>
                <w:spacing w:val="-4"/>
              </w:rPr>
              <w:t>.</w:t>
            </w:r>
            <w:r w:rsidRPr="009110F7">
              <w:rPr>
                <w:rFonts w:cs="Arial"/>
                <w:color w:val="0D0D0D" w:themeColor="text1" w:themeTint="F2"/>
                <w:spacing w:val="-4"/>
              </w:rPr>
              <w:t xml:space="preserve">). Naopak </w:t>
            </w:r>
            <w:r w:rsidR="00716F48" w:rsidRPr="009110F7">
              <w:rPr>
                <w:rFonts w:cs="Arial"/>
                <w:color w:val="0D0D0D" w:themeColor="text1" w:themeTint="F2"/>
                <w:spacing w:val="-4"/>
              </w:rPr>
              <w:t>u </w:t>
            </w:r>
            <w:r w:rsidRPr="009110F7">
              <w:rPr>
                <w:rFonts w:cs="Arial"/>
                <w:color w:val="0D0D0D" w:themeColor="text1" w:themeTint="F2"/>
                <w:spacing w:val="-4"/>
              </w:rPr>
              <w:t>mužů bylo toto zlepšení skromnější (</w:t>
            </w:r>
            <w:r w:rsidR="00CA37FF">
              <w:rPr>
                <w:rFonts w:cs="Arial"/>
                <w:color w:val="0D0D0D" w:themeColor="text1" w:themeTint="F2"/>
                <w:spacing w:val="-4"/>
              </w:rPr>
              <w:t>-</w:t>
            </w:r>
            <w:r w:rsidRPr="009110F7">
              <w:rPr>
                <w:rFonts w:cs="Arial"/>
                <w:color w:val="0D0D0D" w:themeColor="text1" w:themeTint="F2"/>
                <w:spacing w:val="-4"/>
              </w:rPr>
              <w:t>0,5</w:t>
            </w:r>
            <w:r w:rsidR="00167CB9" w:rsidRPr="009110F7">
              <w:rPr>
                <w:rFonts w:cs="Arial"/>
                <w:color w:val="0D0D0D" w:themeColor="text1" w:themeTint="F2"/>
                <w:spacing w:val="-4"/>
              </w:rPr>
              <w:t> </w:t>
            </w:r>
            <w:r w:rsidRPr="009110F7">
              <w:rPr>
                <w:rFonts w:cs="Arial"/>
                <w:color w:val="0D0D0D" w:themeColor="text1" w:themeTint="F2"/>
                <w:spacing w:val="-4"/>
              </w:rPr>
              <w:t>p.</w:t>
            </w:r>
            <w:r w:rsidR="00167CB9" w:rsidRPr="009110F7">
              <w:rPr>
                <w:rFonts w:cs="Arial"/>
                <w:color w:val="0D0D0D" w:themeColor="text1" w:themeTint="F2"/>
                <w:spacing w:val="-4"/>
              </w:rPr>
              <w:t> </w:t>
            </w:r>
            <w:proofErr w:type="spellStart"/>
            <w:r w:rsidRPr="009110F7">
              <w:rPr>
                <w:rFonts w:cs="Arial"/>
                <w:color w:val="0D0D0D" w:themeColor="text1" w:themeTint="F2"/>
                <w:spacing w:val="-4"/>
              </w:rPr>
              <w:t>b</w:t>
            </w:r>
            <w:proofErr w:type="spellEnd"/>
            <w:r w:rsidRPr="009110F7">
              <w:rPr>
                <w:rFonts w:cs="Arial"/>
                <w:color w:val="0D0D0D" w:themeColor="text1" w:themeTint="F2"/>
                <w:spacing w:val="-4"/>
              </w:rPr>
              <w:t>.), což svědčí o tom, že další redukce nezaměstnanost</w:t>
            </w:r>
            <w:r w:rsidR="009624D2">
              <w:rPr>
                <w:rFonts w:cs="Arial"/>
                <w:color w:val="0D0D0D" w:themeColor="text1" w:themeTint="F2"/>
                <w:spacing w:val="-4"/>
              </w:rPr>
              <w:t>i</w:t>
            </w:r>
            <w:r w:rsidRPr="009110F7">
              <w:rPr>
                <w:rFonts w:cs="Arial"/>
                <w:color w:val="0D0D0D" w:themeColor="text1" w:themeTint="F2"/>
                <w:spacing w:val="-4"/>
              </w:rPr>
              <w:t xml:space="preserve"> již naráží na své limity. Oproti 1</w:t>
            </w:r>
            <w:r w:rsidR="00716F48" w:rsidRPr="009110F7">
              <w:rPr>
                <w:rFonts w:cs="Arial"/>
                <w:color w:val="0D0D0D" w:themeColor="text1" w:themeTint="F2"/>
                <w:spacing w:val="-4"/>
              </w:rPr>
              <w:t>. čtvrt</w:t>
            </w:r>
            <w:r w:rsidRPr="009110F7">
              <w:rPr>
                <w:rFonts w:cs="Arial"/>
                <w:color w:val="0D0D0D" w:themeColor="text1" w:themeTint="F2"/>
                <w:spacing w:val="-4"/>
              </w:rPr>
              <w:t xml:space="preserve">letí 2017 se letos nezaměstnanost zredukovala </w:t>
            </w:r>
            <w:r w:rsidR="00716F48" w:rsidRPr="009110F7">
              <w:rPr>
                <w:rFonts w:cs="Arial"/>
                <w:color w:val="0D0D0D" w:themeColor="text1" w:themeTint="F2"/>
                <w:spacing w:val="-4"/>
              </w:rPr>
              <w:t>o </w:t>
            </w:r>
            <w:r w:rsidRPr="009110F7">
              <w:rPr>
                <w:rFonts w:cs="Arial"/>
                <w:color w:val="0D0D0D" w:themeColor="text1" w:themeTint="F2"/>
                <w:spacing w:val="-4"/>
              </w:rPr>
              <w:t>dalších 5</w:t>
            </w:r>
            <w:r w:rsidR="00167CB9" w:rsidRPr="009110F7">
              <w:rPr>
                <w:rFonts w:cs="Arial"/>
                <w:color w:val="0D0D0D" w:themeColor="text1" w:themeTint="F2"/>
                <w:spacing w:val="-4"/>
              </w:rPr>
              <w:t>5 </w:t>
            </w:r>
            <w:r w:rsidRPr="009110F7">
              <w:rPr>
                <w:rFonts w:cs="Arial"/>
                <w:color w:val="0D0D0D" w:themeColor="text1" w:themeTint="F2"/>
                <w:spacing w:val="-4"/>
              </w:rPr>
              <w:t>tis. osob, k čemuž z poloviny přispěli dlouhodobě nezaměstnaní – jejich četnost dosáhla 4</w:t>
            </w:r>
            <w:r w:rsidR="00167CB9" w:rsidRPr="009110F7">
              <w:rPr>
                <w:rFonts w:cs="Arial"/>
                <w:color w:val="0D0D0D" w:themeColor="text1" w:themeTint="F2"/>
                <w:spacing w:val="-4"/>
              </w:rPr>
              <w:t>1 </w:t>
            </w:r>
            <w:r w:rsidRPr="009110F7">
              <w:rPr>
                <w:rFonts w:cs="Arial"/>
                <w:color w:val="0D0D0D" w:themeColor="text1" w:themeTint="F2"/>
                <w:spacing w:val="-4"/>
              </w:rPr>
              <w:t>tis. (ve srovnání s</w:t>
            </w:r>
            <w:r w:rsidR="009624D2">
              <w:rPr>
                <w:rFonts w:cs="Arial"/>
                <w:color w:val="0D0D0D" w:themeColor="text1" w:themeTint="F2"/>
                <w:spacing w:val="-4"/>
              </w:rPr>
              <w:t xml:space="preserve">e </w:t>
            </w:r>
            <w:r w:rsidRPr="009110F7">
              <w:rPr>
                <w:rFonts w:cs="Arial"/>
                <w:color w:val="0D0D0D" w:themeColor="text1" w:themeTint="F2"/>
                <w:spacing w:val="-4"/>
              </w:rPr>
              <w:t>4</w:t>
            </w:r>
            <w:r w:rsidR="00716F48" w:rsidRPr="009110F7">
              <w:rPr>
                <w:rFonts w:cs="Arial"/>
                <w:color w:val="0D0D0D" w:themeColor="text1" w:themeTint="F2"/>
                <w:spacing w:val="-4"/>
              </w:rPr>
              <w:t>. čtvrt</w:t>
            </w:r>
            <w:r w:rsidRPr="009110F7">
              <w:rPr>
                <w:rFonts w:cs="Arial"/>
                <w:color w:val="0D0D0D" w:themeColor="text1" w:themeTint="F2"/>
                <w:spacing w:val="-4"/>
              </w:rPr>
              <w:t>letím 2017 jich však již neubývalo). Silná poptávka firem po nových pracovnících stále více obnažuje nezaměstnanost na její frikční složku. Podíl osob, jež byly bez práce déle než rok</w:t>
            </w:r>
            <w:r w:rsidR="009624D2">
              <w:rPr>
                <w:rFonts w:cs="Arial"/>
                <w:color w:val="0D0D0D" w:themeColor="text1" w:themeTint="F2"/>
                <w:spacing w:val="-4"/>
              </w:rPr>
              <w:t>,</w:t>
            </w:r>
            <w:r w:rsidRPr="009110F7">
              <w:rPr>
                <w:rFonts w:cs="Arial"/>
                <w:color w:val="0D0D0D" w:themeColor="text1" w:themeTint="F2"/>
                <w:spacing w:val="-4"/>
              </w:rPr>
              <w:t xml:space="preserve"> na celkovém počtu nezaměstnaných se snížil </w:t>
            </w:r>
            <w:r w:rsidR="00716F48" w:rsidRPr="009110F7">
              <w:rPr>
                <w:rFonts w:cs="Arial"/>
                <w:color w:val="0D0D0D" w:themeColor="text1" w:themeTint="F2"/>
                <w:spacing w:val="-4"/>
              </w:rPr>
              <w:t>o </w:t>
            </w:r>
            <w:r w:rsidRPr="009110F7">
              <w:rPr>
                <w:rFonts w:cs="Arial"/>
                <w:color w:val="0D0D0D" w:themeColor="text1" w:themeTint="F2"/>
                <w:spacing w:val="-4"/>
              </w:rPr>
              <w:t xml:space="preserve">jednu třetinu (nižší hodnoty v EU vykazovaly jen severské státy </w:t>
            </w:r>
            <w:r w:rsidR="00716F48" w:rsidRPr="009110F7">
              <w:rPr>
                <w:rFonts w:cs="Arial"/>
                <w:color w:val="0D0D0D" w:themeColor="text1" w:themeTint="F2"/>
                <w:spacing w:val="-4"/>
              </w:rPr>
              <w:t>a </w:t>
            </w:r>
            <w:r w:rsidRPr="009110F7">
              <w:rPr>
                <w:rFonts w:cs="Arial"/>
                <w:color w:val="0D0D0D" w:themeColor="text1" w:themeTint="F2"/>
                <w:spacing w:val="-4"/>
              </w:rPr>
              <w:t xml:space="preserve">Velká Británie vyznačující se poměrně flexibilním pracovním trhem). </w:t>
            </w:r>
          </w:p>
        </w:tc>
      </w:tr>
      <w:tr w:rsidR="00935BD4" w:rsidRPr="009110F7" w:rsidTr="00965797">
        <w:trPr>
          <w:trHeight w:val="145"/>
        </w:trPr>
        <w:tc>
          <w:tcPr>
            <w:tcW w:w="1878" w:type="dxa"/>
            <w:shd w:val="clear" w:color="auto" w:fill="auto"/>
            <w:tcMar>
              <w:left w:w="0" w:type="dxa"/>
            </w:tcMar>
          </w:tcPr>
          <w:p w:rsidR="00935BD4" w:rsidRPr="009110F7" w:rsidRDefault="00935BD4" w:rsidP="00965797">
            <w:pPr>
              <w:pStyle w:val="Marginlie"/>
            </w:pPr>
            <w:r w:rsidRPr="009110F7">
              <w:lastRenderedPageBreak/>
              <w:t>Nabídk</w:t>
            </w:r>
            <w:r w:rsidR="009052A3">
              <w:t>a</w:t>
            </w:r>
            <w:r w:rsidRPr="009110F7">
              <w:t xml:space="preserve"> volných pracovních míst prostřednictví</w:t>
            </w:r>
            <w:r w:rsidR="009052A3">
              <w:t>m</w:t>
            </w:r>
            <w:r w:rsidRPr="009110F7">
              <w:t xml:space="preserve"> ÚP poprvé v historii překonala počet nezaměstnaných uchazečů. Přibývala hlavně místa se sníženými nároky na kvalifikaci.</w:t>
            </w:r>
          </w:p>
        </w:tc>
        <w:tc>
          <w:tcPr>
            <w:tcW w:w="247" w:type="dxa"/>
            <w:shd w:val="clear" w:color="auto" w:fill="auto"/>
            <w:tcMar>
              <w:left w:w="0" w:type="dxa"/>
            </w:tcMar>
          </w:tcPr>
          <w:p w:rsidR="00935BD4" w:rsidRPr="009110F7" w:rsidRDefault="00935BD4" w:rsidP="00965797">
            <w:pPr>
              <w:pStyle w:val="Textpoznpodarou"/>
              <w:jc w:val="both"/>
              <w:rPr>
                <w:spacing w:val="-4"/>
              </w:rPr>
            </w:pPr>
          </w:p>
        </w:tc>
        <w:tc>
          <w:tcPr>
            <w:tcW w:w="7514" w:type="dxa"/>
            <w:shd w:val="clear" w:color="auto" w:fill="auto"/>
            <w:tcMar>
              <w:left w:w="0" w:type="dxa"/>
            </w:tcMar>
          </w:tcPr>
          <w:p w:rsidR="00935BD4" w:rsidRPr="009110F7" w:rsidRDefault="00935BD4" w:rsidP="00965797">
            <w:pPr>
              <w:spacing w:after="220"/>
              <w:rPr>
                <w:rFonts w:cs="Arial"/>
                <w:color w:val="0D0D0D" w:themeColor="text1" w:themeTint="F2"/>
                <w:spacing w:val="-4"/>
              </w:rPr>
            </w:pPr>
            <w:r w:rsidRPr="009110F7">
              <w:rPr>
                <w:rFonts w:cs="Arial"/>
                <w:color w:val="0D0D0D" w:themeColor="text1" w:themeTint="F2"/>
                <w:spacing w:val="-4"/>
              </w:rPr>
              <w:t>Redukce nezaměstnanosti byla doprovázena sílící nabídkou volných pracovních míst. Na konci března jich úřady práce poskytovaly 253,</w:t>
            </w:r>
            <w:r w:rsidR="00167CB9" w:rsidRPr="009110F7">
              <w:rPr>
                <w:rFonts w:cs="Arial"/>
                <w:color w:val="0D0D0D" w:themeColor="text1" w:themeTint="F2"/>
                <w:spacing w:val="-4"/>
              </w:rPr>
              <w:t>5 </w:t>
            </w:r>
            <w:r w:rsidRPr="009110F7">
              <w:rPr>
                <w:rFonts w:cs="Arial"/>
                <w:color w:val="0D0D0D" w:themeColor="text1" w:themeTint="F2"/>
                <w:spacing w:val="-4"/>
              </w:rPr>
              <w:t xml:space="preserve">tis. Navzdory sezónním vlivům jejich četnost rostla meziměsíčně již pošestnácté v řadě. Během dubna počet pracovních míst dokonce poprvé v historii ČR překonal četnost registrovaných uchazečů </w:t>
            </w:r>
            <w:r w:rsidR="00716F48" w:rsidRPr="009110F7">
              <w:rPr>
                <w:rFonts w:cs="Arial"/>
                <w:color w:val="0D0D0D" w:themeColor="text1" w:themeTint="F2"/>
                <w:spacing w:val="-4"/>
              </w:rPr>
              <w:t>o </w:t>
            </w:r>
            <w:r w:rsidRPr="009110F7">
              <w:rPr>
                <w:rFonts w:cs="Arial"/>
                <w:color w:val="0D0D0D" w:themeColor="text1" w:themeTint="F2"/>
                <w:spacing w:val="-4"/>
              </w:rPr>
              <w:t>práci</w:t>
            </w:r>
            <w:r w:rsidRPr="009110F7">
              <w:rPr>
                <w:rStyle w:val="Znakapoznpodarou"/>
                <w:color w:val="0D0D0D" w:themeColor="text1" w:themeTint="F2"/>
                <w:spacing w:val="-4"/>
              </w:rPr>
              <w:footnoteReference w:id="33"/>
            </w:r>
            <w:r w:rsidRPr="009110F7">
              <w:rPr>
                <w:rFonts w:cs="Arial"/>
                <w:color w:val="0D0D0D" w:themeColor="text1" w:themeTint="F2"/>
                <w:spacing w:val="-4"/>
              </w:rPr>
              <w:t xml:space="preserve">. Obdobně jako v loňském roce </w:t>
            </w:r>
            <w:r w:rsidRPr="009110F7">
              <w:rPr>
                <w:rFonts w:cs="Arial"/>
                <w:color w:val="0D0D0D" w:themeColor="text1" w:themeTint="F2"/>
                <w:spacing w:val="-4"/>
                <w:szCs w:val="20"/>
              </w:rPr>
              <w:t xml:space="preserve">ale platilo, že </w:t>
            </w:r>
            <w:r w:rsidRPr="009110F7">
              <w:rPr>
                <w:rFonts w:cs="Arial"/>
                <w:color w:val="0D0D0D" w:themeColor="text1" w:themeTint="F2"/>
                <w:szCs w:val="20"/>
              </w:rPr>
              <w:t>více než tři čtvrtiny meziročního přírůstku tvořila místa s minimálními deklarovanými nároky na kvalifikaci</w:t>
            </w:r>
            <w:r w:rsidRPr="009110F7">
              <w:rPr>
                <w:rFonts w:cs="Arial"/>
                <w:color w:val="0D0D0D" w:themeColor="text1" w:themeTint="F2"/>
                <w:spacing w:val="-4"/>
                <w:szCs w:val="20"/>
              </w:rPr>
              <w:t xml:space="preserve"> (na něž postačovalo základní vzdělání). Zaměstnavatelé tak pravděpodobně stále častěji cílí na zahraniční pracovníky především z východoevropských států, kterým zvyšuje atraktivitu práce v Česku </w:t>
            </w:r>
            <w:r w:rsidR="00716F48" w:rsidRPr="009110F7">
              <w:rPr>
                <w:rFonts w:cs="Arial"/>
                <w:color w:val="0D0D0D" w:themeColor="text1" w:themeTint="F2"/>
                <w:spacing w:val="-4"/>
                <w:szCs w:val="20"/>
              </w:rPr>
              <w:t>i </w:t>
            </w:r>
            <w:r w:rsidRPr="009110F7">
              <w:rPr>
                <w:rFonts w:cs="Arial"/>
                <w:color w:val="0D0D0D" w:themeColor="text1" w:themeTint="F2"/>
                <w:spacing w:val="-4"/>
                <w:szCs w:val="20"/>
              </w:rPr>
              <w:t xml:space="preserve">kurzová </w:t>
            </w:r>
            <w:proofErr w:type="spellStart"/>
            <w:r w:rsidRPr="009110F7">
              <w:rPr>
                <w:rFonts w:cs="Arial"/>
                <w:color w:val="0D0D0D" w:themeColor="text1" w:themeTint="F2"/>
                <w:spacing w:val="-4"/>
                <w:szCs w:val="20"/>
              </w:rPr>
              <w:t>apreciace</w:t>
            </w:r>
            <w:proofErr w:type="spellEnd"/>
            <w:r w:rsidRPr="009110F7">
              <w:rPr>
                <w:rFonts w:cs="Arial"/>
                <w:color w:val="0D0D0D" w:themeColor="text1" w:themeTint="F2"/>
                <w:spacing w:val="-4"/>
                <w:szCs w:val="20"/>
              </w:rPr>
              <w:t xml:space="preserve"> koruny.</w:t>
            </w:r>
          </w:p>
        </w:tc>
      </w:tr>
      <w:tr w:rsidR="00935BD4" w:rsidRPr="009110F7" w:rsidTr="00965797">
        <w:trPr>
          <w:trHeight w:val="145"/>
        </w:trPr>
        <w:tc>
          <w:tcPr>
            <w:tcW w:w="1878" w:type="dxa"/>
            <w:shd w:val="clear" w:color="auto" w:fill="auto"/>
            <w:tcMar>
              <w:left w:w="0" w:type="dxa"/>
            </w:tcMar>
          </w:tcPr>
          <w:p w:rsidR="00935BD4" w:rsidRPr="009110F7" w:rsidRDefault="00935BD4" w:rsidP="00965797">
            <w:pPr>
              <w:pStyle w:val="Marginlie"/>
            </w:pPr>
          </w:p>
        </w:tc>
        <w:tc>
          <w:tcPr>
            <w:tcW w:w="247" w:type="dxa"/>
            <w:shd w:val="clear" w:color="auto" w:fill="auto"/>
            <w:tcMar>
              <w:left w:w="0" w:type="dxa"/>
            </w:tcMar>
          </w:tcPr>
          <w:p w:rsidR="00935BD4" w:rsidRPr="009110F7" w:rsidRDefault="00935BD4" w:rsidP="00965797">
            <w:pPr>
              <w:pStyle w:val="Textpoznpodarou"/>
              <w:jc w:val="both"/>
              <w:rPr>
                <w:spacing w:val="-4"/>
              </w:rPr>
            </w:pPr>
          </w:p>
        </w:tc>
        <w:tc>
          <w:tcPr>
            <w:tcW w:w="7514" w:type="dxa"/>
            <w:shd w:val="clear" w:color="auto" w:fill="auto"/>
            <w:tcMar>
              <w:left w:w="0" w:type="dxa"/>
            </w:tcMar>
          </w:tcPr>
          <w:p w:rsidR="00935BD4" w:rsidRPr="009110F7" w:rsidRDefault="00B8561A" w:rsidP="00CA37FF">
            <w:pPr>
              <w:pStyle w:val="Textpoznpodarou"/>
            </w:pPr>
            <w:r>
              <w:rPr>
                <w:b/>
              </w:rPr>
              <w:t>Graf </w:t>
            </w:r>
            <w:r w:rsidR="00167CB9" w:rsidRPr="009110F7">
              <w:rPr>
                <w:b/>
              </w:rPr>
              <w:t>č. </w:t>
            </w:r>
            <w:r w:rsidR="00935BD4" w:rsidRPr="009110F7">
              <w:rPr>
                <w:b/>
              </w:rPr>
              <w:t>16</w:t>
            </w:r>
            <w:r w:rsidR="007E1788">
              <w:rPr>
                <w:b/>
              </w:rPr>
              <w:t xml:space="preserve">  </w:t>
            </w:r>
            <w:r w:rsidR="00935BD4" w:rsidRPr="009110F7">
              <w:rPr>
                <w:rFonts w:cs="Arial"/>
                <w:b/>
                <w:bCs/>
                <w:spacing w:val="-2"/>
              </w:rPr>
              <w:t xml:space="preserve">Průměrná hrubá měsíční mzda </w:t>
            </w:r>
            <w:r w:rsidR="00716F48" w:rsidRPr="009110F7">
              <w:rPr>
                <w:rFonts w:cs="Arial"/>
                <w:b/>
                <w:bCs/>
                <w:spacing w:val="-2"/>
              </w:rPr>
              <w:t>a </w:t>
            </w:r>
            <w:r w:rsidR="00935BD4" w:rsidRPr="009110F7">
              <w:rPr>
                <w:rFonts w:cs="Arial"/>
                <w:b/>
                <w:bCs/>
                <w:spacing w:val="-2"/>
              </w:rPr>
              <w:t xml:space="preserve">mzdový medián </w:t>
            </w:r>
            <w:r w:rsidR="00935BD4" w:rsidRPr="009110F7">
              <w:rPr>
                <w:rFonts w:cs="Arial"/>
                <w:bCs/>
                <w:spacing w:val="-2"/>
              </w:rPr>
              <w:t>(na zaměstnance přepočtené na plně zaměstnané, meziročně, v</w:t>
            </w:r>
            <w:r w:rsidR="00167CB9" w:rsidRPr="009110F7">
              <w:rPr>
                <w:rFonts w:cs="Arial"/>
                <w:bCs/>
                <w:spacing w:val="-2"/>
              </w:rPr>
              <w:t> %</w:t>
            </w:r>
            <w:r w:rsidR="00935BD4" w:rsidRPr="009110F7">
              <w:rPr>
                <w:rFonts w:cs="Arial"/>
                <w:bCs/>
                <w:spacing w:val="-2"/>
              </w:rPr>
              <w:t xml:space="preserve">) </w:t>
            </w:r>
            <w:r w:rsidR="00716F48" w:rsidRPr="009110F7">
              <w:rPr>
                <w:rFonts w:cs="Arial"/>
                <w:b/>
                <w:bCs/>
                <w:spacing w:val="-2"/>
              </w:rPr>
              <w:t>a </w:t>
            </w:r>
            <w:r w:rsidR="00935BD4" w:rsidRPr="009110F7">
              <w:rPr>
                <w:rFonts w:cs="Arial"/>
                <w:b/>
                <w:bCs/>
                <w:spacing w:val="-2"/>
              </w:rPr>
              <w:t>produktivita práce*</w:t>
            </w:r>
          </w:p>
        </w:tc>
      </w:tr>
      <w:tr w:rsidR="00935BD4" w:rsidRPr="009110F7" w:rsidTr="00965797">
        <w:trPr>
          <w:trHeight w:val="145"/>
        </w:trPr>
        <w:tc>
          <w:tcPr>
            <w:tcW w:w="1878" w:type="dxa"/>
            <w:shd w:val="clear" w:color="auto" w:fill="auto"/>
            <w:tcMar>
              <w:left w:w="0" w:type="dxa"/>
            </w:tcMar>
          </w:tcPr>
          <w:p w:rsidR="00935BD4" w:rsidRPr="009110F7" w:rsidRDefault="00935BD4" w:rsidP="00965797">
            <w:pPr>
              <w:pStyle w:val="Marginlie"/>
            </w:pPr>
          </w:p>
        </w:tc>
        <w:tc>
          <w:tcPr>
            <w:tcW w:w="247" w:type="dxa"/>
            <w:shd w:val="clear" w:color="auto" w:fill="auto"/>
            <w:tcMar>
              <w:left w:w="0" w:type="dxa"/>
            </w:tcMar>
          </w:tcPr>
          <w:p w:rsidR="00935BD4" w:rsidRPr="009110F7" w:rsidRDefault="00935BD4" w:rsidP="00965797">
            <w:pPr>
              <w:pStyle w:val="Textpoznpodarou"/>
              <w:jc w:val="both"/>
              <w:rPr>
                <w:spacing w:val="-4"/>
              </w:rPr>
            </w:pPr>
          </w:p>
        </w:tc>
        <w:tc>
          <w:tcPr>
            <w:tcW w:w="7514" w:type="dxa"/>
            <w:shd w:val="clear" w:color="auto" w:fill="auto"/>
            <w:tcMar>
              <w:left w:w="0" w:type="dxa"/>
            </w:tcMar>
          </w:tcPr>
          <w:p w:rsidR="00935BD4" w:rsidRPr="009110F7" w:rsidRDefault="00935BD4" w:rsidP="00965797">
            <w:pPr>
              <w:spacing w:after="0" w:line="240" w:lineRule="auto"/>
              <w:rPr>
                <w:spacing w:val="-2"/>
                <w:szCs w:val="20"/>
              </w:rPr>
            </w:pPr>
            <w:r w:rsidRPr="009110F7">
              <w:rPr>
                <w:noProof/>
                <w:spacing w:val="-2"/>
                <w:szCs w:val="20"/>
              </w:rPr>
              <w:drawing>
                <wp:inline distT="0" distB="0" distL="0" distR="0">
                  <wp:extent cx="4738074" cy="3466866"/>
                  <wp:effectExtent l="0" t="0" r="0" b="0"/>
                  <wp:docPr id="1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935BD4" w:rsidRPr="009110F7" w:rsidTr="00965797">
        <w:trPr>
          <w:trHeight w:val="145"/>
        </w:trPr>
        <w:tc>
          <w:tcPr>
            <w:tcW w:w="1878" w:type="dxa"/>
            <w:shd w:val="clear" w:color="auto" w:fill="auto"/>
            <w:tcMar>
              <w:left w:w="0" w:type="dxa"/>
            </w:tcMar>
          </w:tcPr>
          <w:p w:rsidR="00935BD4" w:rsidRPr="009110F7" w:rsidRDefault="00935BD4" w:rsidP="00965797">
            <w:pPr>
              <w:pStyle w:val="Marginlie"/>
            </w:pPr>
          </w:p>
        </w:tc>
        <w:tc>
          <w:tcPr>
            <w:tcW w:w="247" w:type="dxa"/>
            <w:shd w:val="clear" w:color="auto" w:fill="auto"/>
            <w:tcMar>
              <w:left w:w="0" w:type="dxa"/>
            </w:tcMar>
          </w:tcPr>
          <w:p w:rsidR="00935BD4" w:rsidRPr="009110F7" w:rsidRDefault="00935BD4" w:rsidP="00965797">
            <w:pPr>
              <w:pStyle w:val="Textpoznpodarou"/>
              <w:jc w:val="both"/>
              <w:rPr>
                <w:spacing w:val="-4"/>
              </w:rPr>
            </w:pPr>
          </w:p>
        </w:tc>
        <w:tc>
          <w:tcPr>
            <w:tcW w:w="7514" w:type="dxa"/>
            <w:shd w:val="clear" w:color="auto" w:fill="auto"/>
            <w:tcMar>
              <w:left w:w="0" w:type="dxa"/>
            </w:tcMar>
          </w:tcPr>
          <w:p w:rsidR="005D5AA9" w:rsidRPr="009110F7" w:rsidRDefault="00935BD4" w:rsidP="005D5AA9">
            <w:pPr>
              <w:spacing w:after="0"/>
              <w:rPr>
                <w:rFonts w:cs="Arial"/>
                <w:sz w:val="14"/>
                <w:szCs w:val="14"/>
              </w:rPr>
            </w:pPr>
            <w:r w:rsidRPr="009110F7">
              <w:rPr>
                <w:rFonts w:cs="Arial"/>
                <w:sz w:val="14"/>
                <w:szCs w:val="14"/>
              </w:rPr>
              <w:t>*Podíl sez</w:t>
            </w:r>
            <w:r w:rsidR="00DC7B1A">
              <w:rPr>
                <w:rFonts w:cs="Arial"/>
                <w:sz w:val="14"/>
                <w:szCs w:val="14"/>
              </w:rPr>
              <w:t>ó</w:t>
            </w:r>
            <w:r w:rsidRPr="009110F7">
              <w:rPr>
                <w:rFonts w:cs="Arial"/>
                <w:sz w:val="14"/>
                <w:szCs w:val="14"/>
              </w:rPr>
              <w:t xml:space="preserve">nně neočištěného HDP </w:t>
            </w:r>
            <w:r w:rsidR="00716F48" w:rsidRPr="009110F7">
              <w:rPr>
                <w:rFonts w:cs="Arial"/>
                <w:sz w:val="14"/>
                <w:szCs w:val="14"/>
              </w:rPr>
              <w:t>a </w:t>
            </w:r>
            <w:r w:rsidRPr="009110F7">
              <w:rPr>
                <w:rFonts w:cs="Arial"/>
                <w:sz w:val="14"/>
                <w:szCs w:val="14"/>
              </w:rPr>
              <w:t>zaměstnanosti (</w:t>
            </w:r>
            <w:r w:rsidR="00716F48" w:rsidRPr="009110F7">
              <w:rPr>
                <w:rFonts w:cs="Arial"/>
                <w:sz w:val="14"/>
                <w:szCs w:val="14"/>
              </w:rPr>
              <w:t>v </w:t>
            </w:r>
            <w:r w:rsidRPr="009110F7">
              <w:rPr>
                <w:rFonts w:cs="Arial"/>
                <w:sz w:val="14"/>
                <w:szCs w:val="14"/>
              </w:rPr>
              <w:t xml:space="preserve">pojetí národních účtů).                                              </w:t>
            </w:r>
          </w:p>
          <w:p w:rsidR="00935BD4" w:rsidRPr="009110F7" w:rsidRDefault="00935BD4" w:rsidP="00965797">
            <w:pPr>
              <w:spacing w:after="200"/>
              <w:rPr>
                <w:spacing w:val="-2"/>
                <w:szCs w:val="20"/>
              </w:rPr>
            </w:pPr>
            <w:r w:rsidRPr="009110F7">
              <w:rPr>
                <w:rFonts w:cs="Arial"/>
                <w:sz w:val="14"/>
                <w:szCs w:val="14"/>
              </w:rPr>
              <w:t>Zdroj: ČSÚ</w:t>
            </w:r>
          </w:p>
        </w:tc>
      </w:tr>
      <w:tr w:rsidR="00935BD4" w:rsidRPr="009110F7" w:rsidTr="00965797">
        <w:trPr>
          <w:trHeight w:val="145"/>
        </w:trPr>
        <w:tc>
          <w:tcPr>
            <w:tcW w:w="1878" w:type="dxa"/>
            <w:shd w:val="clear" w:color="auto" w:fill="auto"/>
            <w:tcMar>
              <w:left w:w="0" w:type="dxa"/>
            </w:tcMar>
          </w:tcPr>
          <w:p w:rsidR="00935BD4" w:rsidRPr="009110F7" w:rsidRDefault="00CD24CE" w:rsidP="00965797">
            <w:pPr>
              <w:pStyle w:val="Marginlie"/>
            </w:pPr>
            <w:r w:rsidRPr="009110F7">
              <w:t>Mzdový růst na počátku roku</w:t>
            </w:r>
            <w:r w:rsidR="00935BD4" w:rsidRPr="009110F7">
              <w:t xml:space="preserve"> akceleroval.</w:t>
            </w:r>
            <w:r w:rsidRPr="009110F7">
              <w:t xml:space="preserve"> Významnou roli při jeho stimulaci sehrál stát. </w:t>
            </w:r>
          </w:p>
          <w:p w:rsidR="00CD24CE" w:rsidRPr="009110F7" w:rsidRDefault="00CD24CE" w:rsidP="00965797">
            <w:pPr>
              <w:pStyle w:val="Marginlie"/>
            </w:pPr>
          </w:p>
          <w:p w:rsidR="00CD24CE" w:rsidRPr="009110F7" w:rsidRDefault="00CD24CE" w:rsidP="00965797">
            <w:pPr>
              <w:pStyle w:val="Marginlie"/>
            </w:pPr>
          </w:p>
          <w:p w:rsidR="00CD24CE" w:rsidRPr="009110F7" w:rsidRDefault="00CD24CE" w:rsidP="00965797">
            <w:pPr>
              <w:pStyle w:val="Marginlie"/>
            </w:pPr>
          </w:p>
          <w:p w:rsidR="00CD24CE" w:rsidRPr="009110F7" w:rsidRDefault="00CD24CE" w:rsidP="00965797">
            <w:pPr>
              <w:pStyle w:val="Marginlie"/>
            </w:pPr>
          </w:p>
          <w:p w:rsidR="00CD24CE" w:rsidRPr="009110F7" w:rsidRDefault="00CD24CE" w:rsidP="00965797">
            <w:pPr>
              <w:pStyle w:val="Marginlie"/>
            </w:pPr>
          </w:p>
          <w:p w:rsidR="00CD24CE" w:rsidRPr="009110F7" w:rsidRDefault="00CD24CE" w:rsidP="00965797">
            <w:pPr>
              <w:pStyle w:val="Marginlie"/>
            </w:pPr>
          </w:p>
          <w:p w:rsidR="00CD24CE" w:rsidRPr="009110F7" w:rsidRDefault="00CD24CE" w:rsidP="00965797">
            <w:pPr>
              <w:pStyle w:val="Marginlie"/>
            </w:pPr>
          </w:p>
          <w:p w:rsidR="00CD24CE" w:rsidRPr="009110F7" w:rsidRDefault="00CD24CE" w:rsidP="00965797">
            <w:pPr>
              <w:pStyle w:val="Marginlie"/>
            </w:pPr>
          </w:p>
          <w:p w:rsidR="00CD24CE" w:rsidRPr="009110F7" w:rsidRDefault="00CD24CE" w:rsidP="00965797">
            <w:pPr>
              <w:pStyle w:val="Marginlie"/>
            </w:pPr>
          </w:p>
          <w:p w:rsidR="00CD24CE" w:rsidRPr="009110F7" w:rsidRDefault="00CD24CE" w:rsidP="00965797">
            <w:pPr>
              <w:pStyle w:val="Marginlie"/>
            </w:pPr>
          </w:p>
          <w:p w:rsidR="00CD24CE" w:rsidRPr="009110F7" w:rsidRDefault="00CD24CE" w:rsidP="00965797">
            <w:pPr>
              <w:pStyle w:val="Marginlie"/>
            </w:pPr>
            <w:r w:rsidRPr="009110F7">
              <w:t>Předstih růstu mediánových mezd nad tempy průměrných mezd se v 1</w:t>
            </w:r>
            <w:r w:rsidR="00716F48" w:rsidRPr="009110F7">
              <w:t>. čtvrt</w:t>
            </w:r>
            <w:r w:rsidRPr="009110F7">
              <w:t>letí již neopakoval.</w:t>
            </w:r>
          </w:p>
        </w:tc>
        <w:tc>
          <w:tcPr>
            <w:tcW w:w="247" w:type="dxa"/>
            <w:shd w:val="clear" w:color="auto" w:fill="auto"/>
            <w:tcMar>
              <w:left w:w="0" w:type="dxa"/>
            </w:tcMar>
          </w:tcPr>
          <w:p w:rsidR="00935BD4" w:rsidRPr="009110F7" w:rsidRDefault="00935BD4" w:rsidP="00965797">
            <w:pPr>
              <w:pStyle w:val="Textpoznpodarou"/>
              <w:jc w:val="both"/>
              <w:rPr>
                <w:spacing w:val="-4"/>
              </w:rPr>
            </w:pPr>
          </w:p>
        </w:tc>
        <w:tc>
          <w:tcPr>
            <w:tcW w:w="7514" w:type="dxa"/>
            <w:shd w:val="clear" w:color="auto" w:fill="auto"/>
            <w:tcMar>
              <w:left w:w="0" w:type="dxa"/>
            </w:tcMar>
          </w:tcPr>
          <w:p w:rsidR="00935BD4" w:rsidRPr="009110F7" w:rsidRDefault="00935BD4" w:rsidP="002F498A">
            <w:pPr>
              <w:spacing w:after="0"/>
              <w:rPr>
                <w:color w:val="0D0D0D" w:themeColor="text1" w:themeTint="F2"/>
              </w:rPr>
            </w:pPr>
            <w:r w:rsidRPr="009110F7">
              <w:rPr>
                <w:rFonts w:cs="Arial"/>
                <w:color w:val="0D0D0D" w:themeColor="text1" w:themeTint="F2"/>
                <w:spacing w:val="-4"/>
              </w:rPr>
              <w:t xml:space="preserve">Dobré hospodářské výsledky firem, pokračující pozitivní očekávání, ale </w:t>
            </w:r>
            <w:r w:rsidR="00716F48" w:rsidRPr="009110F7">
              <w:rPr>
                <w:rFonts w:cs="Arial"/>
                <w:color w:val="0D0D0D" w:themeColor="text1" w:themeTint="F2"/>
                <w:spacing w:val="-4"/>
              </w:rPr>
              <w:t>i </w:t>
            </w:r>
            <w:r w:rsidRPr="009110F7">
              <w:rPr>
                <w:rFonts w:cs="Arial"/>
                <w:color w:val="0D0D0D" w:themeColor="text1" w:themeTint="F2"/>
                <w:spacing w:val="-4"/>
              </w:rPr>
              <w:t>p</w:t>
            </w:r>
            <w:r w:rsidR="00AA7CE8" w:rsidRPr="009110F7">
              <w:rPr>
                <w:rFonts w:cs="Arial"/>
                <w:color w:val="0D0D0D" w:themeColor="text1" w:themeTint="F2"/>
                <w:spacing w:val="-4"/>
              </w:rPr>
              <w:t>rohlubující se neuspokojená poptávka</w:t>
            </w:r>
            <w:r w:rsidRPr="009110F7">
              <w:rPr>
                <w:rFonts w:cs="Arial"/>
                <w:color w:val="0D0D0D" w:themeColor="text1" w:themeTint="F2"/>
                <w:spacing w:val="-4"/>
              </w:rPr>
              <w:t xml:space="preserve"> po pracovní síle vedly na počátku roku 2018 k dynamizaci mzdového růstu. Významnou roli sehrál </w:t>
            </w:r>
            <w:r w:rsidR="00716F48" w:rsidRPr="009110F7">
              <w:rPr>
                <w:rFonts w:cs="Arial"/>
                <w:color w:val="0D0D0D" w:themeColor="text1" w:themeTint="F2"/>
                <w:spacing w:val="-4"/>
              </w:rPr>
              <w:t>i </w:t>
            </w:r>
            <w:r w:rsidRPr="009110F7">
              <w:rPr>
                <w:rFonts w:cs="Arial"/>
                <w:color w:val="0D0D0D" w:themeColor="text1" w:themeTint="F2"/>
                <w:spacing w:val="-4"/>
              </w:rPr>
              <w:t>stát – posílením</w:t>
            </w:r>
            <w:r w:rsidR="00AA7CE8" w:rsidRPr="009110F7">
              <w:rPr>
                <w:rFonts w:cs="Arial"/>
                <w:color w:val="0D0D0D" w:themeColor="text1" w:themeTint="F2"/>
                <w:spacing w:val="-4"/>
              </w:rPr>
              <w:t xml:space="preserve"> platových tarifů zaměstnanců i </w:t>
            </w:r>
            <w:r w:rsidRPr="009110F7">
              <w:rPr>
                <w:rFonts w:cs="Arial"/>
                <w:color w:val="0D0D0D" w:themeColor="text1" w:themeTint="F2"/>
                <w:spacing w:val="-4"/>
              </w:rPr>
              <w:t>dalším navýšením hranice minimální mzdy. Průměrná hrubá měsíční mzda již podruhé v řadě převýšila hranici 3</w:t>
            </w:r>
            <w:r w:rsidR="00167CB9" w:rsidRPr="009110F7">
              <w:rPr>
                <w:rFonts w:cs="Arial"/>
                <w:color w:val="0D0D0D" w:themeColor="text1" w:themeTint="F2"/>
                <w:spacing w:val="-4"/>
              </w:rPr>
              <w:t>0 </w:t>
            </w:r>
            <w:r w:rsidRPr="009110F7">
              <w:rPr>
                <w:rFonts w:cs="Arial"/>
                <w:color w:val="0D0D0D" w:themeColor="text1" w:themeTint="F2"/>
                <w:spacing w:val="-4"/>
              </w:rPr>
              <w:t xml:space="preserve">tisíc korun </w:t>
            </w:r>
            <w:r w:rsidR="00716F48" w:rsidRPr="009110F7">
              <w:rPr>
                <w:rFonts w:cs="Arial"/>
                <w:color w:val="0D0D0D" w:themeColor="text1" w:themeTint="F2"/>
                <w:spacing w:val="-4"/>
              </w:rPr>
              <w:t>a </w:t>
            </w:r>
            <w:r w:rsidRPr="009110F7">
              <w:rPr>
                <w:rFonts w:cs="Arial"/>
                <w:color w:val="0D0D0D" w:themeColor="text1" w:themeTint="F2"/>
                <w:spacing w:val="-4"/>
              </w:rPr>
              <w:t>její meziroční růst (o 8,6</w:t>
            </w:r>
            <w:r w:rsidR="00167CB9" w:rsidRPr="009110F7">
              <w:rPr>
                <w:rFonts w:cs="Arial"/>
                <w:color w:val="0D0D0D" w:themeColor="text1" w:themeTint="F2"/>
                <w:spacing w:val="-4"/>
              </w:rPr>
              <w:t> %</w:t>
            </w:r>
            <w:r w:rsidRPr="009110F7">
              <w:rPr>
                <w:rFonts w:cs="Arial"/>
                <w:color w:val="0D0D0D" w:themeColor="text1" w:themeTint="F2"/>
                <w:spacing w:val="-4"/>
              </w:rPr>
              <w:t xml:space="preserve">) byl proti stejnému období loňského roku téměř dvojnásobný. V kombinaci s vlivem vyšší zaměstnanosti rostl letos objem vyplacených mezd </w:t>
            </w:r>
            <w:r w:rsidR="00CF5873">
              <w:rPr>
                <w:rFonts w:cs="Arial"/>
                <w:color w:val="0D0D0D" w:themeColor="text1" w:themeTint="F2"/>
                <w:spacing w:val="-4"/>
              </w:rPr>
              <w:t>o </w:t>
            </w:r>
            <w:r w:rsidRPr="009110F7">
              <w:rPr>
                <w:rFonts w:cs="Arial"/>
                <w:color w:val="0D0D0D" w:themeColor="text1" w:themeTint="F2"/>
                <w:spacing w:val="-4"/>
              </w:rPr>
              <w:t>10,7</w:t>
            </w:r>
            <w:r w:rsidR="00167CB9" w:rsidRPr="009110F7">
              <w:rPr>
                <w:rFonts w:cs="Arial"/>
                <w:color w:val="0D0D0D" w:themeColor="text1" w:themeTint="F2"/>
                <w:spacing w:val="-4"/>
              </w:rPr>
              <w:t> %</w:t>
            </w:r>
            <w:r w:rsidRPr="009110F7">
              <w:rPr>
                <w:rFonts w:cs="Arial"/>
                <w:color w:val="0D0D0D" w:themeColor="text1" w:themeTint="F2"/>
                <w:spacing w:val="-4"/>
              </w:rPr>
              <w:t xml:space="preserve"> (vyšší tempo bylo po roce 2000 zaznamenáno jen v 1</w:t>
            </w:r>
            <w:r w:rsidR="00716F48" w:rsidRPr="009110F7">
              <w:rPr>
                <w:rFonts w:cs="Arial"/>
                <w:color w:val="0D0D0D" w:themeColor="text1" w:themeTint="F2"/>
                <w:spacing w:val="-4"/>
              </w:rPr>
              <w:t>. čtvrt</w:t>
            </w:r>
            <w:r w:rsidRPr="009110F7">
              <w:rPr>
                <w:rFonts w:cs="Arial"/>
                <w:color w:val="0D0D0D" w:themeColor="text1" w:themeTint="F2"/>
                <w:spacing w:val="-4"/>
              </w:rPr>
              <w:t xml:space="preserve">letí 2008). </w:t>
            </w:r>
            <w:r w:rsidRPr="009110F7">
              <w:rPr>
                <w:color w:val="0D0D0D" w:themeColor="text1" w:themeTint="F2"/>
              </w:rPr>
              <w:t>Podobně jak</w:t>
            </w:r>
            <w:r w:rsidR="00AA7CE8" w:rsidRPr="009110F7">
              <w:rPr>
                <w:color w:val="0D0D0D" w:themeColor="text1" w:themeTint="F2"/>
              </w:rPr>
              <w:t>o loni byl zaznamenán siln</w:t>
            </w:r>
            <w:r w:rsidRPr="009110F7">
              <w:rPr>
                <w:color w:val="0D0D0D" w:themeColor="text1" w:themeTint="F2"/>
              </w:rPr>
              <w:t>ý růst průměrných mezd v odvětvích s nízkou úrovní výdělků (vliv</w:t>
            </w:r>
            <w:r w:rsidR="00AA7CE8" w:rsidRPr="009110F7">
              <w:rPr>
                <w:color w:val="0D0D0D" w:themeColor="text1" w:themeTint="F2"/>
              </w:rPr>
              <w:t>em</w:t>
            </w:r>
            <w:r w:rsidRPr="009110F7">
              <w:rPr>
                <w:color w:val="0D0D0D" w:themeColor="text1" w:themeTint="F2"/>
              </w:rPr>
              <w:t xml:space="preserve"> </w:t>
            </w:r>
            <w:r w:rsidR="00F219A1" w:rsidRPr="009110F7">
              <w:rPr>
                <w:color w:val="0D0D0D" w:themeColor="text1" w:themeTint="F2"/>
              </w:rPr>
              <w:t>posunu</w:t>
            </w:r>
            <w:r w:rsidR="00AA7CE8" w:rsidRPr="009110F7">
              <w:rPr>
                <w:color w:val="0D0D0D" w:themeColor="text1" w:themeTint="F2"/>
              </w:rPr>
              <w:t xml:space="preserve"> </w:t>
            </w:r>
            <w:r w:rsidRPr="009110F7">
              <w:rPr>
                <w:color w:val="0D0D0D" w:themeColor="text1" w:themeTint="F2"/>
              </w:rPr>
              <w:t>minimální mzdy). K nejvyššímu mzdovému růstu však došlo v odvětvích s dominancí státu</w:t>
            </w:r>
            <w:r w:rsidR="00F073ED" w:rsidRPr="009110F7">
              <w:rPr>
                <w:color w:val="0D0D0D" w:themeColor="text1" w:themeTint="F2"/>
              </w:rPr>
              <w:t xml:space="preserve"> (bez větších rozdílů mezi dílčími odvětvími)</w:t>
            </w:r>
            <w:r w:rsidRPr="009110F7">
              <w:rPr>
                <w:color w:val="0D0D0D" w:themeColor="text1" w:themeTint="F2"/>
              </w:rPr>
              <w:t xml:space="preserve">. </w:t>
            </w:r>
            <w:r w:rsidR="00CF5873">
              <w:rPr>
                <w:color w:val="0D0D0D" w:themeColor="text1" w:themeTint="F2"/>
              </w:rPr>
              <w:t>Na</w:t>
            </w:r>
            <w:r w:rsidR="00F073ED" w:rsidRPr="009110F7">
              <w:rPr>
                <w:color w:val="0D0D0D" w:themeColor="text1" w:themeTint="F2"/>
              </w:rPr>
              <w:t>proti tomu činilo</w:t>
            </w:r>
            <w:r w:rsidRPr="009110F7">
              <w:rPr>
                <w:color w:val="0D0D0D" w:themeColor="text1" w:themeTint="F2"/>
              </w:rPr>
              <w:t xml:space="preserve"> navýšení průměrných</w:t>
            </w:r>
            <w:r w:rsidR="00F073ED" w:rsidRPr="009110F7">
              <w:rPr>
                <w:color w:val="0D0D0D" w:themeColor="text1" w:themeTint="F2"/>
              </w:rPr>
              <w:t xml:space="preserve"> výdělků</w:t>
            </w:r>
            <w:r w:rsidRPr="009110F7">
              <w:rPr>
                <w:color w:val="0D0D0D" w:themeColor="text1" w:themeTint="F2"/>
              </w:rPr>
              <w:t xml:space="preserve"> ve finančním sektoru jen 3,5</w:t>
            </w:r>
            <w:r w:rsidRPr="009110F7">
              <w:rPr>
                <w:rFonts w:cs="Arial"/>
                <w:color w:val="0D0D0D" w:themeColor="text1" w:themeTint="F2"/>
                <w:spacing w:val="-4"/>
              </w:rPr>
              <w:t> </w:t>
            </w:r>
            <w:r w:rsidR="00F073ED" w:rsidRPr="009110F7">
              <w:rPr>
                <w:color w:val="0D0D0D" w:themeColor="text1" w:themeTint="F2"/>
              </w:rPr>
              <w:t>%</w:t>
            </w:r>
            <w:r w:rsidRPr="009110F7">
              <w:rPr>
                <w:color w:val="0D0D0D" w:themeColor="text1" w:themeTint="F2"/>
              </w:rPr>
              <w:t xml:space="preserve">. </w:t>
            </w:r>
            <w:r w:rsidR="002F498A" w:rsidRPr="009110F7">
              <w:rPr>
                <w:color w:val="0D0D0D" w:themeColor="text1" w:themeTint="F2"/>
              </w:rPr>
              <w:t>Růst průměrných mezd ve váhově domina</w:t>
            </w:r>
            <w:r w:rsidR="00CD24CE" w:rsidRPr="009110F7">
              <w:rPr>
                <w:color w:val="0D0D0D" w:themeColor="text1" w:themeTint="F2"/>
              </w:rPr>
              <w:t>n</w:t>
            </w:r>
            <w:r w:rsidR="002F498A" w:rsidRPr="009110F7">
              <w:rPr>
                <w:color w:val="0D0D0D" w:themeColor="text1" w:themeTint="F2"/>
              </w:rPr>
              <w:t>tním odvětví zpracovatelského průmyslu (7,4</w:t>
            </w:r>
            <w:r w:rsidR="00167CB9" w:rsidRPr="009110F7">
              <w:rPr>
                <w:color w:val="0D0D0D" w:themeColor="text1" w:themeTint="F2"/>
              </w:rPr>
              <w:t> %</w:t>
            </w:r>
            <w:r w:rsidR="002F498A" w:rsidRPr="009110F7">
              <w:rPr>
                <w:color w:val="0D0D0D" w:themeColor="text1" w:themeTint="F2"/>
              </w:rPr>
              <w:t xml:space="preserve">) za tempem v celé ekonomice mírně zaostal. </w:t>
            </w:r>
            <w:r w:rsidRPr="009110F7">
              <w:rPr>
                <w:color w:val="0D0D0D" w:themeColor="text1" w:themeTint="F2"/>
              </w:rPr>
              <w:t>Předstih růstu mediánové mzdy nad tempem průměrné mzdy, trvající de</w:t>
            </w:r>
            <w:r w:rsidR="009674BE">
              <w:rPr>
                <w:color w:val="0D0D0D" w:themeColor="text1" w:themeTint="F2"/>
              </w:rPr>
              <w:t> </w:t>
            </w:r>
            <w:r w:rsidRPr="009110F7">
              <w:rPr>
                <w:color w:val="0D0D0D" w:themeColor="text1" w:themeTint="F2"/>
              </w:rPr>
              <w:t>facto nepřet</w:t>
            </w:r>
            <w:r w:rsidR="002F498A" w:rsidRPr="009110F7">
              <w:rPr>
                <w:color w:val="0D0D0D" w:themeColor="text1" w:themeTint="F2"/>
              </w:rPr>
              <w:t>ržitě od poloviny roku 2015, se letos již neopakoval</w:t>
            </w:r>
            <w:r w:rsidRPr="009110F7">
              <w:rPr>
                <w:color w:val="0D0D0D" w:themeColor="text1" w:themeTint="F2"/>
              </w:rPr>
              <w:t xml:space="preserve"> (průměrná mzda +8,6</w:t>
            </w:r>
            <w:r w:rsidR="00167CB9" w:rsidRPr="009110F7">
              <w:rPr>
                <w:color w:val="0D0D0D" w:themeColor="text1" w:themeTint="F2"/>
              </w:rPr>
              <w:t> %</w:t>
            </w:r>
            <w:r w:rsidRPr="009110F7">
              <w:rPr>
                <w:color w:val="0D0D0D" w:themeColor="text1" w:themeTint="F2"/>
              </w:rPr>
              <w:t>, mediánová +8,3</w:t>
            </w:r>
            <w:r w:rsidR="00167CB9" w:rsidRPr="009110F7">
              <w:rPr>
                <w:color w:val="0D0D0D" w:themeColor="text1" w:themeTint="F2"/>
              </w:rPr>
              <w:t> %</w:t>
            </w:r>
            <w:r w:rsidRPr="009110F7">
              <w:rPr>
                <w:color w:val="0D0D0D" w:themeColor="text1" w:themeTint="F2"/>
              </w:rPr>
              <w:t>).</w:t>
            </w:r>
          </w:p>
        </w:tc>
      </w:tr>
    </w:tbl>
    <w:p w:rsidR="00935BD4" w:rsidRPr="009110F7" w:rsidRDefault="00935BD4" w:rsidP="00935BD4">
      <w:pPr>
        <w:rPr>
          <w:sz w:val="2"/>
          <w:szCs w:val="2"/>
        </w:rPr>
      </w:pPr>
    </w:p>
    <w:p w:rsidR="00935BD4" w:rsidRPr="009110F7" w:rsidRDefault="00935BD4" w:rsidP="000D3058">
      <w:pPr>
        <w:pStyle w:val="Nadpis11"/>
      </w:pPr>
      <w:bookmarkStart w:id="12" w:name="_Toc517166414"/>
      <w:r w:rsidRPr="009110F7">
        <w:lastRenderedPageBreak/>
        <w:t>7. Měnové podmínky</w:t>
      </w:r>
      <w:bookmarkEnd w:id="12"/>
    </w:p>
    <w:tbl>
      <w:tblPr>
        <w:tblW w:w="9639" w:type="dxa"/>
        <w:tblInd w:w="-15" w:type="dxa"/>
        <w:tblCellMar>
          <w:left w:w="0" w:type="dxa"/>
          <w:right w:w="0" w:type="dxa"/>
        </w:tblCellMar>
        <w:tblLook w:val="00A0"/>
      </w:tblPr>
      <w:tblGrid>
        <w:gridCol w:w="1888"/>
        <w:gridCol w:w="250"/>
        <w:gridCol w:w="7501"/>
      </w:tblGrid>
      <w:tr w:rsidR="000D3058" w:rsidRPr="009110F7" w:rsidTr="00965797">
        <w:trPr>
          <w:trHeight w:val="145"/>
        </w:trPr>
        <w:tc>
          <w:tcPr>
            <w:tcW w:w="1888" w:type="dxa"/>
            <w:shd w:val="clear" w:color="auto" w:fill="auto"/>
            <w:tcMar>
              <w:left w:w="0" w:type="dxa"/>
            </w:tcMar>
          </w:tcPr>
          <w:p w:rsidR="000D3058" w:rsidRPr="009110F7" w:rsidRDefault="000D3058" w:rsidP="00965797">
            <w:pPr>
              <w:pStyle w:val="Marginlie"/>
            </w:pPr>
            <w:r w:rsidRPr="009110F7">
              <w:t xml:space="preserve">Bankovní rada opět zvýšila </w:t>
            </w:r>
            <w:proofErr w:type="spellStart"/>
            <w:r w:rsidRPr="009110F7">
              <w:t>měnověpolitické</w:t>
            </w:r>
            <w:proofErr w:type="spellEnd"/>
            <w:r w:rsidRPr="009110F7">
              <w:t xml:space="preserve"> sazby. </w:t>
            </w:r>
          </w:p>
        </w:tc>
        <w:tc>
          <w:tcPr>
            <w:tcW w:w="250" w:type="dxa"/>
            <w:shd w:val="clear" w:color="auto" w:fill="auto"/>
            <w:tcMar>
              <w:left w:w="0" w:type="dxa"/>
            </w:tcMar>
          </w:tcPr>
          <w:p w:rsidR="000D3058" w:rsidRPr="009110F7" w:rsidRDefault="000D3058" w:rsidP="00965797">
            <w:pPr>
              <w:pStyle w:val="Textpoznpodarou"/>
              <w:jc w:val="both"/>
              <w:rPr>
                <w:spacing w:val="-4"/>
              </w:rPr>
            </w:pPr>
          </w:p>
        </w:tc>
        <w:tc>
          <w:tcPr>
            <w:tcW w:w="7501" w:type="dxa"/>
            <w:shd w:val="clear" w:color="auto" w:fill="auto"/>
            <w:tcMar>
              <w:left w:w="0" w:type="dxa"/>
            </w:tcMar>
          </w:tcPr>
          <w:p w:rsidR="000D3058" w:rsidRPr="009110F7" w:rsidRDefault="00446D44" w:rsidP="00446D44">
            <w:r w:rsidRPr="009110F7">
              <w:t>V</w:t>
            </w:r>
            <w:r w:rsidR="00FA5112" w:rsidRPr="009110F7">
              <w:t> 1</w:t>
            </w:r>
            <w:r w:rsidR="00716F48" w:rsidRPr="009110F7">
              <w:t>. čtvrt</w:t>
            </w:r>
            <w:r w:rsidR="00FA5112" w:rsidRPr="009110F7">
              <w:t>letí</w:t>
            </w:r>
            <w:r w:rsidR="000D3058" w:rsidRPr="009110F7">
              <w:t xml:space="preserve"> </w:t>
            </w:r>
            <w:r w:rsidRPr="009110F7">
              <w:t xml:space="preserve">2018 pokračovalo </w:t>
            </w:r>
            <w:r w:rsidR="000D3058" w:rsidRPr="009110F7">
              <w:t>zv</w:t>
            </w:r>
            <w:r w:rsidR="00915D07">
              <w:t>y</w:t>
            </w:r>
            <w:r w:rsidR="000D3058" w:rsidRPr="009110F7">
              <w:t>š</w:t>
            </w:r>
            <w:r w:rsidRPr="009110F7">
              <w:t>ování</w:t>
            </w:r>
            <w:r w:rsidR="000D3058" w:rsidRPr="009110F7">
              <w:t xml:space="preserve"> </w:t>
            </w:r>
            <w:proofErr w:type="spellStart"/>
            <w:r w:rsidR="000D3058" w:rsidRPr="009110F7">
              <w:t>měnověpolitických</w:t>
            </w:r>
            <w:proofErr w:type="spellEnd"/>
            <w:r w:rsidR="000D3058" w:rsidRPr="009110F7">
              <w:t xml:space="preserve"> sazeb. Sazba na dvoutýdenních </w:t>
            </w:r>
            <w:proofErr w:type="spellStart"/>
            <w:r w:rsidR="000D3058" w:rsidRPr="009110F7">
              <w:t>repo</w:t>
            </w:r>
            <w:proofErr w:type="spellEnd"/>
            <w:r w:rsidR="000D3058" w:rsidRPr="009110F7">
              <w:t xml:space="preserve"> operacích (2T</w:t>
            </w:r>
            <w:r w:rsidR="00915D07">
              <w:t> </w:t>
            </w:r>
            <w:proofErr w:type="spellStart"/>
            <w:r w:rsidR="000D3058" w:rsidRPr="009110F7">
              <w:t>repo</w:t>
            </w:r>
            <w:proofErr w:type="spellEnd"/>
            <w:r w:rsidR="000D3058" w:rsidRPr="009110F7">
              <w:t>) byla v únoru zvýšena z 0,50</w:t>
            </w:r>
            <w:r w:rsidR="00167CB9" w:rsidRPr="009110F7">
              <w:t> %</w:t>
            </w:r>
            <w:r w:rsidR="000D3058" w:rsidRPr="009110F7">
              <w:t xml:space="preserve"> na 0,75</w:t>
            </w:r>
            <w:r w:rsidR="00167CB9" w:rsidRPr="009110F7">
              <w:t> %</w:t>
            </w:r>
            <w:r w:rsidR="000D3058" w:rsidRPr="009110F7">
              <w:t xml:space="preserve"> a</w:t>
            </w:r>
            <w:r w:rsidRPr="009110F7">
              <w:t> </w:t>
            </w:r>
            <w:r w:rsidR="000D3058" w:rsidRPr="009110F7">
              <w:t>lombardní sazba z 1,00</w:t>
            </w:r>
            <w:r w:rsidR="00167CB9" w:rsidRPr="009110F7">
              <w:t> %</w:t>
            </w:r>
            <w:r w:rsidR="000D3058" w:rsidRPr="009110F7">
              <w:t xml:space="preserve"> na 1,50</w:t>
            </w:r>
            <w:r w:rsidR="00167CB9" w:rsidRPr="009110F7">
              <w:t> %</w:t>
            </w:r>
            <w:r w:rsidR="000D3058" w:rsidRPr="009110F7">
              <w:t>. Diskontní sazba zůstala na hodnotě 0,05</w:t>
            </w:r>
            <w:r w:rsidR="00167CB9" w:rsidRPr="009110F7">
              <w:t> %</w:t>
            </w:r>
            <w:r w:rsidR="000D3058" w:rsidRPr="009110F7">
              <w:t xml:space="preserve"> (již od listopadu 2012). Kurz koruny vůči euru v 1</w:t>
            </w:r>
            <w:r w:rsidR="00716F48" w:rsidRPr="009110F7">
              <w:t>. čtvrt</w:t>
            </w:r>
            <w:r w:rsidR="000D3058" w:rsidRPr="009110F7">
              <w:t>letí spíše stagnoval, držel se však pod hodnotou 25,50</w:t>
            </w:r>
            <w:r w:rsidR="00A44B0D" w:rsidRPr="009110F7">
              <w:t> </w:t>
            </w:r>
            <w:r w:rsidR="000D3058" w:rsidRPr="009110F7">
              <w:t>CZK/EUR</w:t>
            </w:r>
            <w:r w:rsidRPr="009110F7">
              <w:rPr>
                <w:rStyle w:val="Znakapoznpodarou"/>
              </w:rPr>
              <w:footnoteReference w:id="34"/>
            </w:r>
            <w:r w:rsidR="000D3058" w:rsidRPr="009110F7">
              <w:t>. Čtvrtletní průměr činil 25,4</w:t>
            </w:r>
            <w:r w:rsidR="00167CB9" w:rsidRPr="009110F7">
              <w:t>0 </w:t>
            </w:r>
            <w:r w:rsidR="000D3058" w:rsidRPr="009110F7">
              <w:t>CZK/EUR a</w:t>
            </w:r>
            <w:r w:rsidRPr="009110F7">
              <w:t> </w:t>
            </w:r>
            <w:proofErr w:type="spellStart"/>
            <w:r w:rsidRPr="009110F7">
              <w:t>mezičtvrtletně</w:t>
            </w:r>
            <w:proofErr w:type="spellEnd"/>
            <w:r w:rsidR="000D3058" w:rsidRPr="009110F7">
              <w:t xml:space="preserve"> kurz posílil o 1,0</w:t>
            </w:r>
            <w:r w:rsidR="00167CB9" w:rsidRPr="009110F7">
              <w:t> %</w:t>
            </w:r>
            <w:r w:rsidR="000D3058" w:rsidRPr="009110F7">
              <w:t xml:space="preserve">, v porovnání se stejným obdobím minulého roku byl silnější </w:t>
            </w:r>
            <w:r w:rsidR="00716F48" w:rsidRPr="009110F7">
              <w:t>o </w:t>
            </w:r>
            <w:r w:rsidR="000D3058" w:rsidRPr="009110F7">
              <w:t>6,0</w:t>
            </w:r>
            <w:r w:rsidR="00167CB9" w:rsidRPr="009110F7">
              <w:t> %</w:t>
            </w:r>
            <w:r w:rsidR="000D3058" w:rsidRPr="009110F7">
              <w:t>. Kurz koruny vůči dolaru výrazně posiloval během celého minulého roku. Průměrná hodnota v 1</w:t>
            </w:r>
            <w:r w:rsidR="00716F48" w:rsidRPr="009110F7">
              <w:t>. čtvrt</w:t>
            </w:r>
            <w:r w:rsidR="000D3058" w:rsidRPr="009110F7">
              <w:t>letí 2018 činila 20,6</w:t>
            </w:r>
            <w:r w:rsidR="00167CB9" w:rsidRPr="009110F7">
              <w:t>7 </w:t>
            </w:r>
            <w:r w:rsidR="000D3058" w:rsidRPr="009110F7">
              <w:t xml:space="preserve">CZK/USD. </w:t>
            </w:r>
            <w:proofErr w:type="spellStart"/>
            <w:r w:rsidR="000D3058" w:rsidRPr="009110F7">
              <w:t>Mezičtvrtletně</w:t>
            </w:r>
            <w:proofErr w:type="spellEnd"/>
            <w:r w:rsidR="000D3058" w:rsidRPr="009110F7">
              <w:t xml:space="preserve"> kurz posílil o 5,1 %, meziročně </w:t>
            </w:r>
            <w:r w:rsidR="00716F48" w:rsidRPr="009110F7">
              <w:t>o </w:t>
            </w:r>
            <w:r w:rsidR="000D3058" w:rsidRPr="009110F7">
              <w:t>18,6</w:t>
            </w:r>
            <w:r w:rsidR="00167CB9" w:rsidRPr="009110F7">
              <w:t> %</w:t>
            </w:r>
            <w:r w:rsidR="000D3058" w:rsidRPr="009110F7">
              <w:t>.</w:t>
            </w:r>
          </w:p>
        </w:tc>
      </w:tr>
      <w:tr w:rsidR="000D3058" w:rsidRPr="009110F7" w:rsidTr="00965797">
        <w:trPr>
          <w:trHeight w:val="145"/>
        </w:trPr>
        <w:tc>
          <w:tcPr>
            <w:tcW w:w="1888" w:type="dxa"/>
            <w:shd w:val="clear" w:color="auto" w:fill="auto"/>
            <w:tcMar>
              <w:left w:w="0" w:type="dxa"/>
            </w:tcMar>
          </w:tcPr>
          <w:p w:rsidR="000D3058" w:rsidRPr="009110F7" w:rsidRDefault="000D3058" w:rsidP="00965797">
            <w:pPr>
              <w:pStyle w:val="Marginlie"/>
            </w:pPr>
            <w:r w:rsidRPr="009110F7">
              <w:t xml:space="preserve">Peněžní zásoba rostla pomaleji než loni. Je patrné oživení zájmu </w:t>
            </w:r>
            <w:r w:rsidR="00716F48" w:rsidRPr="009110F7">
              <w:t>o </w:t>
            </w:r>
            <w:r w:rsidRPr="009110F7">
              <w:t>vklady s dohodnutou splatností.</w:t>
            </w:r>
          </w:p>
        </w:tc>
        <w:tc>
          <w:tcPr>
            <w:tcW w:w="250" w:type="dxa"/>
            <w:shd w:val="clear" w:color="auto" w:fill="auto"/>
            <w:tcMar>
              <w:left w:w="0" w:type="dxa"/>
            </w:tcMar>
          </w:tcPr>
          <w:p w:rsidR="000D3058" w:rsidRPr="009110F7" w:rsidRDefault="000D3058" w:rsidP="00965797">
            <w:pPr>
              <w:pStyle w:val="Textpoznpodarou"/>
              <w:jc w:val="both"/>
              <w:rPr>
                <w:spacing w:val="-4"/>
              </w:rPr>
            </w:pPr>
          </w:p>
        </w:tc>
        <w:tc>
          <w:tcPr>
            <w:tcW w:w="7501" w:type="dxa"/>
            <w:shd w:val="clear" w:color="auto" w:fill="auto"/>
            <w:tcMar>
              <w:left w:w="0" w:type="dxa"/>
            </w:tcMar>
          </w:tcPr>
          <w:p w:rsidR="000D3058" w:rsidRPr="009110F7" w:rsidRDefault="000D3058" w:rsidP="00446D44">
            <w:r w:rsidRPr="009110F7">
              <w:t>Peněžní zásoba v 1</w:t>
            </w:r>
            <w:r w:rsidR="00716F48" w:rsidRPr="009110F7">
              <w:t>. čtvrt</w:t>
            </w:r>
            <w:r w:rsidRPr="009110F7">
              <w:t xml:space="preserve">letí 2018 rostla, ve srovnání s minulým rokem však tempo značně polevilo. </w:t>
            </w:r>
            <w:r w:rsidR="00446D44" w:rsidRPr="009110F7">
              <w:t>Průměrný meziroční růst celkové</w:t>
            </w:r>
            <w:r w:rsidRPr="009110F7">
              <w:t xml:space="preserve"> zásob</w:t>
            </w:r>
            <w:r w:rsidR="00446D44" w:rsidRPr="009110F7">
              <w:t>y</w:t>
            </w:r>
            <w:r w:rsidRPr="009110F7">
              <w:t xml:space="preserve"> peněz (měřeno agregátem M3) </w:t>
            </w:r>
            <w:r w:rsidR="00716F48" w:rsidRPr="009110F7">
              <w:t>v </w:t>
            </w:r>
            <w:r w:rsidRPr="009110F7">
              <w:t>1</w:t>
            </w:r>
            <w:r w:rsidR="00716F48" w:rsidRPr="009110F7">
              <w:t>. čtvrt</w:t>
            </w:r>
            <w:r w:rsidRPr="009110F7">
              <w:t>letí činil 8,0</w:t>
            </w:r>
            <w:r w:rsidR="00167CB9" w:rsidRPr="009110F7">
              <w:t> %</w:t>
            </w:r>
            <w:r w:rsidRPr="009110F7">
              <w:t>. Celkové množství peněz v ekonomice na konci března dosáhlo 4 350,0</w:t>
            </w:r>
            <w:r w:rsidR="00A44B0D" w:rsidRPr="009110F7">
              <w:t> </w:t>
            </w:r>
            <w:r w:rsidRPr="009110F7">
              <w:t xml:space="preserve">mld. korun (hranice 4 bilionů korun byla překročena v březnu 2017). Mírnějším tempem než loni roste množství oběživa </w:t>
            </w:r>
            <w:r w:rsidR="00716F48" w:rsidRPr="009110F7">
              <w:t>a </w:t>
            </w:r>
            <w:r w:rsidRPr="009110F7">
              <w:t xml:space="preserve">běžných vkladů, které tvoří hlavní část peněz v ekonomice. Po letech poklesu </w:t>
            </w:r>
            <w:r w:rsidR="00915D07" w:rsidRPr="009110F7">
              <w:t xml:space="preserve">však </w:t>
            </w:r>
            <w:r w:rsidRPr="009110F7">
              <w:t>v 1</w:t>
            </w:r>
            <w:r w:rsidR="00716F48" w:rsidRPr="009110F7">
              <w:t>. čtvrt</w:t>
            </w:r>
            <w:r w:rsidRPr="009110F7">
              <w:t xml:space="preserve">letí výrazně meziročně narostl objem vkladů s dohodnutou splatností do </w:t>
            </w:r>
            <w:r w:rsidR="00167CB9" w:rsidRPr="009110F7">
              <w:t>2 </w:t>
            </w:r>
            <w:r w:rsidRPr="009110F7">
              <w:t>let (průměrné meziroční tempo 11,2</w:t>
            </w:r>
            <w:r w:rsidR="00167CB9" w:rsidRPr="009110F7">
              <w:t> %</w:t>
            </w:r>
            <w:r w:rsidRPr="009110F7">
              <w:t>).</w:t>
            </w:r>
          </w:p>
        </w:tc>
      </w:tr>
      <w:tr w:rsidR="000D3058" w:rsidRPr="009110F7" w:rsidTr="00965797">
        <w:trPr>
          <w:trHeight w:val="145"/>
        </w:trPr>
        <w:tc>
          <w:tcPr>
            <w:tcW w:w="1888" w:type="dxa"/>
            <w:shd w:val="clear" w:color="auto" w:fill="auto"/>
            <w:tcMar>
              <w:left w:w="0" w:type="dxa"/>
            </w:tcMar>
          </w:tcPr>
          <w:p w:rsidR="000D3058" w:rsidRPr="009110F7" w:rsidRDefault="000D3058" w:rsidP="00965797">
            <w:pPr>
              <w:pStyle w:val="Marginlie"/>
            </w:pPr>
            <w:r w:rsidRPr="009110F7">
              <w:t>Mezibankovní sazby v Česku rostly. Výnosy na dluhopisech rovněž stoupaly.</w:t>
            </w:r>
          </w:p>
        </w:tc>
        <w:tc>
          <w:tcPr>
            <w:tcW w:w="250" w:type="dxa"/>
            <w:shd w:val="clear" w:color="auto" w:fill="auto"/>
            <w:tcMar>
              <w:left w:w="0" w:type="dxa"/>
            </w:tcMar>
          </w:tcPr>
          <w:p w:rsidR="000D3058" w:rsidRPr="009110F7" w:rsidRDefault="000D3058" w:rsidP="00965797">
            <w:pPr>
              <w:pStyle w:val="Textpoznpodarou"/>
              <w:jc w:val="both"/>
              <w:rPr>
                <w:spacing w:val="-4"/>
              </w:rPr>
            </w:pPr>
          </w:p>
        </w:tc>
        <w:tc>
          <w:tcPr>
            <w:tcW w:w="7501" w:type="dxa"/>
            <w:shd w:val="clear" w:color="auto" w:fill="auto"/>
            <w:tcMar>
              <w:left w:w="0" w:type="dxa"/>
            </w:tcMar>
          </w:tcPr>
          <w:p w:rsidR="000D3058" w:rsidRPr="009110F7" w:rsidRDefault="00AC2395" w:rsidP="00AC2395">
            <w:r w:rsidRPr="009110F7">
              <w:t>Růst t</w:t>
            </w:r>
            <w:r w:rsidR="000D3058" w:rsidRPr="009110F7">
              <w:t>ržní</w:t>
            </w:r>
            <w:r w:rsidRPr="009110F7">
              <w:t>ch</w:t>
            </w:r>
            <w:r w:rsidR="000D3058" w:rsidRPr="009110F7">
              <w:t xml:space="preserve"> úrokov</w:t>
            </w:r>
            <w:r w:rsidRPr="009110F7">
              <w:t>ých</w:t>
            </w:r>
            <w:r w:rsidR="000D3058" w:rsidRPr="009110F7">
              <w:t xml:space="preserve"> saz</w:t>
            </w:r>
            <w:r w:rsidRPr="009110F7">
              <w:t>e</w:t>
            </w:r>
            <w:r w:rsidR="000D3058" w:rsidRPr="009110F7">
              <w:t>b v 1</w:t>
            </w:r>
            <w:r w:rsidR="00716F48" w:rsidRPr="009110F7">
              <w:t>. čtvrt</w:t>
            </w:r>
            <w:r w:rsidR="000D3058" w:rsidRPr="009110F7">
              <w:t>letí roku pokračoval. Tříměsíční sazba PRIBOR se zvýšila z 0,75</w:t>
            </w:r>
            <w:r w:rsidR="00167CB9" w:rsidRPr="009110F7">
              <w:t> %</w:t>
            </w:r>
            <w:r w:rsidR="000D3058" w:rsidRPr="009110F7">
              <w:t xml:space="preserve"> v prosinci 2017 na 0,90</w:t>
            </w:r>
            <w:r w:rsidR="00167CB9" w:rsidRPr="009110F7">
              <w:t> %</w:t>
            </w:r>
            <w:r w:rsidR="000D3058" w:rsidRPr="009110F7">
              <w:t xml:space="preserve"> v březnu. Výše této úrokové sazby se posouvá v souladu s </w:t>
            </w:r>
            <w:proofErr w:type="spellStart"/>
            <w:r w:rsidR="000D3058" w:rsidRPr="009110F7">
              <w:t>měnověpolitickými</w:t>
            </w:r>
            <w:proofErr w:type="spellEnd"/>
            <w:r w:rsidR="000D3058" w:rsidRPr="009110F7">
              <w:t xml:space="preserve"> sazbami, které vyhlašuje ČNB. Naproti tomu Evropská centrální banka </w:t>
            </w:r>
            <w:r w:rsidR="00FA5112" w:rsidRPr="009110F7">
              <w:t>pokračovala</w:t>
            </w:r>
            <w:r w:rsidR="000D3058" w:rsidRPr="009110F7">
              <w:t xml:space="preserve"> v uvolněné monetární politice a</w:t>
            </w:r>
            <w:r w:rsidRPr="009110F7">
              <w:t> </w:t>
            </w:r>
            <w:proofErr w:type="spellStart"/>
            <w:r w:rsidR="00FA5112" w:rsidRPr="009110F7">
              <w:t>měnověpolitické</w:t>
            </w:r>
            <w:proofErr w:type="spellEnd"/>
            <w:r w:rsidR="00FA5112" w:rsidRPr="009110F7">
              <w:t xml:space="preserve"> sazby ponechala</w:t>
            </w:r>
            <w:r w:rsidR="000D3058" w:rsidRPr="009110F7">
              <w:t xml:space="preserve"> na záporné úrovni. Sazba EURIBOR</w:t>
            </w:r>
            <w:r w:rsidR="00063975">
              <w:t> </w:t>
            </w:r>
            <w:r w:rsidR="000D3058" w:rsidRPr="009110F7">
              <w:t>3M se tak drž</w:t>
            </w:r>
            <w:r w:rsidR="00FA5112" w:rsidRPr="009110F7">
              <w:t>ela</w:t>
            </w:r>
            <w:r w:rsidR="000D3058" w:rsidRPr="009110F7">
              <w:t xml:space="preserve"> v okolí hodnoty </w:t>
            </w:r>
            <w:r w:rsidR="00CA37FF">
              <w:t>-</w:t>
            </w:r>
            <w:r w:rsidR="000D3058" w:rsidRPr="009110F7">
              <w:t>0,33</w:t>
            </w:r>
            <w:r w:rsidR="00167CB9" w:rsidRPr="009110F7">
              <w:t> %</w:t>
            </w:r>
            <w:r w:rsidR="000D3058" w:rsidRPr="009110F7">
              <w:t>. Pomalu rost</w:t>
            </w:r>
            <w:r w:rsidR="00FA5112" w:rsidRPr="009110F7">
              <w:t>ly</w:t>
            </w:r>
            <w:r w:rsidR="000D3058" w:rsidRPr="009110F7">
              <w:t xml:space="preserve"> </w:t>
            </w:r>
            <w:r w:rsidR="00716F48" w:rsidRPr="009110F7">
              <w:t>i </w:t>
            </w:r>
            <w:r w:rsidR="000D3058" w:rsidRPr="009110F7">
              <w:t>výnosy na státních dluhopisech. Ke</w:t>
            </w:r>
            <w:r w:rsidRPr="009110F7">
              <w:t> </w:t>
            </w:r>
            <w:r w:rsidR="000D3058" w:rsidRPr="009110F7">
              <w:t xml:space="preserve">konci března dosahoval průměrný výnos na dluhopisech se splatností do </w:t>
            </w:r>
            <w:r w:rsidR="00167CB9" w:rsidRPr="009110F7">
              <w:t>2 </w:t>
            </w:r>
            <w:r w:rsidR="000D3058" w:rsidRPr="009110F7">
              <w:t>let 0,62</w:t>
            </w:r>
            <w:r w:rsidR="00167CB9" w:rsidRPr="009110F7">
              <w:t> %</w:t>
            </w:r>
            <w:r w:rsidR="000D3058" w:rsidRPr="009110F7">
              <w:t xml:space="preserve">, na splatnosti do </w:t>
            </w:r>
            <w:r w:rsidR="00167CB9" w:rsidRPr="009110F7">
              <w:t>5 </w:t>
            </w:r>
            <w:r w:rsidR="000D3058" w:rsidRPr="009110F7">
              <w:t>let 1,09</w:t>
            </w:r>
            <w:r w:rsidR="00167CB9" w:rsidRPr="009110F7">
              <w:t> %</w:t>
            </w:r>
            <w:r w:rsidR="000D3058" w:rsidRPr="009110F7">
              <w:t xml:space="preserve"> </w:t>
            </w:r>
            <w:r w:rsidR="00716F48" w:rsidRPr="009110F7">
              <w:t>a u </w:t>
            </w:r>
            <w:r w:rsidR="000D3058" w:rsidRPr="009110F7">
              <w:t>splatnosti 1</w:t>
            </w:r>
            <w:r w:rsidR="00167CB9" w:rsidRPr="009110F7">
              <w:t>0 </w:t>
            </w:r>
            <w:r w:rsidR="000D3058" w:rsidRPr="009110F7">
              <w:t>let 1,81</w:t>
            </w:r>
            <w:r w:rsidR="00167CB9" w:rsidRPr="009110F7">
              <w:t> %</w:t>
            </w:r>
            <w:r w:rsidR="000D3058" w:rsidRPr="009110F7">
              <w:t>.</w:t>
            </w:r>
          </w:p>
        </w:tc>
      </w:tr>
      <w:tr w:rsidR="000D3058" w:rsidRPr="009110F7" w:rsidTr="00965797">
        <w:trPr>
          <w:trHeight w:val="145"/>
        </w:trPr>
        <w:tc>
          <w:tcPr>
            <w:tcW w:w="1888" w:type="dxa"/>
            <w:shd w:val="clear" w:color="auto" w:fill="auto"/>
            <w:tcMar>
              <w:left w:w="0" w:type="dxa"/>
            </w:tcMar>
          </w:tcPr>
          <w:p w:rsidR="000D3058" w:rsidRPr="009110F7" w:rsidRDefault="00FA5112" w:rsidP="00FA5112">
            <w:pPr>
              <w:pStyle w:val="Marginlie"/>
            </w:pPr>
            <w:r w:rsidRPr="009110F7">
              <w:t>Situace na běžných účtech se z</w:t>
            </w:r>
            <w:r w:rsidR="000D3058" w:rsidRPr="009110F7">
              <w:t xml:space="preserve">atím příliš neměnila, úrokové sazby na nich </w:t>
            </w:r>
            <w:r w:rsidRPr="009110F7">
              <w:t>byly</w:t>
            </w:r>
            <w:r w:rsidR="000D3058" w:rsidRPr="009110F7">
              <w:t xml:space="preserve"> na technické nule.</w:t>
            </w:r>
          </w:p>
        </w:tc>
        <w:tc>
          <w:tcPr>
            <w:tcW w:w="250" w:type="dxa"/>
            <w:shd w:val="clear" w:color="auto" w:fill="auto"/>
            <w:tcMar>
              <w:left w:w="0" w:type="dxa"/>
            </w:tcMar>
          </w:tcPr>
          <w:p w:rsidR="000D3058" w:rsidRPr="009110F7" w:rsidRDefault="000D3058" w:rsidP="00965797">
            <w:pPr>
              <w:pStyle w:val="Textpoznpodarou"/>
              <w:jc w:val="both"/>
              <w:rPr>
                <w:spacing w:val="-4"/>
              </w:rPr>
            </w:pPr>
          </w:p>
        </w:tc>
        <w:tc>
          <w:tcPr>
            <w:tcW w:w="7501" w:type="dxa"/>
            <w:shd w:val="clear" w:color="auto" w:fill="auto"/>
            <w:tcMar>
              <w:left w:w="0" w:type="dxa"/>
            </w:tcMar>
          </w:tcPr>
          <w:p w:rsidR="000D3058" w:rsidRPr="009110F7" w:rsidRDefault="00AC2395" w:rsidP="00AC2395">
            <w:r w:rsidRPr="009110F7">
              <w:t>Ú</w:t>
            </w:r>
            <w:r w:rsidR="000D3058" w:rsidRPr="009110F7">
              <w:t>roveň úroků na běžných účtech</w:t>
            </w:r>
            <w:r w:rsidRPr="009110F7">
              <w:t xml:space="preserve"> se nezměnila </w:t>
            </w:r>
            <w:r w:rsidR="00716F48" w:rsidRPr="009110F7">
              <w:t>a </w:t>
            </w:r>
            <w:r w:rsidR="000D3058" w:rsidRPr="009110F7">
              <w:t xml:space="preserve">pro domácnosti </w:t>
            </w:r>
            <w:r w:rsidR="00716F48" w:rsidRPr="009110F7">
              <w:t>i </w:t>
            </w:r>
            <w:r w:rsidR="000D3058" w:rsidRPr="009110F7">
              <w:t>nefinanční podniky zůstal</w:t>
            </w:r>
            <w:r w:rsidRPr="009110F7">
              <w:t>y úroky</w:t>
            </w:r>
            <w:r w:rsidR="000D3058" w:rsidRPr="009110F7">
              <w:t xml:space="preserve"> na technicky nulové úrovni. Posuny vzhůru byly však patrné u</w:t>
            </w:r>
            <w:r w:rsidRPr="009110F7">
              <w:t> </w:t>
            </w:r>
            <w:r w:rsidR="000D3058" w:rsidRPr="009110F7">
              <w:t>vkladů s dohodnutou splatností. U</w:t>
            </w:r>
            <w:r w:rsidR="00A44B0D" w:rsidRPr="009110F7">
              <w:t> </w:t>
            </w:r>
            <w:r w:rsidR="000D3058" w:rsidRPr="009110F7">
              <w:t>domácností se průměrné úročení zvýšilo z prosincových 0,66</w:t>
            </w:r>
            <w:r w:rsidR="00167CB9" w:rsidRPr="009110F7">
              <w:t> %</w:t>
            </w:r>
            <w:r w:rsidR="000D3058" w:rsidRPr="009110F7">
              <w:t xml:space="preserve"> na 0,78</w:t>
            </w:r>
            <w:r w:rsidR="00167CB9" w:rsidRPr="009110F7">
              <w:t> %</w:t>
            </w:r>
            <w:r w:rsidR="000D3058" w:rsidRPr="009110F7">
              <w:t xml:space="preserve"> v březnu, nefinanční podniky se z technické nuly v minulém roce dostaly na 0,43</w:t>
            </w:r>
            <w:r w:rsidR="00167CB9" w:rsidRPr="009110F7">
              <w:t> %</w:t>
            </w:r>
            <w:r w:rsidR="000D3058" w:rsidRPr="009110F7">
              <w:t xml:space="preserve"> v březnu. Tato dynamika byla v souladu s vývojem výše jednotlivých</w:t>
            </w:r>
            <w:r w:rsidR="00FA5112" w:rsidRPr="009110F7">
              <w:t xml:space="preserve"> druhů</w:t>
            </w:r>
            <w:r w:rsidR="000D3058" w:rsidRPr="009110F7">
              <w:t xml:space="preserve"> vkladů nefinančních podniků. Zatímco nárůst prostředků na jednodenních vkladech v 1.</w:t>
            </w:r>
            <w:r w:rsidR="00A44B0D" w:rsidRPr="009110F7">
              <w:t> </w:t>
            </w:r>
            <w:r w:rsidR="000D3058" w:rsidRPr="009110F7">
              <w:t xml:space="preserve">čtvrtletí zpomalil (především ve srovnání s počátkem roku 2017), vkladů s dohodnutou splatností výrazně přibylo. Domácnosti využívaly k uložení svých prostředků jednodenní vklady, ke vkladům s dohodnutou splatností </w:t>
            </w:r>
            <w:r w:rsidR="00716F48" w:rsidRPr="009110F7">
              <w:t>i </w:t>
            </w:r>
            <w:r w:rsidR="000D3058" w:rsidRPr="009110F7">
              <w:t xml:space="preserve">výpovědní lhůtou se podle zveřejněných údajů zatím nevrátily. </w:t>
            </w:r>
          </w:p>
        </w:tc>
      </w:tr>
      <w:tr w:rsidR="000D3058" w:rsidRPr="009110F7" w:rsidTr="00965797">
        <w:trPr>
          <w:trHeight w:val="145"/>
        </w:trPr>
        <w:tc>
          <w:tcPr>
            <w:tcW w:w="1888" w:type="dxa"/>
            <w:shd w:val="clear" w:color="auto" w:fill="auto"/>
            <w:tcMar>
              <w:left w:w="0" w:type="dxa"/>
            </w:tcMar>
          </w:tcPr>
          <w:p w:rsidR="000D3058" w:rsidRPr="009110F7" w:rsidRDefault="000D3058" w:rsidP="00E1444C">
            <w:pPr>
              <w:pStyle w:val="Marginlie"/>
            </w:pPr>
            <w:r w:rsidRPr="009110F7">
              <w:t xml:space="preserve">Rostly sazby hypotečních úvěrů. Úvěrů na bydlení přibývalo, ale </w:t>
            </w:r>
            <w:r w:rsidR="00FA5112" w:rsidRPr="009110F7">
              <w:t>pomaleji</w:t>
            </w:r>
            <w:r w:rsidRPr="009110F7">
              <w:t xml:space="preserve"> než</w:t>
            </w:r>
            <w:r w:rsidR="0015753D">
              <w:t xml:space="preserve"> loni.</w:t>
            </w:r>
            <w:r w:rsidRPr="009110F7">
              <w:t xml:space="preserve"> </w:t>
            </w:r>
          </w:p>
        </w:tc>
        <w:tc>
          <w:tcPr>
            <w:tcW w:w="250" w:type="dxa"/>
            <w:shd w:val="clear" w:color="auto" w:fill="auto"/>
            <w:tcMar>
              <w:left w:w="0" w:type="dxa"/>
            </w:tcMar>
          </w:tcPr>
          <w:p w:rsidR="000D3058" w:rsidRPr="009110F7" w:rsidRDefault="000D3058" w:rsidP="00965797">
            <w:pPr>
              <w:pStyle w:val="Textpoznpodarou"/>
              <w:jc w:val="both"/>
              <w:rPr>
                <w:spacing w:val="-4"/>
              </w:rPr>
            </w:pPr>
          </w:p>
        </w:tc>
        <w:tc>
          <w:tcPr>
            <w:tcW w:w="7501" w:type="dxa"/>
            <w:shd w:val="clear" w:color="auto" w:fill="auto"/>
            <w:tcMar>
              <w:left w:w="0" w:type="dxa"/>
            </w:tcMar>
          </w:tcPr>
          <w:p w:rsidR="000D3058" w:rsidRPr="009110F7" w:rsidRDefault="000D3058" w:rsidP="006C15A1">
            <w:r w:rsidRPr="009110F7">
              <w:t xml:space="preserve">Úrokové sazby </w:t>
            </w:r>
            <w:r w:rsidR="00716F48" w:rsidRPr="009110F7">
              <w:t>u </w:t>
            </w:r>
            <w:r w:rsidRPr="009110F7">
              <w:t>úvěrů na spotřebu</w:t>
            </w:r>
            <w:r w:rsidR="00A44B0D" w:rsidRPr="009110F7">
              <w:t xml:space="preserve"> domácností</w:t>
            </w:r>
            <w:r w:rsidRPr="009110F7">
              <w:t xml:space="preserve"> v minulém roce poprvé klesly pod 10% hranici a</w:t>
            </w:r>
            <w:r w:rsidR="00A44B0D" w:rsidRPr="009110F7">
              <w:t> </w:t>
            </w:r>
            <w:r w:rsidRPr="009110F7">
              <w:t xml:space="preserve">snižování pokračovalo </w:t>
            </w:r>
            <w:r w:rsidR="00716F48" w:rsidRPr="009110F7">
              <w:t>i </w:t>
            </w:r>
            <w:r w:rsidRPr="009110F7">
              <w:t>v 1</w:t>
            </w:r>
            <w:r w:rsidR="00716F48" w:rsidRPr="009110F7">
              <w:t>. čtvrt</w:t>
            </w:r>
            <w:r w:rsidRPr="009110F7">
              <w:t>letí 201</w:t>
            </w:r>
            <w:r w:rsidR="00FA5112" w:rsidRPr="009110F7">
              <w:t>8</w:t>
            </w:r>
            <w:r w:rsidRPr="009110F7">
              <w:t>. Průměrná hodnota v březnu dosáhla 8,49</w:t>
            </w:r>
            <w:r w:rsidR="00FA5112" w:rsidRPr="009110F7">
              <w:t> </w:t>
            </w:r>
            <w:r w:rsidRPr="009110F7">
              <w:t xml:space="preserve">%, což odpovídá meziročnímu snížení </w:t>
            </w:r>
            <w:r w:rsidR="00716F48" w:rsidRPr="009110F7">
              <w:t>o </w:t>
            </w:r>
            <w:r w:rsidRPr="009110F7">
              <w:t>0,93</w:t>
            </w:r>
            <w:r w:rsidR="00167CB9" w:rsidRPr="009110F7">
              <w:t> p. </w:t>
            </w:r>
            <w:proofErr w:type="spellStart"/>
            <w:r w:rsidR="00167CB9" w:rsidRPr="009110F7">
              <w:t>b</w:t>
            </w:r>
            <w:proofErr w:type="spellEnd"/>
            <w:r w:rsidR="00167CB9" w:rsidRPr="009110F7">
              <w:t>.</w:t>
            </w:r>
            <w:r w:rsidRPr="009110F7">
              <w:t xml:space="preserve"> Poněkud odlišný vývoj probíhal </w:t>
            </w:r>
            <w:r w:rsidR="00716F48" w:rsidRPr="009110F7">
              <w:t>u </w:t>
            </w:r>
            <w:r w:rsidRPr="009110F7">
              <w:t xml:space="preserve">sazeb </w:t>
            </w:r>
            <w:r w:rsidR="00716F48" w:rsidRPr="009110F7">
              <w:t>u </w:t>
            </w:r>
            <w:r w:rsidRPr="009110F7">
              <w:t>úvěrů na bydlení. Ty od konce roku 2016 postupně rost</w:t>
            </w:r>
            <w:r w:rsidR="00FA5112" w:rsidRPr="009110F7">
              <w:t>ly</w:t>
            </w:r>
            <w:r w:rsidRPr="009110F7">
              <w:t>. Celková průměrná hodnota úročení úvěrů na bydlení dosáhla v březnu 2,57</w:t>
            </w:r>
            <w:r w:rsidR="00446D44" w:rsidRPr="009110F7">
              <w:t> </w:t>
            </w:r>
            <w:r w:rsidRPr="009110F7">
              <w:t>% a</w:t>
            </w:r>
            <w:r w:rsidR="00A44B0D" w:rsidRPr="009110F7">
              <w:t> </w:t>
            </w:r>
            <w:r w:rsidRPr="009110F7">
              <w:t xml:space="preserve">meziročně se zvýšila </w:t>
            </w:r>
            <w:r w:rsidR="00716F48" w:rsidRPr="009110F7">
              <w:t>o </w:t>
            </w:r>
            <w:r w:rsidRPr="009110F7">
              <w:t>0,29</w:t>
            </w:r>
            <w:r w:rsidR="00167CB9" w:rsidRPr="009110F7">
              <w:t> p. </w:t>
            </w:r>
            <w:proofErr w:type="spellStart"/>
            <w:r w:rsidR="00167CB9" w:rsidRPr="009110F7">
              <w:t>b</w:t>
            </w:r>
            <w:proofErr w:type="spellEnd"/>
            <w:r w:rsidR="00167CB9" w:rsidRPr="009110F7">
              <w:t>.</w:t>
            </w:r>
            <w:r w:rsidRPr="009110F7">
              <w:t xml:space="preserve"> Výrazně narostly sazby </w:t>
            </w:r>
            <w:r w:rsidR="00716F48" w:rsidRPr="009110F7">
              <w:t>u </w:t>
            </w:r>
            <w:r w:rsidR="00FA5112" w:rsidRPr="009110F7">
              <w:t>nejobvyklejšíc</w:t>
            </w:r>
            <w:r w:rsidRPr="009110F7">
              <w:t xml:space="preserve">h fixací </w:t>
            </w:r>
            <w:r w:rsidR="00CA37FF" w:rsidRPr="00CA37FF">
              <w:t>–</w:t>
            </w:r>
            <w:r w:rsidRPr="009110F7">
              <w:t xml:space="preserve"> od </w:t>
            </w:r>
            <w:r w:rsidR="00167CB9" w:rsidRPr="009110F7">
              <w:t>1 </w:t>
            </w:r>
            <w:r w:rsidRPr="009110F7">
              <w:t xml:space="preserve">roku do </w:t>
            </w:r>
            <w:r w:rsidR="00167CB9" w:rsidRPr="009110F7">
              <w:t>5 </w:t>
            </w:r>
            <w:r w:rsidRPr="009110F7">
              <w:t xml:space="preserve">let včetně </w:t>
            </w:r>
            <w:r w:rsidR="00716F48" w:rsidRPr="009110F7">
              <w:t>a </w:t>
            </w:r>
            <w:r w:rsidRPr="009110F7">
              <w:t xml:space="preserve">mezi </w:t>
            </w:r>
            <w:r w:rsidR="00716F48" w:rsidRPr="009110F7">
              <w:t>5 a </w:t>
            </w:r>
            <w:r w:rsidRPr="009110F7">
              <w:t>1</w:t>
            </w:r>
            <w:r w:rsidR="00167CB9" w:rsidRPr="009110F7">
              <w:t>0 </w:t>
            </w:r>
            <w:r w:rsidRPr="009110F7">
              <w:t>lety. Celkově se objem poskytnutých úvěrů během 1</w:t>
            </w:r>
            <w:r w:rsidR="00716F48" w:rsidRPr="009110F7">
              <w:t>. čtvrt</w:t>
            </w:r>
            <w:r w:rsidRPr="009110F7">
              <w:t xml:space="preserve">letí zvýšil </w:t>
            </w:r>
            <w:r w:rsidR="00716F48" w:rsidRPr="009110F7">
              <w:t>o </w:t>
            </w:r>
            <w:r w:rsidRPr="009110F7">
              <w:t>20,9</w:t>
            </w:r>
            <w:r w:rsidR="00167CB9" w:rsidRPr="009110F7">
              <w:t> mld.</w:t>
            </w:r>
            <w:r w:rsidRPr="009110F7">
              <w:t xml:space="preserve"> korun. To </w:t>
            </w:r>
            <w:r w:rsidR="00FA5112" w:rsidRPr="009110F7">
              <w:t xml:space="preserve">je </w:t>
            </w:r>
            <w:r w:rsidR="00716F48" w:rsidRPr="009110F7">
              <w:t>o </w:t>
            </w:r>
            <w:r w:rsidRPr="009110F7">
              <w:t>0,4</w:t>
            </w:r>
            <w:r w:rsidR="00167CB9" w:rsidRPr="009110F7">
              <w:t> mld.</w:t>
            </w:r>
            <w:r w:rsidRPr="009110F7">
              <w:t xml:space="preserve"> více než ve stejném období minulého roku, které bylo rekordním. Příznivý vývoj ekonomiky stimulující výdaje domácností měl pozitivní vliv na růst objemu poskytnutých </w:t>
            </w:r>
            <w:r w:rsidRPr="009110F7">
              <w:lastRenderedPageBreak/>
              <w:t xml:space="preserve">spotřebních úvěrů (nárůst </w:t>
            </w:r>
            <w:r w:rsidR="00716F48" w:rsidRPr="009110F7">
              <w:t>o </w:t>
            </w:r>
            <w:r w:rsidRPr="009110F7">
              <w:t>3,5</w:t>
            </w:r>
            <w:r w:rsidR="00167CB9" w:rsidRPr="009110F7">
              <w:t> mld.</w:t>
            </w:r>
            <w:r w:rsidRPr="009110F7">
              <w:t xml:space="preserve"> korun). Objem úvěrů na bydlení se během 1.</w:t>
            </w:r>
            <w:r w:rsidR="00446D44" w:rsidRPr="009110F7">
              <w:t> </w:t>
            </w:r>
            <w:r w:rsidRPr="009110F7">
              <w:t>čtvrtletí zvýšil o</w:t>
            </w:r>
            <w:r w:rsidR="00A44B0D" w:rsidRPr="009110F7">
              <w:t> </w:t>
            </w:r>
            <w:r w:rsidRPr="009110F7">
              <w:t>19,0</w:t>
            </w:r>
            <w:r w:rsidR="00A44B0D" w:rsidRPr="009110F7">
              <w:t> </w:t>
            </w:r>
            <w:r w:rsidRPr="009110F7">
              <w:t xml:space="preserve">mld. korun, což je </w:t>
            </w:r>
            <w:r w:rsidR="00716F48" w:rsidRPr="009110F7">
              <w:t>o </w:t>
            </w:r>
            <w:r w:rsidRPr="009110F7">
              <w:t>1,6</w:t>
            </w:r>
            <w:r w:rsidR="00167CB9" w:rsidRPr="009110F7">
              <w:t> mld.</w:t>
            </w:r>
            <w:r w:rsidRPr="009110F7">
              <w:t xml:space="preserve"> méně než minulý rok </w:t>
            </w:r>
            <w:r w:rsidR="00FA5112" w:rsidRPr="009110F7">
              <w:t>(</w:t>
            </w:r>
            <w:r w:rsidRPr="009110F7">
              <w:t xml:space="preserve">stále </w:t>
            </w:r>
            <w:r w:rsidR="00DF5D1E">
              <w:t xml:space="preserve">však </w:t>
            </w:r>
            <w:r w:rsidRPr="009110F7">
              <w:t>jde o</w:t>
            </w:r>
            <w:r w:rsidR="00A44B0D" w:rsidRPr="009110F7">
              <w:t> </w:t>
            </w:r>
            <w:r w:rsidRPr="009110F7">
              <w:t>mimořádnou hodnotu</w:t>
            </w:r>
            <w:r w:rsidR="00FA5112" w:rsidRPr="009110F7">
              <w:t xml:space="preserve">, </w:t>
            </w:r>
            <w:r w:rsidRPr="009110F7">
              <w:t xml:space="preserve">začátek roku bývá obvykle mnohem slabší). Jistý útlum v oblasti hypoték však lze pozorovat na vývoji počtu nových úvěrových smluv. V minulém roce jich bylo </w:t>
            </w:r>
            <w:r w:rsidR="00716F48" w:rsidRPr="009110F7">
              <w:t>o </w:t>
            </w:r>
            <w:r w:rsidRPr="009110F7">
              <w:t>16,</w:t>
            </w:r>
            <w:r w:rsidR="00167CB9" w:rsidRPr="009110F7">
              <w:t>7 </w:t>
            </w:r>
            <w:r w:rsidRPr="009110F7">
              <w:t xml:space="preserve">tis. méně než v roce 2016 </w:t>
            </w:r>
            <w:r w:rsidR="00716F48" w:rsidRPr="009110F7">
              <w:t>a </w:t>
            </w:r>
            <w:r w:rsidR="006C15A1">
              <w:t>pokles pokračoval. V 1. čtvrtletí 2018 bylo uzavřeno 45,9 tis. nových smluv (o 3,1 tis. méně než ve stejném období minulého roku).</w:t>
            </w:r>
          </w:p>
        </w:tc>
      </w:tr>
      <w:tr w:rsidR="000D3058" w:rsidRPr="009110F7" w:rsidTr="00965797">
        <w:trPr>
          <w:trHeight w:val="145"/>
        </w:trPr>
        <w:tc>
          <w:tcPr>
            <w:tcW w:w="1888" w:type="dxa"/>
            <w:shd w:val="clear" w:color="auto" w:fill="auto"/>
            <w:tcMar>
              <w:left w:w="0" w:type="dxa"/>
            </w:tcMar>
          </w:tcPr>
          <w:p w:rsidR="00167CB9" w:rsidRPr="009110F7" w:rsidRDefault="000D3058" w:rsidP="00965797">
            <w:pPr>
              <w:pStyle w:val="Marginlie"/>
            </w:pPr>
            <w:r w:rsidRPr="009110F7">
              <w:lastRenderedPageBreak/>
              <w:t>Nefinanční podniky si půjčují dráž než před rokem.</w:t>
            </w:r>
          </w:p>
          <w:p w:rsidR="000D3058" w:rsidRPr="009110F7" w:rsidRDefault="000D3058" w:rsidP="00965797">
            <w:pPr>
              <w:pStyle w:val="Marginlie"/>
            </w:pPr>
          </w:p>
          <w:p w:rsidR="000D3058" w:rsidRPr="009110F7" w:rsidRDefault="000D3058" w:rsidP="00965797">
            <w:pPr>
              <w:pStyle w:val="Marginlie"/>
            </w:pPr>
          </w:p>
          <w:p w:rsidR="000D3058" w:rsidRPr="009110F7" w:rsidRDefault="000D3058" w:rsidP="00965797">
            <w:pPr>
              <w:pStyle w:val="Marginlie"/>
            </w:pPr>
          </w:p>
          <w:p w:rsidR="000D3058" w:rsidRPr="009110F7" w:rsidRDefault="000D3058" w:rsidP="00965797">
            <w:pPr>
              <w:pStyle w:val="Marginlie"/>
            </w:pPr>
          </w:p>
          <w:p w:rsidR="000D3058" w:rsidRPr="009110F7" w:rsidRDefault="000D3058" w:rsidP="00965797">
            <w:pPr>
              <w:pStyle w:val="Marginlie"/>
            </w:pPr>
          </w:p>
          <w:p w:rsidR="000D3058" w:rsidRPr="009110F7" w:rsidRDefault="000D3058" w:rsidP="00965797">
            <w:pPr>
              <w:pStyle w:val="Marginlie"/>
            </w:pPr>
          </w:p>
          <w:p w:rsidR="000D3058" w:rsidRPr="009110F7" w:rsidRDefault="000D3058" w:rsidP="00965797">
            <w:pPr>
              <w:pStyle w:val="Marginlie"/>
            </w:pPr>
          </w:p>
          <w:p w:rsidR="000D3058" w:rsidRPr="009110F7" w:rsidRDefault="000D3058" w:rsidP="00965797">
            <w:pPr>
              <w:pStyle w:val="Marginlie"/>
            </w:pPr>
          </w:p>
          <w:p w:rsidR="000D3058" w:rsidRPr="009110F7" w:rsidRDefault="000D3058" w:rsidP="00965797">
            <w:pPr>
              <w:pStyle w:val="Marginlie"/>
            </w:pPr>
            <w:r w:rsidRPr="009110F7">
              <w:t xml:space="preserve">Objem poskytnutých úvěrů odráží příznivý vývoj v jednotlivých odvětvích. </w:t>
            </w:r>
          </w:p>
        </w:tc>
        <w:tc>
          <w:tcPr>
            <w:tcW w:w="250" w:type="dxa"/>
            <w:shd w:val="clear" w:color="auto" w:fill="auto"/>
            <w:tcMar>
              <w:left w:w="0" w:type="dxa"/>
            </w:tcMar>
          </w:tcPr>
          <w:p w:rsidR="000D3058" w:rsidRPr="009110F7" w:rsidRDefault="000D3058" w:rsidP="00965797">
            <w:pPr>
              <w:pStyle w:val="Textpoznpodarou"/>
              <w:jc w:val="both"/>
              <w:rPr>
                <w:spacing w:val="-4"/>
              </w:rPr>
            </w:pPr>
          </w:p>
        </w:tc>
        <w:tc>
          <w:tcPr>
            <w:tcW w:w="7501" w:type="dxa"/>
            <w:shd w:val="clear" w:color="auto" w:fill="auto"/>
            <w:tcMar>
              <w:left w:w="0" w:type="dxa"/>
            </w:tcMar>
          </w:tcPr>
          <w:p w:rsidR="000D3058" w:rsidRPr="009110F7" w:rsidRDefault="000D3058" w:rsidP="00A44B0D">
            <w:r w:rsidRPr="009110F7">
              <w:t>Úrokové sazby na úvěrech nefinančním podnikům se vesměs pohybovaly ve směru zvyšujících se mezibankovních sazeb. Počátek růstu lze vysledovat ve 3</w:t>
            </w:r>
            <w:r w:rsidR="00716F48" w:rsidRPr="009110F7">
              <w:t>. čtvrt</w:t>
            </w:r>
            <w:r w:rsidRPr="009110F7">
              <w:t>letí 2017, letošní rok prozatím potvrdil nový trend. Nejvýrazněji (</w:t>
            </w:r>
            <w:r w:rsidR="00716F48" w:rsidRPr="009110F7">
              <w:t>o </w:t>
            </w:r>
            <w:r w:rsidRPr="009110F7">
              <w:t>0,31</w:t>
            </w:r>
            <w:r w:rsidR="00167CB9" w:rsidRPr="009110F7">
              <w:t> p. </w:t>
            </w:r>
            <w:proofErr w:type="spellStart"/>
            <w:r w:rsidR="00167CB9" w:rsidRPr="009110F7">
              <w:t>b</w:t>
            </w:r>
            <w:proofErr w:type="spellEnd"/>
            <w:r w:rsidR="00167CB9" w:rsidRPr="009110F7">
              <w:t>.</w:t>
            </w:r>
            <w:r w:rsidRPr="009110F7">
              <w:t>) se zvýšilo úročení úvěrů do 7,</w:t>
            </w:r>
            <w:r w:rsidR="00167CB9" w:rsidRPr="009110F7">
              <w:t>5 </w:t>
            </w:r>
            <w:r w:rsidRPr="009110F7">
              <w:t>mil. korun, v březnu dosáhlo 3,63</w:t>
            </w:r>
            <w:r w:rsidR="00167CB9" w:rsidRPr="009110F7">
              <w:t> %</w:t>
            </w:r>
            <w:r w:rsidRPr="009110F7">
              <w:t xml:space="preserve"> (meziroční zvýšení o 0,42 </w:t>
            </w:r>
            <w:r w:rsidR="00167CB9" w:rsidRPr="009110F7">
              <w:t>p. </w:t>
            </w:r>
            <w:proofErr w:type="spellStart"/>
            <w:r w:rsidR="00167CB9" w:rsidRPr="009110F7">
              <w:t>b</w:t>
            </w:r>
            <w:proofErr w:type="spellEnd"/>
            <w:r w:rsidR="00167CB9" w:rsidRPr="009110F7">
              <w:t>.</w:t>
            </w:r>
            <w:r w:rsidRPr="009110F7">
              <w:t>). Úvěry mezi 7,</w:t>
            </w:r>
            <w:r w:rsidR="00167CB9" w:rsidRPr="009110F7">
              <w:t>5 </w:t>
            </w:r>
            <w:r w:rsidRPr="009110F7">
              <w:t xml:space="preserve">mil. </w:t>
            </w:r>
            <w:r w:rsidR="00716F48" w:rsidRPr="009110F7">
              <w:t>a </w:t>
            </w:r>
            <w:r w:rsidRPr="009110F7">
              <w:t>3</w:t>
            </w:r>
            <w:r w:rsidR="00167CB9" w:rsidRPr="009110F7">
              <w:t>0 </w:t>
            </w:r>
            <w:r w:rsidRPr="009110F7">
              <w:t>mil. byly v březnu úročeny průměrně 2,49</w:t>
            </w:r>
            <w:r w:rsidR="00167CB9" w:rsidRPr="009110F7">
              <w:t> %</w:t>
            </w:r>
            <w:r w:rsidRPr="009110F7">
              <w:t xml:space="preserve">, což znamená zvýšení od prosince </w:t>
            </w:r>
            <w:r w:rsidR="00716F48" w:rsidRPr="009110F7">
              <w:t>o </w:t>
            </w:r>
            <w:r w:rsidRPr="009110F7">
              <w:t>0,08</w:t>
            </w:r>
            <w:r w:rsidR="00167CB9" w:rsidRPr="009110F7">
              <w:t> p. </w:t>
            </w:r>
            <w:proofErr w:type="spellStart"/>
            <w:r w:rsidR="00167CB9" w:rsidRPr="009110F7">
              <w:t>b</w:t>
            </w:r>
            <w:proofErr w:type="spellEnd"/>
            <w:r w:rsidR="00167CB9" w:rsidRPr="009110F7">
              <w:t>.</w:t>
            </w:r>
            <w:r w:rsidRPr="009110F7">
              <w:t xml:space="preserve"> (meziročně </w:t>
            </w:r>
            <w:r w:rsidR="00716F48" w:rsidRPr="009110F7">
              <w:t>o </w:t>
            </w:r>
            <w:r w:rsidRPr="009110F7">
              <w:t>0,56</w:t>
            </w:r>
            <w:r w:rsidR="00167CB9" w:rsidRPr="009110F7">
              <w:t> p. </w:t>
            </w:r>
            <w:proofErr w:type="spellStart"/>
            <w:r w:rsidR="00167CB9" w:rsidRPr="009110F7">
              <w:t>b</w:t>
            </w:r>
            <w:proofErr w:type="spellEnd"/>
            <w:r w:rsidR="00167CB9" w:rsidRPr="009110F7">
              <w:t>.</w:t>
            </w:r>
            <w:r w:rsidRPr="009110F7">
              <w:t xml:space="preserve">). </w:t>
            </w:r>
            <w:r w:rsidR="00716F48" w:rsidRPr="009110F7">
              <w:t>U </w:t>
            </w:r>
            <w:r w:rsidRPr="009110F7">
              <w:t>úvěrů nad 3</w:t>
            </w:r>
            <w:r w:rsidR="00167CB9" w:rsidRPr="009110F7">
              <w:t>0 </w:t>
            </w:r>
            <w:r w:rsidRPr="009110F7">
              <w:t>mil. korun byly sazby nejnižší (2,22</w:t>
            </w:r>
            <w:r w:rsidR="00167CB9" w:rsidRPr="009110F7">
              <w:t> %</w:t>
            </w:r>
            <w:r w:rsidRPr="009110F7">
              <w:t xml:space="preserve"> </w:t>
            </w:r>
            <w:r w:rsidR="00716F48" w:rsidRPr="009110F7">
              <w:t>v </w:t>
            </w:r>
            <w:r w:rsidRPr="009110F7">
              <w:t xml:space="preserve">březnu) </w:t>
            </w:r>
            <w:r w:rsidR="00716F48" w:rsidRPr="009110F7">
              <w:t>a </w:t>
            </w:r>
            <w:r w:rsidRPr="009110F7">
              <w:t xml:space="preserve">růstový trend byl </w:t>
            </w:r>
            <w:r w:rsidR="00716F48" w:rsidRPr="009110F7">
              <w:t>u </w:t>
            </w:r>
            <w:r w:rsidRPr="009110F7">
              <w:t xml:space="preserve">nich méně výrazný (mezi březnem 2017 </w:t>
            </w:r>
            <w:r w:rsidR="00716F48" w:rsidRPr="009110F7">
              <w:t>a </w:t>
            </w:r>
            <w:r w:rsidRPr="009110F7">
              <w:t xml:space="preserve">2018 došlo ke zvýšení </w:t>
            </w:r>
            <w:r w:rsidR="00716F48" w:rsidRPr="009110F7">
              <w:t>o </w:t>
            </w:r>
            <w:r w:rsidRPr="009110F7">
              <w:t>0,49</w:t>
            </w:r>
            <w:r w:rsidR="00167CB9" w:rsidRPr="009110F7">
              <w:t> p. </w:t>
            </w:r>
            <w:proofErr w:type="spellStart"/>
            <w:r w:rsidR="00167CB9" w:rsidRPr="009110F7">
              <w:t>b</w:t>
            </w:r>
            <w:proofErr w:type="spellEnd"/>
            <w:r w:rsidR="00167CB9" w:rsidRPr="009110F7">
              <w:t>.</w:t>
            </w:r>
            <w:r w:rsidRPr="009110F7">
              <w:t>, ale od loňského října sazby stagnovaly). Celkově objem úvěrů poskytnutých podnikům v 1</w:t>
            </w:r>
            <w:r w:rsidR="00716F48" w:rsidRPr="009110F7">
              <w:t>. čtvrt</w:t>
            </w:r>
            <w:r w:rsidRPr="009110F7">
              <w:t>letí meziročně rostl průměrným tempem 4,2</w:t>
            </w:r>
            <w:r w:rsidR="00167CB9" w:rsidRPr="009110F7">
              <w:t> %</w:t>
            </w:r>
            <w:r w:rsidRPr="009110F7">
              <w:t>. Z pohledu jednotlivých odvětví solidně rostl objem úvěrů pro zpracovatelský průmysl (4,4</w:t>
            </w:r>
            <w:r w:rsidR="00167CB9" w:rsidRPr="009110F7">
              <w:t> %</w:t>
            </w:r>
            <w:r w:rsidRPr="009110F7">
              <w:t>), patrné bylo oživení ve stavebnictví (průměrný růst v 1</w:t>
            </w:r>
            <w:r w:rsidR="00716F48" w:rsidRPr="009110F7">
              <w:t>. čtvrt</w:t>
            </w:r>
            <w:r w:rsidRPr="009110F7">
              <w:t>letí 6,5</w:t>
            </w:r>
            <w:r w:rsidR="00167CB9" w:rsidRPr="009110F7">
              <w:t> %</w:t>
            </w:r>
            <w:r w:rsidRPr="009110F7">
              <w:t>, v roce 2017 0,3</w:t>
            </w:r>
            <w:r w:rsidR="00167CB9" w:rsidRPr="009110F7">
              <w:t> %</w:t>
            </w:r>
            <w:r w:rsidRPr="009110F7">
              <w:t xml:space="preserve">). Po poklesech z minulých let se obnovil zájem </w:t>
            </w:r>
            <w:r w:rsidR="00716F48" w:rsidRPr="009110F7">
              <w:t>o </w:t>
            </w:r>
            <w:r w:rsidRPr="009110F7">
              <w:t>úvěrové financování ve velkoobchodě a</w:t>
            </w:r>
            <w:r w:rsidR="00A44B0D" w:rsidRPr="009110F7">
              <w:t> </w:t>
            </w:r>
            <w:r w:rsidRPr="009110F7">
              <w:t>maloobchodě</w:t>
            </w:r>
            <w:r w:rsidR="00DF5D1E">
              <w:t xml:space="preserve"> v </w:t>
            </w:r>
            <w:r w:rsidRPr="009110F7">
              <w:t xml:space="preserve">opravách </w:t>
            </w:r>
            <w:r w:rsidR="00716F48" w:rsidRPr="009110F7">
              <w:t>a </w:t>
            </w:r>
            <w:r w:rsidRPr="009110F7">
              <w:t>údržbě motorových vozidel (4,9</w:t>
            </w:r>
            <w:r w:rsidR="00167CB9" w:rsidRPr="009110F7">
              <w:t> %</w:t>
            </w:r>
            <w:r w:rsidRPr="009110F7">
              <w:t xml:space="preserve">). Pokračující konjunktura </w:t>
            </w:r>
            <w:r w:rsidR="00FA5112" w:rsidRPr="009110F7">
              <w:t xml:space="preserve">byla </w:t>
            </w:r>
            <w:r w:rsidRPr="009110F7">
              <w:t xml:space="preserve">patrná z výrazného růstu úvěrů v dopravě </w:t>
            </w:r>
            <w:r w:rsidR="00716F48" w:rsidRPr="009110F7">
              <w:t>a </w:t>
            </w:r>
            <w:r w:rsidRPr="009110F7">
              <w:t>skladování (18,8</w:t>
            </w:r>
            <w:r w:rsidR="00167CB9" w:rsidRPr="009110F7">
              <w:t> %</w:t>
            </w:r>
            <w:r w:rsidRPr="009110F7">
              <w:t xml:space="preserve">) i ubytování, stravování </w:t>
            </w:r>
            <w:r w:rsidR="00716F48" w:rsidRPr="009110F7">
              <w:t>a </w:t>
            </w:r>
            <w:r w:rsidRPr="009110F7">
              <w:t>pohostinství (23,0</w:t>
            </w:r>
            <w:r w:rsidR="00167CB9" w:rsidRPr="009110F7">
              <w:t> %</w:t>
            </w:r>
            <w:r w:rsidRPr="009110F7">
              <w:t xml:space="preserve">). Oproti minulému roku výrazně zpomalilo tempo růstu objemu úvěrů v peněžnictví </w:t>
            </w:r>
            <w:r w:rsidR="00716F48" w:rsidRPr="009110F7">
              <w:t>a </w:t>
            </w:r>
            <w:r w:rsidRPr="009110F7">
              <w:t>pojišťovnictví akcelerované očekávaným ukončením intervencí (8,5</w:t>
            </w:r>
            <w:r w:rsidR="00167CB9" w:rsidRPr="009110F7">
              <w:t> %</w:t>
            </w:r>
            <w:r w:rsidRPr="009110F7">
              <w:t>, v roce 2017 24,3</w:t>
            </w:r>
            <w:r w:rsidR="00167CB9" w:rsidRPr="009110F7">
              <w:t> %</w:t>
            </w:r>
            <w:r w:rsidRPr="009110F7">
              <w:t xml:space="preserve">). O 2,8 % poklesl objem úvěrů činnostem v oblasti nemovitostí (rovněž ovlivněno srovnáním s „divokým“ počátkem minulého roku) </w:t>
            </w:r>
            <w:r w:rsidR="00716F48" w:rsidRPr="009110F7">
              <w:t>a </w:t>
            </w:r>
            <w:r w:rsidRPr="009110F7">
              <w:t>prakticky miz</w:t>
            </w:r>
            <w:r w:rsidR="00D40556">
              <w:t>ej</w:t>
            </w:r>
            <w:r w:rsidRPr="009110F7">
              <w:t xml:space="preserve">í úvěry pro těžbu </w:t>
            </w:r>
            <w:r w:rsidR="00716F48" w:rsidRPr="009110F7">
              <w:t>a </w:t>
            </w:r>
            <w:r w:rsidRPr="009110F7">
              <w:t>dobývání (</w:t>
            </w:r>
            <w:r w:rsidR="00CA37FF">
              <w:t>-</w:t>
            </w:r>
            <w:r w:rsidRPr="009110F7">
              <w:t>49,7</w:t>
            </w:r>
            <w:r w:rsidR="00167CB9" w:rsidRPr="009110F7">
              <w:t> %</w:t>
            </w:r>
            <w:r w:rsidRPr="009110F7">
              <w:t xml:space="preserve">). Klesal objem úvěrů pro informační </w:t>
            </w:r>
            <w:r w:rsidR="00716F48" w:rsidRPr="009110F7">
              <w:t>a </w:t>
            </w:r>
            <w:r w:rsidRPr="009110F7">
              <w:t>komunikační činnosti (</w:t>
            </w:r>
            <w:r w:rsidR="00CA37FF">
              <w:t>-</w:t>
            </w:r>
            <w:r w:rsidRPr="009110F7">
              <w:t>9,5</w:t>
            </w:r>
            <w:r w:rsidR="00167CB9" w:rsidRPr="009110F7">
              <w:t> %</w:t>
            </w:r>
            <w:r w:rsidRPr="009110F7">
              <w:t xml:space="preserve">) i výrobu </w:t>
            </w:r>
            <w:r w:rsidR="00716F48" w:rsidRPr="009110F7">
              <w:t>a </w:t>
            </w:r>
            <w:r w:rsidRPr="009110F7">
              <w:t xml:space="preserve">rozvod elektřiny, plynu, tepla </w:t>
            </w:r>
            <w:r w:rsidR="00716F48" w:rsidRPr="009110F7">
              <w:t>a </w:t>
            </w:r>
            <w:r w:rsidRPr="009110F7">
              <w:t>vzduchu (</w:t>
            </w:r>
            <w:r w:rsidR="00CA37FF">
              <w:t>-</w:t>
            </w:r>
            <w:r w:rsidRPr="009110F7">
              <w:t>3,9</w:t>
            </w:r>
            <w:r w:rsidR="00167CB9" w:rsidRPr="009110F7">
              <w:t> %</w:t>
            </w:r>
            <w:r w:rsidRPr="009110F7">
              <w:t>).</w:t>
            </w:r>
          </w:p>
        </w:tc>
      </w:tr>
      <w:tr w:rsidR="000D3058" w:rsidRPr="009110F7" w:rsidTr="00965797">
        <w:trPr>
          <w:trHeight w:val="170"/>
        </w:trPr>
        <w:tc>
          <w:tcPr>
            <w:tcW w:w="1888" w:type="dxa"/>
            <w:vMerge w:val="restart"/>
            <w:shd w:val="clear" w:color="auto" w:fill="auto"/>
            <w:tcMar>
              <w:left w:w="0" w:type="dxa"/>
            </w:tcMar>
          </w:tcPr>
          <w:p w:rsidR="000D3058" w:rsidRPr="009110F7" w:rsidRDefault="000D3058" w:rsidP="00965797">
            <w:pPr>
              <w:pStyle w:val="Marginlie"/>
            </w:pPr>
          </w:p>
        </w:tc>
        <w:tc>
          <w:tcPr>
            <w:tcW w:w="250" w:type="dxa"/>
            <w:vMerge w:val="restart"/>
            <w:shd w:val="clear" w:color="auto" w:fill="auto"/>
            <w:tcMar>
              <w:left w:w="0" w:type="dxa"/>
            </w:tcMar>
          </w:tcPr>
          <w:p w:rsidR="000D3058" w:rsidRPr="009110F7" w:rsidRDefault="000D3058" w:rsidP="00965797">
            <w:pPr>
              <w:pStyle w:val="Textpoznpodarou"/>
              <w:jc w:val="both"/>
              <w:rPr>
                <w:spacing w:val="-4"/>
              </w:rPr>
            </w:pPr>
          </w:p>
        </w:tc>
        <w:tc>
          <w:tcPr>
            <w:tcW w:w="7501" w:type="dxa"/>
            <w:shd w:val="clear" w:color="auto" w:fill="auto"/>
            <w:tcMar>
              <w:left w:w="0" w:type="dxa"/>
            </w:tcMar>
          </w:tcPr>
          <w:p w:rsidR="000D3058" w:rsidRPr="009110F7" w:rsidRDefault="00B8561A" w:rsidP="0015753D">
            <w:pPr>
              <w:spacing w:after="0"/>
              <w:rPr>
                <w:b/>
                <w:szCs w:val="20"/>
              </w:rPr>
            </w:pPr>
            <w:r>
              <w:rPr>
                <w:rFonts w:cs="Arial"/>
                <w:b/>
                <w:bCs/>
                <w:color w:val="000000"/>
                <w:szCs w:val="20"/>
              </w:rPr>
              <w:t>Graf </w:t>
            </w:r>
            <w:r w:rsidR="00167CB9" w:rsidRPr="009110F7">
              <w:rPr>
                <w:rFonts w:cs="Arial"/>
                <w:b/>
                <w:bCs/>
                <w:color w:val="000000"/>
                <w:szCs w:val="20"/>
              </w:rPr>
              <w:t>č. </w:t>
            </w:r>
            <w:r w:rsidR="00935BD4" w:rsidRPr="009110F7">
              <w:rPr>
                <w:rFonts w:cs="Arial"/>
                <w:b/>
                <w:bCs/>
                <w:color w:val="000000"/>
                <w:szCs w:val="20"/>
              </w:rPr>
              <w:t>17</w:t>
            </w:r>
            <w:r w:rsidR="0015753D">
              <w:rPr>
                <w:rFonts w:cs="Arial"/>
                <w:b/>
                <w:bCs/>
                <w:color w:val="000000"/>
                <w:szCs w:val="20"/>
              </w:rPr>
              <w:t xml:space="preserve">  </w:t>
            </w:r>
            <w:r w:rsidR="000D3058" w:rsidRPr="009110F7">
              <w:rPr>
                <w:b/>
                <w:spacing w:val="-4"/>
                <w:szCs w:val="20"/>
              </w:rPr>
              <w:t>Tržní úrokové sazby (v</w:t>
            </w:r>
            <w:r w:rsidR="00167CB9" w:rsidRPr="009110F7">
              <w:rPr>
                <w:b/>
                <w:spacing w:val="-4"/>
                <w:szCs w:val="20"/>
              </w:rPr>
              <w:t> %</w:t>
            </w:r>
            <w:r w:rsidR="000D3058" w:rsidRPr="009110F7">
              <w:rPr>
                <w:b/>
                <w:spacing w:val="-4"/>
                <w:szCs w:val="20"/>
              </w:rPr>
              <w:t>)</w:t>
            </w:r>
          </w:p>
        </w:tc>
      </w:tr>
      <w:tr w:rsidR="000D3058" w:rsidRPr="009110F7" w:rsidTr="00965797">
        <w:trPr>
          <w:trHeight w:val="170"/>
        </w:trPr>
        <w:tc>
          <w:tcPr>
            <w:tcW w:w="1888" w:type="dxa"/>
            <w:vMerge/>
            <w:shd w:val="clear" w:color="auto" w:fill="auto"/>
            <w:tcMar>
              <w:left w:w="0" w:type="dxa"/>
            </w:tcMar>
          </w:tcPr>
          <w:p w:rsidR="000D3058" w:rsidRPr="009110F7" w:rsidRDefault="000D3058" w:rsidP="00965797">
            <w:pPr>
              <w:pStyle w:val="Marginlie"/>
            </w:pPr>
          </w:p>
        </w:tc>
        <w:tc>
          <w:tcPr>
            <w:tcW w:w="250" w:type="dxa"/>
            <w:vMerge/>
            <w:shd w:val="clear" w:color="auto" w:fill="auto"/>
            <w:tcMar>
              <w:left w:w="0" w:type="dxa"/>
            </w:tcMar>
          </w:tcPr>
          <w:p w:rsidR="000D3058" w:rsidRPr="009110F7" w:rsidRDefault="000D3058" w:rsidP="00965797">
            <w:pPr>
              <w:pStyle w:val="Textpoznpodarou"/>
              <w:jc w:val="both"/>
              <w:rPr>
                <w:spacing w:val="-4"/>
              </w:rPr>
            </w:pPr>
          </w:p>
        </w:tc>
        <w:tc>
          <w:tcPr>
            <w:tcW w:w="7501" w:type="dxa"/>
            <w:shd w:val="clear" w:color="auto" w:fill="auto"/>
            <w:tcMar>
              <w:left w:w="0" w:type="dxa"/>
            </w:tcMar>
          </w:tcPr>
          <w:p w:rsidR="000D3058" w:rsidRPr="009110F7" w:rsidRDefault="000D3058" w:rsidP="00965797">
            <w:pPr>
              <w:spacing w:after="0"/>
            </w:pPr>
            <w:r w:rsidRPr="009110F7">
              <w:rPr>
                <w:noProof/>
              </w:rPr>
              <w:drawing>
                <wp:inline distT="0" distB="0" distL="0" distR="0">
                  <wp:extent cx="4737600" cy="3553200"/>
                  <wp:effectExtent l="0" t="0" r="0" b="0"/>
                  <wp:docPr id="5"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0D3058" w:rsidRPr="009110F7" w:rsidTr="00965797">
        <w:trPr>
          <w:trHeight w:val="170"/>
        </w:trPr>
        <w:tc>
          <w:tcPr>
            <w:tcW w:w="1888" w:type="dxa"/>
            <w:vMerge/>
            <w:shd w:val="clear" w:color="auto" w:fill="auto"/>
            <w:tcMar>
              <w:left w:w="0" w:type="dxa"/>
            </w:tcMar>
          </w:tcPr>
          <w:p w:rsidR="000D3058" w:rsidRPr="009110F7" w:rsidRDefault="000D3058" w:rsidP="00965797">
            <w:pPr>
              <w:pStyle w:val="Marginlie"/>
            </w:pPr>
          </w:p>
        </w:tc>
        <w:tc>
          <w:tcPr>
            <w:tcW w:w="250" w:type="dxa"/>
            <w:vMerge/>
            <w:shd w:val="clear" w:color="auto" w:fill="auto"/>
            <w:tcMar>
              <w:left w:w="0" w:type="dxa"/>
            </w:tcMar>
          </w:tcPr>
          <w:p w:rsidR="000D3058" w:rsidRPr="009110F7" w:rsidRDefault="000D3058" w:rsidP="00965797">
            <w:pPr>
              <w:pStyle w:val="Textpoznpodarou"/>
              <w:jc w:val="both"/>
              <w:rPr>
                <w:spacing w:val="-4"/>
              </w:rPr>
            </w:pPr>
          </w:p>
        </w:tc>
        <w:tc>
          <w:tcPr>
            <w:tcW w:w="7501" w:type="dxa"/>
            <w:shd w:val="clear" w:color="auto" w:fill="auto"/>
            <w:tcMar>
              <w:left w:w="0" w:type="dxa"/>
            </w:tcMar>
          </w:tcPr>
          <w:p w:rsidR="000D3058" w:rsidRPr="009110F7" w:rsidRDefault="000D3058" w:rsidP="00965797">
            <w:pPr>
              <w:spacing w:after="0"/>
              <w:rPr>
                <w:sz w:val="14"/>
                <w:szCs w:val="14"/>
              </w:rPr>
            </w:pPr>
            <w:r w:rsidRPr="009110F7">
              <w:rPr>
                <w:sz w:val="14"/>
                <w:szCs w:val="14"/>
              </w:rPr>
              <w:t>Zdroj: ČNB</w:t>
            </w:r>
          </w:p>
        </w:tc>
      </w:tr>
    </w:tbl>
    <w:p w:rsidR="00965797" w:rsidRPr="009110F7" w:rsidRDefault="00965797" w:rsidP="00965797">
      <w:pPr>
        <w:pStyle w:val="Nadpis11"/>
      </w:pPr>
      <w:bookmarkStart w:id="13" w:name="_Toc517166415"/>
      <w:r w:rsidRPr="009110F7">
        <w:lastRenderedPageBreak/>
        <w:t>8. Státní rozpočet</w:t>
      </w:r>
      <w:bookmarkEnd w:id="13"/>
    </w:p>
    <w:tbl>
      <w:tblPr>
        <w:tblW w:w="9639" w:type="dxa"/>
        <w:tblInd w:w="-15" w:type="dxa"/>
        <w:tblCellMar>
          <w:left w:w="0" w:type="dxa"/>
          <w:right w:w="0" w:type="dxa"/>
        </w:tblCellMar>
        <w:tblLook w:val="00A0"/>
      </w:tblPr>
      <w:tblGrid>
        <w:gridCol w:w="1870"/>
        <w:gridCol w:w="245"/>
        <w:gridCol w:w="7524"/>
      </w:tblGrid>
      <w:tr w:rsidR="00965797" w:rsidRPr="009110F7" w:rsidTr="00676D76">
        <w:trPr>
          <w:trHeight w:val="145"/>
        </w:trPr>
        <w:tc>
          <w:tcPr>
            <w:tcW w:w="1870" w:type="dxa"/>
            <w:shd w:val="clear" w:color="auto" w:fill="auto"/>
            <w:tcMar>
              <w:left w:w="0" w:type="dxa"/>
            </w:tcMar>
          </w:tcPr>
          <w:p w:rsidR="00965797" w:rsidRPr="009110F7" w:rsidRDefault="00965797" w:rsidP="00965797">
            <w:pPr>
              <w:pStyle w:val="Marginlie"/>
            </w:pPr>
            <w:r w:rsidRPr="009110F7">
              <w:t>Přebytkové hospodaření státního rozpočtu v první čtvrtině roku pokračovalo již pošesté v řadě.</w:t>
            </w:r>
          </w:p>
        </w:tc>
        <w:tc>
          <w:tcPr>
            <w:tcW w:w="245" w:type="dxa"/>
            <w:shd w:val="clear" w:color="auto" w:fill="auto"/>
            <w:tcMar>
              <w:left w:w="0" w:type="dxa"/>
            </w:tcMar>
          </w:tcPr>
          <w:p w:rsidR="00965797" w:rsidRPr="009110F7" w:rsidRDefault="00965797" w:rsidP="00965797">
            <w:pPr>
              <w:pStyle w:val="Textpoznpodarou"/>
              <w:jc w:val="both"/>
              <w:rPr>
                <w:spacing w:val="-4"/>
              </w:rPr>
            </w:pPr>
          </w:p>
        </w:tc>
        <w:tc>
          <w:tcPr>
            <w:tcW w:w="7524" w:type="dxa"/>
            <w:shd w:val="clear" w:color="auto" w:fill="auto"/>
            <w:tcMar>
              <w:left w:w="0" w:type="dxa"/>
            </w:tcMar>
          </w:tcPr>
          <w:p w:rsidR="00965797" w:rsidRPr="009110F7" w:rsidRDefault="00965797" w:rsidP="00B10C90">
            <w:r w:rsidRPr="009110F7">
              <w:t>Státní rozpočet (SR)</w:t>
            </w:r>
            <w:r w:rsidRPr="009110F7">
              <w:rPr>
                <w:rStyle w:val="Znakapoznpodarou"/>
              </w:rPr>
              <w:footnoteReference w:id="35"/>
            </w:r>
            <w:r w:rsidRPr="009110F7">
              <w:t xml:space="preserve"> udržel v prvních třech měsících roku přebytkové hospodaření již pošesté v řadě</w:t>
            </w:r>
            <w:r w:rsidRPr="009110F7">
              <w:rPr>
                <w:rStyle w:val="Znakapoznpodarou"/>
              </w:rPr>
              <w:footnoteReference w:id="36"/>
            </w:r>
            <w:r w:rsidRPr="009110F7">
              <w:t xml:space="preserve">. Při relativně dynamickém růstu příjmů </w:t>
            </w:r>
            <w:r w:rsidR="00716F48" w:rsidRPr="009110F7">
              <w:t>i </w:t>
            </w:r>
            <w:r w:rsidRPr="009110F7">
              <w:t>výdajů čítalo letos kladné saldo SR 16,3</w:t>
            </w:r>
            <w:r w:rsidR="00167CB9" w:rsidRPr="009110F7">
              <w:t> mld.</w:t>
            </w:r>
            <w:r w:rsidRPr="009110F7">
              <w:t xml:space="preserve"> korun </w:t>
            </w:r>
            <w:r w:rsidR="00716F48" w:rsidRPr="009110F7">
              <w:t>a </w:t>
            </w:r>
            <w:r w:rsidRPr="009110F7">
              <w:t>meziročně bylo o bezmál</w:t>
            </w:r>
            <w:r w:rsidR="00A05EE4" w:rsidRPr="009110F7">
              <w:t>a 12</w:t>
            </w:r>
            <w:r w:rsidR="00167CB9" w:rsidRPr="009110F7">
              <w:t> mld.</w:t>
            </w:r>
            <w:r w:rsidRPr="009110F7">
              <w:t xml:space="preserve"> příznivější. Nadále platilo, že příjmová </w:t>
            </w:r>
            <w:r w:rsidR="00716F48" w:rsidRPr="009110F7">
              <w:t>i </w:t>
            </w:r>
            <w:r w:rsidRPr="009110F7">
              <w:t>výdajová strana rozpočtu byly výrazně ovlivněny jak nepravidelnostmi čerpání prostředků z evropských fondů</w:t>
            </w:r>
            <w:r w:rsidRPr="009110F7">
              <w:rPr>
                <w:rStyle w:val="Znakapoznpodarou"/>
              </w:rPr>
              <w:footnoteReference w:id="37"/>
            </w:r>
            <w:r w:rsidRPr="009110F7">
              <w:t>, tak pokračujícími solidními růstovými tempy ekonomiky.</w:t>
            </w:r>
            <w:r w:rsidRPr="009110F7">
              <w:rPr>
                <w:rFonts w:cs="Arial"/>
                <w:color w:val="0D0D0D" w:themeColor="text1" w:themeTint="F2"/>
                <w:spacing w:val="-4"/>
              </w:rPr>
              <w:t xml:space="preserve"> Saldo SR, tvořící klíčovou složku deficitu či přebytku hospodaření sektoru vládních institucí, činilo loni v</w:t>
            </w:r>
            <w:r w:rsidRPr="009110F7">
              <w:rPr>
                <w:color w:val="0D0D0D" w:themeColor="text1" w:themeTint="F2"/>
                <w:spacing w:val="-4"/>
              </w:rPr>
              <w:t> </w:t>
            </w:r>
            <w:r w:rsidRPr="009110F7">
              <w:rPr>
                <w:rFonts w:cs="Arial"/>
                <w:color w:val="0D0D0D" w:themeColor="text1" w:themeTint="F2"/>
                <w:spacing w:val="-4"/>
              </w:rPr>
              <w:t>relaci k</w:t>
            </w:r>
            <w:r w:rsidRPr="009110F7">
              <w:rPr>
                <w:color w:val="0D0D0D" w:themeColor="text1" w:themeTint="F2"/>
                <w:spacing w:val="-4"/>
              </w:rPr>
              <w:t> </w:t>
            </w:r>
            <w:r w:rsidRPr="009110F7">
              <w:rPr>
                <w:rFonts w:cs="Arial"/>
                <w:color w:val="000000" w:themeColor="text1"/>
                <w:spacing w:val="-4"/>
              </w:rPr>
              <w:t>nominálnímu HDP +1,3 % (o rok dříve +0,4</w:t>
            </w:r>
            <w:r w:rsidR="00167CB9" w:rsidRPr="009110F7">
              <w:rPr>
                <w:rFonts w:cs="Arial"/>
                <w:color w:val="000000" w:themeColor="text1"/>
                <w:spacing w:val="-4"/>
              </w:rPr>
              <w:t> %</w:t>
            </w:r>
            <w:r w:rsidRPr="009110F7">
              <w:rPr>
                <w:rFonts w:cs="Arial"/>
                <w:color w:val="000000" w:themeColor="text1"/>
                <w:spacing w:val="-4"/>
              </w:rPr>
              <w:t>).</w:t>
            </w:r>
          </w:p>
        </w:tc>
      </w:tr>
      <w:tr w:rsidR="00965797" w:rsidRPr="009110F7" w:rsidTr="00676D76">
        <w:trPr>
          <w:trHeight w:val="170"/>
        </w:trPr>
        <w:tc>
          <w:tcPr>
            <w:tcW w:w="1870" w:type="dxa"/>
            <w:shd w:val="clear" w:color="auto" w:fill="auto"/>
            <w:tcMar>
              <w:left w:w="0" w:type="dxa"/>
            </w:tcMar>
          </w:tcPr>
          <w:p w:rsidR="00965797" w:rsidRPr="009110F7" w:rsidRDefault="00965797" w:rsidP="00965797">
            <w:pPr>
              <w:pStyle w:val="Marginlie"/>
            </w:pPr>
            <w:r w:rsidRPr="009110F7">
              <w:t xml:space="preserve">Tempo růstu celostátního výběru všech daňových příjmů se zvyšovalo. Vyšší transfery z rozpočtu EU zatím neindikovaly zrychlení čerpání prostředků v současném programovém období. </w:t>
            </w:r>
          </w:p>
        </w:tc>
        <w:tc>
          <w:tcPr>
            <w:tcW w:w="245" w:type="dxa"/>
            <w:shd w:val="clear" w:color="auto" w:fill="auto"/>
            <w:tcMar>
              <w:left w:w="0" w:type="dxa"/>
            </w:tcMar>
          </w:tcPr>
          <w:p w:rsidR="00965797" w:rsidRPr="009110F7" w:rsidRDefault="00965797" w:rsidP="00965797">
            <w:pPr>
              <w:pStyle w:val="Textpoznpodarou"/>
              <w:jc w:val="both"/>
              <w:rPr>
                <w:spacing w:val="-4"/>
              </w:rPr>
            </w:pPr>
          </w:p>
        </w:tc>
        <w:tc>
          <w:tcPr>
            <w:tcW w:w="7524" w:type="dxa"/>
            <w:shd w:val="clear" w:color="auto" w:fill="auto"/>
            <w:tcMar>
              <w:left w:w="0" w:type="dxa"/>
            </w:tcMar>
          </w:tcPr>
          <w:p w:rsidR="00965797" w:rsidRPr="009110F7" w:rsidRDefault="00965797" w:rsidP="00B10C90">
            <w:pPr>
              <w:rPr>
                <w:rFonts w:cs="Arial"/>
                <w:spacing w:val="-4"/>
              </w:rPr>
            </w:pPr>
            <w:r w:rsidRPr="009110F7">
              <w:t>Celkové příjmy SR v 1</w:t>
            </w:r>
            <w:r w:rsidR="00716F48" w:rsidRPr="009110F7">
              <w:t>. čtvrt</w:t>
            </w:r>
            <w:r w:rsidRPr="009110F7">
              <w:t xml:space="preserve">letí meziročně </w:t>
            </w:r>
            <w:r w:rsidR="00716F48" w:rsidRPr="009110F7">
              <w:t>o </w:t>
            </w:r>
            <w:r w:rsidRPr="009110F7">
              <w:t>osminu posílily (na 345,7</w:t>
            </w:r>
            <w:r w:rsidR="00167CB9" w:rsidRPr="009110F7">
              <w:t> mld.</w:t>
            </w:r>
            <w:r w:rsidRPr="009110F7">
              <w:t xml:space="preserve"> korun). Přispěl k tomu nejen vyšší výběr daní, ale na rozdíl od loňského roku </w:t>
            </w:r>
            <w:r w:rsidR="00E03D73">
              <w:t xml:space="preserve">rovněž </w:t>
            </w:r>
            <w:r w:rsidRPr="009110F7">
              <w:t xml:space="preserve">růst nedaňových příjmů tažených vyšším přílivem prostředků z EU. Nešlo však o zrychlení čerpání evropských fondů, nýbrž </w:t>
            </w:r>
            <w:r w:rsidR="00716F48" w:rsidRPr="009110F7">
              <w:t>o </w:t>
            </w:r>
            <w:r w:rsidRPr="009110F7">
              <w:t>dobíhající platby vztahující se k již skončenému programovému období</w:t>
            </w:r>
            <w:r w:rsidRPr="009110F7">
              <w:rPr>
                <w:rStyle w:val="Znakapoznpodarou"/>
              </w:rPr>
              <w:footnoteReference w:id="38"/>
            </w:r>
            <w:r w:rsidRPr="009110F7">
              <w:t xml:space="preserve">. Na všech daňových příjmech (bez pojistného) získal SR meziročně </w:t>
            </w:r>
            <w:r w:rsidR="00716F48" w:rsidRPr="009110F7">
              <w:t>o </w:t>
            </w:r>
            <w:r w:rsidRPr="009110F7">
              <w:t>11,6</w:t>
            </w:r>
            <w:r w:rsidR="00167CB9" w:rsidRPr="009110F7">
              <w:t> mld.</w:t>
            </w:r>
            <w:r w:rsidRPr="009110F7">
              <w:t xml:space="preserve"> korun více, k čemuž téměř z poloviny přispěl vyšší výběr DPH. Rostlo však inkaso všech objemově významných daní, vyjma daně z příjmu fyzických osob (DPFO) ze </w:t>
            </w:r>
            <w:r w:rsidRPr="009110F7">
              <w:rPr>
                <w:rFonts w:cs="Arial"/>
                <w:spacing w:val="-4"/>
              </w:rPr>
              <w:t xml:space="preserve">samostatné výdělečné činnosti. Příznivý vývoj ekonomiky se nejlépe odráží v celostátním výběru daňových příjmů, jehož meziroční </w:t>
            </w:r>
            <w:r w:rsidR="00A05EE4" w:rsidRPr="009110F7">
              <w:rPr>
                <w:rFonts w:cs="Arial"/>
                <w:spacing w:val="-4"/>
              </w:rPr>
              <w:t>tempo vzrostlo ze</w:t>
            </w:r>
            <w:r w:rsidRPr="009110F7">
              <w:rPr>
                <w:rFonts w:cs="Arial"/>
                <w:spacing w:val="-4"/>
              </w:rPr>
              <w:t> 7,7</w:t>
            </w:r>
            <w:r w:rsidR="00167CB9" w:rsidRPr="009110F7">
              <w:rPr>
                <w:rFonts w:cs="Arial"/>
                <w:spacing w:val="-4"/>
              </w:rPr>
              <w:t> %</w:t>
            </w:r>
            <w:r w:rsidRPr="009110F7">
              <w:rPr>
                <w:rFonts w:cs="Arial"/>
                <w:spacing w:val="-4"/>
              </w:rPr>
              <w:t xml:space="preserve"> (z</w:t>
            </w:r>
            <w:r w:rsidRPr="009110F7">
              <w:t> </w:t>
            </w:r>
            <w:r w:rsidRPr="009110F7">
              <w:rPr>
                <w:rFonts w:cs="Arial"/>
                <w:spacing w:val="-4"/>
              </w:rPr>
              <w:t>1.</w:t>
            </w:r>
            <w:r w:rsidRPr="009110F7">
              <w:t> </w:t>
            </w:r>
            <w:r w:rsidRPr="009110F7">
              <w:rPr>
                <w:rFonts w:cs="Arial"/>
                <w:spacing w:val="-4"/>
              </w:rPr>
              <w:t>čtvrtletí 2017) na letošních 9,1</w:t>
            </w:r>
            <w:r w:rsidR="00167CB9" w:rsidRPr="009110F7">
              <w:rPr>
                <w:rFonts w:cs="Arial"/>
                <w:spacing w:val="-4"/>
              </w:rPr>
              <w:t> %</w:t>
            </w:r>
            <w:r w:rsidRPr="009110F7">
              <w:rPr>
                <w:rFonts w:cs="Arial"/>
                <w:spacing w:val="-4"/>
              </w:rPr>
              <w:t>.</w:t>
            </w:r>
          </w:p>
        </w:tc>
      </w:tr>
      <w:tr w:rsidR="00965797" w:rsidRPr="009110F7" w:rsidTr="00676D76">
        <w:trPr>
          <w:trHeight w:val="170"/>
        </w:trPr>
        <w:tc>
          <w:tcPr>
            <w:tcW w:w="1870" w:type="dxa"/>
            <w:vMerge w:val="restart"/>
            <w:shd w:val="clear" w:color="auto" w:fill="auto"/>
            <w:tcMar>
              <w:left w:w="0" w:type="dxa"/>
            </w:tcMar>
          </w:tcPr>
          <w:p w:rsidR="00965797" w:rsidRPr="009110F7" w:rsidRDefault="00965797" w:rsidP="00965797">
            <w:pPr>
              <w:pStyle w:val="Marginlie"/>
            </w:pPr>
          </w:p>
        </w:tc>
        <w:tc>
          <w:tcPr>
            <w:tcW w:w="245" w:type="dxa"/>
            <w:vMerge w:val="restart"/>
            <w:shd w:val="clear" w:color="auto" w:fill="auto"/>
            <w:tcMar>
              <w:left w:w="0" w:type="dxa"/>
            </w:tcMar>
          </w:tcPr>
          <w:p w:rsidR="00965797" w:rsidRPr="009110F7" w:rsidRDefault="00965797" w:rsidP="00965797">
            <w:pPr>
              <w:pStyle w:val="Textpoznpodarou"/>
              <w:jc w:val="both"/>
              <w:rPr>
                <w:spacing w:val="-4"/>
              </w:rPr>
            </w:pPr>
          </w:p>
        </w:tc>
        <w:tc>
          <w:tcPr>
            <w:tcW w:w="7524" w:type="dxa"/>
            <w:shd w:val="clear" w:color="auto" w:fill="auto"/>
            <w:tcMar>
              <w:left w:w="0" w:type="dxa"/>
            </w:tcMar>
          </w:tcPr>
          <w:p w:rsidR="00167CB9" w:rsidRPr="009110F7" w:rsidRDefault="00B8561A" w:rsidP="00965797">
            <w:pPr>
              <w:spacing w:after="0" w:line="240" w:lineRule="auto"/>
              <w:rPr>
                <w:rFonts w:cs="Arial"/>
                <w:bCs/>
              </w:rPr>
            </w:pPr>
            <w:r>
              <w:rPr>
                <w:rFonts w:cs="Arial"/>
                <w:b/>
                <w:bCs/>
                <w:color w:val="000000"/>
                <w:szCs w:val="20"/>
              </w:rPr>
              <w:t>Graf </w:t>
            </w:r>
            <w:r w:rsidR="00167CB9" w:rsidRPr="009110F7">
              <w:rPr>
                <w:rFonts w:cs="Arial"/>
                <w:b/>
                <w:bCs/>
                <w:color w:val="000000"/>
                <w:szCs w:val="20"/>
              </w:rPr>
              <w:t>č. </w:t>
            </w:r>
            <w:r w:rsidR="00965797" w:rsidRPr="009110F7">
              <w:rPr>
                <w:rFonts w:cs="Arial"/>
                <w:b/>
                <w:bCs/>
                <w:color w:val="000000"/>
                <w:szCs w:val="20"/>
              </w:rPr>
              <w:t>18</w:t>
            </w:r>
            <w:r w:rsidR="00676D76">
              <w:rPr>
                <w:rFonts w:cs="Arial"/>
                <w:b/>
                <w:bCs/>
                <w:color w:val="000000"/>
                <w:szCs w:val="20"/>
              </w:rPr>
              <w:t xml:space="preserve">  </w:t>
            </w:r>
            <w:r w:rsidR="00965797" w:rsidRPr="009110F7">
              <w:rPr>
                <w:rFonts w:cs="Arial"/>
                <w:b/>
                <w:bCs/>
              </w:rPr>
              <w:t xml:space="preserve">Celostátní inkasa vybraných daňových příjmů </w:t>
            </w:r>
            <w:r w:rsidR="00965797" w:rsidRPr="009110F7">
              <w:rPr>
                <w:rFonts w:cs="Arial"/>
                <w:bCs/>
              </w:rPr>
              <w:t>(</w:t>
            </w:r>
            <w:r w:rsidR="00965797" w:rsidRPr="009110F7">
              <w:rPr>
                <w:spacing w:val="-2"/>
              </w:rPr>
              <w:t>meziročně</w:t>
            </w:r>
            <w:r w:rsidR="00965797" w:rsidRPr="009110F7">
              <w:rPr>
                <w:bCs/>
                <w:spacing w:val="-2"/>
              </w:rPr>
              <w:t xml:space="preserve"> v %)</w:t>
            </w:r>
          </w:p>
          <w:p w:rsidR="00965797" w:rsidRPr="009110F7" w:rsidRDefault="00716F48" w:rsidP="00965797">
            <w:pPr>
              <w:spacing w:after="0" w:line="240" w:lineRule="auto"/>
              <w:rPr>
                <w:rFonts w:cs="Arial"/>
                <w:bCs/>
              </w:rPr>
            </w:pPr>
            <w:r w:rsidRPr="009110F7">
              <w:rPr>
                <w:rFonts w:cs="Arial"/>
                <w:b/>
                <w:bCs/>
              </w:rPr>
              <w:t>a </w:t>
            </w:r>
            <w:r w:rsidR="00965797" w:rsidRPr="009110F7">
              <w:rPr>
                <w:rFonts w:cs="Arial"/>
                <w:b/>
                <w:bCs/>
              </w:rPr>
              <w:t>saldo státního rozpočtu</w:t>
            </w:r>
            <w:r w:rsidR="00965797" w:rsidRPr="009110F7">
              <w:t xml:space="preserve"> </w:t>
            </w:r>
            <w:r w:rsidR="00965797" w:rsidRPr="009110F7">
              <w:rPr>
                <w:rFonts w:cs="Arial"/>
                <w:bCs/>
              </w:rPr>
              <w:t>(v mld. korun)</w:t>
            </w:r>
            <w:r w:rsidR="00965797" w:rsidRPr="009110F7">
              <w:rPr>
                <w:rFonts w:cs="Arial"/>
                <w:b/>
                <w:bCs/>
              </w:rPr>
              <w:t xml:space="preserve"> v rámci 1</w:t>
            </w:r>
            <w:r w:rsidRPr="009110F7">
              <w:rPr>
                <w:rFonts w:cs="Arial"/>
                <w:b/>
                <w:bCs/>
              </w:rPr>
              <w:t>. čtvrt</w:t>
            </w:r>
            <w:r w:rsidR="00965797" w:rsidRPr="009110F7">
              <w:rPr>
                <w:rFonts w:cs="Arial"/>
                <w:b/>
                <w:bCs/>
              </w:rPr>
              <w:t>letí</w:t>
            </w:r>
          </w:p>
        </w:tc>
      </w:tr>
      <w:tr w:rsidR="00965797" w:rsidRPr="009110F7" w:rsidTr="00676D76">
        <w:trPr>
          <w:trHeight w:val="170"/>
        </w:trPr>
        <w:tc>
          <w:tcPr>
            <w:tcW w:w="1870" w:type="dxa"/>
            <w:vMerge/>
            <w:shd w:val="clear" w:color="auto" w:fill="auto"/>
            <w:tcMar>
              <w:left w:w="0" w:type="dxa"/>
            </w:tcMar>
          </w:tcPr>
          <w:p w:rsidR="00965797" w:rsidRPr="009110F7" w:rsidRDefault="00965797" w:rsidP="00965797">
            <w:pPr>
              <w:pStyle w:val="Marginlie"/>
            </w:pPr>
          </w:p>
        </w:tc>
        <w:tc>
          <w:tcPr>
            <w:tcW w:w="245" w:type="dxa"/>
            <w:vMerge/>
            <w:shd w:val="clear" w:color="auto" w:fill="auto"/>
            <w:tcMar>
              <w:left w:w="0" w:type="dxa"/>
            </w:tcMar>
          </w:tcPr>
          <w:p w:rsidR="00965797" w:rsidRPr="009110F7" w:rsidRDefault="00965797" w:rsidP="00965797">
            <w:pPr>
              <w:pStyle w:val="Textpoznpodarou"/>
              <w:jc w:val="both"/>
              <w:rPr>
                <w:spacing w:val="-4"/>
              </w:rPr>
            </w:pPr>
          </w:p>
        </w:tc>
        <w:tc>
          <w:tcPr>
            <w:tcW w:w="7524" w:type="dxa"/>
            <w:shd w:val="clear" w:color="auto" w:fill="auto"/>
            <w:tcMar>
              <w:left w:w="0" w:type="dxa"/>
            </w:tcMar>
          </w:tcPr>
          <w:p w:rsidR="00965797" w:rsidRPr="009110F7" w:rsidRDefault="00965797" w:rsidP="00965797">
            <w:pPr>
              <w:spacing w:after="0"/>
            </w:pPr>
            <w:r w:rsidRPr="009110F7">
              <w:rPr>
                <w:noProof/>
              </w:rPr>
              <w:drawing>
                <wp:inline distT="0" distB="0" distL="0" distR="0">
                  <wp:extent cx="4752000" cy="3551605"/>
                  <wp:effectExtent l="19050" t="0" r="0" b="0"/>
                  <wp:docPr id="1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965797" w:rsidRPr="009110F7" w:rsidTr="00676D76">
        <w:trPr>
          <w:trHeight w:val="170"/>
        </w:trPr>
        <w:tc>
          <w:tcPr>
            <w:tcW w:w="1870" w:type="dxa"/>
            <w:vMerge/>
            <w:shd w:val="clear" w:color="auto" w:fill="auto"/>
            <w:tcMar>
              <w:left w:w="0" w:type="dxa"/>
            </w:tcMar>
          </w:tcPr>
          <w:p w:rsidR="00965797" w:rsidRPr="009110F7" w:rsidRDefault="00965797" w:rsidP="00965797">
            <w:pPr>
              <w:pStyle w:val="Marginlie"/>
            </w:pPr>
          </w:p>
        </w:tc>
        <w:tc>
          <w:tcPr>
            <w:tcW w:w="245" w:type="dxa"/>
            <w:vMerge/>
            <w:shd w:val="clear" w:color="auto" w:fill="auto"/>
            <w:tcMar>
              <w:left w:w="0" w:type="dxa"/>
            </w:tcMar>
          </w:tcPr>
          <w:p w:rsidR="00965797" w:rsidRPr="009110F7" w:rsidRDefault="00965797" w:rsidP="00965797">
            <w:pPr>
              <w:pStyle w:val="Textpoznpodarou"/>
              <w:jc w:val="both"/>
              <w:rPr>
                <w:spacing w:val="-4"/>
              </w:rPr>
            </w:pPr>
          </w:p>
        </w:tc>
        <w:tc>
          <w:tcPr>
            <w:tcW w:w="7524" w:type="dxa"/>
            <w:shd w:val="clear" w:color="auto" w:fill="auto"/>
            <w:tcMar>
              <w:left w:w="0" w:type="dxa"/>
            </w:tcMar>
          </w:tcPr>
          <w:p w:rsidR="00965797" w:rsidRPr="009110F7" w:rsidRDefault="00965797" w:rsidP="005D5AA9">
            <w:pPr>
              <w:spacing w:after="0" w:line="240" w:lineRule="auto"/>
              <w:jc w:val="left"/>
              <w:rPr>
                <w:sz w:val="14"/>
                <w:szCs w:val="14"/>
              </w:rPr>
            </w:pPr>
            <w:r w:rsidRPr="009110F7">
              <w:rPr>
                <w:sz w:val="14"/>
                <w:szCs w:val="14"/>
              </w:rPr>
              <w:t>Zdroj: MF</w:t>
            </w:r>
            <w:r w:rsidR="00CA0346">
              <w:rPr>
                <w:sz w:val="14"/>
                <w:szCs w:val="14"/>
              </w:rPr>
              <w:t> Č</w:t>
            </w:r>
            <w:r w:rsidRPr="009110F7">
              <w:rPr>
                <w:sz w:val="14"/>
                <w:szCs w:val="14"/>
              </w:rPr>
              <w:t>R</w:t>
            </w:r>
          </w:p>
        </w:tc>
      </w:tr>
      <w:tr w:rsidR="00965797" w:rsidRPr="009110F7" w:rsidTr="00676D76">
        <w:trPr>
          <w:trHeight w:val="145"/>
        </w:trPr>
        <w:tc>
          <w:tcPr>
            <w:tcW w:w="1870" w:type="dxa"/>
            <w:shd w:val="clear" w:color="auto" w:fill="auto"/>
            <w:tcMar>
              <w:left w:w="0" w:type="dxa"/>
            </w:tcMar>
          </w:tcPr>
          <w:p w:rsidR="00965797" w:rsidRPr="009110F7" w:rsidRDefault="00965797" w:rsidP="00965797">
            <w:pPr>
              <w:pStyle w:val="Marginlie"/>
            </w:pPr>
            <w:r w:rsidRPr="009110F7">
              <w:lastRenderedPageBreak/>
              <w:t>Dynamický růst výběr</w:t>
            </w:r>
            <w:r w:rsidR="008F2A5D">
              <w:t>u</w:t>
            </w:r>
            <w:r w:rsidRPr="009110F7">
              <w:t xml:space="preserve"> DPH odrážel rostoucí výdaje na konečnou spotřebu </w:t>
            </w:r>
            <w:r w:rsidR="00716F48" w:rsidRPr="009110F7">
              <w:t>i </w:t>
            </w:r>
            <w:r w:rsidRPr="009110F7">
              <w:t xml:space="preserve">nedávná opatření zavedená na straně výběru daně. </w:t>
            </w:r>
          </w:p>
        </w:tc>
        <w:tc>
          <w:tcPr>
            <w:tcW w:w="245" w:type="dxa"/>
            <w:shd w:val="clear" w:color="auto" w:fill="auto"/>
            <w:tcMar>
              <w:left w:w="0" w:type="dxa"/>
            </w:tcMar>
          </w:tcPr>
          <w:p w:rsidR="00965797" w:rsidRPr="009110F7" w:rsidRDefault="00965797" w:rsidP="00965797">
            <w:pPr>
              <w:pStyle w:val="Textpoznpodarou"/>
              <w:jc w:val="both"/>
              <w:rPr>
                <w:spacing w:val="-4"/>
              </w:rPr>
            </w:pPr>
          </w:p>
        </w:tc>
        <w:tc>
          <w:tcPr>
            <w:tcW w:w="7524" w:type="dxa"/>
            <w:shd w:val="clear" w:color="auto" w:fill="auto"/>
            <w:tcMar>
              <w:left w:w="0" w:type="dxa"/>
            </w:tcMar>
          </w:tcPr>
          <w:p w:rsidR="00965797" w:rsidRPr="009110F7" w:rsidRDefault="00965797" w:rsidP="009A4D57">
            <w:pPr>
              <w:spacing w:after="160"/>
              <w:rPr>
                <w:spacing w:val="-3"/>
              </w:rPr>
            </w:pPr>
            <w:r w:rsidRPr="009110F7">
              <w:rPr>
                <w:rFonts w:cs="Arial"/>
                <w:color w:val="000000" w:themeColor="text1"/>
                <w:spacing w:val="-3"/>
              </w:rPr>
              <w:t xml:space="preserve">Celostátní výběr váhově nejvýznamnější daně – DPH – meziročně posílil </w:t>
            </w:r>
            <w:r w:rsidR="00716F48" w:rsidRPr="009110F7">
              <w:rPr>
                <w:rFonts w:cs="Arial"/>
                <w:color w:val="000000" w:themeColor="text1"/>
                <w:spacing w:val="-3"/>
              </w:rPr>
              <w:t>o </w:t>
            </w:r>
            <w:r w:rsidRPr="009110F7">
              <w:rPr>
                <w:rFonts w:cs="Arial"/>
                <w:color w:val="000000" w:themeColor="text1"/>
                <w:spacing w:val="-3"/>
              </w:rPr>
              <w:t>13,2</w:t>
            </w:r>
            <w:r w:rsidR="00167CB9" w:rsidRPr="009110F7">
              <w:rPr>
                <w:rFonts w:cs="Arial"/>
                <w:color w:val="000000" w:themeColor="text1"/>
                <w:spacing w:val="-3"/>
              </w:rPr>
              <w:t> %</w:t>
            </w:r>
            <w:r w:rsidRPr="009110F7">
              <w:rPr>
                <w:rFonts w:cs="Arial"/>
                <w:color w:val="000000" w:themeColor="text1"/>
                <w:spacing w:val="-3"/>
              </w:rPr>
              <w:t xml:space="preserve"> (na úrovni SR </w:t>
            </w:r>
            <w:r w:rsidR="00716F48" w:rsidRPr="009110F7">
              <w:rPr>
                <w:rFonts w:cs="Arial"/>
                <w:color w:val="000000" w:themeColor="text1"/>
                <w:spacing w:val="-3"/>
              </w:rPr>
              <w:t>o </w:t>
            </w:r>
            <w:r w:rsidRPr="009110F7">
              <w:rPr>
                <w:rFonts w:cs="Arial"/>
                <w:color w:val="000000" w:themeColor="text1"/>
                <w:spacing w:val="-3"/>
              </w:rPr>
              <w:t>9,9</w:t>
            </w:r>
            <w:r w:rsidR="00167CB9" w:rsidRPr="009110F7">
              <w:rPr>
                <w:rFonts w:cs="Arial"/>
                <w:color w:val="000000" w:themeColor="text1"/>
                <w:spacing w:val="-3"/>
              </w:rPr>
              <w:t> %</w:t>
            </w:r>
            <w:r w:rsidRPr="009110F7">
              <w:rPr>
                <w:rFonts w:cs="Arial"/>
                <w:color w:val="000000" w:themeColor="text1"/>
                <w:spacing w:val="-3"/>
              </w:rPr>
              <w:t>)</w:t>
            </w:r>
            <w:r w:rsidRPr="009110F7">
              <w:rPr>
                <w:rStyle w:val="Znakapoznpodarou"/>
                <w:color w:val="000000" w:themeColor="text1"/>
                <w:spacing w:val="-3"/>
              </w:rPr>
              <w:footnoteReference w:id="39"/>
            </w:r>
            <w:r w:rsidRPr="009110F7">
              <w:rPr>
                <w:rFonts w:cs="Arial"/>
                <w:color w:val="000000" w:themeColor="text1"/>
                <w:spacing w:val="-3"/>
              </w:rPr>
              <w:t>. Podobně jako po většinu loňského roku rostl dynamičtěji než výdaje na konečnou spotřebu domácností či vlády. Ve vysokém tempu inkasa DPH v 1</w:t>
            </w:r>
            <w:r w:rsidR="00716F48" w:rsidRPr="009110F7">
              <w:rPr>
                <w:rFonts w:cs="Arial"/>
                <w:color w:val="000000" w:themeColor="text1"/>
                <w:spacing w:val="-3"/>
              </w:rPr>
              <w:t>. čtvrt</w:t>
            </w:r>
            <w:r w:rsidRPr="009110F7">
              <w:rPr>
                <w:rFonts w:cs="Arial"/>
                <w:color w:val="000000" w:themeColor="text1"/>
                <w:spacing w:val="-3"/>
              </w:rPr>
              <w:t xml:space="preserve">letí 2018 </w:t>
            </w:r>
            <w:r w:rsidRPr="009110F7">
              <w:rPr>
                <w:rFonts w:cs="Arial"/>
                <w:color w:val="0D0D0D" w:themeColor="text1" w:themeTint="F2"/>
                <w:spacing w:val="-3"/>
              </w:rPr>
              <w:t xml:space="preserve">se promítl </w:t>
            </w:r>
            <w:r w:rsidR="00A05EE4" w:rsidRPr="009110F7">
              <w:rPr>
                <w:rFonts w:cs="Arial"/>
                <w:color w:val="0D0D0D" w:themeColor="text1" w:themeTint="F2"/>
                <w:spacing w:val="-3"/>
              </w:rPr>
              <w:t xml:space="preserve">vliv příznivého vývoje hospodářství </w:t>
            </w:r>
            <w:r w:rsidRPr="009110F7">
              <w:rPr>
                <w:rFonts w:cs="Arial"/>
                <w:color w:val="000000" w:themeColor="text1"/>
                <w:spacing w:val="-3"/>
              </w:rPr>
              <w:t>i</w:t>
            </w:r>
            <w:r w:rsidRPr="009110F7">
              <w:rPr>
                <w:spacing w:val="-3"/>
              </w:rPr>
              <w:t> </w:t>
            </w:r>
            <w:r w:rsidRPr="009110F7">
              <w:rPr>
                <w:rFonts w:cs="Arial"/>
                <w:color w:val="000000" w:themeColor="text1"/>
                <w:spacing w:val="-3"/>
              </w:rPr>
              <w:t>přesun některých aktivit z šedé ekonomiky vlivem nedávných opatření zavedených na straně výběru daně</w:t>
            </w:r>
            <w:r w:rsidRPr="009110F7">
              <w:rPr>
                <w:rStyle w:val="Znakapoznpodarou"/>
                <w:color w:val="000000" w:themeColor="text1"/>
                <w:spacing w:val="-3"/>
              </w:rPr>
              <w:footnoteReference w:id="40"/>
            </w:r>
            <w:r w:rsidRPr="009110F7">
              <w:rPr>
                <w:rFonts w:cs="Arial"/>
                <w:color w:val="000000" w:themeColor="text1"/>
                <w:spacing w:val="-3"/>
              </w:rPr>
              <w:t xml:space="preserve">. </w:t>
            </w:r>
          </w:p>
        </w:tc>
      </w:tr>
      <w:tr w:rsidR="00965797" w:rsidRPr="009110F7" w:rsidTr="00676D76">
        <w:trPr>
          <w:trHeight w:val="145"/>
        </w:trPr>
        <w:tc>
          <w:tcPr>
            <w:tcW w:w="1870" w:type="dxa"/>
            <w:shd w:val="clear" w:color="auto" w:fill="auto"/>
            <w:tcMar>
              <w:left w:w="0" w:type="dxa"/>
            </w:tcMar>
          </w:tcPr>
          <w:p w:rsidR="00965797" w:rsidRPr="009110F7" w:rsidRDefault="00965797" w:rsidP="00965797">
            <w:pPr>
              <w:pStyle w:val="Marginlie"/>
            </w:pPr>
            <w:r w:rsidRPr="009110F7">
              <w:t xml:space="preserve">Mírný růst inkasa spotřebních daní byl zajištěn navýšením sazeb daně </w:t>
            </w:r>
            <w:r w:rsidR="00716F48" w:rsidRPr="009110F7">
              <w:t>u </w:t>
            </w:r>
            <w:r w:rsidRPr="009110F7">
              <w:t xml:space="preserve">tabákových výrobků. Vyššímu růstu výběru daně z minerálních olejů bránilo zavedení „zelené nafty“. </w:t>
            </w:r>
          </w:p>
        </w:tc>
        <w:tc>
          <w:tcPr>
            <w:tcW w:w="245" w:type="dxa"/>
            <w:shd w:val="clear" w:color="auto" w:fill="auto"/>
            <w:tcMar>
              <w:left w:w="0" w:type="dxa"/>
            </w:tcMar>
          </w:tcPr>
          <w:p w:rsidR="00965797" w:rsidRPr="009110F7" w:rsidRDefault="00965797" w:rsidP="00965797">
            <w:pPr>
              <w:pStyle w:val="Textpoznpodarou"/>
              <w:jc w:val="both"/>
              <w:rPr>
                <w:spacing w:val="-4"/>
              </w:rPr>
            </w:pPr>
          </w:p>
        </w:tc>
        <w:tc>
          <w:tcPr>
            <w:tcW w:w="7524" w:type="dxa"/>
            <w:shd w:val="clear" w:color="auto" w:fill="auto"/>
            <w:tcMar>
              <w:left w:w="0" w:type="dxa"/>
            </w:tcMar>
          </w:tcPr>
          <w:p w:rsidR="00965797" w:rsidRPr="009110F7" w:rsidRDefault="00965797" w:rsidP="009A4D57">
            <w:pPr>
              <w:tabs>
                <w:tab w:val="left" w:pos="2730"/>
              </w:tabs>
              <w:spacing w:after="160"/>
              <w:rPr>
                <w:spacing w:val="-2"/>
              </w:rPr>
            </w:pPr>
            <w:r w:rsidRPr="009110F7">
              <w:rPr>
                <w:rFonts w:cs="Arial"/>
                <w:color w:val="000000" w:themeColor="text1"/>
                <w:spacing w:val="-2"/>
              </w:rPr>
              <w:t>Ze všech spotřebních daní získal SR v 1</w:t>
            </w:r>
            <w:r w:rsidR="00716F48" w:rsidRPr="009110F7">
              <w:rPr>
                <w:rFonts w:cs="Arial"/>
                <w:color w:val="000000" w:themeColor="text1"/>
                <w:spacing w:val="-2"/>
              </w:rPr>
              <w:t>. čtvrt</w:t>
            </w:r>
            <w:r w:rsidRPr="009110F7">
              <w:rPr>
                <w:rFonts w:cs="Arial"/>
                <w:color w:val="000000" w:themeColor="text1"/>
                <w:spacing w:val="-2"/>
              </w:rPr>
              <w:t>letí meziročně o 3,5</w:t>
            </w:r>
            <w:r w:rsidR="00167CB9" w:rsidRPr="009110F7">
              <w:rPr>
                <w:rFonts w:cs="Arial"/>
                <w:color w:val="000000" w:themeColor="text1"/>
                <w:spacing w:val="-2"/>
              </w:rPr>
              <w:t> %</w:t>
            </w:r>
            <w:r w:rsidRPr="009110F7">
              <w:rPr>
                <w:rFonts w:cs="Arial"/>
                <w:color w:val="000000" w:themeColor="text1"/>
                <w:spacing w:val="-2"/>
              </w:rPr>
              <w:t xml:space="preserve"> více. Na rozdíl od loňského roku byl tento růst tažen inkasem daně z tabákových výrobků (meziročně o 1,1 mld. korun vyšším). Růst sazeb daně z tabákových výrobků (platný od počátku roku 2018) se prozatím ukazuje jako významnější faktor nežli restrikce spojené s přijetím protikuřáckého zákona (platného od června 2017). Naopak výběr daně z minerálních olejů (+0,5</w:t>
            </w:r>
            <w:r w:rsidR="00167CB9" w:rsidRPr="009110F7">
              <w:rPr>
                <w:rFonts w:cs="Arial"/>
                <w:color w:val="000000" w:themeColor="text1"/>
                <w:spacing w:val="-2"/>
              </w:rPr>
              <w:t> %</w:t>
            </w:r>
            <w:r w:rsidRPr="009110F7">
              <w:rPr>
                <w:rFonts w:cs="Arial"/>
                <w:color w:val="000000" w:themeColor="text1"/>
                <w:spacing w:val="-2"/>
              </w:rPr>
              <w:t>) jakožto váhově dominantní položky spotřebních daní zůstal v 1</w:t>
            </w:r>
            <w:r w:rsidR="00716F48" w:rsidRPr="009110F7">
              <w:rPr>
                <w:rFonts w:cs="Arial"/>
                <w:color w:val="000000" w:themeColor="text1"/>
                <w:spacing w:val="-2"/>
              </w:rPr>
              <w:t>. čtvrt</w:t>
            </w:r>
            <w:r w:rsidRPr="009110F7">
              <w:rPr>
                <w:rFonts w:cs="Arial"/>
                <w:color w:val="000000" w:themeColor="text1"/>
                <w:spacing w:val="-2"/>
              </w:rPr>
              <w:t xml:space="preserve">letí mírně za rozpočtovým očekáváním. Efekt příznivého ekonomického vývoje na rostoucí mobilitu podpořený </w:t>
            </w:r>
            <w:r w:rsidR="00716F48" w:rsidRPr="009110F7">
              <w:rPr>
                <w:rFonts w:cs="Arial"/>
                <w:color w:val="000000" w:themeColor="text1"/>
                <w:spacing w:val="-2"/>
              </w:rPr>
              <w:t>i </w:t>
            </w:r>
            <w:r w:rsidRPr="009110F7">
              <w:rPr>
                <w:rFonts w:cs="Arial"/>
                <w:color w:val="000000" w:themeColor="text1"/>
                <w:spacing w:val="-2"/>
              </w:rPr>
              <w:t>teplým počasím v první polovině jara byl převýšen administrativními vlivy</w:t>
            </w:r>
            <w:r w:rsidRPr="009110F7">
              <w:rPr>
                <w:rStyle w:val="Znakapoznpodarou"/>
                <w:color w:val="000000" w:themeColor="text1"/>
                <w:spacing w:val="-2"/>
              </w:rPr>
              <w:footnoteReference w:id="41"/>
            </w:r>
            <w:r w:rsidRPr="009110F7">
              <w:rPr>
                <w:rFonts w:cs="Arial"/>
                <w:color w:val="000000" w:themeColor="text1"/>
                <w:spacing w:val="-2"/>
              </w:rPr>
              <w:t xml:space="preserve">. </w:t>
            </w:r>
          </w:p>
        </w:tc>
      </w:tr>
      <w:tr w:rsidR="00965797" w:rsidRPr="009110F7" w:rsidTr="00676D76">
        <w:trPr>
          <w:trHeight w:val="145"/>
        </w:trPr>
        <w:tc>
          <w:tcPr>
            <w:tcW w:w="1870" w:type="dxa"/>
            <w:shd w:val="clear" w:color="auto" w:fill="auto"/>
            <w:tcMar>
              <w:left w:w="0" w:type="dxa"/>
            </w:tcMar>
          </w:tcPr>
          <w:p w:rsidR="00965797" w:rsidRPr="009110F7" w:rsidRDefault="00965797" w:rsidP="00965797">
            <w:pPr>
              <w:pStyle w:val="Marginlie"/>
            </w:pPr>
            <w:r w:rsidRPr="009110F7">
              <w:t>Tempo růstu výběr</w:t>
            </w:r>
            <w:r w:rsidR="00CC655F">
              <w:t>u</w:t>
            </w:r>
            <w:r w:rsidRPr="009110F7">
              <w:t xml:space="preserve"> </w:t>
            </w:r>
            <w:proofErr w:type="spellStart"/>
            <w:r w:rsidRPr="009110F7">
              <w:t>korporátní</w:t>
            </w:r>
            <w:proofErr w:type="spellEnd"/>
            <w:r w:rsidRPr="009110F7">
              <w:t xml:space="preserve"> daně sláblo a v 1</w:t>
            </w:r>
            <w:r w:rsidR="00716F48" w:rsidRPr="009110F7">
              <w:t>. čtvrt</w:t>
            </w:r>
            <w:r w:rsidRPr="009110F7">
              <w:t>letí dosáhlo nejslabšího výsledk</w:t>
            </w:r>
            <w:r w:rsidR="00CC655F">
              <w:t>u</w:t>
            </w:r>
            <w:r w:rsidRPr="009110F7">
              <w:t xml:space="preserve"> za posledních pět let.</w:t>
            </w:r>
            <w:r w:rsidR="00161553" w:rsidRPr="009110F7">
              <w:t xml:space="preserve"> </w:t>
            </w:r>
          </w:p>
        </w:tc>
        <w:tc>
          <w:tcPr>
            <w:tcW w:w="245" w:type="dxa"/>
            <w:shd w:val="clear" w:color="auto" w:fill="auto"/>
            <w:tcMar>
              <w:left w:w="0" w:type="dxa"/>
            </w:tcMar>
          </w:tcPr>
          <w:p w:rsidR="00965797" w:rsidRPr="009110F7" w:rsidRDefault="00965797" w:rsidP="00965797">
            <w:pPr>
              <w:pStyle w:val="Textpoznpodarou"/>
              <w:jc w:val="both"/>
              <w:rPr>
                <w:spacing w:val="-4"/>
              </w:rPr>
            </w:pPr>
          </w:p>
        </w:tc>
        <w:tc>
          <w:tcPr>
            <w:tcW w:w="7524" w:type="dxa"/>
            <w:shd w:val="clear" w:color="auto" w:fill="auto"/>
            <w:tcMar>
              <w:left w:w="0" w:type="dxa"/>
            </w:tcMar>
          </w:tcPr>
          <w:p w:rsidR="00965797" w:rsidRPr="009110F7" w:rsidRDefault="00965797" w:rsidP="009A4D57">
            <w:pPr>
              <w:spacing w:after="160"/>
            </w:pPr>
            <w:r w:rsidRPr="009110F7">
              <w:t xml:space="preserve">Tempo růstu celostátního inkasa daně z příjmu právnických osob sláblo již v průběhu loňského roku. Za tři letošní měsíce vzrostlo meziročně jen </w:t>
            </w:r>
            <w:r w:rsidR="00716F48" w:rsidRPr="009110F7">
              <w:t>o </w:t>
            </w:r>
            <w:r w:rsidRPr="009110F7">
              <w:t>1,2</w:t>
            </w:r>
            <w:r w:rsidR="00167CB9" w:rsidRPr="009110F7">
              <w:t> %</w:t>
            </w:r>
            <w:r w:rsidRPr="009110F7">
              <w:rPr>
                <w:rStyle w:val="Znakapoznpodarou"/>
              </w:rPr>
              <w:footnoteReference w:id="42"/>
            </w:r>
            <w:r w:rsidRPr="009110F7">
              <w:t xml:space="preserve"> (o rok dříve +10,2</w:t>
            </w:r>
            <w:r w:rsidR="00167CB9" w:rsidRPr="009110F7">
              <w:t> %</w:t>
            </w:r>
            <w:r w:rsidRPr="009110F7">
              <w:t xml:space="preserve">), v tomto období roku šlo </w:t>
            </w:r>
            <w:r w:rsidR="00716F48" w:rsidRPr="009110F7">
              <w:t>o </w:t>
            </w:r>
            <w:r w:rsidRPr="009110F7">
              <w:t xml:space="preserve">nejslabší výsledek za posledních pět let. </w:t>
            </w:r>
            <w:r w:rsidRPr="009110F7">
              <w:rPr>
                <w:rFonts w:cs="Arial"/>
                <w:color w:val="0D0D0D" w:themeColor="text1" w:themeTint="F2"/>
                <w:spacing w:val="-4"/>
              </w:rPr>
              <w:t xml:space="preserve">V inkasu se </w:t>
            </w:r>
            <w:r w:rsidR="00CC655F">
              <w:rPr>
                <w:rFonts w:cs="Arial"/>
                <w:color w:val="0D0D0D" w:themeColor="text1" w:themeTint="F2"/>
                <w:spacing w:val="-4"/>
              </w:rPr>
              <w:t xml:space="preserve">ve </w:t>
            </w:r>
            <w:r w:rsidRPr="009110F7">
              <w:rPr>
                <w:rFonts w:cs="Arial"/>
                <w:color w:val="0D0D0D" w:themeColor="text1" w:themeTint="F2"/>
                <w:spacing w:val="-4"/>
              </w:rPr>
              <w:t>větší míře již začala projevovat mírně klesající ziskovost podniků z let 2016 a 2017 způsobená především vlivem sílících mzdových nákladů</w:t>
            </w:r>
            <w:r w:rsidRPr="009110F7">
              <w:t xml:space="preserve">. </w:t>
            </w:r>
          </w:p>
        </w:tc>
      </w:tr>
      <w:tr w:rsidR="00965797" w:rsidRPr="009110F7" w:rsidTr="00676D76">
        <w:trPr>
          <w:trHeight w:val="145"/>
        </w:trPr>
        <w:tc>
          <w:tcPr>
            <w:tcW w:w="1870" w:type="dxa"/>
            <w:shd w:val="clear" w:color="auto" w:fill="auto"/>
            <w:tcMar>
              <w:left w:w="0" w:type="dxa"/>
            </w:tcMar>
          </w:tcPr>
          <w:p w:rsidR="00965797" w:rsidRPr="009110F7" w:rsidRDefault="00965797" w:rsidP="00965797">
            <w:pPr>
              <w:pStyle w:val="Marginlie"/>
            </w:pPr>
            <w:r w:rsidRPr="009110F7">
              <w:t>Vývoj na pracovním trhu se příznivě promítl do inkasa DPFO ze závislé činnosti. T</w:t>
            </w:r>
            <w:r w:rsidR="002E5846">
              <w:t>o</w:t>
            </w:r>
            <w:r w:rsidRPr="009110F7">
              <w:t xml:space="preserve"> vzrostl</w:t>
            </w:r>
            <w:r w:rsidR="002E5846">
              <w:t>o</w:t>
            </w:r>
            <w:r w:rsidRPr="009110F7">
              <w:t xml:space="preserve"> meziročně </w:t>
            </w:r>
            <w:r w:rsidR="00716F48" w:rsidRPr="009110F7">
              <w:t>o </w:t>
            </w:r>
            <w:r w:rsidRPr="009110F7">
              <w:t>rekordních 15,4</w:t>
            </w:r>
            <w:r w:rsidR="00167CB9" w:rsidRPr="009110F7">
              <w:t> %</w:t>
            </w:r>
            <w:r w:rsidRPr="009110F7">
              <w:t>.</w:t>
            </w:r>
          </w:p>
        </w:tc>
        <w:tc>
          <w:tcPr>
            <w:tcW w:w="245" w:type="dxa"/>
            <w:shd w:val="clear" w:color="auto" w:fill="auto"/>
            <w:tcMar>
              <w:left w:w="0" w:type="dxa"/>
            </w:tcMar>
          </w:tcPr>
          <w:p w:rsidR="00965797" w:rsidRPr="009110F7" w:rsidRDefault="00965797" w:rsidP="00965797">
            <w:pPr>
              <w:pStyle w:val="Textpoznpodarou"/>
              <w:jc w:val="both"/>
              <w:rPr>
                <w:spacing w:val="-4"/>
              </w:rPr>
            </w:pPr>
          </w:p>
        </w:tc>
        <w:tc>
          <w:tcPr>
            <w:tcW w:w="7524" w:type="dxa"/>
            <w:shd w:val="clear" w:color="auto" w:fill="auto"/>
            <w:tcMar>
              <w:left w:w="0" w:type="dxa"/>
            </w:tcMar>
          </w:tcPr>
          <w:p w:rsidR="00965797" w:rsidRPr="009110F7" w:rsidRDefault="00965797" w:rsidP="009A4D57">
            <w:pPr>
              <w:spacing w:after="160"/>
            </w:pPr>
            <w:r w:rsidRPr="009110F7">
              <w:rPr>
                <w:rFonts w:cs="Arial"/>
                <w:color w:val="0D0D0D" w:themeColor="text1" w:themeTint="F2"/>
                <w:spacing w:val="-4"/>
              </w:rPr>
              <w:t>Naproti tomu ve výběru daně z příjmů fyzických osob (DPFO) ze závislé činnosti se vývoj na trhu práce projevoval stále pozitivně. Rekordní počet pracujících doplněný sílícími tlaky na mzdový růst vyústily v rekordní 15,4% růst inkasa. Vedle tržních tlaků působí na růst průměrný</w:t>
            </w:r>
            <w:r w:rsidR="00A05EE4" w:rsidRPr="009110F7">
              <w:rPr>
                <w:rFonts w:cs="Arial"/>
                <w:color w:val="0D0D0D" w:themeColor="text1" w:themeTint="F2"/>
                <w:spacing w:val="-4"/>
              </w:rPr>
              <w:t>ch</w:t>
            </w:r>
            <w:r w:rsidRPr="009110F7">
              <w:rPr>
                <w:rFonts w:cs="Arial"/>
                <w:color w:val="0D0D0D" w:themeColor="text1" w:themeTint="F2"/>
                <w:spacing w:val="-4"/>
              </w:rPr>
              <w:t xml:space="preserve"> mezd (vyplývajících z nerovnováhy na pracovním trhu) i administrativní vlivy (opakované navyšování minimální mzdy). Naopak výběr </w:t>
            </w:r>
            <w:r w:rsidRPr="009110F7">
              <w:rPr>
                <w:rFonts w:cs="Arial"/>
                <w:spacing w:val="-4"/>
              </w:rPr>
              <w:t>DPFO ze samostatné výdělečné činnosti dosáhl v 1</w:t>
            </w:r>
            <w:r w:rsidR="00716F48" w:rsidRPr="009110F7">
              <w:rPr>
                <w:rFonts w:cs="Arial"/>
                <w:spacing w:val="-4"/>
              </w:rPr>
              <w:t>. čtvrt</w:t>
            </w:r>
            <w:r w:rsidRPr="009110F7">
              <w:rPr>
                <w:rFonts w:cs="Arial"/>
                <w:spacing w:val="-4"/>
              </w:rPr>
              <w:t>letí 6,8</w:t>
            </w:r>
            <w:r w:rsidR="00167CB9" w:rsidRPr="009110F7">
              <w:rPr>
                <w:rFonts w:cs="Arial"/>
                <w:spacing w:val="-4"/>
              </w:rPr>
              <w:t> mld.</w:t>
            </w:r>
            <w:r w:rsidRPr="009110F7">
              <w:rPr>
                <w:rFonts w:cs="Arial"/>
                <w:spacing w:val="-4"/>
              </w:rPr>
              <w:t xml:space="preserve"> korun </w:t>
            </w:r>
            <w:r w:rsidR="00716F48" w:rsidRPr="009110F7">
              <w:rPr>
                <w:rFonts w:cs="Arial"/>
                <w:spacing w:val="-4"/>
              </w:rPr>
              <w:t>a </w:t>
            </w:r>
            <w:r w:rsidRPr="009110F7">
              <w:rPr>
                <w:rFonts w:cs="Arial"/>
                <w:spacing w:val="-4"/>
              </w:rPr>
              <w:t>meziročně se o</w:t>
            </w:r>
            <w:r w:rsidRPr="009110F7">
              <w:rPr>
                <w:rFonts w:cs="Arial"/>
                <w:color w:val="0D0D0D" w:themeColor="text1" w:themeTint="F2"/>
                <w:spacing w:val="-4"/>
              </w:rPr>
              <w:t> </w:t>
            </w:r>
            <w:r w:rsidRPr="009110F7">
              <w:rPr>
                <w:rFonts w:cs="Arial"/>
                <w:spacing w:val="-4"/>
              </w:rPr>
              <w:t>3,4</w:t>
            </w:r>
            <w:r w:rsidRPr="009110F7">
              <w:rPr>
                <w:rFonts w:cs="Arial"/>
                <w:color w:val="0D0D0D" w:themeColor="text1" w:themeTint="F2"/>
                <w:spacing w:val="-4"/>
              </w:rPr>
              <w:t> </w:t>
            </w:r>
            <w:r w:rsidRPr="009110F7">
              <w:rPr>
                <w:rFonts w:cs="Arial"/>
                <w:spacing w:val="-4"/>
              </w:rPr>
              <w:t>% snížil</w:t>
            </w:r>
            <w:r w:rsidRPr="009110F7">
              <w:rPr>
                <w:rStyle w:val="Znakapoznpodarou"/>
                <w:spacing w:val="-4"/>
              </w:rPr>
              <w:footnoteReference w:id="43"/>
            </w:r>
            <w:r w:rsidRPr="009110F7">
              <w:rPr>
                <w:rFonts w:cs="Arial"/>
                <w:spacing w:val="-4"/>
              </w:rPr>
              <w:t>. Vzhledem k relativně nižšímu ob</w:t>
            </w:r>
            <w:r w:rsidR="00A05EE4" w:rsidRPr="009110F7">
              <w:rPr>
                <w:rFonts w:cs="Arial"/>
                <w:spacing w:val="-4"/>
              </w:rPr>
              <w:t>jemu této daně je její meziroční</w:t>
            </w:r>
            <w:r w:rsidRPr="009110F7">
              <w:rPr>
                <w:rFonts w:cs="Arial"/>
                <w:spacing w:val="-4"/>
              </w:rPr>
              <w:t xml:space="preserve"> srovnání citlivé na změny v možnostech daňových odpočtů (</w:t>
            </w:r>
            <w:r w:rsidRPr="009110F7">
              <w:t>slev</w:t>
            </w:r>
            <w:r w:rsidR="002E5846">
              <w:t>y</w:t>
            </w:r>
            <w:r w:rsidRPr="009110F7">
              <w:t xml:space="preserve"> na druhého z</w:t>
            </w:r>
            <w:r w:rsidRPr="009110F7">
              <w:rPr>
                <w:rFonts w:cs="Arial"/>
                <w:color w:val="0D0D0D" w:themeColor="text1" w:themeTint="F2"/>
                <w:spacing w:val="-4"/>
              </w:rPr>
              <w:t> </w:t>
            </w:r>
            <w:r w:rsidRPr="009110F7">
              <w:t>manželů a</w:t>
            </w:r>
            <w:r w:rsidRPr="009110F7">
              <w:rPr>
                <w:rFonts w:cs="Arial"/>
                <w:color w:val="0D0D0D" w:themeColor="text1" w:themeTint="F2"/>
                <w:spacing w:val="-4"/>
              </w:rPr>
              <w:t> </w:t>
            </w:r>
            <w:r w:rsidRPr="009110F7">
              <w:t>daňového zvýhodnění na děti).</w:t>
            </w:r>
          </w:p>
        </w:tc>
      </w:tr>
      <w:tr w:rsidR="00965797" w:rsidRPr="009110F7" w:rsidTr="00676D76">
        <w:trPr>
          <w:trHeight w:val="145"/>
        </w:trPr>
        <w:tc>
          <w:tcPr>
            <w:tcW w:w="1870" w:type="dxa"/>
            <w:shd w:val="clear" w:color="auto" w:fill="auto"/>
            <w:tcMar>
              <w:left w:w="0" w:type="dxa"/>
            </w:tcMar>
          </w:tcPr>
          <w:p w:rsidR="00965797" w:rsidRPr="009110F7" w:rsidRDefault="00965797" w:rsidP="00965797">
            <w:pPr>
              <w:pStyle w:val="Marginlie"/>
            </w:pPr>
            <w:r w:rsidRPr="009110F7">
              <w:t>Investiční výdaje proti rekordně nízké loňské základně mírně vzrostly. Jejich podíl na celkových výdajích SR ale zůstal druhý nejnižší za posledních třináct let.</w:t>
            </w:r>
          </w:p>
        </w:tc>
        <w:tc>
          <w:tcPr>
            <w:tcW w:w="245" w:type="dxa"/>
            <w:shd w:val="clear" w:color="auto" w:fill="auto"/>
            <w:tcMar>
              <w:left w:w="0" w:type="dxa"/>
            </w:tcMar>
          </w:tcPr>
          <w:p w:rsidR="00965797" w:rsidRPr="009110F7" w:rsidRDefault="00965797" w:rsidP="00965797">
            <w:pPr>
              <w:pStyle w:val="Textpoznpodarou"/>
              <w:jc w:val="both"/>
              <w:rPr>
                <w:spacing w:val="-4"/>
              </w:rPr>
            </w:pPr>
          </w:p>
        </w:tc>
        <w:tc>
          <w:tcPr>
            <w:tcW w:w="7524" w:type="dxa"/>
            <w:shd w:val="clear" w:color="auto" w:fill="auto"/>
            <w:tcMar>
              <w:left w:w="0" w:type="dxa"/>
            </w:tcMar>
          </w:tcPr>
          <w:p w:rsidR="00B10C90" w:rsidRPr="009110F7" w:rsidRDefault="00965797" w:rsidP="00B10C90">
            <w:pPr>
              <w:spacing w:after="0"/>
              <w:rPr>
                <w:rFonts w:cs="Arial"/>
                <w:color w:val="000000" w:themeColor="text1"/>
              </w:rPr>
            </w:pPr>
            <w:r w:rsidRPr="009110F7">
              <w:rPr>
                <w:szCs w:val="20"/>
              </w:rPr>
              <w:t>Růst celkových výdajů SR v 1</w:t>
            </w:r>
            <w:r w:rsidR="00716F48" w:rsidRPr="009110F7">
              <w:rPr>
                <w:szCs w:val="20"/>
              </w:rPr>
              <w:t>. čtvrt</w:t>
            </w:r>
            <w:r w:rsidRPr="009110F7">
              <w:rPr>
                <w:szCs w:val="20"/>
              </w:rPr>
              <w:t>letí výrazně zrychlil (na 8,7</w:t>
            </w:r>
            <w:r w:rsidR="00167CB9" w:rsidRPr="009110F7">
              <w:rPr>
                <w:szCs w:val="20"/>
              </w:rPr>
              <w:t> %</w:t>
            </w:r>
            <w:r w:rsidRPr="009110F7">
              <w:rPr>
                <w:szCs w:val="20"/>
              </w:rPr>
              <w:t xml:space="preserve"> meziročně, </w:t>
            </w:r>
            <w:r w:rsidR="00716F48" w:rsidRPr="009110F7">
              <w:rPr>
                <w:szCs w:val="20"/>
              </w:rPr>
              <w:t>o </w:t>
            </w:r>
            <w:r w:rsidRPr="009110F7">
              <w:rPr>
                <w:szCs w:val="20"/>
              </w:rPr>
              <w:t>rok dříve jen 1,6</w:t>
            </w:r>
            <w:r w:rsidR="00167CB9" w:rsidRPr="009110F7">
              <w:rPr>
                <w:szCs w:val="20"/>
              </w:rPr>
              <w:t> %</w:t>
            </w:r>
            <w:r w:rsidRPr="009110F7">
              <w:rPr>
                <w:szCs w:val="20"/>
              </w:rPr>
              <w:t xml:space="preserve">) </w:t>
            </w:r>
            <w:r w:rsidR="00716F48" w:rsidRPr="009110F7">
              <w:rPr>
                <w:szCs w:val="20"/>
              </w:rPr>
              <w:t>a </w:t>
            </w:r>
            <w:r w:rsidRPr="009110F7">
              <w:rPr>
                <w:szCs w:val="20"/>
              </w:rPr>
              <w:t>dosáhl v tomto období roku desetiletého maxima. Přispěly k tomu jak běžné (ze čtyř pětin), tak kapitálové výdaje. Výše investic rostla (+5,5</w:t>
            </w:r>
            <w:r w:rsidR="00167CB9" w:rsidRPr="009110F7">
              <w:rPr>
                <w:szCs w:val="20"/>
              </w:rPr>
              <w:t> mld.</w:t>
            </w:r>
            <w:r w:rsidRPr="009110F7">
              <w:rPr>
                <w:szCs w:val="20"/>
              </w:rPr>
              <w:t xml:space="preserve"> korun) primárně vlivem rekordně nízké loňské základny. Letošní čerpání odpovídalo zatím jen osmině rozpočtově očekávané celoroční částky (90</w:t>
            </w:r>
            <w:r w:rsidR="00167CB9" w:rsidRPr="009110F7">
              <w:rPr>
                <w:szCs w:val="20"/>
              </w:rPr>
              <w:t> mld.</w:t>
            </w:r>
            <w:r w:rsidRPr="009110F7">
              <w:rPr>
                <w:szCs w:val="20"/>
              </w:rPr>
              <w:t xml:space="preserve">). Velmi nízké bylo zejména čerpání financí na </w:t>
            </w:r>
            <w:r w:rsidRPr="009110F7">
              <w:t>výhradně národní projekty (bez vztahu k EU)</w:t>
            </w:r>
            <w:r w:rsidRPr="009110F7">
              <w:rPr>
                <w:szCs w:val="20"/>
              </w:rPr>
              <w:t xml:space="preserve">. Na společné programy ČR </w:t>
            </w:r>
            <w:r w:rsidR="00716F48" w:rsidRPr="009110F7">
              <w:rPr>
                <w:szCs w:val="20"/>
              </w:rPr>
              <w:t>a </w:t>
            </w:r>
            <w:r w:rsidRPr="009110F7">
              <w:rPr>
                <w:szCs w:val="20"/>
              </w:rPr>
              <w:t>EU</w:t>
            </w:r>
            <w:r w:rsidRPr="009110F7">
              <w:rPr>
                <w:rStyle w:val="Znakapoznpodarou"/>
                <w:szCs w:val="20"/>
              </w:rPr>
              <w:footnoteReference w:id="44"/>
            </w:r>
            <w:r w:rsidRPr="009110F7">
              <w:rPr>
                <w:szCs w:val="20"/>
              </w:rPr>
              <w:t xml:space="preserve"> vydal SR 8,7</w:t>
            </w:r>
            <w:r w:rsidR="00167CB9" w:rsidRPr="009110F7">
              <w:rPr>
                <w:szCs w:val="20"/>
              </w:rPr>
              <w:t> mld.</w:t>
            </w:r>
            <w:r w:rsidRPr="009110F7">
              <w:rPr>
                <w:szCs w:val="20"/>
              </w:rPr>
              <w:t xml:space="preserve"> korun, tedy čtvrtinu rozpočtově očekávaného celoročního objemu. </w:t>
            </w:r>
            <w:r w:rsidRPr="009110F7">
              <w:rPr>
                <w:rFonts w:cs="Arial"/>
                <w:color w:val="000000" w:themeColor="text1"/>
              </w:rPr>
              <w:t xml:space="preserve">Podíl investic na celkových výdajích SR činil letos </w:t>
            </w:r>
            <w:r w:rsidR="00EA35A7">
              <w:rPr>
                <w:rFonts w:cs="Arial"/>
                <w:color w:val="000000" w:themeColor="text1"/>
              </w:rPr>
              <w:t xml:space="preserve">zatím </w:t>
            </w:r>
            <w:r w:rsidRPr="009110F7">
              <w:rPr>
                <w:rFonts w:cs="Arial"/>
                <w:color w:val="000000" w:themeColor="text1"/>
              </w:rPr>
              <w:t>3,6</w:t>
            </w:r>
            <w:r w:rsidR="00167CB9" w:rsidRPr="009110F7">
              <w:rPr>
                <w:rFonts w:cs="Arial"/>
                <w:color w:val="000000" w:themeColor="text1"/>
              </w:rPr>
              <w:t> %</w:t>
            </w:r>
            <w:r w:rsidR="006C469D">
              <w:rPr>
                <w:rFonts w:cs="Arial"/>
                <w:color w:val="000000" w:themeColor="text1"/>
              </w:rPr>
              <w:t>,</w:t>
            </w:r>
            <w:r w:rsidRPr="009110F7">
              <w:rPr>
                <w:rFonts w:cs="Arial"/>
                <w:color w:val="000000" w:themeColor="text1"/>
              </w:rPr>
              <w:t xml:space="preserve"> </w:t>
            </w:r>
            <w:r w:rsidR="00716F48" w:rsidRPr="009110F7">
              <w:rPr>
                <w:rFonts w:cs="Arial"/>
                <w:color w:val="000000" w:themeColor="text1"/>
              </w:rPr>
              <w:t>a </w:t>
            </w:r>
            <w:r w:rsidR="00EA35A7">
              <w:rPr>
                <w:rFonts w:cs="Arial"/>
                <w:color w:val="000000" w:themeColor="text1"/>
              </w:rPr>
              <w:t xml:space="preserve">i když </w:t>
            </w:r>
            <w:r w:rsidRPr="009110F7">
              <w:rPr>
                <w:rFonts w:cs="Arial"/>
                <w:color w:val="000000" w:themeColor="text1"/>
              </w:rPr>
              <w:t>oproti 1</w:t>
            </w:r>
            <w:r w:rsidR="00716F48" w:rsidRPr="009110F7">
              <w:rPr>
                <w:rFonts w:cs="Arial"/>
                <w:color w:val="000000" w:themeColor="text1"/>
              </w:rPr>
              <w:t>. čtvrt</w:t>
            </w:r>
            <w:r w:rsidRPr="009110F7">
              <w:rPr>
                <w:rFonts w:cs="Arial"/>
                <w:color w:val="000000" w:themeColor="text1"/>
              </w:rPr>
              <w:t xml:space="preserve">letí 2017 mírně vzrostl, šlo </w:t>
            </w:r>
            <w:r w:rsidR="00716F48" w:rsidRPr="009110F7">
              <w:rPr>
                <w:rFonts w:cs="Arial"/>
                <w:color w:val="000000" w:themeColor="text1"/>
              </w:rPr>
              <w:t>o </w:t>
            </w:r>
            <w:r w:rsidRPr="009110F7">
              <w:rPr>
                <w:rFonts w:cs="Arial"/>
                <w:color w:val="000000" w:themeColor="text1"/>
              </w:rPr>
              <w:t>druhou nejnižší relaci po roce 2005.</w:t>
            </w:r>
          </w:p>
        </w:tc>
      </w:tr>
      <w:tr w:rsidR="00965797" w:rsidRPr="009110F7" w:rsidTr="00676D76">
        <w:trPr>
          <w:trHeight w:val="145"/>
        </w:trPr>
        <w:tc>
          <w:tcPr>
            <w:tcW w:w="1870" w:type="dxa"/>
            <w:shd w:val="clear" w:color="auto" w:fill="auto"/>
            <w:tcMar>
              <w:left w:w="0" w:type="dxa"/>
            </w:tcMar>
          </w:tcPr>
          <w:p w:rsidR="00965797" w:rsidRPr="009110F7" w:rsidRDefault="00965797" w:rsidP="00965797">
            <w:pPr>
              <w:pStyle w:val="Marginlie"/>
            </w:pPr>
          </w:p>
        </w:tc>
        <w:tc>
          <w:tcPr>
            <w:tcW w:w="245" w:type="dxa"/>
            <w:shd w:val="clear" w:color="auto" w:fill="auto"/>
            <w:tcMar>
              <w:left w:w="0" w:type="dxa"/>
            </w:tcMar>
          </w:tcPr>
          <w:p w:rsidR="00965797" w:rsidRPr="009110F7" w:rsidRDefault="00965797" w:rsidP="00965797">
            <w:pPr>
              <w:pStyle w:val="Textpoznpodarou"/>
              <w:jc w:val="both"/>
              <w:rPr>
                <w:spacing w:val="-4"/>
              </w:rPr>
            </w:pPr>
          </w:p>
        </w:tc>
        <w:tc>
          <w:tcPr>
            <w:tcW w:w="7524" w:type="dxa"/>
            <w:shd w:val="clear" w:color="auto" w:fill="auto"/>
            <w:tcMar>
              <w:left w:w="0" w:type="dxa"/>
            </w:tcMar>
          </w:tcPr>
          <w:p w:rsidR="00965797" w:rsidRPr="009110F7" w:rsidRDefault="00B8561A" w:rsidP="00676D76">
            <w:pPr>
              <w:pStyle w:val="Textpoznpodarou"/>
            </w:pPr>
            <w:r>
              <w:rPr>
                <w:b/>
              </w:rPr>
              <w:t>Graf </w:t>
            </w:r>
            <w:r w:rsidR="00167CB9" w:rsidRPr="009110F7">
              <w:rPr>
                <w:b/>
              </w:rPr>
              <w:t>č. </w:t>
            </w:r>
            <w:r w:rsidR="00965797" w:rsidRPr="009110F7">
              <w:rPr>
                <w:b/>
              </w:rPr>
              <w:t>19</w:t>
            </w:r>
            <w:r w:rsidR="00676D76">
              <w:rPr>
                <w:b/>
              </w:rPr>
              <w:t xml:space="preserve">  </w:t>
            </w:r>
            <w:r w:rsidR="00965797" w:rsidRPr="009110F7">
              <w:rPr>
                <w:rFonts w:cs="Arial"/>
                <w:b/>
                <w:bCs/>
              </w:rPr>
              <w:t>Vybrané výdaje státního rozpočtu v rámci 1</w:t>
            </w:r>
            <w:r w:rsidR="00716F48" w:rsidRPr="009110F7">
              <w:rPr>
                <w:rFonts w:cs="Arial"/>
                <w:b/>
                <w:bCs/>
              </w:rPr>
              <w:t>. čtvrt</w:t>
            </w:r>
            <w:r w:rsidR="00965797" w:rsidRPr="009110F7">
              <w:rPr>
                <w:rFonts w:cs="Arial"/>
                <w:b/>
                <w:bCs/>
              </w:rPr>
              <w:t>letí</w:t>
            </w:r>
            <w:r w:rsidR="00965797" w:rsidRPr="009110F7">
              <w:rPr>
                <w:rFonts w:cs="Arial"/>
                <w:bCs/>
              </w:rPr>
              <w:t xml:space="preserve"> (v mld. korun</w:t>
            </w:r>
            <w:r w:rsidR="007E1788">
              <w:rPr>
                <w:rFonts w:cs="Arial"/>
                <w:bCs/>
              </w:rPr>
              <w:t>)</w:t>
            </w:r>
          </w:p>
        </w:tc>
      </w:tr>
      <w:tr w:rsidR="00965797" w:rsidRPr="009110F7" w:rsidTr="00676D76">
        <w:trPr>
          <w:trHeight w:val="145"/>
        </w:trPr>
        <w:tc>
          <w:tcPr>
            <w:tcW w:w="1870" w:type="dxa"/>
            <w:shd w:val="clear" w:color="auto" w:fill="auto"/>
            <w:tcMar>
              <w:left w:w="0" w:type="dxa"/>
            </w:tcMar>
          </w:tcPr>
          <w:p w:rsidR="00965797" w:rsidRPr="009110F7" w:rsidRDefault="00965797" w:rsidP="00965797">
            <w:pPr>
              <w:pStyle w:val="Marginlie"/>
            </w:pPr>
          </w:p>
        </w:tc>
        <w:tc>
          <w:tcPr>
            <w:tcW w:w="245" w:type="dxa"/>
            <w:shd w:val="clear" w:color="auto" w:fill="auto"/>
            <w:tcMar>
              <w:left w:w="0" w:type="dxa"/>
            </w:tcMar>
          </w:tcPr>
          <w:p w:rsidR="00965797" w:rsidRPr="009110F7" w:rsidRDefault="00965797" w:rsidP="00965797">
            <w:pPr>
              <w:pStyle w:val="Textpoznpodarou"/>
              <w:jc w:val="both"/>
              <w:rPr>
                <w:spacing w:val="-4"/>
              </w:rPr>
            </w:pPr>
          </w:p>
        </w:tc>
        <w:tc>
          <w:tcPr>
            <w:tcW w:w="7524" w:type="dxa"/>
            <w:shd w:val="clear" w:color="auto" w:fill="auto"/>
            <w:tcMar>
              <w:left w:w="0" w:type="dxa"/>
            </w:tcMar>
          </w:tcPr>
          <w:p w:rsidR="00965797" w:rsidRPr="009110F7" w:rsidRDefault="00965797" w:rsidP="00965797">
            <w:pPr>
              <w:spacing w:after="0" w:line="240" w:lineRule="auto"/>
              <w:rPr>
                <w:spacing w:val="-2"/>
                <w:szCs w:val="20"/>
              </w:rPr>
            </w:pPr>
            <w:r w:rsidRPr="009110F7">
              <w:rPr>
                <w:noProof/>
                <w:spacing w:val="-2"/>
                <w:szCs w:val="20"/>
              </w:rPr>
              <w:drawing>
                <wp:inline distT="0" distB="0" distL="0" distR="0">
                  <wp:extent cx="4762195" cy="3394252"/>
                  <wp:effectExtent l="0" t="0" r="305" b="0"/>
                  <wp:docPr id="1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965797" w:rsidRPr="009110F7" w:rsidTr="00676D76">
        <w:trPr>
          <w:trHeight w:val="145"/>
        </w:trPr>
        <w:tc>
          <w:tcPr>
            <w:tcW w:w="1870" w:type="dxa"/>
            <w:shd w:val="clear" w:color="auto" w:fill="auto"/>
            <w:tcMar>
              <w:left w:w="0" w:type="dxa"/>
            </w:tcMar>
          </w:tcPr>
          <w:p w:rsidR="00965797" w:rsidRPr="009110F7" w:rsidRDefault="00965797" w:rsidP="00965797">
            <w:pPr>
              <w:pStyle w:val="Marginlie"/>
            </w:pPr>
          </w:p>
        </w:tc>
        <w:tc>
          <w:tcPr>
            <w:tcW w:w="245" w:type="dxa"/>
            <w:shd w:val="clear" w:color="auto" w:fill="auto"/>
            <w:tcMar>
              <w:left w:w="0" w:type="dxa"/>
            </w:tcMar>
          </w:tcPr>
          <w:p w:rsidR="00965797" w:rsidRPr="009110F7" w:rsidRDefault="00965797" w:rsidP="00965797">
            <w:pPr>
              <w:pStyle w:val="Textpoznpodarou"/>
              <w:jc w:val="both"/>
              <w:rPr>
                <w:spacing w:val="-4"/>
              </w:rPr>
            </w:pPr>
          </w:p>
        </w:tc>
        <w:tc>
          <w:tcPr>
            <w:tcW w:w="7524" w:type="dxa"/>
            <w:shd w:val="clear" w:color="auto" w:fill="auto"/>
            <w:tcMar>
              <w:left w:w="0" w:type="dxa"/>
            </w:tcMar>
          </w:tcPr>
          <w:p w:rsidR="00965797" w:rsidRPr="009110F7" w:rsidRDefault="00965797" w:rsidP="00965797">
            <w:pPr>
              <w:pStyle w:val="Textpoznpodarou"/>
              <w:rPr>
                <w:sz w:val="14"/>
                <w:szCs w:val="14"/>
              </w:rPr>
            </w:pPr>
            <w:r w:rsidRPr="009110F7">
              <w:rPr>
                <w:sz w:val="14"/>
                <w:szCs w:val="14"/>
              </w:rPr>
              <w:t xml:space="preserve">*Zahrnuje </w:t>
            </w:r>
            <w:r w:rsidR="00716F48" w:rsidRPr="009110F7">
              <w:rPr>
                <w:sz w:val="14"/>
                <w:szCs w:val="14"/>
              </w:rPr>
              <w:t>i </w:t>
            </w:r>
            <w:r w:rsidRPr="009110F7">
              <w:rPr>
                <w:sz w:val="14"/>
                <w:szCs w:val="14"/>
              </w:rPr>
              <w:t xml:space="preserve">dávky pěstounské péče. **Zahrnuje dávky pomoci v hmotné nouzi, dávky osobám se zdravotním postižením, příspěvek na péči dle zákona </w:t>
            </w:r>
            <w:r w:rsidR="00716F48" w:rsidRPr="009110F7">
              <w:rPr>
                <w:sz w:val="14"/>
                <w:szCs w:val="14"/>
              </w:rPr>
              <w:t>o </w:t>
            </w:r>
            <w:r w:rsidRPr="009110F7">
              <w:rPr>
                <w:sz w:val="14"/>
                <w:szCs w:val="14"/>
              </w:rPr>
              <w:t>sociálních službách. ***</w:t>
            </w:r>
            <w:r w:rsidR="00716F48" w:rsidRPr="009110F7">
              <w:rPr>
                <w:sz w:val="14"/>
                <w:szCs w:val="14"/>
              </w:rPr>
              <w:t>V </w:t>
            </w:r>
            <w:r w:rsidRPr="009110F7">
              <w:rPr>
                <w:sz w:val="14"/>
                <w:szCs w:val="14"/>
              </w:rPr>
              <w:t xml:space="preserve">čistých výdajích jsou započítány </w:t>
            </w:r>
            <w:r w:rsidR="00716F48" w:rsidRPr="009110F7">
              <w:rPr>
                <w:sz w:val="14"/>
                <w:szCs w:val="14"/>
              </w:rPr>
              <w:t>i </w:t>
            </w:r>
            <w:r w:rsidRPr="009110F7">
              <w:rPr>
                <w:sz w:val="14"/>
                <w:szCs w:val="14"/>
              </w:rPr>
              <w:t>příjmy kapitoly Státní dluh.</w:t>
            </w:r>
            <w:r w:rsidR="00161553" w:rsidRPr="009110F7">
              <w:rPr>
                <w:rFonts w:cs="Arial"/>
                <w:sz w:val="14"/>
                <w:szCs w:val="14"/>
              </w:rPr>
              <w:t xml:space="preserve"> </w:t>
            </w:r>
            <w:r w:rsidRPr="009110F7">
              <w:rPr>
                <w:rFonts w:cs="Arial"/>
                <w:sz w:val="14"/>
                <w:szCs w:val="14"/>
              </w:rPr>
              <w:t xml:space="preserve">                                                                                                                      </w:t>
            </w:r>
          </w:p>
          <w:p w:rsidR="00965797" w:rsidRPr="009110F7" w:rsidRDefault="00965797" w:rsidP="005D5AA9">
            <w:pPr>
              <w:spacing w:after="200"/>
              <w:jc w:val="left"/>
              <w:rPr>
                <w:spacing w:val="-2"/>
                <w:szCs w:val="20"/>
              </w:rPr>
            </w:pPr>
            <w:r w:rsidRPr="009110F7">
              <w:rPr>
                <w:sz w:val="14"/>
                <w:szCs w:val="14"/>
              </w:rPr>
              <w:t>Zdroj: MF</w:t>
            </w:r>
            <w:r w:rsidR="006B74AC">
              <w:rPr>
                <w:sz w:val="14"/>
                <w:szCs w:val="14"/>
              </w:rPr>
              <w:t> Č</w:t>
            </w:r>
            <w:r w:rsidRPr="009110F7">
              <w:rPr>
                <w:sz w:val="14"/>
                <w:szCs w:val="14"/>
              </w:rPr>
              <w:t>R</w:t>
            </w:r>
          </w:p>
        </w:tc>
      </w:tr>
      <w:tr w:rsidR="00965797" w:rsidRPr="009110F7" w:rsidTr="00676D76">
        <w:trPr>
          <w:trHeight w:val="145"/>
        </w:trPr>
        <w:tc>
          <w:tcPr>
            <w:tcW w:w="1870" w:type="dxa"/>
            <w:shd w:val="clear" w:color="auto" w:fill="auto"/>
            <w:tcMar>
              <w:left w:w="0" w:type="dxa"/>
            </w:tcMar>
          </w:tcPr>
          <w:p w:rsidR="00965797" w:rsidRPr="009110F7" w:rsidRDefault="00965797" w:rsidP="00965797">
            <w:pPr>
              <w:pStyle w:val="Marginlie"/>
            </w:pPr>
            <w:r w:rsidRPr="009110F7">
              <w:t>Růst běžných výdajů SR směřoval z poloviny na navýšení platů zaměstnanců rozpočtové sféry.</w:t>
            </w:r>
          </w:p>
        </w:tc>
        <w:tc>
          <w:tcPr>
            <w:tcW w:w="245" w:type="dxa"/>
            <w:shd w:val="clear" w:color="auto" w:fill="auto"/>
            <w:tcMar>
              <w:left w:w="0" w:type="dxa"/>
            </w:tcMar>
          </w:tcPr>
          <w:p w:rsidR="00965797" w:rsidRPr="009110F7" w:rsidRDefault="00965797" w:rsidP="00965797">
            <w:pPr>
              <w:pStyle w:val="Textpoznpodarou"/>
              <w:jc w:val="both"/>
              <w:rPr>
                <w:spacing w:val="-4"/>
              </w:rPr>
            </w:pPr>
          </w:p>
        </w:tc>
        <w:tc>
          <w:tcPr>
            <w:tcW w:w="7524" w:type="dxa"/>
            <w:shd w:val="clear" w:color="auto" w:fill="auto"/>
            <w:tcMar>
              <w:left w:w="0" w:type="dxa"/>
            </w:tcMar>
          </w:tcPr>
          <w:p w:rsidR="00965797" w:rsidRPr="009110F7" w:rsidRDefault="00965797" w:rsidP="006A7EE2">
            <w:pPr>
              <w:rPr>
                <w:spacing w:val="-3"/>
                <w:szCs w:val="20"/>
              </w:rPr>
            </w:pPr>
            <w:r w:rsidRPr="009110F7">
              <w:rPr>
                <w:spacing w:val="-3"/>
                <w:szCs w:val="20"/>
              </w:rPr>
              <w:t>Růst běžných výdajů SR nadále sílil (</w:t>
            </w:r>
            <w:r w:rsidR="00716F48" w:rsidRPr="009110F7">
              <w:rPr>
                <w:spacing w:val="-3"/>
                <w:szCs w:val="20"/>
              </w:rPr>
              <w:t>z </w:t>
            </w:r>
            <w:r w:rsidRPr="009110F7">
              <w:rPr>
                <w:spacing w:val="-3"/>
                <w:szCs w:val="20"/>
              </w:rPr>
              <w:t>loňských 6,6</w:t>
            </w:r>
            <w:r w:rsidR="00167CB9" w:rsidRPr="009110F7">
              <w:rPr>
                <w:spacing w:val="-3"/>
                <w:szCs w:val="20"/>
              </w:rPr>
              <w:t> %</w:t>
            </w:r>
            <w:r w:rsidRPr="009110F7">
              <w:rPr>
                <w:spacing w:val="-3"/>
                <w:szCs w:val="20"/>
              </w:rPr>
              <w:t xml:space="preserve"> na 7,1</w:t>
            </w:r>
            <w:r w:rsidR="00167CB9" w:rsidRPr="009110F7">
              <w:rPr>
                <w:spacing w:val="-3"/>
                <w:szCs w:val="20"/>
              </w:rPr>
              <w:t> %</w:t>
            </w:r>
            <w:r w:rsidRPr="009110F7">
              <w:rPr>
                <w:spacing w:val="-3"/>
                <w:szCs w:val="20"/>
              </w:rPr>
              <w:t>). Z meziročního růstu (</w:t>
            </w:r>
            <w:r w:rsidR="00716F48" w:rsidRPr="009110F7">
              <w:rPr>
                <w:spacing w:val="-3"/>
                <w:szCs w:val="20"/>
              </w:rPr>
              <w:t>o </w:t>
            </w:r>
            <w:r w:rsidRPr="009110F7">
              <w:rPr>
                <w:spacing w:val="-3"/>
                <w:szCs w:val="20"/>
              </w:rPr>
              <w:t>21</w:t>
            </w:r>
            <w:r w:rsidR="00167CB9" w:rsidRPr="009110F7">
              <w:rPr>
                <w:spacing w:val="-3"/>
                <w:szCs w:val="20"/>
              </w:rPr>
              <w:t> mld.</w:t>
            </w:r>
            <w:r w:rsidRPr="009110F7">
              <w:rPr>
                <w:spacing w:val="-3"/>
                <w:szCs w:val="20"/>
              </w:rPr>
              <w:t xml:space="preserve"> korun) směřovala zhruba polovina na posílení platů zaměstnanců rozpočtové sféry. Šlo zejména </w:t>
            </w:r>
            <w:r w:rsidR="00716F48" w:rsidRPr="009110F7">
              <w:rPr>
                <w:spacing w:val="-3"/>
                <w:szCs w:val="20"/>
              </w:rPr>
              <w:t>o </w:t>
            </w:r>
            <w:r w:rsidR="00A05EE4" w:rsidRPr="009110F7">
              <w:rPr>
                <w:spacing w:val="-3"/>
                <w:szCs w:val="20"/>
              </w:rPr>
              <w:t>neinvestiční transfery veřejným</w:t>
            </w:r>
            <w:r w:rsidRPr="009110F7">
              <w:rPr>
                <w:spacing w:val="-3"/>
                <w:szCs w:val="20"/>
              </w:rPr>
              <w:t xml:space="preserve"> rozpočtům územní úrovně (meziročně vyšší </w:t>
            </w:r>
            <w:r w:rsidR="00716F48" w:rsidRPr="009110F7">
              <w:rPr>
                <w:spacing w:val="-3"/>
                <w:szCs w:val="20"/>
              </w:rPr>
              <w:t>o </w:t>
            </w:r>
            <w:r w:rsidRPr="009110F7">
              <w:rPr>
                <w:spacing w:val="-3"/>
                <w:szCs w:val="20"/>
              </w:rPr>
              <w:t xml:space="preserve">pětinu), </w:t>
            </w:r>
            <w:r w:rsidR="00716F48" w:rsidRPr="009110F7">
              <w:rPr>
                <w:spacing w:val="-3"/>
                <w:szCs w:val="20"/>
              </w:rPr>
              <w:t>u </w:t>
            </w:r>
            <w:r w:rsidRPr="009110F7">
              <w:rPr>
                <w:spacing w:val="-3"/>
                <w:szCs w:val="20"/>
              </w:rPr>
              <w:t xml:space="preserve">nichž rostly jak </w:t>
            </w:r>
            <w:r w:rsidRPr="009110F7">
              <w:rPr>
                <w:spacing w:val="-3"/>
              </w:rPr>
              <w:t>dotace na přímé náklady základních a</w:t>
            </w:r>
            <w:r w:rsidRPr="009110F7">
              <w:rPr>
                <w:spacing w:val="-2"/>
                <w:szCs w:val="20"/>
              </w:rPr>
              <w:t> </w:t>
            </w:r>
            <w:r w:rsidRPr="009110F7">
              <w:rPr>
                <w:spacing w:val="-3"/>
              </w:rPr>
              <w:t>středních škol (+5,3</w:t>
            </w:r>
            <w:r w:rsidR="00167CB9" w:rsidRPr="009110F7">
              <w:rPr>
                <w:spacing w:val="-3"/>
              </w:rPr>
              <w:t> mld.</w:t>
            </w:r>
            <w:r w:rsidRPr="009110F7">
              <w:rPr>
                <w:spacing w:val="-3"/>
              </w:rPr>
              <w:t xml:space="preserve"> korun)</w:t>
            </w:r>
            <w:r w:rsidR="006858A4">
              <w:rPr>
                <w:spacing w:val="-3"/>
              </w:rPr>
              <w:t>,</w:t>
            </w:r>
            <w:r w:rsidRPr="009110F7">
              <w:rPr>
                <w:spacing w:val="-3"/>
              </w:rPr>
              <w:t xml:space="preserve"> </w:t>
            </w:r>
            <w:r w:rsidR="006858A4">
              <w:rPr>
                <w:spacing w:val="-3"/>
              </w:rPr>
              <w:t>tak</w:t>
            </w:r>
            <w:r w:rsidR="008354FB">
              <w:rPr>
                <w:spacing w:val="-3"/>
              </w:rPr>
              <w:t xml:space="preserve"> </w:t>
            </w:r>
            <w:r w:rsidRPr="009110F7">
              <w:rPr>
                <w:spacing w:val="-3"/>
              </w:rPr>
              <w:t xml:space="preserve">transfery obcím </w:t>
            </w:r>
            <w:r w:rsidR="00716F48" w:rsidRPr="009110F7">
              <w:rPr>
                <w:spacing w:val="-3"/>
              </w:rPr>
              <w:t>a </w:t>
            </w:r>
            <w:r w:rsidRPr="009110F7">
              <w:rPr>
                <w:spacing w:val="-3"/>
              </w:rPr>
              <w:t>krajům dle zákona o</w:t>
            </w:r>
            <w:r w:rsidRPr="009110F7">
              <w:rPr>
                <w:spacing w:val="-3"/>
                <w:szCs w:val="20"/>
              </w:rPr>
              <w:t> </w:t>
            </w:r>
            <w:r w:rsidRPr="009110F7">
              <w:rPr>
                <w:spacing w:val="-3"/>
              </w:rPr>
              <w:t>sociálních službách (+3,3</w:t>
            </w:r>
            <w:r w:rsidR="00167CB9" w:rsidRPr="009110F7">
              <w:rPr>
                <w:spacing w:val="-3"/>
              </w:rPr>
              <w:t> mld.</w:t>
            </w:r>
            <w:r w:rsidRPr="009110F7">
              <w:rPr>
                <w:spacing w:val="-3"/>
              </w:rPr>
              <w:t xml:space="preserve">). Vedle toho sílily </w:t>
            </w:r>
            <w:r w:rsidR="00716F48" w:rsidRPr="009110F7">
              <w:rPr>
                <w:spacing w:val="-3"/>
              </w:rPr>
              <w:t>i </w:t>
            </w:r>
            <w:r w:rsidRPr="009110F7">
              <w:rPr>
                <w:rFonts w:cs="Arial"/>
                <w:color w:val="000000" w:themeColor="text1"/>
                <w:spacing w:val="-3"/>
              </w:rPr>
              <w:t>výdaje na platy</w:t>
            </w:r>
            <w:r w:rsidRPr="009110F7">
              <w:rPr>
                <w:bCs/>
                <w:spacing w:val="-3"/>
              </w:rPr>
              <w:t xml:space="preserve"> státních zaměstnanců (o</w:t>
            </w:r>
            <w:r w:rsidRPr="009110F7">
              <w:rPr>
                <w:spacing w:val="-2"/>
                <w:szCs w:val="20"/>
              </w:rPr>
              <w:t> </w:t>
            </w:r>
            <w:r w:rsidRPr="009110F7">
              <w:rPr>
                <w:bCs/>
                <w:spacing w:val="-3"/>
              </w:rPr>
              <w:t>sedminu, resp. 2,6</w:t>
            </w:r>
            <w:r w:rsidR="00167CB9" w:rsidRPr="009110F7">
              <w:rPr>
                <w:bCs/>
                <w:spacing w:val="-3"/>
              </w:rPr>
              <w:t> mld.</w:t>
            </w:r>
            <w:r w:rsidRPr="009110F7">
              <w:rPr>
                <w:bCs/>
                <w:spacing w:val="-3"/>
              </w:rPr>
              <w:t xml:space="preserve">), </w:t>
            </w:r>
            <w:r w:rsidR="00716F48" w:rsidRPr="009110F7">
              <w:rPr>
                <w:bCs/>
                <w:spacing w:val="-3"/>
              </w:rPr>
              <w:t>a </w:t>
            </w:r>
            <w:r w:rsidRPr="009110F7">
              <w:rPr>
                <w:bCs/>
                <w:spacing w:val="-3"/>
              </w:rPr>
              <w:t>to primárně vlivem navýšení platových tarifů.</w:t>
            </w:r>
          </w:p>
        </w:tc>
      </w:tr>
      <w:tr w:rsidR="00965797" w:rsidRPr="009110F7" w:rsidTr="00676D76">
        <w:trPr>
          <w:trHeight w:val="145"/>
        </w:trPr>
        <w:tc>
          <w:tcPr>
            <w:tcW w:w="1870" w:type="dxa"/>
            <w:shd w:val="clear" w:color="auto" w:fill="auto"/>
            <w:tcMar>
              <w:left w:w="0" w:type="dxa"/>
            </w:tcMar>
          </w:tcPr>
          <w:p w:rsidR="00965797" w:rsidRPr="009110F7" w:rsidRDefault="00965797" w:rsidP="00965797">
            <w:pPr>
              <w:pStyle w:val="Marginlie"/>
            </w:pPr>
            <w:r w:rsidRPr="009110F7">
              <w:t>Tempo růstu výběru pojistného na důchody nadále rostlo. Důchodový účet se v rámci 1</w:t>
            </w:r>
            <w:r w:rsidR="00716F48" w:rsidRPr="009110F7">
              <w:t>. čtvrt</w:t>
            </w:r>
            <w:r w:rsidRPr="009110F7">
              <w:t>letí poprvé po deseti letech vymanil z deficitů.</w:t>
            </w:r>
          </w:p>
        </w:tc>
        <w:tc>
          <w:tcPr>
            <w:tcW w:w="245" w:type="dxa"/>
            <w:shd w:val="clear" w:color="auto" w:fill="auto"/>
            <w:tcMar>
              <w:left w:w="0" w:type="dxa"/>
            </w:tcMar>
          </w:tcPr>
          <w:p w:rsidR="00965797" w:rsidRPr="009110F7" w:rsidRDefault="00965797" w:rsidP="00965797">
            <w:pPr>
              <w:pStyle w:val="Textpoznpodarou"/>
              <w:jc w:val="both"/>
              <w:rPr>
                <w:spacing w:val="-4"/>
              </w:rPr>
            </w:pPr>
          </w:p>
        </w:tc>
        <w:tc>
          <w:tcPr>
            <w:tcW w:w="7524" w:type="dxa"/>
            <w:shd w:val="clear" w:color="auto" w:fill="auto"/>
            <w:tcMar>
              <w:left w:w="0" w:type="dxa"/>
            </w:tcMar>
          </w:tcPr>
          <w:p w:rsidR="00B10C90" w:rsidRDefault="00965797" w:rsidP="006A7EE2">
            <w:pPr>
              <w:rPr>
                <w:rFonts w:cs="Arial"/>
                <w:color w:val="0D0D0D" w:themeColor="text1" w:themeTint="F2"/>
                <w:spacing w:val="-2"/>
              </w:rPr>
            </w:pPr>
            <w:r w:rsidRPr="009110F7">
              <w:rPr>
                <w:rFonts w:cs="Arial"/>
                <w:color w:val="0D0D0D" w:themeColor="text1" w:themeTint="F2"/>
                <w:spacing w:val="-2"/>
              </w:rPr>
              <w:t>Na sociální dávky loni směřovalo 41,9 % veškerých výdajů SR (meziročně o 1,8 p. </w:t>
            </w:r>
            <w:proofErr w:type="spellStart"/>
            <w:r w:rsidRPr="009110F7">
              <w:rPr>
                <w:rFonts w:cs="Arial"/>
                <w:color w:val="0D0D0D" w:themeColor="text1" w:themeTint="F2"/>
                <w:spacing w:val="-2"/>
              </w:rPr>
              <w:t>b</w:t>
            </w:r>
            <w:proofErr w:type="spellEnd"/>
            <w:r w:rsidRPr="009110F7">
              <w:rPr>
                <w:rFonts w:cs="Arial"/>
                <w:color w:val="0D0D0D" w:themeColor="text1" w:themeTint="F2"/>
                <w:spacing w:val="-2"/>
              </w:rPr>
              <w:t>. méně). Téměř čtyři pětiny sociálních dávek putoval</w:t>
            </w:r>
            <w:r w:rsidR="006F1C27">
              <w:rPr>
                <w:rFonts w:cs="Arial"/>
                <w:color w:val="0D0D0D" w:themeColor="text1" w:themeTint="F2"/>
                <w:spacing w:val="-2"/>
              </w:rPr>
              <w:t>y</w:t>
            </w:r>
            <w:r w:rsidRPr="009110F7">
              <w:rPr>
                <w:rFonts w:cs="Arial"/>
                <w:color w:val="0D0D0D" w:themeColor="text1" w:themeTint="F2"/>
                <w:spacing w:val="-2"/>
              </w:rPr>
              <w:t xml:space="preserve"> na důchody, na které stát vydal meziročně </w:t>
            </w:r>
            <w:r w:rsidR="00716F48" w:rsidRPr="009110F7">
              <w:rPr>
                <w:rFonts w:cs="Arial"/>
                <w:color w:val="0D0D0D" w:themeColor="text1" w:themeTint="F2"/>
                <w:spacing w:val="-2"/>
              </w:rPr>
              <w:t>o </w:t>
            </w:r>
            <w:r w:rsidRPr="009110F7">
              <w:rPr>
                <w:rFonts w:cs="Arial"/>
                <w:color w:val="0D0D0D" w:themeColor="text1" w:themeTint="F2"/>
                <w:spacing w:val="-2"/>
              </w:rPr>
              <w:t>5,0</w:t>
            </w:r>
            <w:r w:rsidR="00167CB9" w:rsidRPr="009110F7">
              <w:rPr>
                <w:rFonts w:cs="Arial"/>
                <w:color w:val="0D0D0D" w:themeColor="text1" w:themeTint="F2"/>
                <w:spacing w:val="-2"/>
              </w:rPr>
              <w:t> %</w:t>
            </w:r>
            <w:r w:rsidRPr="009110F7">
              <w:rPr>
                <w:rFonts w:cs="Arial"/>
                <w:color w:val="0D0D0D" w:themeColor="text1" w:themeTint="F2"/>
                <w:spacing w:val="-2"/>
              </w:rPr>
              <w:t xml:space="preserve"> více. Tento růst </w:t>
            </w:r>
            <w:r w:rsidR="00A05EE4" w:rsidRPr="009110F7">
              <w:rPr>
                <w:rFonts w:cs="Arial"/>
                <w:color w:val="0D0D0D" w:themeColor="text1" w:themeTint="F2"/>
                <w:spacing w:val="-2"/>
              </w:rPr>
              <w:t xml:space="preserve">byl téměř výhradně tažen </w:t>
            </w:r>
            <w:r w:rsidR="004826A7" w:rsidRPr="009110F7">
              <w:rPr>
                <w:rFonts w:cs="Arial"/>
                <w:color w:val="0D0D0D" w:themeColor="text1" w:themeTint="F2"/>
                <w:spacing w:val="-2"/>
              </w:rPr>
              <w:t xml:space="preserve">úpravou </w:t>
            </w:r>
            <w:r w:rsidR="00A05EE4" w:rsidRPr="009110F7">
              <w:rPr>
                <w:rFonts w:cs="Arial"/>
                <w:color w:val="0D0D0D" w:themeColor="text1" w:themeTint="F2"/>
                <w:spacing w:val="-2"/>
              </w:rPr>
              <w:t>valorizac</w:t>
            </w:r>
            <w:r w:rsidR="004826A7" w:rsidRPr="009110F7">
              <w:rPr>
                <w:rFonts w:cs="Arial"/>
                <w:color w:val="0D0D0D" w:themeColor="text1" w:themeTint="F2"/>
                <w:spacing w:val="-2"/>
              </w:rPr>
              <w:t>e</w:t>
            </w:r>
            <w:r w:rsidRPr="009110F7">
              <w:rPr>
                <w:rStyle w:val="Znakapoznpodarou"/>
                <w:color w:val="0D0D0D" w:themeColor="text1" w:themeTint="F2"/>
                <w:spacing w:val="-2"/>
              </w:rPr>
              <w:footnoteReference w:id="45"/>
            </w:r>
            <w:r w:rsidR="006F1C27">
              <w:rPr>
                <w:rFonts w:cs="Arial"/>
                <w:color w:val="0D0D0D" w:themeColor="text1" w:themeTint="F2"/>
                <w:spacing w:val="-2"/>
              </w:rPr>
              <w:t>, n</w:t>
            </w:r>
            <w:r w:rsidRPr="009110F7">
              <w:rPr>
                <w:rFonts w:cs="Arial"/>
                <w:color w:val="0D0D0D" w:themeColor="text1" w:themeTint="F2"/>
                <w:spacing w:val="-2"/>
              </w:rPr>
              <w:t xml:space="preserve">eboť počet osob pobírajících důchody se zvýšil jen </w:t>
            </w:r>
            <w:r w:rsidR="00716F48" w:rsidRPr="009110F7">
              <w:rPr>
                <w:rFonts w:cs="Arial"/>
                <w:color w:val="0D0D0D" w:themeColor="text1" w:themeTint="F2"/>
                <w:spacing w:val="-2"/>
              </w:rPr>
              <w:t>o </w:t>
            </w:r>
            <w:r w:rsidRPr="009110F7">
              <w:rPr>
                <w:rFonts w:cs="Arial"/>
                <w:color w:val="0D0D0D" w:themeColor="text1" w:themeTint="F2"/>
                <w:spacing w:val="-2"/>
              </w:rPr>
              <w:t>0,3</w:t>
            </w:r>
            <w:r w:rsidR="00167CB9" w:rsidRPr="009110F7">
              <w:rPr>
                <w:rFonts w:cs="Arial"/>
                <w:color w:val="0D0D0D" w:themeColor="text1" w:themeTint="F2"/>
                <w:spacing w:val="-2"/>
              </w:rPr>
              <w:t> %</w:t>
            </w:r>
            <w:r w:rsidRPr="009110F7">
              <w:rPr>
                <w:rFonts w:cs="Arial"/>
                <w:color w:val="0D0D0D" w:themeColor="text1" w:themeTint="F2"/>
                <w:spacing w:val="-2"/>
              </w:rPr>
              <w:t xml:space="preserve"> (mírný růst </w:t>
            </w:r>
            <w:r w:rsidR="00716F48" w:rsidRPr="009110F7">
              <w:rPr>
                <w:rFonts w:cs="Arial"/>
                <w:color w:val="0D0D0D" w:themeColor="text1" w:themeTint="F2"/>
                <w:spacing w:val="-2"/>
              </w:rPr>
              <w:t>u </w:t>
            </w:r>
            <w:r w:rsidRPr="009110F7">
              <w:rPr>
                <w:rFonts w:cs="Arial"/>
                <w:color w:val="0D0D0D" w:themeColor="text1" w:themeTint="F2"/>
                <w:spacing w:val="-2"/>
              </w:rPr>
              <w:t>příjemců starobních důchodů převýšil vliv meziročně nižšího počtu příjemců všech ostatních druhů důchodů). Příznivá situace na pracovním trhu stimulovala růst výběru pojistného na důchody – to v 1</w:t>
            </w:r>
            <w:r w:rsidR="00716F48" w:rsidRPr="009110F7">
              <w:rPr>
                <w:rFonts w:cs="Arial"/>
                <w:color w:val="0D0D0D" w:themeColor="text1" w:themeTint="F2"/>
                <w:spacing w:val="-2"/>
              </w:rPr>
              <w:t>. čtvrt</w:t>
            </w:r>
            <w:r w:rsidRPr="009110F7">
              <w:rPr>
                <w:rFonts w:cs="Arial"/>
                <w:color w:val="0D0D0D" w:themeColor="text1" w:themeTint="F2"/>
                <w:spacing w:val="-2"/>
              </w:rPr>
              <w:t xml:space="preserve">letí posílilo meziročně téměř </w:t>
            </w:r>
            <w:r w:rsidR="006F1C27">
              <w:rPr>
                <w:rFonts w:cs="Arial"/>
                <w:color w:val="0D0D0D" w:themeColor="text1" w:themeTint="F2"/>
                <w:spacing w:val="-2"/>
              </w:rPr>
              <w:t>o </w:t>
            </w:r>
            <w:r w:rsidRPr="009110F7">
              <w:rPr>
                <w:rFonts w:cs="Arial"/>
                <w:color w:val="0D0D0D" w:themeColor="text1" w:themeTint="F2"/>
                <w:spacing w:val="-2"/>
              </w:rPr>
              <w:t>desetinu (podobným tempem jako za konjunktury v minulé dekádě). Saldo důchodového účtu</w:t>
            </w:r>
            <w:r w:rsidRPr="009110F7">
              <w:rPr>
                <w:rStyle w:val="Znakapoznpodarou"/>
                <w:color w:val="0D0D0D" w:themeColor="text1" w:themeTint="F2"/>
                <w:spacing w:val="-2"/>
              </w:rPr>
              <w:footnoteReference w:id="46"/>
            </w:r>
            <w:r w:rsidRPr="009110F7">
              <w:rPr>
                <w:rFonts w:cs="Arial"/>
                <w:color w:val="0D0D0D" w:themeColor="text1" w:themeTint="F2"/>
                <w:spacing w:val="-2"/>
              </w:rPr>
              <w:t xml:space="preserve"> tak poprvé za poslední</w:t>
            </w:r>
            <w:r w:rsidR="004826A7" w:rsidRPr="009110F7">
              <w:rPr>
                <w:rFonts w:cs="Arial"/>
                <w:color w:val="0D0D0D" w:themeColor="text1" w:themeTint="F2"/>
                <w:spacing w:val="-2"/>
              </w:rPr>
              <w:t>ch</w:t>
            </w:r>
            <w:r w:rsidRPr="009110F7">
              <w:rPr>
                <w:rFonts w:cs="Arial"/>
                <w:color w:val="0D0D0D" w:themeColor="text1" w:themeTint="F2"/>
                <w:spacing w:val="-2"/>
              </w:rPr>
              <w:t xml:space="preserve"> deset let skončilo v kladných hodnotách.</w:t>
            </w:r>
          </w:p>
          <w:p w:rsidR="00C07749" w:rsidRDefault="00C07749">
            <w:pPr>
              <w:spacing w:after="0" w:line="240" w:lineRule="auto"/>
              <w:rPr>
                <w:rFonts w:cs="Arial"/>
                <w:color w:val="0D0D0D" w:themeColor="text1" w:themeTint="F2"/>
                <w:spacing w:val="-2"/>
              </w:rPr>
            </w:pPr>
          </w:p>
          <w:p w:rsidR="00C07749" w:rsidRDefault="00C07749">
            <w:pPr>
              <w:spacing w:after="0" w:line="240" w:lineRule="auto"/>
              <w:rPr>
                <w:rFonts w:cs="Arial"/>
                <w:color w:val="0D0D0D" w:themeColor="text1" w:themeTint="F2"/>
                <w:spacing w:val="-2"/>
              </w:rPr>
            </w:pPr>
          </w:p>
          <w:p w:rsidR="00C07749" w:rsidRDefault="00C07749">
            <w:pPr>
              <w:spacing w:after="0" w:line="240" w:lineRule="auto"/>
              <w:rPr>
                <w:rFonts w:cs="Arial"/>
                <w:color w:val="0D0D0D" w:themeColor="text1" w:themeTint="F2"/>
                <w:spacing w:val="-2"/>
              </w:rPr>
            </w:pPr>
          </w:p>
          <w:p w:rsidR="00C07749" w:rsidRDefault="00C07749">
            <w:pPr>
              <w:spacing w:after="0" w:line="240" w:lineRule="auto"/>
              <w:rPr>
                <w:rFonts w:cs="Arial"/>
                <w:color w:val="0D0D0D" w:themeColor="text1" w:themeTint="F2"/>
                <w:spacing w:val="-2"/>
              </w:rPr>
            </w:pPr>
          </w:p>
          <w:p w:rsidR="00C07749" w:rsidRDefault="00C07749">
            <w:pPr>
              <w:spacing w:after="0" w:line="240" w:lineRule="auto"/>
              <w:rPr>
                <w:rFonts w:cs="Arial"/>
                <w:color w:val="0D0D0D" w:themeColor="text1" w:themeTint="F2"/>
                <w:spacing w:val="-2"/>
              </w:rPr>
            </w:pPr>
          </w:p>
          <w:p w:rsidR="00C07749" w:rsidRDefault="00C07749">
            <w:pPr>
              <w:spacing w:after="0" w:line="240" w:lineRule="auto"/>
              <w:rPr>
                <w:rFonts w:cs="Arial"/>
                <w:color w:val="0D0D0D" w:themeColor="text1" w:themeTint="F2"/>
                <w:spacing w:val="-2"/>
              </w:rPr>
            </w:pPr>
          </w:p>
          <w:p w:rsidR="00C07749" w:rsidRDefault="00C07749">
            <w:pPr>
              <w:spacing w:after="0" w:line="240" w:lineRule="auto"/>
              <w:rPr>
                <w:rFonts w:cs="Arial"/>
                <w:color w:val="0D0D0D" w:themeColor="text1" w:themeTint="F2"/>
                <w:spacing w:val="-2"/>
              </w:rPr>
            </w:pPr>
          </w:p>
          <w:p w:rsidR="00C07749" w:rsidRDefault="00C07749">
            <w:pPr>
              <w:spacing w:after="0" w:line="240" w:lineRule="auto"/>
              <w:rPr>
                <w:rFonts w:cs="Arial"/>
                <w:color w:val="0D0D0D" w:themeColor="text1" w:themeTint="F2"/>
                <w:spacing w:val="-2"/>
              </w:rPr>
            </w:pPr>
          </w:p>
          <w:p w:rsidR="00C07749" w:rsidRDefault="00C07749">
            <w:pPr>
              <w:spacing w:after="0" w:line="240" w:lineRule="auto"/>
              <w:rPr>
                <w:rFonts w:cs="Arial"/>
                <w:color w:val="0D0D0D" w:themeColor="text1" w:themeTint="F2"/>
                <w:spacing w:val="-2"/>
              </w:rPr>
            </w:pPr>
          </w:p>
          <w:p w:rsidR="00C07749" w:rsidRDefault="00C07749">
            <w:pPr>
              <w:spacing w:after="0" w:line="240" w:lineRule="auto"/>
              <w:rPr>
                <w:rFonts w:cs="Arial"/>
                <w:color w:val="0D0D0D" w:themeColor="text1" w:themeTint="F2"/>
                <w:spacing w:val="-2"/>
              </w:rPr>
            </w:pPr>
          </w:p>
        </w:tc>
      </w:tr>
      <w:tr w:rsidR="00965797" w:rsidRPr="009110F7" w:rsidTr="00676D76">
        <w:trPr>
          <w:trHeight w:val="145"/>
        </w:trPr>
        <w:tc>
          <w:tcPr>
            <w:tcW w:w="1870" w:type="dxa"/>
            <w:shd w:val="clear" w:color="auto" w:fill="auto"/>
            <w:tcMar>
              <w:left w:w="0" w:type="dxa"/>
            </w:tcMar>
          </w:tcPr>
          <w:p w:rsidR="00965797" w:rsidRPr="009110F7" w:rsidRDefault="00965797" w:rsidP="00965797">
            <w:pPr>
              <w:pStyle w:val="Marginlie"/>
            </w:pPr>
          </w:p>
        </w:tc>
        <w:tc>
          <w:tcPr>
            <w:tcW w:w="245" w:type="dxa"/>
            <w:shd w:val="clear" w:color="auto" w:fill="auto"/>
            <w:tcMar>
              <w:left w:w="0" w:type="dxa"/>
            </w:tcMar>
          </w:tcPr>
          <w:p w:rsidR="00965797" w:rsidRPr="009110F7" w:rsidRDefault="00965797" w:rsidP="00965797">
            <w:pPr>
              <w:pStyle w:val="Textpoznpodarou"/>
              <w:jc w:val="both"/>
              <w:rPr>
                <w:spacing w:val="-4"/>
              </w:rPr>
            </w:pPr>
          </w:p>
        </w:tc>
        <w:tc>
          <w:tcPr>
            <w:tcW w:w="7524" w:type="dxa"/>
            <w:shd w:val="clear" w:color="auto" w:fill="auto"/>
            <w:tcMar>
              <w:left w:w="0" w:type="dxa"/>
            </w:tcMar>
          </w:tcPr>
          <w:p w:rsidR="00167CB9" w:rsidRPr="009110F7" w:rsidRDefault="00B8561A" w:rsidP="00965797">
            <w:pPr>
              <w:spacing w:after="0" w:line="240" w:lineRule="auto"/>
              <w:rPr>
                <w:rFonts w:cs="Arial"/>
                <w:bCs/>
                <w:spacing w:val="-4"/>
              </w:rPr>
            </w:pPr>
            <w:r>
              <w:rPr>
                <w:b/>
              </w:rPr>
              <w:t>Graf </w:t>
            </w:r>
            <w:r w:rsidR="00167CB9" w:rsidRPr="009110F7">
              <w:rPr>
                <w:b/>
              </w:rPr>
              <w:t>č. </w:t>
            </w:r>
            <w:r w:rsidR="00965797" w:rsidRPr="009110F7">
              <w:rPr>
                <w:b/>
              </w:rPr>
              <w:t>20</w:t>
            </w:r>
            <w:r w:rsidR="00676D76">
              <w:rPr>
                <w:b/>
              </w:rPr>
              <w:t xml:space="preserve">  </w:t>
            </w:r>
            <w:r w:rsidR="00965797" w:rsidRPr="009110F7">
              <w:rPr>
                <w:rFonts w:cs="Arial"/>
                <w:b/>
                <w:bCs/>
                <w:spacing w:val="-4"/>
              </w:rPr>
              <w:t>Příjemci důchod</w:t>
            </w:r>
            <w:r w:rsidR="00965797" w:rsidRPr="006F1C27">
              <w:rPr>
                <w:rFonts w:cs="Arial"/>
                <w:b/>
                <w:bCs/>
                <w:spacing w:val="-4"/>
              </w:rPr>
              <w:t>ů</w:t>
            </w:r>
            <w:r w:rsidR="00965797" w:rsidRPr="006F1C27">
              <w:rPr>
                <w:b/>
                <w:spacing w:val="-4"/>
              </w:rPr>
              <w:t>,</w:t>
            </w:r>
            <w:r w:rsidR="00965797" w:rsidRPr="006F1C27">
              <w:rPr>
                <w:rFonts w:cs="Arial"/>
                <w:b/>
                <w:bCs/>
                <w:spacing w:val="-4"/>
              </w:rPr>
              <w:t xml:space="preserve"> příjmy</w:t>
            </w:r>
            <w:r w:rsidR="00965797" w:rsidRPr="009110F7">
              <w:rPr>
                <w:rFonts w:cs="Arial"/>
                <w:b/>
                <w:bCs/>
                <w:spacing w:val="-4"/>
              </w:rPr>
              <w:t xml:space="preserve"> </w:t>
            </w:r>
            <w:r w:rsidR="00716F48" w:rsidRPr="009110F7">
              <w:rPr>
                <w:rFonts w:cs="Arial"/>
                <w:b/>
                <w:bCs/>
                <w:spacing w:val="-4"/>
              </w:rPr>
              <w:t>i </w:t>
            </w:r>
            <w:r w:rsidR="00965797" w:rsidRPr="009110F7">
              <w:rPr>
                <w:rFonts w:cs="Arial"/>
                <w:b/>
                <w:bCs/>
                <w:spacing w:val="-4"/>
              </w:rPr>
              <w:t xml:space="preserve">výdaje na důchody ze SR </w:t>
            </w:r>
            <w:r w:rsidR="00965797" w:rsidRPr="009110F7">
              <w:rPr>
                <w:rFonts w:cs="Arial"/>
                <w:bCs/>
                <w:spacing w:val="-4"/>
              </w:rPr>
              <w:t>(</w:t>
            </w:r>
            <w:r w:rsidR="00965797" w:rsidRPr="009110F7">
              <w:rPr>
                <w:spacing w:val="-4"/>
              </w:rPr>
              <w:t>meziročně</w:t>
            </w:r>
            <w:r w:rsidR="00965797" w:rsidRPr="009110F7">
              <w:rPr>
                <w:bCs/>
                <w:spacing w:val="-4"/>
              </w:rPr>
              <w:t xml:space="preserve"> v %)</w:t>
            </w:r>
          </w:p>
          <w:p w:rsidR="00965797" w:rsidRPr="009110F7" w:rsidRDefault="00716F48" w:rsidP="00965797">
            <w:pPr>
              <w:spacing w:after="0" w:line="240" w:lineRule="auto"/>
              <w:rPr>
                <w:sz w:val="14"/>
                <w:szCs w:val="14"/>
              </w:rPr>
            </w:pPr>
            <w:r w:rsidRPr="009110F7">
              <w:rPr>
                <w:rFonts w:cs="Arial"/>
                <w:b/>
                <w:bCs/>
                <w:spacing w:val="-4"/>
              </w:rPr>
              <w:t>a </w:t>
            </w:r>
            <w:r w:rsidR="00965797" w:rsidRPr="009110F7">
              <w:rPr>
                <w:rFonts w:cs="Arial"/>
                <w:b/>
                <w:bCs/>
                <w:spacing w:val="-4"/>
              </w:rPr>
              <w:t xml:space="preserve">bilance důchodového účtu </w:t>
            </w:r>
            <w:r w:rsidR="00965797" w:rsidRPr="009110F7">
              <w:rPr>
                <w:rFonts w:cs="Arial"/>
                <w:bCs/>
                <w:spacing w:val="-4"/>
              </w:rPr>
              <w:t xml:space="preserve">(v mld. korun) </w:t>
            </w:r>
            <w:r w:rsidR="00965797" w:rsidRPr="009110F7">
              <w:rPr>
                <w:rFonts w:cs="Arial"/>
                <w:b/>
                <w:bCs/>
              </w:rPr>
              <w:t>v rámci 1</w:t>
            </w:r>
            <w:r w:rsidRPr="009110F7">
              <w:rPr>
                <w:rFonts w:cs="Arial"/>
                <w:b/>
                <w:bCs/>
              </w:rPr>
              <w:t>. čtvrt</w:t>
            </w:r>
            <w:r w:rsidR="00965797" w:rsidRPr="009110F7">
              <w:rPr>
                <w:rFonts w:cs="Arial"/>
                <w:b/>
                <w:bCs/>
              </w:rPr>
              <w:t>letí</w:t>
            </w:r>
          </w:p>
        </w:tc>
      </w:tr>
      <w:tr w:rsidR="00965797" w:rsidRPr="009110F7" w:rsidTr="00676D76">
        <w:trPr>
          <w:trHeight w:val="145"/>
        </w:trPr>
        <w:tc>
          <w:tcPr>
            <w:tcW w:w="1870" w:type="dxa"/>
            <w:shd w:val="clear" w:color="auto" w:fill="auto"/>
            <w:tcMar>
              <w:left w:w="0" w:type="dxa"/>
            </w:tcMar>
          </w:tcPr>
          <w:p w:rsidR="00965797" w:rsidRPr="009110F7" w:rsidRDefault="00965797" w:rsidP="00965797">
            <w:pPr>
              <w:pStyle w:val="Marginlie"/>
            </w:pPr>
          </w:p>
        </w:tc>
        <w:tc>
          <w:tcPr>
            <w:tcW w:w="245" w:type="dxa"/>
            <w:shd w:val="clear" w:color="auto" w:fill="auto"/>
            <w:tcMar>
              <w:left w:w="0" w:type="dxa"/>
            </w:tcMar>
          </w:tcPr>
          <w:p w:rsidR="00965797" w:rsidRPr="009110F7" w:rsidRDefault="00965797" w:rsidP="00965797">
            <w:pPr>
              <w:pStyle w:val="Textpoznpodarou"/>
              <w:jc w:val="both"/>
              <w:rPr>
                <w:spacing w:val="-4"/>
              </w:rPr>
            </w:pPr>
          </w:p>
        </w:tc>
        <w:tc>
          <w:tcPr>
            <w:tcW w:w="7524" w:type="dxa"/>
            <w:shd w:val="clear" w:color="auto" w:fill="auto"/>
            <w:tcMar>
              <w:left w:w="0" w:type="dxa"/>
            </w:tcMar>
          </w:tcPr>
          <w:p w:rsidR="00965797" w:rsidRPr="009110F7" w:rsidRDefault="00965797" w:rsidP="00965797">
            <w:pPr>
              <w:spacing w:after="0" w:line="240" w:lineRule="auto"/>
              <w:rPr>
                <w:sz w:val="14"/>
                <w:szCs w:val="14"/>
              </w:rPr>
            </w:pPr>
            <w:r w:rsidRPr="009110F7">
              <w:rPr>
                <w:noProof/>
                <w:sz w:val="14"/>
                <w:szCs w:val="14"/>
              </w:rPr>
              <w:drawing>
                <wp:inline distT="0" distB="0" distL="0" distR="0">
                  <wp:extent cx="4742597" cy="3534770"/>
                  <wp:effectExtent l="0" t="0" r="0" b="0"/>
                  <wp:docPr id="1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965797" w:rsidRPr="009110F7" w:rsidTr="00676D76">
        <w:trPr>
          <w:trHeight w:val="145"/>
        </w:trPr>
        <w:tc>
          <w:tcPr>
            <w:tcW w:w="1870" w:type="dxa"/>
            <w:shd w:val="clear" w:color="auto" w:fill="auto"/>
            <w:tcMar>
              <w:left w:w="0" w:type="dxa"/>
            </w:tcMar>
          </w:tcPr>
          <w:p w:rsidR="00965797" w:rsidRPr="009110F7" w:rsidRDefault="00965797" w:rsidP="00965797">
            <w:pPr>
              <w:pStyle w:val="Marginlie"/>
            </w:pPr>
          </w:p>
        </w:tc>
        <w:tc>
          <w:tcPr>
            <w:tcW w:w="245" w:type="dxa"/>
            <w:shd w:val="clear" w:color="auto" w:fill="auto"/>
            <w:tcMar>
              <w:left w:w="0" w:type="dxa"/>
            </w:tcMar>
          </w:tcPr>
          <w:p w:rsidR="00965797" w:rsidRPr="009110F7" w:rsidRDefault="00965797" w:rsidP="00965797">
            <w:pPr>
              <w:pStyle w:val="Textpoznpodarou"/>
              <w:jc w:val="both"/>
              <w:rPr>
                <w:spacing w:val="-4"/>
              </w:rPr>
            </w:pPr>
          </w:p>
        </w:tc>
        <w:tc>
          <w:tcPr>
            <w:tcW w:w="7524" w:type="dxa"/>
            <w:shd w:val="clear" w:color="auto" w:fill="auto"/>
            <w:tcMar>
              <w:left w:w="0" w:type="dxa"/>
            </w:tcMar>
          </w:tcPr>
          <w:p w:rsidR="00167CB9" w:rsidRPr="009110F7" w:rsidRDefault="00965797" w:rsidP="00965797">
            <w:pPr>
              <w:spacing w:after="0" w:line="240" w:lineRule="auto"/>
              <w:rPr>
                <w:sz w:val="14"/>
                <w:szCs w:val="14"/>
              </w:rPr>
            </w:pPr>
            <w:r w:rsidRPr="009110F7">
              <w:rPr>
                <w:sz w:val="14"/>
                <w:szCs w:val="14"/>
              </w:rPr>
              <w:t xml:space="preserve">*Jde </w:t>
            </w:r>
            <w:r w:rsidR="00716F48" w:rsidRPr="009110F7">
              <w:rPr>
                <w:sz w:val="14"/>
                <w:szCs w:val="14"/>
              </w:rPr>
              <w:t>o </w:t>
            </w:r>
            <w:r w:rsidRPr="009110F7">
              <w:rPr>
                <w:sz w:val="14"/>
                <w:szCs w:val="14"/>
              </w:rPr>
              <w:t xml:space="preserve">starobní důchod přiznaný před dosažením důchodového věku </w:t>
            </w:r>
            <w:r w:rsidR="00716F48" w:rsidRPr="009110F7">
              <w:rPr>
                <w:sz w:val="14"/>
                <w:szCs w:val="14"/>
              </w:rPr>
              <w:t>a </w:t>
            </w:r>
            <w:r w:rsidRPr="009110F7">
              <w:rPr>
                <w:sz w:val="14"/>
                <w:szCs w:val="14"/>
              </w:rPr>
              <w:t>krácený za předčasnost po celou dobu</w:t>
            </w:r>
          </w:p>
          <w:p w:rsidR="00965797" w:rsidRPr="009110F7" w:rsidRDefault="00965797" w:rsidP="00044183">
            <w:pPr>
              <w:spacing w:after="200"/>
              <w:rPr>
                <w:sz w:val="14"/>
                <w:szCs w:val="14"/>
              </w:rPr>
            </w:pPr>
            <w:r w:rsidRPr="009110F7">
              <w:rPr>
                <w:sz w:val="14"/>
                <w:szCs w:val="14"/>
              </w:rPr>
              <w:t>pobírání důchodu.                                                                                                                          Zdroj: MF, ČSSZ</w:t>
            </w:r>
          </w:p>
        </w:tc>
      </w:tr>
      <w:tr w:rsidR="00965797" w:rsidRPr="009110F7" w:rsidTr="00676D76">
        <w:trPr>
          <w:trHeight w:val="145"/>
        </w:trPr>
        <w:tc>
          <w:tcPr>
            <w:tcW w:w="1870" w:type="dxa"/>
            <w:shd w:val="clear" w:color="auto" w:fill="auto"/>
            <w:tcMar>
              <w:left w:w="0" w:type="dxa"/>
            </w:tcMar>
          </w:tcPr>
          <w:p w:rsidR="00965797" w:rsidRPr="009110F7" w:rsidRDefault="00965797" w:rsidP="00965797">
            <w:pPr>
              <w:pStyle w:val="Marginlie"/>
            </w:pPr>
            <w:r w:rsidRPr="009110F7">
              <w:t>Tempo růstu výdajů na ostatní sociální dávky sláblo. Projevil se pozitivní vliv hospodářs</w:t>
            </w:r>
            <w:r w:rsidR="004826A7" w:rsidRPr="009110F7">
              <w:t>kého růstu na příjmy domácností.</w:t>
            </w:r>
          </w:p>
          <w:p w:rsidR="00965797" w:rsidRPr="009110F7" w:rsidRDefault="00965797" w:rsidP="00965797">
            <w:pPr>
              <w:pStyle w:val="Marginlie"/>
            </w:pPr>
          </w:p>
          <w:p w:rsidR="00965797" w:rsidRPr="009110F7" w:rsidRDefault="00965797" w:rsidP="00965797">
            <w:pPr>
              <w:pStyle w:val="Marginlie"/>
            </w:pPr>
          </w:p>
          <w:p w:rsidR="00965797" w:rsidRPr="009110F7" w:rsidRDefault="00965797" w:rsidP="00965797">
            <w:pPr>
              <w:pStyle w:val="Marginlie"/>
            </w:pPr>
          </w:p>
          <w:p w:rsidR="00965797" w:rsidRPr="009110F7" w:rsidRDefault="004826A7" w:rsidP="00965797">
            <w:pPr>
              <w:pStyle w:val="Marginlie"/>
            </w:pPr>
            <w:r w:rsidRPr="009110F7">
              <w:t>N</w:t>
            </w:r>
            <w:r w:rsidR="00965797" w:rsidRPr="009110F7">
              <w:t xml:space="preserve">a růst sociálních dávek naopak působila vyšší nemocnost </w:t>
            </w:r>
            <w:r w:rsidR="00716F48" w:rsidRPr="009110F7">
              <w:t>i </w:t>
            </w:r>
            <w:r w:rsidR="00965797" w:rsidRPr="009110F7">
              <w:t>mírně rostoucí porodnost.</w:t>
            </w:r>
          </w:p>
        </w:tc>
        <w:tc>
          <w:tcPr>
            <w:tcW w:w="245" w:type="dxa"/>
            <w:shd w:val="clear" w:color="auto" w:fill="auto"/>
            <w:tcMar>
              <w:left w:w="0" w:type="dxa"/>
            </w:tcMar>
          </w:tcPr>
          <w:p w:rsidR="00965797" w:rsidRPr="009110F7" w:rsidRDefault="00965797" w:rsidP="00965797">
            <w:pPr>
              <w:pStyle w:val="Textpoznpodarou"/>
              <w:jc w:val="both"/>
              <w:rPr>
                <w:spacing w:val="-4"/>
              </w:rPr>
            </w:pPr>
          </w:p>
        </w:tc>
        <w:tc>
          <w:tcPr>
            <w:tcW w:w="7524" w:type="dxa"/>
            <w:shd w:val="clear" w:color="auto" w:fill="auto"/>
            <w:tcMar>
              <w:left w:w="0" w:type="dxa"/>
            </w:tcMar>
          </w:tcPr>
          <w:p w:rsidR="00965797" w:rsidRPr="009110F7" w:rsidRDefault="00965797" w:rsidP="00965797">
            <w:pPr>
              <w:rPr>
                <w:spacing w:val="-4"/>
              </w:rPr>
            </w:pPr>
            <w:r w:rsidRPr="009110F7">
              <w:rPr>
                <w:spacing w:val="-4"/>
              </w:rPr>
              <w:t>Na ostatní sociální dávky (mimo důchody) vydal SR 30,5</w:t>
            </w:r>
            <w:r w:rsidR="00167CB9" w:rsidRPr="009110F7">
              <w:rPr>
                <w:spacing w:val="-4"/>
              </w:rPr>
              <w:t> mld.</w:t>
            </w:r>
            <w:r w:rsidRPr="009110F7">
              <w:rPr>
                <w:spacing w:val="-4"/>
              </w:rPr>
              <w:t xml:space="preserve"> korun, meziročně </w:t>
            </w:r>
            <w:r w:rsidR="00716F48" w:rsidRPr="009110F7">
              <w:rPr>
                <w:spacing w:val="-4"/>
              </w:rPr>
              <w:t>o </w:t>
            </w:r>
            <w:r w:rsidR="004826A7" w:rsidRPr="009110F7">
              <w:rPr>
                <w:spacing w:val="-4"/>
              </w:rPr>
              <w:t>2,1</w:t>
            </w:r>
            <w:r w:rsidR="00167CB9" w:rsidRPr="009110F7">
              <w:rPr>
                <w:spacing w:val="-4"/>
              </w:rPr>
              <w:t> %</w:t>
            </w:r>
            <w:r w:rsidR="004826A7" w:rsidRPr="009110F7">
              <w:rPr>
                <w:spacing w:val="-4"/>
              </w:rPr>
              <w:t xml:space="preserve"> více, </w:t>
            </w:r>
            <w:r w:rsidR="00716F48" w:rsidRPr="009110F7">
              <w:rPr>
                <w:spacing w:val="-4"/>
              </w:rPr>
              <w:t>o </w:t>
            </w:r>
            <w:r w:rsidR="004826A7" w:rsidRPr="009110F7">
              <w:rPr>
                <w:spacing w:val="-4"/>
              </w:rPr>
              <w:t xml:space="preserve">rok dříve </w:t>
            </w:r>
            <w:r w:rsidR="00716F48" w:rsidRPr="009110F7">
              <w:rPr>
                <w:spacing w:val="-4"/>
              </w:rPr>
              <w:t>o </w:t>
            </w:r>
            <w:r w:rsidR="004826A7" w:rsidRPr="009110F7">
              <w:rPr>
                <w:spacing w:val="-4"/>
              </w:rPr>
              <w:t>4,1</w:t>
            </w:r>
            <w:r w:rsidR="00167CB9" w:rsidRPr="009110F7">
              <w:rPr>
                <w:spacing w:val="-4"/>
              </w:rPr>
              <w:t> %</w:t>
            </w:r>
            <w:r w:rsidRPr="009110F7">
              <w:rPr>
                <w:spacing w:val="-4"/>
              </w:rPr>
              <w:t>. Tempo růstu výdajů na tyto dávky je zároveň již čtvrtým rokem v</w:t>
            </w:r>
            <w:r w:rsidR="004826A7" w:rsidRPr="009110F7">
              <w:rPr>
                <w:spacing w:val="-4"/>
              </w:rPr>
              <w:t xml:space="preserve"> řadě slabší než </w:t>
            </w:r>
            <w:r w:rsidR="00716F48" w:rsidRPr="009110F7">
              <w:rPr>
                <w:spacing w:val="-4"/>
              </w:rPr>
              <w:t>v </w:t>
            </w:r>
            <w:r w:rsidR="004826A7" w:rsidRPr="009110F7">
              <w:rPr>
                <w:spacing w:val="-4"/>
              </w:rPr>
              <w:t>případě</w:t>
            </w:r>
            <w:r w:rsidRPr="009110F7">
              <w:rPr>
                <w:spacing w:val="-4"/>
              </w:rPr>
              <w:t xml:space="preserve"> důchodů. </w:t>
            </w:r>
            <w:r w:rsidR="00716F48" w:rsidRPr="009110F7">
              <w:rPr>
                <w:spacing w:val="-4"/>
              </w:rPr>
              <w:t>K </w:t>
            </w:r>
            <w:r w:rsidRPr="009110F7">
              <w:rPr>
                <w:spacing w:val="-4"/>
              </w:rPr>
              <w:t xml:space="preserve">růstu výdajů na ostatní sociální dávky letos (podobně jako v předchozích třech letech) přispěly nejvíce dávky nemocenského pojištění (meziročně vyšší </w:t>
            </w:r>
            <w:r w:rsidR="00716F48" w:rsidRPr="009110F7">
              <w:rPr>
                <w:spacing w:val="-4"/>
              </w:rPr>
              <w:t>o </w:t>
            </w:r>
            <w:r w:rsidRPr="009110F7">
              <w:rPr>
                <w:spacing w:val="-4"/>
              </w:rPr>
              <w:t>11</w:t>
            </w:r>
            <w:r w:rsidR="00167CB9" w:rsidRPr="009110F7">
              <w:rPr>
                <w:spacing w:val="-4"/>
              </w:rPr>
              <w:t> %</w:t>
            </w:r>
            <w:r w:rsidRPr="009110F7">
              <w:rPr>
                <w:spacing w:val="-4"/>
              </w:rPr>
              <w:t xml:space="preserve">). V pozadí toho stála jak vyšší nemocnost, tak </w:t>
            </w:r>
            <w:r w:rsidR="00716F48" w:rsidRPr="009110F7">
              <w:rPr>
                <w:spacing w:val="-4"/>
              </w:rPr>
              <w:t>i </w:t>
            </w:r>
            <w:r w:rsidRPr="009110F7">
              <w:rPr>
                <w:color w:val="000000" w:themeColor="text1"/>
                <w:spacing w:val="-4"/>
              </w:rPr>
              <w:t>silněj</w:t>
            </w:r>
            <w:r w:rsidRPr="009110F7">
              <w:rPr>
                <w:spacing w:val="-4"/>
              </w:rPr>
              <w:t>ší čerpání peněžité pomoci v mateřství vlivem mírně vyšší porodnost</w:t>
            </w:r>
            <w:r w:rsidR="004826A7" w:rsidRPr="009110F7">
              <w:rPr>
                <w:spacing w:val="-4"/>
              </w:rPr>
              <w:t>i. SR vydal více také na dávky</w:t>
            </w:r>
            <w:r w:rsidRPr="009110F7">
              <w:rPr>
                <w:spacing w:val="-4"/>
              </w:rPr>
              <w:t xml:space="preserve"> pro zdravotně postižené </w:t>
            </w:r>
            <w:r w:rsidR="00716F48" w:rsidRPr="009110F7">
              <w:rPr>
                <w:spacing w:val="-4"/>
              </w:rPr>
              <w:t>i </w:t>
            </w:r>
            <w:r w:rsidR="004826A7" w:rsidRPr="009110F7">
              <w:rPr>
                <w:spacing w:val="-4"/>
              </w:rPr>
              <w:t>na příspěvky</w:t>
            </w:r>
            <w:r w:rsidRPr="009110F7">
              <w:rPr>
                <w:spacing w:val="-4"/>
              </w:rPr>
              <w:t xml:space="preserve"> na péči (pro dlouhodobě nemocné). V ostatníc</w:t>
            </w:r>
            <w:r w:rsidR="004826A7" w:rsidRPr="009110F7">
              <w:rPr>
                <w:spacing w:val="-4"/>
              </w:rPr>
              <w:t>h druzích dávek se stále více</w:t>
            </w:r>
            <w:r w:rsidRPr="009110F7">
              <w:rPr>
                <w:spacing w:val="-4"/>
              </w:rPr>
              <w:t xml:space="preserve"> projevoval vliv hospodářského růstu na příjmy domácností. Méně bylo spotřebováno na podpor</w:t>
            </w:r>
            <w:r w:rsidR="00112CAB">
              <w:rPr>
                <w:spacing w:val="-4"/>
              </w:rPr>
              <w:t>y</w:t>
            </w:r>
            <w:r w:rsidRPr="009110F7">
              <w:rPr>
                <w:spacing w:val="-4"/>
              </w:rPr>
              <w:t xml:space="preserve"> v nezaměstnanosti (</w:t>
            </w:r>
            <w:r w:rsidR="00CA37FF">
              <w:rPr>
                <w:spacing w:val="-4"/>
              </w:rPr>
              <w:t>-</w:t>
            </w:r>
            <w:r w:rsidRPr="009110F7">
              <w:rPr>
                <w:spacing w:val="-4"/>
              </w:rPr>
              <w:t>9</w:t>
            </w:r>
            <w:r w:rsidR="00167CB9" w:rsidRPr="009110F7">
              <w:rPr>
                <w:spacing w:val="-4"/>
              </w:rPr>
              <w:t> %</w:t>
            </w:r>
            <w:r w:rsidRPr="009110F7">
              <w:rPr>
                <w:spacing w:val="-4"/>
              </w:rPr>
              <w:t xml:space="preserve">) </w:t>
            </w:r>
            <w:r w:rsidR="00716F48" w:rsidRPr="009110F7">
              <w:rPr>
                <w:spacing w:val="-4"/>
              </w:rPr>
              <w:t>i </w:t>
            </w:r>
            <w:r w:rsidRPr="009110F7">
              <w:rPr>
                <w:spacing w:val="-4"/>
              </w:rPr>
              <w:t>na dávk</w:t>
            </w:r>
            <w:r w:rsidR="00112CAB">
              <w:rPr>
                <w:spacing w:val="-4"/>
              </w:rPr>
              <w:t>y</w:t>
            </w:r>
            <w:r w:rsidRPr="009110F7">
              <w:rPr>
                <w:spacing w:val="-4"/>
              </w:rPr>
              <w:t xml:space="preserve"> pomoci </w:t>
            </w:r>
            <w:r w:rsidR="00716F48" w:rsidRPr="009110F7">
              <w:rPr>
                <w:spacing w:val="-4"/>
              </w:rPr>
              <w:t>v </w:t>
            </w:r>
            <w:r w:rsidRPr="009110F7">
              <w:rPr>
                <w:spacing w:val="-4"/>
              </w:rPr>
              <w:t>hmotné nouzi (</w:t>
            </w:r>
            <w:r w:rsidR="00CA37FF">
              <w:rPr>
                <w:spacing w:val="-4"/>
              </w:rPr>
              <w:t>-</w:t>
            </w:r>
            <w:r w:rsidRPr="009110F7">
              <w:rPr>
                <w:spacing w:val="-4"/>
              </w:rPr>
              <w:t>15</w:t>
            </w:r>
            <w:r w:rsidR="00167CB9" w:rsidRPr="009110F7">
              <w:rPr>
                <w:spacing w:val="-4"/>
              </w:rPr>
              <w:t> %</w:t>
            </w:r>
            <w:r w:rsidRPr="009110F7">
              <w:rPr>
                <w:spacing w:val="-4"/>
              </w:rPr>
              <w:t xml:space="preserve">, </w:t>
            </w:r>
            <w:r w:rsidR="00716F48" w:rsidRPr="009110F7">
              <w:rPr>
                <w:spacing w:val="-4"/>
              </w:rPr>
              <w:t>o </w:t>
            </w:r>
            <w:r w:rsidRPr="009110F7">
              <w:rPr>
                <w:spacing w:val="-4"/>
              </w:rPr>
              <w:t xml:space="preserve">rok dříve </w:t>
            </w:r>
            <w:r w:rsidR="00CA37FF">
              <w:rPr>
                <w:spacing w:val="-4"/>
              </w:rPr>
              <w:t>-</w:t>
            </w:r>
            <w:r w:rsidRPr="009110F7">
              <w:rPr>
                <w:spacing w:val="-4"/>
              </w:rPr>
              <w:t>11</w:t>
            </w:r>
            <w:r w:rsidR="00167CB9" w:rsidRPr="009110F7">
              <w:rPr>
                <w:spacing w:val="-4"/>
              </w:rPr>
              <w:t> %</w:t>
            </w:r>
            <w:r w:rsidRPr="009110F7">
              <w:rPr>
                <w:spacing w:val="-4"/>
              </w:rPr>
              <w:t xml:space="preserve">). Zhruba </w:t>
            </w:r>
            <w:r w:rsidR="00716F48" w:rsidRPr="009110F7">
              <w:rPr>
                <w:spacing w:val="-4"/>
              </w:rPr>
              <w:t>o </w:t>
            </w:r>
            <w:r w:rsidRPr="009110F7">
              <w:rPr>
                <w:spacing w:val="-4"/>
              </w:rPr>
              <w:t xml:space="preserve">desetinu vydal SR méně </w:t>
            </w:r>
            <w:r w:rsidR="00716F48" w:rsidRPr="009110F7">
              <w:rPr>
                <w:spacing w:val="-4"/>
              </w:rPr>
              <w:t>i </w:t>
            </w:r>
            <w:r w:rsidRPr="009110F7">
              <w:rPr>
                <w:spacing w:val="-4"/>
              </w:rPr>
              <w:t>na dávk</w:t>
            </w:r>
            <w:r w:rsidR="00112CAB">
              <w:rPr>
                <w:spacing w:val="-4"/>
              </w:rPr>
              <w:t>y</w:t>
            </w:r>
            <w:r w:rsidRPr="009110F7">
              <w:rPr>
                <w:spacing w:val="-4"/>
              </w:rPr>
              <w:t xml:space="preserve"> státní sociální podpory, které jsou vypláceny ve vazbě na příjem domácnosti (přídavek na dítě, příspěvek na bydlení). Navyšoval se naopak objem váhově významných rodičovských pří</w:t>
            </w:r>
            <w:r w:rsidR="006A7691">
              <w:rPr>
                <w:spacing w:val="-4"/>
              </w:rPr>
              <w:t>s</w:t>
            </w:r>
            <w:r w:rsidRPr="009110F7">
              <w:rPr>
                <w:spacing w:val="-4"/>
              </w:rPr>
              <w:t>pěvků (+6,4</w:t>
            </w:r>
            <w:r w:rsidR="00167CB9" w:rsidRPr="009110F7">
              <w:rPr>
                <w:spacing w:val="-4"/>
              </w:rPr>
              <w:t> %</w:t>
            </w:r>
            <w:r w:rsidRPr="009110F7">
              <w:rPr>
                <w:spacing w:val="-4"/>
              </w:rPr>
              <w:t xml:space="preserve">), </w:t>
            </w:r>
            <w:r w:rsidR="00716F48" w:rsidRPr="009110F7">
              <w:rPr>
                <w:spacing w:val="-4"/>
              </w:rPr>
              <w:t>o </w:t>
            </w:r>
            <w:r w:rsidRPr="009110F7">
              <w:rPr>
                <w:spacing w:val="-4"/>
              </w:rPr>
              <w:t xml:space="preserve">pětinu více šlo meziročně </w:t>
            </w:r>
            <w:r w:rsidR="00716F48" w:rsidRPr="009110F7">
              <w:rPr>
                <w:spacing w:val="-4"/>
              </w:rPr>
              <w:t>i </w:t>
            </w:r>
            <w:r w:rsidRPr="009110F7">
              <w:rPr>
                <w:spacing w:val="-4"/>
              </w:rPr>
              <w:t>na podporu pěstounské péče.</w:t>
            </w:r>
          </w:p>
        </w:tc>
      </w:tr>
      <w:tr w:rsidR="00965797" w:rsidRPr="009110F7" w:rsidTr="00676D76">
        <w:trPr>
          <w:trHeight w:val="145"/>
        </w:trPr>
        <w:tc>
          <w:tcPr>
            <w:tcW w:w="1870" w:type="dxa"/>
            <w:shd w:val="clear" w:color="auto" w:fill="auto"/>
            <w:tcMar>
              <w:left w:w="0" w:type="dxa"/>
            </w:tcMar>
          </w:tcPr>
          <w:p w:rsidR="00965797" w:rsidRPr="009110F7" w:rsidRDefault="00965797" w:rsidP="00965797">
            <w:pPr>
              <w:pStyle w:val="Marginlie"/>
            </w:pPr>
            <w:r w:rsidRPr="009110F7">
              <w:t>Výše státního dluhu podobně jako v průběhu loňského roku kolísala.</w:t>
            </w:r>
          </w:p>
          <w:p w:rsidR="00965797" w:rsidRPr="009110F7" w:rsidRDefault="00965797" w:rsidP="00965797">
            <w:pPr>
              <w:pStyle w:val="Marginlie"/>
            </w:pPr>
            <w:r w:rsidRPr="009110F7">
              <w:t>Mezi držiteli korunových dluhopisů klesala váha nerezidentů.</w:t>
            </w:r>
          </w:p>
        </w:tc>
        <w:tc>
          <w:tcPr>
            <w:tcW w:w="245" w:type="dxa"/>
            <w:shd w:val="clear" w:color="auto" w:fill="auto"/>
            <w:tcMar>
              <w:left w:w="0" w:type="dxa"/>
            </w:tcMar>
          </w:tcPr>
          <w:p w:rsidR="00965797" w:rsidRPr="009110F7" w:rsidRDefault="00965797" w:rsidP="00965797">
            <w:pPr>
              <w:pStyle w:val="Textpoznpodarou"/>
              <w:jc w:val="both"/>
              <w:rPr>
                <w:spacing w:val="-4"/>
              </w:rPr>
            </w:pPr>
          </w:p>
        </w:tc>
        <w:tc>
          <w:tcPr>
            <w:tcW w:w="7524" w:type="dxa"/>
            <w:shd w:val="clear" w:color="auto" w:fill="auto"/>
            <w:tcMar>
              <w:left w:w="0" w:type="dxa"/>
            </w:tcMar>
          </w:tcPr>
          <w:p w:rsidR="00965797" w:rsidRPr="009110F7" w:rsidRDefault="00965797" w:rsidP="00044183">
            <w:pPr>
              <w:spacing w:after="0"/>
              <w:rPr>
                <w:color w:val="0D0D0D" w:themeColor="text1" w:themeTint="F2"/>
                <w:spacing w:val="-4"/>
              </w:rPr>
            </w:pPr>
            <w:r w:rsidRPr="009110F7">
              <w:t>Státní dluh činil na konci 1</w:t>
            </w:r>
            <w:r w:rsidR="00716F48" w:rsidRPr="009110F7">
              <w:t>. čtvrt</w:t>
            </w:r>
            <w:r w:rsidRPr="009110F7">
              <w:t>letí 1 712</w:t>
            </w:r>
            <w:r w:rsidR="00167CB9" w:rsidRPr="009110F7">
              <w:t> mld.</w:t>
            </w:r>
            <w:r w:rsidRPr="009110F7">
              <w:t xml:space="preserve"> korun </w:t>
            </w:r>
            <w:r w:rsidR="00716F48" w:rsidRPr="009110F7">
              <w:t>a </w:t>
            </w:r>
            <w:r w:rsidRPr="009110F7">
              <w:t>proti „nestandardně zvýšené“ loňské základně</w:t>
            </w:r>
            <w:r w:rsidRPr="009110F7">
              <w:rPr>
                <w:rStyle w:val="Znakapoznpodarou"/>
              </w:rPr>
              <w:footnoteReference w:id="47"/>
            </w:r>
            <w:r w:rsidRPr="009110F7">
              <w:t xml:space="preserve"> klesl </w:t>
            </w:r>
            <w:r w:rsidR="00716F48" w:rsidRPr="009110F7">
              <w:t>o </w:t>
            </w:r>
            <w:r w:rsidRPr="009110F7">
              <w:t>4,3</w:t>
            </w:r>
            <w:r w:rsidR="00167CB9" w:rsidRPr="009110F7">
              <w:t> %</w:t>
            </w:r>
            <w:r w:rsidRPr="009110F7">
              <w:t xml:space="preserve">. Ve srovnání s posledním čtvrtletím loňského roku však </w:t>
            </w:r>
            <w:r w:rsidR="00716F48" w:rsidRPr="009110F7">
              <w:t>o </w:t>
            </w:r>
            <w:r w:rsidRPr="009110F7">
              <w:t>87</w:t>
            </w:r>
            <w:r w:rsidR="00167CB9" w:rsidRPr="009110F7">
              <w:t> mld.</w:t>
            </w:r>
            <w:r w:rsidRPr="009110F7">
              <w:t xml:space="preserve"> korun vzrostl. Toto navýšení bylo financováno primárně prostřednictvím státních pokladničních poukázek </w:t>
            </w:r>
            <w:r w:rsidR="00716F48" w:rsidRPr="009110F7">
              <w:t>a </w:t>
            </w:r>
            <w:r w:rsidRPr="009110F7">
              <w:t xml:space="preserve">projevilo se výhradně ve výši vnitřního dluhu, naopak </w:t>
            </w:r>
            <w:r w:rsidRPr="009110F7">
              <w:rPr>
                <w:rFonts w:cs="Arial"/>
                <w:color w:val="0D0D0D" w:themeColor="text1" w:themeTint="F2"/>
                <w:spacing w:val="-4"/>
              </w:rPr>
              <w:t>korunová hodnota vnějšího dluhu se nadále mírně snižovala. V</w:t>
            </w:r>
            <w:r w:rsidRPr="009110F7">
              <w:rPr>
                <w:color w:val="0D0D0D" w:themeColor="text1" w:themeTint="F2"/>
                <w:spacing w:val="-4"/>
              </w:rPr>
              <w:t>nější dluh se na celkové zadluženosti státu podílel 14,7 %, nejméně</w:t>
            </w:r>
            <w:r w:rsidR="008C7569" w:rsidRPr="009110F7">
              <w:rPr>
                <w:color w:val="0D0D0D" w:themeColor="text1" w:themeTint="F2"/>
                <w:spacing w:val="-4"/>
              </w:rPr>
              <w:t xml:space="preserve"> za posledních deset let</w:t>
            </w:r>
            <w:r w:rsidRPr="009110F7">
              <w:rPr>
                <w:color w:val="0D0D0D" w:themeColor="text1" w:themeTint="F2"/>
                <w:spacing w:val="-4"/>
              </w:rPr>
              <w:t xml:space="preserve">. Měnila se </w:t>
            </w:r>
            <w:r w:rsidR="00716F48" w:rsidRPr="009110F7">
              <w:rPr>
                <w:color w:val="0D0D0D" w:themeColor="text1" w:themeTint="F2"/>
                <w:spacing w:val="-4"/>
              </w:rPr>
              <w:t>i </w:t>
            </w:r>
            <w:r w:rsidRPr="009110F7">
              <w:rPr>
                <w:color w:val="0D0D0D" w:themeColor="text1" w:themeTint="F2"/>
                <w:spacing w:val="-4"/>
              </w:rPr>
              <w:t xml:space="preserve">skladba dluhu dle jeho držitelů. </w:t>
            </w:r>
            <w:r w:rsidR="00716F48" w:rsidRPr="009110F7">
              <w:rPr>
                <w:color w:val="0D0D0D" w:themeColor="text1" w:themeTint="F2"/>
                <w:spacing w:val="-4"/>
              </w:rPr>
              <w:t>V </w:t>
            </w:r>
            <w:r w:rsidRPr="009110F7">
              <w:rPr>
                <w:color w:val="0D0D0D" w:themeColor="text1" w:themeTint="F2"/>
                <w:spacing w:val="-4"/>
              </w:rPr>
              <w:t>souvislosti s odlivem spekulativního kapitálu výrazně klesl podíl korunových dluhopisů v držbě nerezidentů (z</w:t>
            </w:r>
            <w:r w:rsidRPr="009110F7">
              <w:rPr>
                <w:rFonts w:cs="Arial"/>
                <w:color w:val="0D0D0D" w:themeColor="text1" w:themeTint="F2"/>
                <w:spacing w:val="-4"/>
              </w:rPr>
              <w:t> </w:t>
            </w:r>
            <w:r w:rsidRPr="009110F7">
              <w:rPr>
                <w:color w:val="0D0D0D" w:themeColor="text1" w:themeTint="F2"/>
                <w:spacing w:val="-4"/>
              </w:rPr>
              <w:t>51,4 % na konci 3</w:t>
            </w:r>
            <w:r w:rsidR="00716F48" w:rsidRPr="009110F7">
              <w:rPr>
                <w:color w:val="0D0D0D" w:themeColor="text1" w:themeTint="F2"/>
                <w:spacing w:val="-4"/>
              </w:rPr>
              <w:t>. čtvrt</w:t>
            </w:r>
            <w:r w:rsidRPr="009110F7">
              <w:rPr>
                <w:color w:val="0D0D0D" w:themeColor="text1" w:themeTint="F2"/>
                <w:spacing w:val="-4"/>
              </w:rPr>
              <w:t>letí 2017 na 35,5</w:t>
            </w:r>
            <w:r w:rsidR="00167CB9" w:rsidRPr="009110F7">
              <w:rPr>
                <w:color w:val="0D0D0D" w:themeColor="text1" w:themeTint="F2"/>
                <w:spacing w:val="-4"/>
              </w:rPr>
              <w:t> %</w:t>
            </w:r>
            <w:r w:rsidRPr="009110F7">
              <w:rPr>
                <w:color w:val="0D0D0D" w:themeColor="text1" w:themeTint="F2"/>
                <w:spacing w:val="-4"/>
              </w:rPr>
              <w:t xml:space="preserve"> </w:t>
            </w:r>
            <w:r w:rsidR="00716F48" w:rsidRPr="009110F7">
              <w:rPr>
                <w:color w:val="0D0D0D" w:themeColor="text1" w:themeTint="F2"/>
                <w:spacing w:val="-4"/>
              </w:rPr>
              <w:t>o </w:t>
            </w:r>
            <w:r w:rsidRPr="009110F7">
              <w:rPr>
                <w:color w:val="0D0D0D" w:themeColor="text1" w:themeTint="F2"/>
                <w:spacing w:val="-4"/>
              </w:rPr>
              <w:t xml:space="preserve">půl roku později) </w:t>
            </w:r>
            <w:r w:rsidR="00716F48" w:rsidRPr="009110F7">
              <w:rPr>
                <w:color w:val="0D0D0D" w:themeColor="text1" w:themeTint="F2"/>
                <w:spacing w:val="-4"/>
              </w:rPr>
              <w:t>a </w:t>
            </w:r>
            <w:r w:rsidRPr="009110F7">
              <w:rPr>
                <w:color w:val="0D0D0D" w:themeColor="text1" w:themeTint="F2"/>
                <w:spacing w:val="-4"/>
              </w:rPr>
              <w:t xml:space="preserve">přiblížil se úrovni </w:t>
            </w:r>
            <w:r w:rsidR="00716F48" w:rsidRPr="009110F7">
              <w:rPr>
                <w:color w:val="0D0D0D" w:themeColor="text1" w:themeTint="F2"/>
                <w:spacing w:val="-4"/>
              </w:rPr>
              <w:t>z </w:t>
            </w:r>
            <w:r w:rsidRPr="009110F7">
              <w:rPr>
                <w:color w:val="0D0D0D" w:themeColor="text1" w:themeTint="F2"/>
                <w:spacing w:val="-4"/>
              </w:rPr>
              <w:t xml:space="preserve">druhé poloviny roku 2016. </w:t>
            </w:r>
          </w:p>
        </w:tc>
      </w:tr>
      <w:tr w:rsidR="00965797" w:rsidRPr="009110F7" w:rsidTr="00676D76">
        <w:trPr>
          <w:trHeight w:val="145"/>
        </w:trPr>
        <w:tc>
          <w:tcPr>
            <w:tcW w:w="1870" w:type="dxa"/>
            <w:shd w:val="clear" w:color="auto" w:fill="auto"/>
            <w:tcMar>
              <w:left w:w="0" w:type="dxa"/>
            </w:tcMar>
          </w:tcPr>
          <w:p w:rsidR="00965797" w:rsidRPr="009110F7" w:rsidRDefault="00965797" w:rsidP="00965797">
            <w:pPr>
              <w:pStyle w:val="Marginlie"/>
            </w:pPr>
          </w:p>
        </w:tc>
        <w:tc>
          <w:tcPr>
            <w:tcW w:w="245" w:type="dxa"/>
            <w:shd w:val="clear" w:color="auto" w:fill="auto"/>
            <w:tcMar>
              <w:left w:w="0" w:type="dxa"/>
            </w:tcMar>
          </w:tcPr>
          <w:p w:rsidR="00965797" w:rsidRPr="009110F7" w:rsidRDefault="00965797" w:rsidP="00965797">
            <w:pPr>
              <w:pStyle w:val="Textpoznpodarou"/>
              <w:jc w:val="both"/>
              <w:rPr>
                <w:spacing w:val="-4"/>
              </w:rPr>
            </w:pPr>
          </w:p>
        </w:tc>
        <w:tc>
          <w:tcPr>
            <w:tcW w:w="7524" w:type="dxa"/>
            <w:shd w:val="clear" w:color="auto" w:fill="auto"/>
            <w:tcMar>
              <w:left w:w="0" w:type="dxa"/>
            </w:tcMar>
          </w:tcPr>
          <w:p w:rsidR="00167CB9" w:rsidRPr="009110F7" w:rsidRDefault="00B8561A" w:rsidP="00965797">
            <w:pPr>
              <w:spacing w:after="0" w:line="240" w:lineRule="auto"/>
              <w:rPr>
                <w:rFonts w:cs="Arial"/>
                <w:bCs/>
              </w:rPr>
            </w:pPr>
            <w:r>
              <w:rPr>
                <w:b/>
                <w:szCs w:val="20"/>
              </w:rPr>
              <w:t>Graf </w:t>
            </w:r>
            <w:r w:rsidR="00167CB9" w:rsidRPr="009110F7">
              <w:rPr>
                <w:b/>
                <w:szCs w:val="20"/>
              </w:rPr>
              <w:t>č. </w:t>
            </w:r>
            <w:r w:rsidR="00965797" w:rsidRPr="009110F7">
              <w:rPr>
                <w:b/>
                <w:szCs w:val="20"/>
              </w:rPr>
              <w:t>21</w:t>
            </w:r>
            <w:r w:rsidR="00676D76">
              <w:rPr>
                <w:b/>
              </w:rPr>
              <w:t xml:space="preserve">  S</w:t>
            </w:r>
            <w:r w:rsidR="00965797" w:rsidRPr="009110F7">
              <w:rPr>
                <w:rFonts w:cs="Arial"/>
                <w:b/>
                <w:bCs/>
              </w:rPr>
              <w:t>truktura státního dluh</w:t>
            </w:r>
            <w:r w:rsidR="006A7691">
              <w:rPr>
                <w:rFonts w:cs="Arial"/>
                <w:b/>
                <w:bCs/>
              </w:rPr>
              <w:t>u</w:t>
            </w:r>
            <w:r w:rsidR="00965797" w:rsidRPr="009110F7">
              <w:rPr>
                <w:rFonts w:cs="Arial"/>
                <w:b/>
                <w:bCs/>
              </w:rPr>
              <w:t xml:space="preserve"> ČR </w:t>
            </w:r>
            <w:r w:rsidR="00965797" w:rsidRPr="009110F7">
              <w:rPr>
                <w:rFonts w:cs="Arial"/>
                <w:bCs/>
              </w:rPr>
              <w:t>(stav na konci čtvrtletí, v</w:t>
            </w:r>
            <w:r w:rsidR="00167CB9" w:rsidRPr="009110F7">
              <w:rPr>
                <w:rFonts w:cs="Arial"/>
                <w:bCs/>
              </w:rPr>
              <w:t> mld.</w:t>
            </w:r>
            <w:r w:rsidR="00965797" w:rsidRPr="009110F7">
              <w:rPr>
                <w:rFonts w:cs="Arial"/>
                <w:bCs/>
              </w:rPr>
              <w:t xml:space="preserve"> korun)</w:t>
            </w:r>
          </w:p>
          <w:p w:rsidR="00965797" w:rsidRPr="009110F7" w:rsidRDefault="00716F48" w:rsidP="00965797">
            <w:pPr>
              <w:spacing w:after="0" w:line="240" w:lineRule="auto"/>
              <w:rPr>
                <w:szCs w:val="20"/>
              </w:rPr>
            </w:pPr>
            <w:r w:rsidRPr="009110F7">
              <w:rPr>
                <w:rFonts w:cs="Arial"/>
                <w:b/>
                <w:bCs/>
              </w:rPr>
              <w:t>a </w:t>
            </w:r>
            <w:r w:rsidR="00965797" w:rsidRPr="009110F7">
              <w:rPr>
                <w:rFonts w:cs="Arial"/>
                <w:b/>
                <w:bCs/>
              </w:rPr>
              <w:t xml:space="preserve">podíl korunových dluhopisů v držbě nerezidentů </w:t>
            </w:r>
            <w:r w:rsidR="00965797" w:rsidRPr="009110F7">
              <w:rPr>
                <w:rFonts w:cs="Arial"/>
                <w:bCs/>
              </w:rPr>
              <w:t>(v</w:t>
            </w:r>
            <w:r w:rsidR="00167CB9" w:rsidRPr="009110F7">
              <w:rPr>
                <w:rFonts w:cs="Arial"/>
                <w:bCs/>
              </w:rPr>
              <w:t> %</w:t>
            </w:r>
            <w:r w:rsidR="00965797" w:rsidRPr="009110F7">
              <w:rPr>
                <w:rFonts w:cs="Arial"/>
                <w:bCs/>
              </w:rPr>
              <w:t>, pravá osa)</w:t>
            </w:r>
          </w:p>
        </w:tc>
      </w:tr>
      <w:tr w:rsidR="00965797" w:rsidRPr="009110F7" w:rsidTr="00676D76">
        <w:trPr>
          <w:trHeight w:val="145"/>
        </w:trPr>
        <w:tc>
          <w:tcPr>
            <w:tcW w:w="1870" w:type="dxa"/>
            <w:shd w:val="clear" w:color="auto" w:fill="auto"/>
            <w:tcMar>
              <w:left w:w="0" w:type="dxa"/>
            </w:tcMar>
          </w:tcPr>
          <w:p w:rsidR="00965797" w:rsidRPr="009110F7" w:rsidRDefault="00965797" w:rsidP="00965797">
            <w:pPr>
              <w:pStyle w:val="Marginlie"/>
            </w:pPr>
          </w:p>
        </w:tc>
        <w:tc>
          <w:tcPr>
            <w:tcW w:w="245" w:type="dxa"/>
            <w:shd w:val="clear" w:color="auto" w:fill="auto"/>
            <w:tcMar>
              <w:left w:w="0" w:type="dxa"/>
            </w:tcMar>
          </w:tcPr>
          <w:p w:rsidR="00965797" w:rsidRPr="009110F7" w:rsidRDefault="00965797" w:rsidP="00965797">
            <w:pPr>
              <w:pStyle w:val="Textpoznpodarou"/>
              <w:jc w:val="both"/>
              <w:rPr>
                <w:spacing w:val="-4"/>
              </w:rPr>
            </w:pPr>
          </w:p>
        </w:tc>
        <w:tc>
          <w:tcPr>
            <w:tcW w:w="7524" w:type="dxa"/>
            <w:shd w:val="clear" w:color="auto" w:fill="auto"/>
            <w:tcMar>
              <w:left w:w="0" w:type="dxa"/>
            </w:tcMar>
          </w:tcPr>
          <w:p w:rsidR="00965797" w:rsidRPr="009110F7" w:rsidRDefault="00965797" w:rsidP="00965797">
            <w:pPr>
              <w:spacing w:after="0" w:line="240" w:lineRule="auto"/>
              <w:rPr>
                <w:sz w:val="14"/>
                <w:szCs w:val="14"/>
              </w:rPr>
            </w:pPr>
            <w:r w:rsidRPr="009110F7">
              <w:rPr>
                <w:noProof/>
                <w:sz w:val="14"/>
                <w:szCs w:val="14"/>
              </w:rPr>
              <w:drawing>
                <wp:inline distT="0" distB="0" distL="0" distR="0">
                  <wp:extent cx="4762513" cy="3528000"/>
                  <wp:effectExtent l="0" t="0" r="0" b="0"/>
                  <wp:docPr id="1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965797" w:rsidRPr="009110F7" w:rsidTr="00676D76">
        <w:trPr>
          <w:trHeight w:val="145"/>
        </w:trPr>
        <w:tc>
          <w:tcPr>
            <w:tcW w:w="1870" w:type="dxa"/>
            <w:shd w:val="clear" w:color="auto" w:fill="auto"/>
            <w:tcMar>
              <w:left w:w="0" w:type="dxa"/>
            </w:tcMar>
          </w:tcPr>
          <w:p w:rsidR="00965797" w:rsidRPr="009110F7" w:rsidRDefault="00965797" w:rsidP="00965797">
            <w:pPr>
              <w:pStyle w:val="Marginlie"/>
            </w:pPr>
          </w:p>
        </w:tc>
        <w:tc>
          <w:tcPr>
            <w:tcW w:w="245" w:type="dxa"/>
            <w:shd w:val="clear" w:color="auto" w:fill="auto"/>
            <w:tcMar>
              <w:left w:w="0" w:type="dxa"/>
            </w:tcMar>
          </w:tcPr>
          <w:p w:rsidR="00965797" w:rsidRPr="009110F7" w:rsidRDefault="00965797" w:rsidP="00965797">
            <w:pPr>
              <w:pStyle w:val="Textpoznpodarou"/>
              <w:jc w:val="both"/>
              <w:rPr>
                <w:spacing w:val="-4"/>
              </w:rPr>
            </w:pPr>
          </w:p>
        </w:tc>
        <w:tc>
          <w:tcPr>
            <w:tcW w:w="7524" w:type="dxa"/>
            <w:shd w:val="clear" w:color="auto" w:fill="auto"/>
            <w:tcMar>
              <w:left w:w="0" w:type="dxa"/>
            </w:tcMar>
          </w:tcPr>
          <w:p w:rsidR="00965797" w:rsidRPr="009110F7" w:rsidRDefault="00965797" w:rsidP="00965797">
            <w:pPr>
              <w:rPr>
                <w:sz w:val="14"/>
                <w:szCs w:val="14"/>
              </w:rPr>
            </w:pPr>
            <w:r w:rsidRPr="009110F7">
              <w:rPr>
                <w:sz w:val="14"/>
                <w:szCs w:val="14"/>
              </w:rPr>
              <w:t>Zdroj: MF</w:t>
            </w:r>
            <w:r w:rsidR="00CE62FA">
              <w:rPr>
                <w:sz w:val="14"/>
                <w:szCs w:val="14"/>
              </w:rPr>
              <w:t> Č</w:t>
            </w:r>
            <w:r w:rsidRPr="009110F7">
              <w:rPr>
                <w:sz w:val="14"/>
                <w:szCs w:val="14"/>
              </w:rPr>
              <w:t>R</w:t>
            </w:r>
          </w:p>
        </w:tc>
      </w:tr>
      <w:tr w:rsidR="0093033E" w:rsidRPr="009110F7" w:rsidTr="00676D76">
        <w:trPr>
          <w:trHeight w:val="145"/>
        </w:trPr>
        <w:tc>
          <w:tcPr>
            <w:tcW w:w="1870" w:type="dxa"/>
            <w:shd w:val="clear" w:color="auto" w:fill="auto"/>
            <w:tcMar>
              <w:left w:w="0" w:type="dxa"/>
            </w:tcMar>
          </w:tcPr>
          <w:p w:rsidR="0093033E" w:rsidRPr="009110F7" w:rsidRDefault="0093033E" w:rsidP="00161553">
            <w:pPr>
              <w:pStyle w:val="Marginlie"/>
              <w:rPr>
                <w:color w:val="0D0D0D" w:themeColor="text1" w:themeTint="F2"/>
              </w:rPr>
            </w:pPr>
            <w:r w:rsidRPr="009110F7">
              <w:rPr>
                <w:color w:val="0D0D0D" w:themeColor="text1" w:themeTint="F2"/>
              </w:rPr>
              <w:t>Relativní dluh sektoru vládních institucí klesal v Česku loni rychleji než v EU. Absolutní výše dluhu se však zmírnila jen minimálně.</w:t>
            </w:r>
          </w:p>
        </w:tc>
        <w:tc>
          <w:tcPr>
            <w:tcW w:w="245" w:type="dxa"/>
            <w:shd w:val="clear" w:color="auto" w:fill="auto"/>
            <w:tcMar>
              <w:left w:w="0" w:type="dxa"/>
            </w:tcMar>
          </w:tcPr>
          <w:p w:rsidR="0093033E" w:rsidRPr="009110F7" w:rsidRDefault="0093033E" w:rsidP="00161553">
            <w:pPr>
              <w:pStyle w:val="Textpoznpodarou"/>
              <w:jc w:val="both"/>
              <w:rPr>
                <w:spacing w:val="-4"/>
              </w:rPr>
            </w:pPr>
          </w:p>
        </w:tc>
        <w:tc>
          <w:tcPr>
            <w:tcW w:w="7524" w:type="dxa"/>
            <w:shd w:val="clear" w:color="auto" w:fill="auto"/>
            <w:tcMar>
              <w:left w:w="0" w:type="dxa"/>
            </w:tcMar>
          </w:tcPr>
          <w:p w:rsidR="0093033E" w:rsidRPr="009110F7" w:rsidRDefault="0093033E" w:rsidP="00CE62FA">
            <w:pPr>
              <w:spacing w:after="220"/>
              <w:rPr>
                <w:color w:val="0D0D0D" w:themeColor="text1" w:themeTint="F2"/>
                <w:szCs w:val="20"/>
              </w:rPr>
            </w:pPr>
            <w:r w:rsidRPr="009110F7">
              <w:rPr>
                <w:color w:val="0D0D0D" w:themeColor="text1" w:themeTint="F2"/>
                <w:szCs w:val="20"/>
              </w:rPr>
              <w:t xml:space="preserve">Dluh sektoru vládních institucí (zohledňující </w:t>
            </w:r>
            <w:r w:rsidR="00716F48" w:rsidRPr="009110F7">
              <w:rPr>
                <w:color w:val="0D0D0D" w:themeColor="text1" w:themeTint="F2"/>
                <w:szCs w:val="20"/>
              </w:rPr>
              <w:t>i </w:t>
            </w:r>
            <w:r w:rsidRPr="009110F7">
              <w:rPr>
                <w:color w:val="0D0D0D" w:themeColor="text1" w:themeTint="F2"/>
                <w:szCs w:val="20"/>
              </w:rPr>
              <w:t>hospodaření územně správních celků či zdravotních pojišťoven) dosáhl dle aktuálních dat ČSÚ na konci 4</w:t>
            </w:r>
            <w:r w:rsidR="00716F48" w:rsidRPr="009110F7">
              <w:rPr>
                <w:color w:val="0D0D0D" w:themeColor="text1" w:themeTint="F2"/>
                <w:szCs w:val="20"/>
              </w:rPr>
              <w:t>. čtvrt</w:t>
            </w:r>
            <w:r w:rsidRPr="009110F7">
              <w:rPr>
                <w:color w:val="0D0D0D" w:themeColor="text1" w:themeTint="F2"/>
                <w:szCs w:val="20"/>
              </w:rPr>
              <w:t>letí 2017</w:t>
            </w:r>
            <w:r w:rsidRPr="009110F7">
              <w:rPr>
                <w:rStyle w:val="Znakapoznpodarou"/>
                <w:color w:val="0D0D0D" w:themeColor="text1" w:themeTint="F2"/>
                <w:szCs w:val="20"/>
              </w:rPr>
              <w:footnoteReference w:id="48"/>
            </w:r>
            <w:r w:rsidRPr="009110F7">
              <w:rPr>
                <w:color w:val="0D0D0D" w:themeColor="text1" w:themeTint="F2"/>
                <w:szCs w:val="20"/>
              </w:rPr>
              <w:t xml:space="preserve"> výše </w:t>
            </w:r>
            <w:r w:rsidR="00167CB9" w:rsidRPr="009110F7">
              <w:rPr>
                <w:color w:val="0D0D0D" w:themeColor="text1" w:themeTint="F2"/>
                <w:szCs w:val="20"/>
              </w:rPr>
              <w:t>1 </w:t>
            </w:r>
            <w:r w:rsidRPr="009110F7">
              <w:rPr>
                <w:color w:val="0D0D0D" w:themeColor="text1" w:themeTint="F2"/>
                <w:szCs w:val="20"/>
              </w:rPr>
              <w:t>749</w:t>
            </w:r>
            <w:r w:rsidR="00167CB9" w:rsidRPr="009110F7">
              <w:rPr>
                <w:color w:val="0D0D0D" w:themeColor="text1" w:themeTint="F2"/>
                <w:szCs w:val="20"/>
              </w:rPr>
              <w:t> mld.</w:t>
            </w:r>
            <w:r w:rsidRPr="009110F7">
              <w:rPr>
                <w:color w:val="0D0D0D" w:themeColor="text1" w:themeTint="F2"/>
                <w:szCs w:val="20"/>
              </w:rPr>
              <w:t xml:space="preserve"> korun </w:t>
            </w:r>
            <w:r w:rsidR="00716F48" w:rsidRPr="009110F7">
              <w:rPr>
                <w:color w:val="0D0D0D" w:themeColor="text1" w:themeTint="F2"/>
                <w:szCs w:val="20"/>
              </w:rPr>
              <w:t>a </w:t>
            </w:r>
            <w:r w:rsidRPr="009110F7">
              <w:rPr>
                <w:color w:val="0D0D0D" w:themeColor="text1" w:themeTint="F2"/>
                <w:szCs w:val="20"/>
              </w:rPr>
              <w:t>ve vztahu k HDP činil 34,6</w:t>
            </w:r>
            <w:r w:rsidR="00167CB9" w:rsidRPr="009110F7">
              <w:rPr>
                <w:color w:val="0D0D0D" w:themeColor="text1" w:themeTint="F2"/>
                <w:szCs w:val="20"/>
              </w:rPr>
              <w:t> %</w:t>
            </w:r>
            <w:r w:rsidRPr="009110F7">
              <w:rPr>
                <w:color w:val="0D0D0D" w:themeColor="text1" w:themeTint="F2"/>
                <w:szCs w:val="20"/>
              </w:rPr>
              <w:t>.</w:t>
            </w:r>
            <w:r w:rsidR="00D31E1E" w:rsidRPr="009110F7">
              <w:rPr>
                <w:color w:val="0D0D0D" w:themeColor="text1" w:themeTint="F2"/>
                <w:szCs w:val="20"/>
              </w:rPr>
              <w:t xml:space="preserve"> </w:t>
            </w:r>
            <w:r w:rsidR="00716F48" w:rsidRPr="009110F7">
              <w:rPr>
                <w:color w:val="0D0D0D" w:themeColor="text1" w:themeTint="F2"/>
                <w:szCs w:val="20"/>
              </w:rPr>
              <w:t>O </w:t>
            </w:r>
            <w:r w:rsidR="00D31E1E" w:rsidRPr="009110F7">
              <w:rPr>
                <w:color w:val="0D0D0D" w:themeColor="text1" w:themeTint="F2"/>
                <w:szCs w:val="20"/>
              </w:rPr>
              <w:t>meziroční</w:t>
            </w:r>
            <w:r w:rsidRPr="009110F7">
              <w:rPr>
                <w:color w:val="0D0D0D" w:themeColor="text1" w:themeTint="F2"/>
                <w:szCs w:val="20"/>
              </w:rPr>
              <w:t xml:space="preserve"> snížení relativní zadluženosti (</w:t>
            </w:r>
            <w:r w:rsidR="00716F48" w:rsidRPr="009110F7">
              <w:rPr>
                <w:color w:val="0D0D0D" w:themeColor="text1" w:themeTint="F2"/>
                <w:szCs w:val="20"/>
              </w:rPr>
              <w:t>o </w:t>
            </w:r>
            <w:r w:rsidRPr="009110F7">
              <w:rPr>
                <w:color w:val="0D0D0D" w:themeColor="text1" w:themeTint="F2"/>
                <w:szCs w:val="20"/>
              </w:rPr>
              <w:t>2,2</w:t>
            </w:r>
            <w:r w:rsidR="00167CB9" w:rsidRPr="009110F7">
              <w:rPr>
                <w:color w:val="0D0D0D" w:themeColor="text1" w:themeTint="F2"/>
                <w:szCs w:val="20"/>
              </w:rPr>
              <w:t> p.</w:t>
            </w:r>
            <w:r w:rsidR="00451EF1">
              <w:rPr>
                <w:color w:val="0D0D0D" w:themeColor="text1" w:themeTint="F2"/>
                <w:szCs w:val="20"/>
              </w:rPr>
              <w:t> </w:t>
            </w:r>
            <w:proofErr w:type="spellStart"/>
            <w:r w:rsidRPr="009110F7">
              <w:rPr>
                <w:color w:val="0D0D0D" w:themeColor="text1" w:themeTint="F2"/>
                <w:szCs w:val="20"/>
              </w:rPr>
              <w:t>b</w:t>
            </w:r>
            <w:proofErr w:type="spellEnd"/>
            <w:r w:rsidRPr="009110F7">
              <w:rPr>
                <w:color w:val="0D0D0D" w:themeColor="text1" w:themeTint="F2"/>
                <w:szCs w:val="20"/>
              </w:rPr>
              <w:t xml:space="preserve">.) se téměř výhradně zasloužil svižný růst HDP, neboť absolutní výše dluhu poklesla jen </w:t>
            </w:r>
            <w:r w:rsidR="00716F48" w:rsidRPr="009110F7">
              <w:rPr>
                <w:color w:val="0D0D0D" w:themeColor="text1" w:themeTint="F2"/>
                <w:szCs w:val="20"/>
              </w:rPr>
              <w:t>o </w:t>
            </w:r>
            <w:r w:rsidRPr="009110F7">
              <w:rPr>
                <w:color w:val="0D0D0D" w:themeColor="text1" w:themeTint="F2"/>
                <w:szCs w:val="20"/>
              </w:rPr>
              <w:t>5,7</w:t>
            </w:r>
            <w:r w:rsidR="00167CB9" w:rsidRPr="009110F7">
              <w:rPr>
                <w:color w:val="0D0D0D" w:themeColor="text1" w:themeTint="F2"/>
                <w:szCs w:val="20"/>
              </w:rPr>
              <w:t> mld.</w:t>
            </w:r>
            <w:r w:rsidRPr="009110F7">
              <w:rPr>
                <w:color w:val="0D0D0D" w:themeColor="text1" w:themeTint="F2"/>
                <w:szCs w:val="20"/>
              </w:rPr>
              <w:t xml:space="preserve"> korun. Na konci roku 2017 držela ČR pozici čtvrté nejméně zadlužené země EU. Lépe na tom byly jen Estonsko (9 </w:t>
            </w:r>
            <w:r w:rsidR="00D31E1E" w:rsidRPr="009110F7">
              <w:rPr>
                <w:color w:val="0D0D0D" w:themeColor="text1" w:themeTint="F2"/>
                <w:szCs w:val="20"/>
              </w:rPr>
              <w:t>%)</w:t>
            </w:r>
            <w:r w:rsidRPr="009110F7">
              <w:rPr>
                <w:color w:val="0D0D0D" w:themeColor="text1" w:themeTint="F2"/>
                <w:szCs w:val="20"/>
              </w:rPr>
              <w:t>, Lucembursko (23</w:t>
            </w:r>
            <w:r w:rsidR="00167CB9" w:rsidRPr="009110F7">
              <w:rPr>
                <w:color w:val="0D0D0D" w:themeColor="text1" w:themeTint="F2"/>
                <w:szCs w:val="20"/>
              </w:rPr>
              <w:t> %</w:t>
            </w:r>
            <w:r w:rsidRPr="009110F7">
              <w:rPr>
                <w:color w:val="0D0D0D" w:themeColor="text1" w:themeTint="F2"/>
                <w:szCs w:val="20"/>
              </w:rPr>
              <w:t xml:space="preserve">) </w:t>
            </w:r>
            <w:r w:rsidR="00716F48" w:rsidRPr="009110F7">
              <w:rPr>
                <w:color w:val="0D0D0D" w:themeColor="text1" w:themeTint="F2"/>
                <w:szCs w:val="20"/>
              </w:rPr>
              <w:t>a </w:t>
            </w:r>
            <w:r w:rsidRPr="009110F7">
              <w:rPr>
                <w:color w:val="0D0D0D" w:themeColor="text1" w:themeTint="F2"/>
                <w:szCs w:val="20"/>
              </w:rPr>
              <w:t>Bulharsko (25</w:t>
            </w:r>
            <w:r w:rsidR="00167CB9" w:rsidRPr="009110F7">
              <w:rPr>
                <w:color w:val="0D0D0D" w:themeColor="text1" w:themeTint="F2"/>
                <w:szCs w:val="20"/>
              </w:rPr>
              <w:t> %</w:t>
            </w:r>
            <w:r w:rsidRPr="009110F7">
              <w:rPr>
                <w:color w:val="0D0D0D" w:themeColor="text1" w:themeTint="F2"/>
                <w:szCs w:val="20"/>
              </w:rPr>
              <w:t>).</w:t>
            </w:r>
            <w:r w:rsidR="00D31E1E" w:rsidRPr="009110F7">
              <w:rPr>
                <w:color w:val="0D0D0D" w:themeColor="text1" w:themeTint="F2"/>
                <w:szCs w:val="20"/>
              </w:rPr>
              <w:t xml:space="preserve"> Zatímco během let</w:t>
            </w:r>
            <w:r w:rsidRPr="009110F7">
              <w:rPr>
                <w:color w:val="0D0D0D" w:themeColor="text1" w:themeTint="F2"/>
                <w:szCs w:val="20"/>
              </w:rPr>
              <w:t xml:space="preserve"> 2015 </w:t>
            </w:r>
            <w:r w:rsidR="00D31E1E" w:rsidRPr="009110F7">
              <w:rPr>
                <w:color w:val="0D0D0D" w:themeColor="text1" w:themeTint="F2"/>
                <w:szCs w:val="20"/>
              </w:rPr>
              <w:t>č</w:t>
            </w:r>
            <w:r w:rsidRPr="009110F7">
              <w:rPr>
                <w:color w:val="0D0D0D" w:themeColor="text1" w:themeTint="F2"/>
                <w:szCs w:val="20"/>
              </w:rPr>
              <w:t>i</w:t>
            </w:r>
            <w:r w:rsidR="00D31E1E" w:rsidRPr="009110F7">
              <w:rPr>
                <w:color w:val="0D0D0D" w:themeColor="text1" w:themeTint="F2"/>
                <w:spacing w:val="-4"/>
              </w:rPr>
              <w:t xml:space="preserve"> </w:t>
            </w:r>
            <w:r w:rsidRPr="009110F7">
              <w:rPr>
                <w:color w:val="0D0D0D" w:themeColor="text1" w:themeTint="F2"/>
                <w:szCs w:val="20"/>
              </w:rPr>
              <w:t>2016 zredukovaly svou relat</w:t>
            </w:r>
            <w:r w:rsidR="00D31E1E" w:rsidRPr="009110F7">
              <w:rPr>
                <w:color w:val="0D0D0D" w:themeColor="text1" w:themeTint="F2"/>
                <w:szCs w:val="20"/>
              </w:rPr>
              <w:t>ivní zadluženost jen</w:t>
            </w:r>
            <w:r w:rsidRPr="009110F7">
              <w:rPr>
                <w:color w:val="0D0D0D" w:themeColor="text1" w:themeTint="F2"/>
                <w:szCs w:val="20"/>
              </w:rPr>
              <w:t xml:space="preserve"> dvě třetiny států Unie, vloni se podobné nep</w:t>
            </w:r>
            <w:r w:rsidR="00D31E1E" w:rsidRPr="009110F7">
              <w:rPr>
                <w:color w:val="0D0D0D" w:themeColor="text1" w:themeTint="F2"/>
                <w:szCs w:val="20"/>
              </w:rPr>
              <w:t>ovedlo již pouze</w:t>
            </w:r>
            <w:r w:rsidRPr="009110F7">
              <w:rPr>
                <w:color w:val="0D0D0D" w:themeColor="text1" w:themeTint="F2"/>
                <w:szCs w:val="20"/>
              </w:rPr>
              <w:t xml:space="preserve"> Francii </w:t>
            </w:r>
            <w:r w:rsidR="00716F48" w:rsidRPr="009110F7">
              <w:rPr>
                <w:color w:val="0D0D0D" w:themeColor="text1" w:themeTint="F2"/>
                <w:szCs w:val="20"/>
              </w:rPr>
              <w:t>a </w:t>
            </w:r>
            <w:r w:rsidRPr="009110F7">
              <w:rPr>
                <w:color w:val="0D0D0D" w:themeColor="text1" w:themeTint="F2"/>
                <w:szCs w:val="20"/>
              </w:rPr>
              <w:t xml:space="preserve">Lucembursku. </w:t>
            </w:r>
            <w:r w:rsidR="00716F48" w:rsidRPr="009110F7">
              <w:rPr>
                <w:color w:val="0D0D0D" w:themeColor="text1" w:themeTint="F2"/>
                <w:szCs w:val="20"/>
              </w:rPr>
              <w:t>I </w:t>
            </w:r>
            <w:r w:rsidRPr="009110F7">
              <w:rPr>
                <w:color w:val="0D0D0D" w:themeColor="text1" w:themeTint="F2"/>
                <w:szCs w:val="20"/>
              </w:rPr>
              <w:t>přesto tempo poklesu zadluženosti v EU nezrychlovalo (na konci roku 2017 byl dluh 81,6</w:t>
            </w:r>
            <w:r w:rsidR="00167CB9" w:rsidRPr="009110F7">
              <w:rPr>
                <w:color w:val="0D0D0D" w:themeColor="text1" w:themeTint="F2"/>
                <w:szCs w:val="20"/>
              </w:rPr>
              <w:t> %</w:t>
            </w:r>
            <w:r w:rsidRPr="009110F7">
              <w:rPr>
                <w:color w:val="0D0D0D" w:themeColor="text1" w:themeTint="F2"/>
                <w:szCs w:val="20"/>
              </w:rPr>
              <w:t xml:space="preserve">, </w:t>
            </w:r>
            <w:r w:rsidR="00716F48" w:rsidRPr="009110F7">
              <w:rPr>
                <w:color w:val="0D0D0D" w:themeColor="text1" w:themeTint="F2"/>
                <w:szCs w:val="20"/>
              </w:rPr>
              <w:t>o </w:t>
            </w:r>
            <w:r w:rsidRPr="009110F7">
              <w:rPr>
                <w:color w:val="0D0D0D" w:themeColor="text1" w:themeTint="F2"/>
                <w:szCs w:val="20"/>
              </w:rPr>
              <w:t>rok dříve 83,3</w:t>
            </w:r>
            <w:r w:rsidR="00167CB9" w:rsidRPr="009110F7">
              <w:rPr>
                <w:color w:val="0D0D0D" w:themeColor="text1" w:themeTint="F2"/>
                <w:szCs w:val="20"/>
              </w:rPr>
              <w:t> %</w:t>
            </w:r>
            <w:r w:rsidRPr="009110F7">
              <w:rPr>
                <w:color w:val="0D0D0D" w:themeColor="text1" w:themeTint="F2"/>
                <w:szCs w:val="20"/>
              </w:rPr>
              <w:t xml:space="preserve">), neboť z nejvíce zasažených </w:t>
            </w:r>
            <w:r w:rsidR="00D31E1E" w:rsidRPr="009110F7">
              <w:rPr>
                <w:color w:val="0D0D0D" w:themeColor="text1" w:themeTint="F2"/>
                <w:szCs w:val="20"/>
              </w:rPr>
              <w:t>zemí snížily svůj dluh významněji jen Kypr a </w:t>
            </w:r>
            <w:r w:rsidRPr="009110F7">
              <w:rPr>
                <w:color w:val="0D0D0D" w:themeColor="text1" w:themeTint="F2"/>
                <w:szCs w:val="20"/>
              </w:rPr>
              <w:t xml:space="preserve">Portugalsko. Dostat se pod úroveň předkrizové zadluženosti (rok 2007) zvládla zatím jen Malta. Této úrovni se blížily Německo </w:t>
            </w:r>
            <w:r w:rsidR="00716F48" w:rsidRPr="009110F7">
              <w:rPr>
                <w:color w:val="0D0D0D" w:themeColor="text1" w:themeTint="F2"/>
                <w:szCs w:val="20"/>
              </w:rPr>
              <w:t>a </w:t>
            </w:r>
            <w:r w:rsidRPr="009110F7">
              <w:rPr>
                <w:color w:val="0D0D0D" w:themeColor="text1" w:themeTint="F2"/>
                <w:szCs w:val="20"/>
              </w:rPr>
              <w:t>Švédsko</w:t>
            </w:r>
            <w:r w:rsidR="0099182E" w:rsidRPr="009110F7">
              <w:rPr>
                <w:color w:val="0D0D0D" w:themeColor="text1" w:themeTint="F2"/>
                <w:szCs w:val="20"/>
              </w:rPr>
              <w:t>, Česko</w:t>
            </w:r>
            <w:r w:rsidR="00D31E1E" w:rsidRPr="009110F7">
              <w:rPr>
                <w:color w:val="0D0D0D" w:themeColor="text1" w:themeTint="F2"/>
                <w:szCs w:val="20"/>
              </w:rPr>
              <w:t xml:space="preserve"> za ní </w:t>
            </w:r>
            <w:r w:rsidR="00716F48" w:rsidRPr="009110F7">
              <w:rPr>
                <w:color w:val="0D0D0D" w:themeColor="text1" w:themeTint="F2"/>
                <w:szCs w:val="20"/>
              </w:rPr>
              <w:t>o </w:t>
            </w:r>
            <w:r w:rsidR="00D31E1E" w:rsidRPr="009110F7">
              <w:rPr>
                <w:color w:val="0D0D0D" w:themeColor="text1" w:themeTint="F2"/>
                <w:szCs w:val="20"/>
              </w:rPr>
              <w:t>7</w:t>
            </w:r>
            <w:r w:rsidR="00167CB9" w:rsidRPr="009110F7">
              <w:rPr>
                <w:color w:val="0D0D0D" w:themeColor="text1" w:themeTint="F2"/>
                <w:szCs w:val="20"/>
              </w:rPr>
              <w:t> p. </w:t>
            </w:r>
            <w:proofErr w:type="spellStart"/>
            <w:r w:rsidR="00167CB9" w:rsidRPr="009110F7">
              <w:rPr>
                <w:color w:val="0D0D0D" w:themeColor="text1" w:themeTint="F2"/>
                <w:szCs w:val="20"/>
              </w:rPr>
              <w:t>b</w:t>
            </w:r>
            <w:proofErr w:type="spellEnd"/>
            <w:r w:rsidR="00167CB9" w:rsidRPr="009110F7">
              <w:rPr>
                <w:color w:val="0D0D0D" w:themeColor="text1" w:themeTint="F2"/>
                <w:szCs w:val="20"/>
              </w:rPr>
              <w:t>.</w:t>
            </w:r>
            <w:r w:rsidR="0099182E" w:rsidRPr="009110F7">
              <w:rPr>
                <w:color w:val="0D0D0D" w:themeColor="text1" w:themeTint="F2"/>
                <w:szCs w:val="20"/>
              </w:rPr>
              <w:t xml:space="preserve"> za</w:t>
            </w:r>
            <w:r w:rsidR="00D31E1E" w:rsidRPr="009110F7">
              <w:rPr>
                <w:color w:val="0D0D0D" w:themeColor="text1" w:themeTint="F2"/>
                <w:szCs w:val="20"/>
              </w:rPr>
              <w:t>o</w:t>
            </w:r>
            <w:r w:rsidR="0099182E" w:rsidRPr="009110F7">
              <w:rPr>
                <w:color w:val="0D0D0D" w:themeColor="text1" w:themeTint="F2"/>
                <w:szCs w:val="20"/>
              </w:rPr>
              <w:t>stávalo</w:t>
            </w:r>
            <w:r w:rsidR="00D31E1E" w:rsidRPr="009110F7">
              <w:rPr>
                <w:color w:val="0D0D0D" w:themeColor="text1" w:themeTint="F2"/>
                <w:szCs w:val="20"/>
              </w:rPr>
              <w:t>.</w:t>
            </w:r>
          </w:p>
        </w:tc>
      </w:tr>
      <w:tr w:rsidR="0093033E" w:rsidRPr="009110F7" w:rsidTr="00676D76">
        <w:trPr>
          <w:trHeight w:val="145"/>
        </w:trPr>
        <w:tc>
          <w:tcPr>
            <w:tcW w:w="1870" w:type="dxa"/>
            <w:shd w:val="clear" w:color="auto" w:fill="auto"/>
            <w:tcMar>
              <w:left w:w="0" w:type="dxa"/>
            </w:tcMar>
          </w:tcPr>
          <w:p w:rsidR="0093033E" w:rsidRPr="009110F7" w:rsidRDefault="0093033E" w:rsidP="00161553">
            <w:pPr>
              <w:pStyle w:val="Marginlie"/>
              <w:rPr>
                <w:color w:val="0D0D0D" w:themeColor="text1" w:themeTint="F2"/>
              </w:rPr>
            </w:pPr>
            <w:r w:rsidRPr="009110F7">
              <w:rPr>
                <w:color w:val="0D0D0D" w:themeColor="text1" w:themeTint="F2"/>
              </w:rPr>
              <w:t>Sektor vládních institucí dosáhl loni již podruhé v řadě přebytku. Ten byl ve vztahu k HDP nejlepší v historii sledování.</w:t>
            </w:r>
          </w:p>
        </w:tc>
        <w:tc>
          <w:tcPr>
            <w:tcW w:w="245" w:type="dxa"/>
            <w:shd w:val="clear" w:color="auto" w:fill="auto"/>
            <w:tcMar>
              <w:left w:w="0" w:type="dxa"/>
            </w:tcMar>
          </w:tcPr>
          <w:p w:rsidR="0093033E" w:rsidRPr="009110F7" w:rsidRDefault="0093033E" w:rsidP="00161553">
            <w:pPr>
              <w:pStyle w:val="Textpoznpodarou"/>
              <w:jc w:val="both"/>
              <w:rPr>
                <w:color w:val="0D0D0D" w:themeColor="text1" w:themeTint="F2"/>
                <w:spacing w:val="-4"/>
              </w:rPr>
            </w:pPr>
          </w:p>
        </w:tc>
        <w:tc>
          <w:tcPr>
            <w:tcW w:w="7524" w:type="dxa"/>
            <w:shd w:val="clear" w:color="auto" w:fill="auto"/>
            <w:tcMar>
              <w:left w:w="0" w:type="dxa"/>
            </w:tcMar>
          </w:tcPr>
          <w:p w:rsidR="0093033E" w:rsidRPr="009110F7" w:rsidRDefault="0093033E" w:rsidP="00161553">
            <w:pPr>
              <w:spacing w:after="0"/>
              <w:rPr>
                <w:color w:val="0D0D0D" w:themeColor="text1" w:themeTint="F2"/>
                <w:szCs w:val="20"/>
              </w:rPr>
            </w:pPr>
            <w:r w:rsidRPr="009110F7">
              <w:rPr>
                <w:color w:val="0D0D0D" w:themeColor="text1" w:themeTint="F2"/>
                <w:szCs w:val="20"/>
              </w:rPr>
              <w:t>Sektor vládních institucí v ČR loni vykázal (v </w:t>
            </w:r>
            <w:proofErr w:type="spellStart"/>
            <w:r w:rsidRPr="009110F7">
              <w:rPr>
                <w:color w:val="0D0D0D" w:themeColor="text1" w:themeTint="F2"/>
                <w:szCs w:val="20"/>
              </w:rPr>
              <w:t>ak</w:t>
            </w:r>
            <w:r w:rsidR="004B756A">
              <w:rPr>
                <w:color w:val="0D0D0D" w:themeColor="text1" w:themeTint="F2"/>
                <w:szCs w:val="20"/>
              </w:rPr>
              <w:t>r</w:t>
            </w:r>
            <w:r w:rsidRPr="009110F7">
              <w:rPr>
                <w:color w:val="0D0D0D" w:themeColor="text1" w:themeTint="F2"/>
                <w:szCs w:val="20"/>
              </w:rPr>
              <w:t>ualizovaném</w:t>
            </w:r>
            <w:proofErr w:type="spellEnd"/>
            <w:r w:rsidRPr="009110F7">
              <w:rPr>
                <w:color w:val="0D0D0D" w:themeColor="text1" w:themeTint="F2"/>
                <w:szCs w:val="20"/>
              </w:rPr>
              <w:t xml:space="preserve"> vyjádření)</w:t>
            </w:r>
            <w:r w:rsidRPr="009110F7">
              <w:rPr>
                <w:rStyle w:val="Znakapoznpodarou"/>
                <w:color w:val="0D0D0D" w:themeColor="text1" w:themeTint="F2"/>
                <w:szCs w:val="20"/>
              </w:rPr>
              <w:footnoteReference w:id="49"/>
            </w:r>
            <w:r w:rsidRPr="009110F7">
              <w:rPr>
                <w:color w:val="0D0D0D" w:themeColor="text1" w:themeTint="F2"/>
                <w:szCs w:val="20"/>
              </w:rPr>
              <w:t xml:space="preserve"> přebytek 1,6</w:t>
            </w:r>
            <w:r w:rsidR="00167CB9" w:rsidRPr="009110F7">
              <w:rPr>
                <w:color w:val="0D0D0D" w:themeColor="text1" w:themeTint="F2"/>
                <w:szCs w:val="20"/>
              </w:rPr>
              <w:t> %</w:t>
            </w:r>
            <w:r w:rsidRPr="009110F7">
              <w:rPr>
                <w:color w:val="0D0D0D" w:themeColor="text1" w:themeTint="F2"/>
                <w:szCs w:val="20"/>
              </w:rPr>
              <w:t xml:space="preserve"> HDP</w:t>
            </w:r>
            <w:r w:rsidRPr="009110F7">
              <w:rPr>
                <w:rStyle w:val="Znakapoznpodarou"/>
                <w:color w:val="0D0D0D" w:themeColor="text1" w:themeTint="F2"/>
                <w:szCs w:val="20"/>
              </w:rPr>
              <w:footnoteReference w:id="50"/>
            </w:r>
            <w:r w:rsidRPr="009110F7">
              <w:rPr>
                <w:color w:val="0D0D0D" w:themeColor="text1" w:themeTint="F2"/>
                <w:szCs w:val="20"/>
              </w:rPr>
              <w:t xml:space="preserve">. Kladného salda hospodaření dosáhly všechny vládní </w:t>
            </w:r>
            <w:proofErr w:type="spellStart"/>
            <w:r w:rsidRPr="009110F7">
              <w:rPr>
                <w:color w:val="0D0D0D" w:themeColor="text1" w:themeTint="F2"/>
                <w:szCs w:val="20"/>
              </w:rPr>
              <w:t>subsektory</w:t>
            </w:r>
            <w:proofErr w:type="spellEnd"/>
            <w:r w:rsidRPr="009110F7">
              <w:rPr>
                <w:color w:val="0D0D0D" w:themeColor="text1" w:themeTint="F2"/>
                <w:szCs w:val="20"/>
              </w:rPr>
              <w:t>. K růstu celkového salda nejvíce přispěly ústřední vládní instituce, které docílily poprvé v historii sledování (od roku 1995) přebytku (</w:t>
            </w:r>
            <w:r w:rsidR="00047D54" w:rsidRPr="009110F7">
              <w:rPr>
                <w:color w:val="0D0D0D" w:themeColor="text1" w:themeTint="F2"/>
                <w:szCs w:val="20"/>
              </w:rPr>
              <w:t xml:space="preserve">ve výši </w:t>
            </w:r>
            <w:r w:rsidRPr="009110F7">
              <w:rPr>
                <w:color w:val="0D0D0D" w:themeColor="text1" w:themeTint="F2"/>
                <w:szCs w:val="20"/>
              </w:rPr>
              <w:t>30</w:t>
            </w:r>
            <w:r w:rsidR="00167CB9" w:rsidRPr="009110F7">
              <w:rPr>
                <w:color w:val="0D0D0D" w:themeColor="text1" w:themeTint="F2"/>
                <w:szCs w:val="20"/>
              </w:rPr>
              <w:t> mld.</w:t>
            </w:r>
            <w:r w:rsidRPr="009110F7">
              <w:rPr>
                <w:color w:val="0D0D0D" w:themeColor="text1" w:themeTint="F2"/>
                <w:szCs w:val="20"/>
              </w:rPr>
              <w:t xml:space="preserve"> korun).</w:t>
            </w:r>
          </w:p>
        </w:tc>
      </w:tr>
    </w:tbl>
    <w:p w:rsidR="00A50D73" w:rsidRPr="009110F7" w:rsidRDefault="00A50D73" w:rsidP="00E1444C">
      <w:pPr>
        <w:rPr>
          <w:sz w:val="2"/>
          <w:szCs w:val="2"/>
        </w:rPr>
      </w:pPr>
    </w:p>
    <w:sectPr w:rsidR="00A50D73" w:rsidRPr="009110F7" w:rsidSect="006F5416">
      <w:headerReference w:type="even" r:id="rId30"/>
      <w:headerReference w:type="default" r:id="rId31"/>
      <w:footerReference w:type="even" r:id="rId32"/>
      <w:footerReference w:type="default" r:id="rId33"/>
      <w:pgSz w:w="11906" w:h="16838" w:code="9"/>
      <w:pgMar w:top="1134" w:right="1134" w:bottom="1418" w:left="1134" w:header="680" w:footer="68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9A2AB5" w15:done="0"/>
  <w15:commentEx w15:paraId="6B652B08" w15:done="0"/>
  <w15:commentEx w15:paraId="3F7CEACF" w15:done="0"/>
  <w15:commentEx w15:paraId="63CE648C" w15:done="0"/>
  <w15:commentEx w15:paraId="23A24FDD" w15:done="0"/>
  <w15:commentEx w15:paraId="50CD0878" w15:done="0"/>
  <w15:commentEx w15:paraId="52F35228" w15:done="0"/>
  <w15:commentEx w15:paraId="7A77491F" w15:done="0"/>
  <w15:commentEx w15:paraId="4E0D4B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9A2AB5" w16cid:durableId="1ECFA4FD"/>
  <w16cid:commentId w16cid:paraId="6B652B08" w16cid:durableId="1ECFA85B"/>
  <w16cid:commentId w16cid:paraId="3F7CEACF" w16cid:durableId="1ED155AF"/>
  <w16cid:commentId w16cid:paraId="63CE648C" w16cid:durableId="1ED21B60"/>
  <w16cid:commentId w16cid:paraId="23A24FDD" w16cid:durableId="1ED22580"/>
  <w16cid:commentId w16cid:paraId="50CD0878" w16cid:durableId="1ED23FB5"/>
  <w16cid:commentId w16cid:paraId="52F35228" w16cid:durableId="1ED248CC"/>
  <w16cid:commentId w16cid:paraId="7A77491F" w16cid:durableId="1ED25A84"/>
  <w16cid:commentId w16cid:paraId="4E0D4B34" w16cid:durableId="1ED24E3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3C5" w:rsidRDefault="00A023C5" w:rsidP="00E71A58">
      <w:r>
        <w:separator/>
      </w:r>
    </w:p>
  </w:endnote>
  <w:endnote w:type="continuationSeparator" w:id="0">
    <w:p w:rsidR="00A023C5" w:rsidRDefault="00A023C5"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52" w:rsidRPr="00932443" w:rsidRDefault="00583E52" w:rsidP="00A418BC">
    <w:pPr>
      <w:pStyle w:val="Zpat"/>
      <w:rPr>
        <w:szCs w:val="16"/>
      </w:rPr>
    </w:pPr>
    <w:r>
      <w:rPr>
        <w:szCs w:val="16"/>
        <w:lang w:eastAsia="cs-CZ"/>
      </w:rPr>
      <w:drawing>
        <wp:anchor distT="0" distB="0" distL="114300" distR="114300" simplePos="0" relativeHeight="251658240" behindDoc="0" locked="0" layoutInCell="1" allowOverlap="1">
          <wp:simplePos x="0" y="0"/>
          <wp:positionH relativeFrom="column">
            <wp:align>right</wp:align>
          </wp:positionH>
          <wp:positionV relativeFrom="paragraph">
            <wp:posOffset>-64770</wp:posOffset>
          </wp:positionV>
          <wp:extent cx="428625" cy="201295"/>
          <wp:effectExtent l="0" t="0" r="3175" b="1905"/>
          <wp:wrapNone/>
          <wp:docPr id="15"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8625" cy="201295"/>
                  </a:xfrm>
                  <a:prstGeom prst="rect">
                    <a:avLst/>
                  </a:prstGeom>
                  <a:noFill/>
                  <a:ln>
                    <a:noFill/>
                  </a:ln>
                </pic:spPr>
              </pic:pic>
            </a:graphicData>
          </a:graphic>
        </wp:anchor>
      </w:drawing>
    </w:r>
    <w:r w:rsidR="00D9195B" w:rsidRPr="00932443">
      <w:rPr>
        <w:szCs w:val="16"/>
      </w:rPr>
      <w:fldChar w:fldCharType="begin"/>
    </w:r>
    <w:r w:rsidRPr="00932443">
      <w:rPr>
        <w:szCs w:val="16"/>
      </w:rPr>
      <w:instrText>PAGE   \* MERGEFORMAT</w:instrText>
    </w:r>
    <w:r w:rsidR="00D9195B" w:rsidRPr="00932443">
      <w:rPr>
        <w:szCs w:val="16"/>
      </w:rPr>
      <w:fldChar w:fldCharType="separate"/>
    </w:r>
    <w:r w:rsidR="00FC77EB">
      <w:rPr>
        <w:szCs w:val="16"/>
      </w:rPr>
      <w:t>14</w:t>
    </w:r>
    <w:r w:rsidR="00D9195B" w:rsidRPr="00932443">
      <w:rPr>
        <w:szCs w:val="16"/>
      </w:rPr>
      <w:fldChar w:fldCharType="end"/>
    </w:r>
    <w:r w:rsidRPr="00932443">
      <w:rPr>
        <w:szCs w:val="16"/>
      </w:rPr>
      <w:tab/>
    </w:r>
    <w:r>
      <w:t>1. čtvrtletí 2018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52" w:rsidRPr="00932443" w:rsidRDefault="00583E52" w:rsidP="00A418BC">
    <w:pPr>
      <w:pStyle w:val="Zpat"/>
      <w:rPr>
        <w:szCs w:val="16"/>
      </w:rPr>
    </w:pPr>
    <w:r>
      <w:rPr>
        <w:szCs w:val="16"/>
        <w:lang w:eastAsia="cs-CZ"/>
      </w:rPr>
      <w:drawing>
        <wp:anchor distT="0" distB="0" distL="114300" distR="114300" simplePos="0" relativeHeight="251657216" behindDoc="0" locked="0" layoutInCell="1" allowOverlap="1">
          <wp:simplePos x="0" y="0"/>
          <wp:positionH relativeFrom="column">
            <wp:align>left</wp:align>
          </wp:positionH>
          <wp:positionV relativeFrom="paragraph">
            <wp:posOffset>-122555</wp:posOffset>
          </wp:positionV>
          <wp:extent cx="510540" cy="272415"/>
          <wp:effectExtent l="0" t="0" r="0" b="6985"/>
          <wp:wrapNone/>
          <wp:docPr id="16"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0540" cy="272415"/>
                  </a:xfrm>
                  <a:prstGeom prst="rect">
                    <a:avLst/>
                  </a:prstGeom>
                  <a:noFill/>
                  <a:ln>
                    <a:noFill/>
                  </a:ln>
                </pic:spPr>
              </pic:pic>
            </a:graphicData>
          </a:graphic>
        </wp:anchor>
      </w:drawing>
    </w:r>
    <w:r w:rsidRPr="00932443">
      <w:rPr>
        <w:szCs w:val="16"/>
      </w:rPr>
      <w:tab/>
    </w:r>
    <w:r>
      <w:t>1. čtvrtletí 2018</w:t>
    </w:r>
    <w:r w:rsidRPr="00932443">
      <w:rPr>
        <w:szCs w:val="16"/>
      </w:rPr>
      <w:tab/>
    </w:r>
    <w:r w:rsidR="00D9195B" w:rsidRPr="00932443">
      <w:rPr>
        <w:rStyle w:val="ZpatChar"/>
        <w:szCs w:val="16"/>
      </w:rPr>
      <w:fldChar w:fldCharType="begin"/>
    </w:r>
    <w:r w:rsidRPr="00932443">
      <w:rPr>
        <w:rStyle w:val="ZpatChar"/>
        <w:szCs w:val="16"/>
      </w:rPr>
      <w:instrText>PAGE   \* MERGEFORMAT</w:instrText>
    </w:r>
    <w:r w:rsidR="00D9195B" w:rsidRPr="00932443">
      <w:rPr>
        <w:rStyle w:val="ZpatChar"/>
        <w:szCs w:val="16"/>
      </w:rPr>
      <w:fldChar w:fldCharType="separate"/>
    </w:r>
    <w:r w:rsidR="00FC77EB">
      <w:rPr>
        <w:rStyle w:val="ZpatChar"/>
        <w:szCs w:val="16"/>
      </w:rPr>
      <w:t>13</w:t>
    </w:r>
    <w:r w:rsidR="00D9195B" w:rsidRPr="00932443">
      <w:rPr>
        <w:rStyle w:val="ZpatChar"/>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3C5" w:rsidRDefault="00A023C5" w:rsidP="00E71A58">
      <w:r>
        <w:separator/>
      </w:r>
    </w:p>
  </w:footnote>
  <w:footnote w:type="continuationSeparator" w:id="0">
    <w:p w:rsidR="00A023C5" w:rsidRDefault="00A023C5" w:rsidP="00E71A58">
      <w:r>
        <w:continuationSeparator/>
      </w:r>
    </w:p>
  </w:footnote>
  <w:footnote w:id="1">
    <w:p w:rsidR="00583E52" w:rsidRPr="0021507A" w:rsidRDefault="00583E52" w:rsidP="00446D44">
      <w:pPr>
        <w:pStyle w:val="Textpoznpodarou"/>
        <w:rPr>
          <w:sz w:val="16"/>
          <w:szCs w:val="16"/>
        </w:rPr>
      </w:pPr>
      <w:r w:rsidRPr="0021507A">
        <w:rPr>
          <w:rStyle w:val="Znakapoznpodarou"/>
          <w:sz w:val="16"/>
          <w:szCs w:val="16"/>
        </w:rPr>
        <w:footnoteRef/>
      </w:r>
      <w:r w:rsidRPr="0021507A">
        <w:rPr>
          <w:sz w:val="16"/>
          <w:szCs w:val="16"/>
        </w:rPr>
        <w:t xml:space="preserve"> Data o</w:t>
      </w:r>
      <w:r>
        <w:rPr>
          <w:sz w:val="16"/>
          <w:szCs w:val="16"/>
        </w:rPr>
        <w:t> </w:t>
      </w:r>
      <w:r w:rsidRPr="0021507A">
        <w:rPr>
          <w:sz w:val="16"/>
          <w:szCs w:val="16"/>
        </w:rPr>
        <w:t>HDP, hrubé přidané hodnotě a</w:t>
      </w:r>
      <w:r>
        <w:rPr>
          <w:sz w:val="16"/>
          <w:szCs w:val="16"/>
        </w:rPr>
        <w:t> </w:t>
      </w:r>
      <w:r w:rsidRPr="0021507A">
        <w:rPr>
          <w:sz w:val="16"/>
          <w:szCs w:val="16"/>
        </w:rPr>
        <w:t>jejich složkách jsou vyjádřena ve stálých cenách a</w:t>
      </w:r>
      <w:r>
        <w:rPr>
          <w:sz w:val="16"/>
          <w:szCs w:val="16"/>
        </w:rPr>
        <w:t> </w:t>
      </w:r>
      <w:r w:rsidRPr="0021507A">
        <w:rPr>
          <w:sz w:val="16"/>
          <w:szCs w:val="16"/>
        </w:rPr>
        <w:t>v očištění o</w:t>
      </w:r>
      <w:r>
        <w:rPr>
          <w:sz w:val="16"/>
          <w:szCs w:val="16"/>
        </w:rPr>
        <w:t> </w:t>
      </w:r>
      <w:r w:rsidRPr="0021507A">
        <w:rPr>
          <w:sz w:val="16"/>
          <w:szCs w:val="16"/>
        </w:rPr>
        <w:t>sezónní a kalendářní vlivy.</w:t>
      </w:r>
    </w:p>
  </w:footnote>
  <w:footnote w:id="2">
    <w:p w:rsidR="00583E52" w:rsidRPr="00B4223A" w:rsidRDefault="00583E52" w:rsidP="007B3DCB">
      <w:pPr>
        <w:pStyle w:val="Textpoznpodarou"/>
        <w:jc w:val="both"/>
        <w:rPr>
          <w:sz w:val="16"/>
          <w:szCs w:val="16"/>
        </w:rPr>
      </w:pPr>
      <w:r w:rsidRPr="00B4223A">
        <w:rPr>
          <w:rStyle w:val="Znakapoznpodarou"/>
          <w:sz w:val="16"/>
          <w:szCs w:val="16"/>
        </w:rPr>
        <w:footnoteRef/>
      </w:r>
      <w:r w:rsidRPr="00B4223A">
        <w:rPr>
          <w:sz w:val="16"/>
          <w:szCs w:val="16"/>
        </w:rPr>
        <w:t xml:space="preserve"> Pok</w:t>
      </w:r>
      <w:r>
        <w:rPr>
          <w:sz w:val="16"/>
          <w:szCs w:val="16"/>
        </w:rPr>
        <w:t>ud není uvedeno jinak, jsou údaje o zaměstnanosti</w:t>
      </w:r>
      <w:r w:rsidRPr="00B4223A">
        <w:rPr>
          <w:sz w:val="16"/>
          <w:szCs w:val="16"/>
        </w:rPr>
        <w:t xml:space="preserve"> </w:t>
      </w:r>
      <w:r>
        <w:rPr>
          <w:sz w:val="16"/>
          <w:szCs w:val="16"/>
        </w:rPr>
        <w:t xml:space="preserve">uvedeny </w:t>
      </w:r>
      <w:r w:rsidRPr="00B4223A">
        <w:rPr>
          <w:sz w:val="16"/>
          <w:szCs w:val="16"/>
        </w:rPr>
        <w:t>v pojetí národních účtů v očištění o</w:t>
      </w:r>
      <w:r>
        <w:rPr>
          <w:sz w:val="16"/>
          <w:szCs w:val="16"/>
        </w:rPr>
        <w:t> </w:t>
      </w:r>
      <w:r w:rsidRPr="00B4223A">
        <w:rPr>
          <w:sz w:val="16"/>
          <w:szCs w:val="16"/>
        </w:rPr>
        <w:t>sezónní vlivy.</w:t>
      </w:r>
    </w:p>
  </w:footnote>
  <w:footnote w:id="3">
    <w:p w:rsidR="00583E52" w:rsidRPr="00EF1EE3" w:rsidRDefault="00583E52" w:rsidP="00C62828">
      <w:pPr>
        <w:pStyle w:val="Textpoznpodarou"/>
        <w:rPr>
          <w:sz w:val="16"/>
          <w:szCs w:val="16"/>
        </w:rPr>
      </w:pPr>
      <w:r w:rsidRPr="00EF1EE3">
        <w:rPr>
          <w:rStyle w:val="Znakapoznpodarou"/>
          <w:sz w:val="16"/>
          <w:szCs w:val="16"/>
        </w:rPr>
        <w:footnoteRef/>
      </w:r>
      <w:r w:rsidRPr="00EF1EE3">
        <w:rPr>
          <w:sz w:val="16"/>
          <w:szCs w:val="16"/>
        </w:rPr>
        <w:t xml:space="preserve"> </w:t>
      </w:r>
      <w:r>
        <w:rPr>
          <w:sz w:val="16"/>
          <w:szCs w:val="16"/>
        </w:rPr>
        <w:t>Vývoj</w:t>
      </w:r>
      <w:r w:rsidRPr="00EF1EE3">
        <w:rPr>
          <w:sz w:val="16"/>
          <w:szCs w:val="16"/>
        </w:rPr>
        <w:t xml:space="preserve"> HDP, hrubé přidané hodnot</w:t>
      </w:r>
      <w:r>
        <w:rPr>
          <w:sz w:val="16"/>
          <w:szCs w:val="16"/>
        </w:rPr>
        <w:t>y</w:t>
      </w:r>
      <w:r w:rsidRPr="00EF1EE3">
        <w:rPr>
          <w:sz w:val="16"/>
          <w:szCs w:val="16"/>
        </w:rPr>
        <w:t xml:space="preserve"> a</w:t>
      </w:r>
      <w:r>
        <w:rPr>
          <w:sz w:val="16"/>
          <w:szCs w:val="16"/>
        </w:rPr>
        <w:t> </w:t>
      </w:r>
      <w:r w:rsidRPr="00EF1EE3">
        <w:rPr>
          <w:sz w:val="16"/>
          <w:szCs w:val="16"/>
        </w:rPr>
        <w:t>jejich slož</w:t>
      </w:r>
      <w:r>
        <w:rPr>
          <w:sz w:val="16"/>
          <w:szCs w:val="16"/>
        </w:rPr>
        <w:t>e</w:t>
      </w:r>
      <w:r w:rsidRPr="00EF1EE3">
        <w:rPr>
          <w:sz w:val="16"/>
          <w:szCs w:val="16"/>
        </w:rPr>
        <w:t xml:space="preserve">k </w:t>
      </w:r>
      <w:r>
        <w:rPr>
          <w:sz w:val="16"/>
          <w:szCs w:val="16"/>
        </w:rPr>
        <w:t xml:space="preserve">je </w:t>
      </w:r>
      <w:r w:rsidRPr="00EF1EE3">
        <w:rPr>
          <w:sz w:val="16"/>
          <w:szCs w:val="16"/>
        </w:rPr>
        <w:t>vyjádřen</w:t>
      </w:r>
      <w:r>
        <w:rPr>
          <w:sz w:val="16"/>
          <w:szCs w:val="16"/>
        </w:rPr>
        <w:t xml:space="preserve"> prostřednictvím objemových indexů (tj. očištěn o vliv cen)</w:t>
      </w:r>
      <w:r w:rsidRPr="00EF1EE3">
        <w:rPr>
          <w:sz w:val="16"/>
          <w:szCs w:val="16"/>
        </w:rPr>
        <w:t xml:space="preserve"> a</w:t>
      </w:r>
      <w:r>
        <w:rPr>
          <w:sz w:val="16"/>
          <w:szCs w:val="16"/>
        </w:rPr>
        <w:t> </w:t>
      </w:r>
      <w:r w:rsidRPr="00EF1EE3">
        <w:rPr>
          <w:sz w:val="16"/>
          <w:szCs w:val="16"/>
        </w:rPr>
        <w:t>v očištění o</w:t>
      </w:r>
      <w:r>
        <w:rPr>
          <w:sz w:val="16"/>
          <w:szCs w:val="16"/>
        </w:rPr>
        <w:t> </w:t>
      </w:r>
      <w:r w:rsidRPr="00EF1EE3">
        <w:rPr>
          <w:sz w:val="16"/>
          <w:szCs w:val="16"/>
        </w:rPr>
        <w:t>sezónní a kalendářn</w:t>
      </w:r>
      <w:r>
        <w:rPr>
          <w:sz w:val="16"/>
          <w:szCs w:val="16"/>
        </w:rPr>
        <w:t>í vlivy. Údaje byly zveřejněny 1. 6. </w:t>
      </w:r>
      <w:r w:rsidRPr="00EF1EE3">
        <w:rPr>
          <w:sz w:val="16"/>
          <w:szCs w:val="16"/>
        </w:rPr>
        <w:t>2018 a</w:t>
      </w:r>
      <w:r>
        <w:rPr>
          <w:sz w:val="16"/>
          <w:szCs w:val="16"/>
        </w:rPr>
        <w:t> </w:t>
      </w:r>
      <w:r w:rsidRPr="00EF1EE3">
        <w:rPr>
          <w:sz w:val="16"/>
          <w:szCs w:val="16"/>
        </w:rPr>
        <w:t>z</w:t>
      </w:r>
      <w:r>
        <w:rPr>
          <w:sz w:val="16"/>
          <w:szCs w:val="16"/>
        </w:rPr>
        <w:t xml:space="preserve">revidované údaje </w:t>
      </w:r>
      <w:r w:rsidRPr="00EF1EE3">
        <w:rPr>
          <w:sz w:val="16"/>
          <w:szCs w:val="16"/>
        </w:rPr>
        <w:t>bud</w:t>
      </w:r>
      <w:r>
        <w:rPr>
          <w:sz w:val="16"/>
          <w:szCs w:val="16"/>
        </w:rPr>
        <w:t>ou</w:t>
      </w:r>
      <w:r w:rsidRPr="00EF1EE3">
        <w:rPr>
          <w:sz w:val="16"/>
          <w:szCs w:val="16"/>
        </w:rPr>
        <w:t xml:space="preserve"> publikován</w:t>
      </w:r>
      <w:r>
        <w:rPr>
          <w:sz w:val="16"/>
          <w:szCs w:val="16"/>
        </w:rPr>
        <w:t>y</w:t>
      </w:r>
      <w:r w:rsidRPr="00EF1EE3">
        <w:rPr>
          <w:sz w:val="16"/>
          <w:szCs w:val="16"/>
        </w:rPr>
        <w:t xml:space="preserve"> </w:t>
      </w:r>
      <w:r>
        <w:rPr>
          <w:sz w:val="16"/>
          <w:szCs w:val="16"/>
        </w:rPr>
        <w:t>29. 6. </w:t>
      </w:r>
      <w:r w:rsidRPr="00EF1EE3">
        <w:rPr>
          <w:sz w:val="16"/>
          <w:szCs w:val="16"/>
        </w:rPr>
        <w:t>201</w:t>
      </w:r>
      <w:r>
        <w:rPr>
          <w:sz w:val="16"/>
          <w:szCs w:val="16"/>
        </w:rPr>
        <w:t>8</w:t>
      </w:r>
      <w:r w:rsidRPr="00EF1EE3">
        <w:rPr>
          <w:sz w:val="16"/>
          <w:szCs w:val="16"/>
        </w:rPr>
        <w:t>.</w:t>
      </w:r>
    </w:p>
  </w:footnote>
  <w:footnote w:id="4">
    <w:p w:rsidR="00583E52" w:rsidRPr="00BB319F" w:rsidRDefault="00583E52" w:rsidP="00C62828">
      <w:pPr>
        <w:pStyle w:val="Textpoznpodarou"/>
        <w:rPr>
          <w:sz w:val="16"/>
          <w:szCs w:val="16"/>
        </w:rPr>
      </w:pPr>
      <w:r w:rsidRPr="00AF6B7C">
        <w:rPr>
          <w:rStyle w:val="Znakapoznpodarou"/>
          <w:sz w:val="16"/>
          <w:szCs w:val="16"/>
        </w:rPr>
        <w:footnoteRef/>
      </w:r>
      <w:r w:rsidRPr="00AF6B7C">
        <w:rPr>
          <w:sz w:val="16"/>
          <w:szCs w:val="16"/>
        </w:rPr>
        <w:t xml:space="preserve"> </w:t>
      </w:r>
      <w:r w:rsidRPr="00BB319F">
        <w:rPr>
          <w:sz w:val="16"/>
          <w:szCs w:val="16"/>
        </w:rPr>
        <w:t>Nedostupná data za Irsko</w:t>
      </w:r>
      <w:r>
        <w:rPr>
          <w:sz w:val="16"/>
          <w:szCs w:val="16"/>
        </w:rPr>
        <w:t xml:space="preserve"> </w:t>
      </w:r>
      <w:r w:rsidRPr="00BB319F">
        <w:rPr>
          <w:sz w:val="16"/>
          <w:szCs w:val="16"/>
        </w:rPr>
        <w:t>a</w:t>
      </w:r>
      <w:r>
        <w:rPr>
          <w:sz w:val="16"/>
          <w:szCs w:val="16"/>
        </w:rPr>
        <w:t> </w:t>
      </w:r>
      <w:r w:rsidRPr="00BB319F">
        <w:rPr>
          <w:sz w:val="16"/>
          <w:szCs w:val="16"/>
        </w:rPr>
        <w:t>Lucembursko.</w:t>
      </w:r>
      <w:r>
        <w:rPr>
          <w:sz w:val="16"/>
          <w:szCs w:val="16"/>
        </w:rPr>
        <w:t xml:space="preserve"> Data za Slovensko nejsou očištěna o kalendářní vlivy.</w:t>
      </w:r>
    </w:p>
  </w:footnote>
  <w:footnote w:id="5">
    <w:p w:rsidR="00583E52" w:rsidRPr="009C6EA8" w:rsidRDefault="00583E52" w:rsidP="00C62828">
      <w:pPr>
        <w:pStyle w:val="Textpoznpodarou"/>
        <w:rPr>
          <w:sz w:val="16"/>
          <w:szCs w:val="16"/>
        </w:rPr>
      </w:pPr>
      <w:r w:rsidRPr="009C6EA8">
        <w:rPr>
          <w:rStyle w:val="Znakapoznpodarou"/>
          <w:sz w:val="16"/>
          <w:szCs w:val="16"/>
        </w:rPr>
        <w:footnoteRef/>
      </w:r>
      <w:r w:rsidRPr="009C6EA8">
        <w:rPr>
          <w:sz w:val="16"/>
          <w:szCs w:val="16"/>
        </w:rPr>
        <w:t xml:space="preserve"> Příspěvky ke změně HDP po vyloučení dovozu pro konečné užití.</w:t>
      </w:r>
    </w:p>
  </w:footnote>
  <w:footnote w:id="6">
    <w:p w:rsidR="00583E52" w:rsidRPr="007933CD" w:rsidRDefault="00583E52" w:rsidP="00C62828">
      <w:pPr>
        <w:pStyle w:val="Textpoznpodarou"/>
        <w:rPr>
          <w:sz w:val="16"/>
          <w:szCs w:val="16"/>
        </w:rPr>
      </w:pPr>
      <w:r w:rsidRPr="007933CD">
        <w:rPr>
          <w:rStyle w:val="Znakapoznpodarou"/>
          <w:sz w:val="16"/>
          <w:szCs w:val="16"/>
        </w:rPr>
        <w:footnoteRef/>
      </w:r>
      <w:r w:rsidRPr="007933CD">
        <w:rPr>
          <w:sz w:val="16"/>
          <w:szCs w:val="16"/>
        </w:rPr>
        <w:t xml:space="preserve"> Údaje o</w:t>
      </w:r>
      <w:r>
        <w:rPr>
          <w:sz w:val="16"/>
          <w:szCs w:val="16"/>
        </w:rPr>
        <w:t> </w:t>
      </w:r>
      <w:r w:rsidRPr="007933CD">
        <w:rPr>
          <w:sz w:val="16"/>
          <w:szCs w:val="16"/>
        </w:rPr>
        <w:t>spotřebě domácností podle trvanlivosti statků nejsou sezónně očištěny.</w:t>
      </w:r>
    </w:p>
  </w:footnote>
  <w:footnote w:id="7">
    <w:p w:rsidR="00583E52" w:rsidRPr="009C6EA8" w:rsidRDefault="00583E52" w:rsidP="00C62828">
      <w:pPr>
        <w:pStyle w:val="Textpoznpodarou"/>
        <w:rPr>
          <w:sz w:val="16"/>
          <w:szCs w:val="16"/>
        </w:rPr>
      </w:pPr>
      <w:r w:rsidRPr="009C6EA8">
        <w:rPr>
          <w:rStyle w:val="Znakapoznpodarou"/>
          <w:sz w:val="16"/>
          <w:szCs w:val="16"/>
        </w:rPr>
        <w:footnoteRef/>
      </w:r>
      <w:r w:rsidRPr="009C6EA8">
        <w:rPr>
          <w:sz w:val="16"/>
          <w:szCs w:val="16"/>
        </w:rPr>
        <w:t xml:space="preserve"> Do reálného vyjádření převedeno s využitím deflátoru výdajů na konečnou spotřebu domácností.</w:t>
      </w:r>
    </w:p>
  </w:footnote>
  <w:footnote w:id="8">
    <w:p w:rsidR="00583E52" w:rsidRDefault="00583E52" w:rsidP="00C62828">
      <w:pPr>
        <w:pStyle w:val="Textpoznpodarou"/>
      </w:pPr>
      <w:r w:rsidRPr="009C6EA8">
        <w:rPr>
          <w:rStyle w:val="Znakapoznpodarou"/>
          <w:sz w:val="16"/>
          <w:szCs w:val="16"/>
        </w:rPr>
        <w:footnoteRef/>
      </w:r>
      <w:r w:rsidRPr="009C6EA8">
        <w:rPr>
          <w:sz w:val="16"/>
          <w:szCs w:val="16"/>
        </w:rPr>
        <w:t xml:space="preserve"> V pojetí národních účtů, sezónně očištěno</w:t>
      </w:r>
      <w:r w:rsidRPr="00004BA8">
        <w:rPr>
          <w:sz w:val="16"/>
        </w:rPr>
        <w:t>.</w:t>
      </w:r>
    </w:p>
  </w:footnote>
  <w:footnote w:id="9">
    <w:p w:rsidR="00583E52" w:rsidRPr="0021552C" w:rsidRDefault="00583E52" w:rsidP="00C62828">
      <w:pPr>
        <w:pStyle w:val="Textpoznpodarou"/>
        <w:rPr>
          <w:sz w:val="16"/>
          <w:szCs w:val="16"/>
        </w:rPr>
      </w:pPr>
      <w:r w:rsidRPr="0021552C">
        <w:rPr>
          <w:rStyle w:val="Znakapoznpodarou"/>
          <w:sz w:val="16"/>
          <w:szCs w:val="16"/>
        </w:rPr>
        <w:footnoteRef/>
      </w:r>
      <w:r w:rsidRPr="0021552C">
        <w:rPr>
          <w:sz w:val="16"/>
          <w:szCs w:val="16"/>
        </w:rPr>
        <w:t xml:space="preserve"> </w:t>
      </w:r>
      <w:r>
        <w:rPr>
          <w:rFonts w:cs="Arial"/>
          <w:sz w:val="16"/>
          <w:szCs w:val="16"/>
        </w:rPr>
        <w:t>D</w:t>
      </w:r>
      <w:r w:rsidRPr="0021552C">
        <w:rPr>
          <w:rFonts w:cs="Arial"/>
          <w:sz w:val="16"/>
          <w:szCs w:val="16"/>
        </w:rPr>
        <w:t>ata o</w:t>
      </w:r>
      <w:r>
        <w:rPr>
          <w:rFonts w:cs="Arial"/>
          <w:sz w:val="16"/>
          <w:szCs w:val="16"/>
        </w:rPr>
        <w:t> </w:t>
      </w:r>
      <w:r w:rsidRPr="0021552C">
        <w:rPr>
          <w:rFonts w:cs="Arial"/>
          <w:sz w:val="16"/>
          <w:szCs w:val="16"/>
        </w:rPr>
        <w:t xml:space="preserve">věcném členění tvorby </w:t>
      </w:r>
      <w:r>
        <w:rPr>
          <w:rFonts w:cs="Arial"/>
          <w:sz w:val="16"/>
          <w:szCs w:val="16"/>
        </w:rPr>
        <w:t>hrubého fixního kapitálu</w:t>
      </w:r>
      <w:r w:rsidRPr="0021552C">
        <w:rPr>
          <w:rFonts w:cs="Arial"/>
          <w:sz w:val="16"/>
          <w:szCs w:val="16"/>
        </w:rPr>
        <w:t xml:space="preserve"> nejsou sezónně očištěna</w:t>
      </w:r>
      <w:r>
        <w:rPr>
          <w:rFonts w:cs="Arial"/>
          <w:sz w:val="16"/>
          <w:szCs w:val="16"/>
        </w:rPr>
        <w:t>.</w:t>
      </w:r>
    </w:p>
  </w:footnote>
  <w:footnote w:id="10">
    <w:p w:rsidR="00583E52" w:rsidRPr="00167B30" w:rsidRDefault="00583E52" w:rsidP="00C62828">
      <w:pPr>
        <w:pStyle w:val="Textpoznpodarou"/>
        <w:rPr>
          <w:sz w:val="16"/>
          <w:szCs w:val="16"/>
        </w:rPr>
      </w:pPr>
      <w:r w:rsidRPr="00167B30">
        <w:rPr>
          <w:rStyle w:val="Znakapoznpodarou"/>
          <w:sz w:val="16"/>
          <w:szCs w:val="16"/>
        </w:rPr>
        <w:footnoteRef/>
      </w:r>
      <w:r w:rsidRPr="00167B30">
        <w:rPr>
          <w:sz w:val="16"/>
          <w:szCs w:val="16"/>
        </w:rPr>
        <w:t xml:space="preserve"> Podle metodiky čtvrtletních národních účtů (vývoz a</w:t>
      </w:r>
      <w:r>
        <w:rPr>
          <w:sz w:val="16"/>
          <w:szCs w:val="16"/>
        </w:rPr>
        <w:t> </w:t>
      </w:r>
      <w:r w:rsidRPr="00167B30">
        <w:rPr>
          <w:sz w:val="16"/>
          <w:szCs w:val="16"/>
        </w:rPr>
        <w:t>dovoz v ocenění FOB/FOB)</w:t>
      </w:r>
      <w:r>
        <w:rPr>
          <w:sz w:val="16"/>
          <w:szCs w:val="16"/>
        </w:rPr>
        <w:t>.</w:t>
      </w:r>
    </w:p>
  </w:footnote>
  <w:footnote w:id="11">
    <w:p w:rsidR="00583E52" w:rsidRPr="0027583D" w:rsidRDefault="00583E52" w:rsidP="00C21430">
      <w:pPr>
        <w:pStyle w:val="Textpoznpodarou"/>
        <w:jc w:val="both"/>
        <w:rPr>
          <w:rFonts w:cs="Arial"/>
          <w:color w:val="0D0D0D" w:themeColor="text1" w:themeTint="F2"/>
          <w:spacing w:val="-2"/>
          <w:sz w:val="16"/>
          <w:szCs w:val="16"/>
        </w:rPr>
      </w:pPr>
      <w:r w:rsidRPr="0027583D">
        <w:rPr>
          <w:rStyle w:val="Znakapoznpodarou"/>
          <w:rFonts w:cs="Arial"/>
          <w:color w:val="0D0D0D" w:themeColor="text1" w:themeTint="F2"/>
          <w:spacing w:val="-2"/>
          <w:sz w:val="16"/>
          <w:szCs w:val="16"/>
        </w:rPr>
        <w:footnoteRef/>
      </w:r>
      <w:r w:rsidRPr="0027583D">
        <w:rPr>
          <w:rFonts w:cs="Arial"/>
          <w:color w:val="0D0D0D" w:themeColor="text1" w:themeTint="F2"/>
          <w:spacing w:val="-2"/>
          <w:sz w:val="16"/>
          <w:szCs w:val="16"/>
        </w:rPr>
        <w:t xml:space="preserve"> Údaje o</w:t>
      </w:r>
      <w:r>
        <w:rPr>
          <w:rFonts w:cs="Arial"/>
          <w:color w:val="0D0D0D" w:themeColor="text1" w:themeTint="F2"/>
          <w:spacing w:val="-2"/>
          <w:sz w:val="16"/>
          <w:szCs w:val="16"/>
        </w:rPr>
        <w:t> </w:t>
      </w:r>
      <w:r w:rsidRPr="0027583D">
        <w:rPr>
          <w:rFonts w:cs="Arial"/>
          <w:color w:val="0D0D0D" w:themeColor="text1" w:themeTint="F2"/>
          <w:spacing w:val="-2"/>
          <w:sz w:val="16"/>
          <w:szCs w:val="16"/>
        </w:rPr>
        <w:t>HPH jsou vyjádřeny ve stálých cenách a</w:t>
      </w:r>
      <w:r>
        <w:rPr>
          <w:rFonts w:cs="Arial"/>
          <w:color w:val="0D0D0D" w:themeColor="text1" w:themeTint="F2"/>
          <w:spacing w:val="-2"/>
          <w:sz w:val="16"/>
          <w:szCs w:val="16"/>
        </w:rPr>
        <w:t> </w:t>
      </w:r>
      <w:r w:rsidRPr="0027583D">
        <w:rPr>
          <w:rFonts w:cs="Arial"/>
          <w:color w:val="0D0D0D" w:themeColor="text1" w:themeTint="F2"/>
          <w:spacing w:val="-2"/>
          <w:sz w:val="16"/>
          <w:szCs w:val="16"/>
        </w:rPr>
        <w:t>v očištění o</w:t>
      </w:r>
      <w:r>
        <w:rPr>
          <w:rFonts w:cs="Arial"/>
          <w:color w:val="0D0D0D" w:themeColor="text1" w:themeTint="F2"/>
          <w:spacing w:val="-2"/>
          <w:sz w:val="16"/>
          <w:szCs w:val="16"/>
        </w:rPr>
        <w:t> </w:t>
      </w:r>
      <w:r w:rsidRPr="0027583D">
        <w:rPr>
          <w:rFonts w:cs="Arial"/>
          <w:color w:val="0D0D0D" w:themeColor="text1" w:themeTint="F2"/>
          <w:spacing w:val="-2"/>
          <w:sz w:val="16"/>
          <w:szCs w:val="16"/>
        </w:rPr>
        <w:t>sezónní a</w:t>
      </w:r>
      <w:r>
        <w:rPr>
          <w:rFonts w:cs="Arial"/>
          <w:color w:val="0D0D0D" w:themeColor="text1" w:themeTint="F2"/>
          <w:spacing w:val="-2"/>
          <w:sz w:val="16"/>
          <w:szCs w:val="16"/>
        </w:rPr>
        <w:t> </w:t>
      </w:r>
      <w:r w:rsidRPr="0027583D">
        <w:rPr>
          <w:rFonts w:cs="Arial"/>
          <w:color w:val="0D0D0D" w:themeColor="text1" w:themeTint="F2"/>
          <w:spacing w:val="-2"/>
          <w:sz w:val="16"/>
          <w:szCs w:val="16"/>
        </w:rPr>
        <w:t>kalendářní vlivy.</w:t>
      </w:r>
    </w:p>
  </w:footnote>
  <w:footnote w:id="12">
    <w:p w:rsidR="00583E52" w:rsidRPr="0027583D" w:rsidRDefault="00583E52" w:rsidP="00C21430">
      <w:pPr>
        <w:pStyle w:val="Textpoznpodarou"/>
        <w:jc w:val="both"/>
        <w:rPr>
          <w:rFonts w:cs="Arial"/>
          <w:color w:val="0D0D0D" w:themeColor="text1" w:themeTint="F2"/>
          <w:sz w:val="16"/>
          <w:szCs w:val="16"/>
        </w:rPr>
      </w:pPr>
      <w:r w:rsidRPr="0027583D">
        <w:rPr>
          <w:rStyle w:val="Znakapoznpodarou"/>
          <w:rFonts w:cs="Arial"/>
          <w:color w:val="0D0D0D" w:themeColor="text1" w:themeTint="F2"/>
          <w:sz w:val="16"/>
          <w:szCs w:val="16"/>
        </w:rPr>
        <w:footnoteRef/>
      </w:r>
      <w:r w:rsidRPr="0027583D">
        <w:rPr>
          <w:rFonts w:cs="Arial"/>
          <w:color w:val="0D0D0D" w:themeColor="text1" w:themeTint="F2"/>
          <w:sz w:val="16"/>
          <w:szCs w:val="16"/>
        </w:rPr>
        <w:t xml:space="preserve"> Zatímco v loňském roce činila dle údajů ČHMÚ průměrná lednová teplota v ČR </w:t>
      </w:r>
      <w:r w:rsidR="007A775D">
        <w:rPr>
          <w:rFonts w:cs="Arial"/>
          <w:color w:val="0D0D0D" w:themeColor="text1" w:themeTint="F2"/>
          <w:sz w:val="16"/>
          <w:szCs w:val="16"/>
        </w:rPr>
        <w:t>-</w:t>
      </w:r>
      <w:r w:rsidRPr="0027583D">
        <w:rPr>
          <w:rFonts w:cs="Arial"/>
          <w:color w:val="0D0D0D" w:themeColor="text1" w:themeTint="F2"/>
          <w:sz w:val="16"/>
          <w:szCs w:val="16"/>
        </w:rPr>
        <w:t>5,6</w:t>
      </w:r>
      <w:r>
        <w:rPr>
          <w:rFonts w:cs="Arial"/>
          <w:color w:val="0D0D0D" w:themeColor="text1" w:themeTint="F2"/>
          <w:sz w:val="16"/>
          <w:szCs w:val="16"/>
        </w:rPr>
        <w:t> </w:t>
      </w:r>
      <w:r w:rsidRPr="0027583D">
        <w:rPr>
          <w:rFonts w:cs="Arial"/>
          <w:color w:val="0D0D0D" w:themeColor="text1" w:themeTint="F2"/>
          <w:sz w:val="16"/>
          <w:szCs w:val="16"/>
        </w:rPr>
        <w:t>°C, v letošním lednu dosáhla +1,8</w:t>
      </w:r>
      <w:r>
        <w:rPr>
          <w:rFonts w:cs="Arial"/>
          <w:color w:val="0D0D0D" w:themeColor="text1" w:themeTint="F2"/>
          <w:sz w:val="16"/>
          <w:szCs w:val="16"/>
        </w:rPr>
        <w:t> </w:t>
      </w:r>
      <w:r w:rsidRPr="0027583D">
        <w:rPr>
          <w:rFonts w:cs="Arial"/>
          <w:color w:val="0D0D0D" w:themeColor="text1" w:themeTint="F2"/>
          <w:sz w:val="16"/>
          <w:szCs w:val="16"/>
        </w:rPr>
        <w:t>°C</w:t>
      </w:r>
      <w:r>
        <w:rPr>
          <w:rFonts w:cs="Arial"/>
          <w:color w:val="0D0D0D" w:themeColor="text1" w:themeTint="F2"/>
          <w:sz w:val="16"/>
          <w:szCs w:val="16"/>
        </w:rPr>
        <w:t> </w:t>
      </w:r>
      <w:r w:rsidRPr="0027583D">
        <w:rPr>
          <w:rFonts w:cs="Arial"/>
          <w:color w:val="0D0D0D" w:themeColor="text1" w:themeTint="F2"/>
          <w:sz w:val="16"/>
          <w:szCs w:val="16"/>
        </w:rPr>
        <w:t>a</w:t>
      </w:r>
      <w:r>
        <w:rPr>
          <w:rFonts w:cs="Arial"/>
          <w:color w:val="0D0D0D" w:themeColor="text1" w:themeTint="F2"/>
          <w:sz w:val="16"/>
          <w:szCs w:val="16"/>
        </w:rPr>
        <w:t> </w:t>
      </w:r>
      <w:r w:rsidRPr="0027583D">
        <w:rPr>
          <w:rFonts w:cs="Arial"/>
          <w:color w:val="0D0D0D" w:themeColor="text1" w:themeTint="F2"/>
          <w:sz w:val="16"/>
          <w:szCs w:val="16"/>
        </w:rPr>
        <w:t>tento měsíc se zároveň stal čtvrtým nejteplejším lednem od roku 1961, kdy se začaly v zemi zaznamenávat celkové průměry teplot</w:t>
      </w:r>
      <w:r w:rsidRPr="0027583D">
        <w:rPr>
          <w:rFonts w:cs="Arial"/>
          <w:color w:val="0D0D0D" w:themeColor="text1" w:themeTint="F2"/>
          <w:sz w:val="16"/>
          <w:szCs w:val="16"/>
          <w:vertAlign w:val="superscript"/>
        </w:rPr>
        <w:t xml:space="preserve">. </w:t>
      </w:r>
      <w:r w:rsidRPr="0027583D">
        <w:rPr>
          <w:rFonts w:cs="Arial"/>
          <w:color w:val="0D0D0D" w:themeColor="text1" w:themeTint="F2"/>
          <w:spacing w:val="-2"/>
          <w:sz w:val="16"/>
          <w:szCs w:val="16"/>
        </w:rPr>
        <w:t>Přestože v únoru a</w:t>
      </w:r>
      <w:r>
        <w:rPr>
          <w:rFonts w:cs="Arial"/>
          <w:color w:val="0D0D0D" w:themeColor="text1" w:themeTint="F2"/>
          <w:spacing w:val="-2"/>
          <w:sz w:val="16"/>
          <w:szCs w:val="16"/>
        </w:rPr>
        <w:t> </w:t>
      </w:r>
      <w:r w:rsidRPr="0027583D">
        <w:rPr>
          <w:rFonts w:cs="Arial"/>
          <w:color w:val="0D0D0D" w:themeColor="text1" w:themeTint="F2"/>
          <w:spacing w:val="-2"/>
          <w:sz w:val="16"/>
          <w:szCs w:val="16"/>
        </w:rPr>
        <w:t xml:space="preserve">březnu se teploty pohybovaly mírně pod dlouhodobým normálem, </w:t>
      </w:r>
      <w:r w:rsidRPr="0027583D">
        <w:rPr>
          <w:rFonts w:cs="Arial"/>
          <w:color w:val="0D0D0D" w:themeColor="text1" w:themeTint="F2"/>
          <w:sz w:val="16"/>
          <w:szCs w:val="16"/>
        </w:rPr>
        <w:t>provádění stavebních pr</w:t>
      </w:r>
      <w:r>
        <w:rPr>
          <w:rFonts w:cs="Arial"/>
          <w:color w:val="0D0D0D" w:themeColor="text1" w:themeTint="F2"/>
          <w:sz w:val="16"/>
          <w:szCs w:val="16"/>
        </w:rPr>
        <w:t>a</w:t>
      </w:r>
      <w:r w:rsidRPr="0027583D">
        <w:rPr>
          <w:rFonts w:cs="Arial"/>
          <w:color w:val="0D0D0D" w:themeColor="text1" w:themeTint="F2"/>
          <w:sz w:val="16"/>
          <w:szCs w:val="16"/>
        </w:rPr>
        <w:t>cí již výrazně neomezovaly.</w:t>
      </w:r>
    </w:p>
  </w:footnote>
  <w:footnote w:id="13">
    <w:p w:rsidR="00583E52" w:rsidRPr="0027583D" w:rsidRDefault="00583E52" w:rsidP="00C21430">
      <w:pPr>
        <w:pStyle w:val="Textpoznpodarou"/>
        <w:jc w:val="both"/>
        <w:rPr>
          <w:rFonts w:cs="Arial"/>
          <w:color w:val="0D0D0D" w:themeColor="text1" w:themeTint="F2"/>
          <w:spacing w:val="-2"/>
          <w:sz w:val="16"/>
          <w:szCs w:val="16"/>
        </w:rPr>
      </w:pPr>
      <w:r w:rsidRPr="0027583D">
        <w:rPr>
          <w:rStyle w:val="Znakapoznpodarou"/>
          <w:rFonts w:cs="Arial"/>
          <w:color w:val="0D0D0D" w:themeColor="text1" w:themeTint="F2"/>
          <w:spacing w:val="-2"/>
          <w:sz w:val="16"/>
          <w:szCs w:val="16"/>
        </w:rPr>
        <w:footnoteRef/>
      </w:r>
      <w:r w:rsidRPr="0027583D">
        <w:rPr>
          <w:rFonts w:cs="Arial"/>
          <w:color w:val="0D0D0D" w:themeColor="text1" w:themeTint="F2"/>
          <w:spacing w:val="-2"/>
          <w:sz w:val="16"/>
          <w:szCs w:val="16"/>
        </w:rPr>
        <w:t xml:space="preserve"> Zahrnutá odvětví: Těžba a dobývání, Zpracovatelský průmysl, Energetika. Všechna meziroční tempa produkce (na úrovni odvětvových sekcí i</w:t>
      </w:r>
      <w:r>
        <w:rPr>
          <w:rFonts w:cs="Arial"/>
          <w:color w:val="0D0D0D" w:themeColor="text1" w:themeTint="F2"/>
          <w:spacing w:val="-2"/>
          <w:sz w:val="16"/>
          <w:szCs w:val="16"/>
        </w:rPr>
        <w:t> </w:t>
      </w:r>
      <w:r w:rsidRPr="0027583D">
        <w:rPr>
          <w:rFonts w:cs="Arial"/>
          <w:color w:val="0D0D0D" w:themeColor="text1" w:themeTint="F2"/>
          <w:spacing w:val="-2"/>
          <w:sz w:val="16"/>
          <w:szCs w:val="16"/>
        </w:rPr>
        <w:t>oddílů) jsou očištěna o</w:t>
      </w:r>
      <w:r>
        <w:rPr>
          <w:rFonts w:cs="Arial"/>
          <w:color w:val="0D0D0D" w:themeColor="text1" w:themeTint="F2"/>
          <w:spacing w:val="-2"/>
          <w:sz w:val="16"/>
          <w:szCs w:val="16"/>
        </w:rPr>
        <w:t> </w:t>
      </w:r>
      <w:r w:rsidRPr="0027583D">
        <w:rPr>
          <w:rFonts w:cs="Arial"/>
          <w:color w:val="0D0D0D" w:themeColor="text1" w:themeTint="F2"/>
          <w:spacing w:val="-2"/>
          <w:sz w:val="16"/>
          <w:szCs w:val="16"/>
        </w:rPr>
        <w:t>kalendářní vlivy.</w:t>
      </w:r>
    </w:p>
  </w:footnote>
  <w:footnote w:id="14">
    <w:p w:rsidR="00583E52" w:rsidRPr="0027583D" w:rsidRDefault="00583E52" w:rsidP="00C21430">
      <w:pPr>
        <w:pStyle w:val="Textpoznpodarou"/>
        <w:jc w:val="both"/>
        <w:rPr>
          <w:rFonts w:cs="Arial"/>
          <w:color w:val="0D0D0D" w:themeColor="text1" w:themeTint="F2"/>
          <w:sz w:val="16"/>
          <w:szCs w:val="16"/>
        </w:rPr>
      </w:pPr>
      <w:r w:rsidRPr="0027583D">
        <w:rPr>
          <w:rStyle w:val="Znakapoznpodarou"/>
          <w:rFonts w:cs="Arial"/>
          <w:color w:val="0D0D0D" w:themeColor="text1" w:themeTint="F2"/>
          <w:sz w:val="16"/>
          <w:szCs w:val="16"/>
        </w:rPr>
        <w:footnoteRef/>
      </w:r>
      <w:r w:rsidRPr="0027583D">
        <w:rPr>
          <w:rFonts w:cs="Arial"/>
          <w:color w:val="0D0D0D" w:themeColor="text1" w:themeTint="F2"/>
          <w:sz w:val="16"/>
          <w:szCs w:val="16"/>
        </w:rPr>
        <w:t xml:space="preserve"> </w:t>
      </w:r>
      <w:r w:rsidRPr="0027583D">
        <w:rPr>
          <w:rFonts w:cs="Arial"/>
          <w:color w:val="0D0D0D" w:themeColor="text1" w:themeTint="F2"/>
          <w:spacing w:val="-3"/>
          <w:sz w:val="16"/>
          <w:szCs w:val="16"/>
        </w:rPr>
        <w:t>V 1. čtvrtletí 2018 bylo ve srovnání se stejným obdobím r</w:t>
      </w:r>
      <w:r>
        <w:rPr>
          <w:rFonts w:cs="Arial"/>
          <w:color w:val="0D0D0D" w:themeColor="text1" w:themeTint="F2"/>
          <w:spacing w:val="-3"/>
          <w:sz w:val="16"/>
          <w:szCs w:val="16"/>
        </w:rPr>
        <w:t>. </w:t>
      </w:r>
      <w:r w:rsidRPr="0027583D">
        <w:rPr>
          <w:rFonts w:cs="Arial"/>
          <w:color w:val="0D0D0D" w:themeColor="text1" w:themeTint="F2"/>
          <w:spacing w:val="-3"/>
          <w:sz w:val="16"/>
          <w:szCs w:val="16"/>
        </w:rPr>
        <w:t>2017 o dva pracovní dny méně. Bez očištění činil loni meziroční růst jen 1,9</w:t>
      </w:r>
      <w:r>
        <w:rPr>
          <w:rFonts w:cs="Arial"/>
          <w:color w:val="0D0D0D" w:themeColor="text1" w:themeTint="F2"/>
          <w:spacing w:val="-3"/>
          <w:sz w:val="16"/>
          <w:szCs w:val="16"/>
        </w:rPr>
        <w:t> %.</w:t>
      </w:r>
    </w:p>
  </w:footnote>
  <w:footnote w:id="15">
    <w:p w:rsidR="00583E52" w:rsidRDefault="00583E52" w:rsidP="00C21430">
      <w:pPr>
        <w:pStyle w:val="Textpoznpodarou"/>
        <w:jc w:val="both"/>
      </w:pPr>
      <w:r w:rsidRPr="0027583D">
        <w:rPr>
          <w:rStyle w:val="Znakapoznpodarou"/>
          <w:rFonts w:cs="Arial"/>
          <w:color w:val="0D0D0D" w:themeColor="text1" w:themeTint="F2"/>
          <w:sz w:val="16"/>
          <w:szCs w:val="16"/>
        </w:rPr>
        <w:footnoteRef/>
      </w:r>
      <w:r w:rsidRPr="0027583D">
        <w:rPr>
          <w:rFonts w:cs="Arial"/>
          <w:color w:val="0D0D0D" w:themeColor="text1" w:themeTint="F2"/>
          <w:sz w:val="16"/>
          <w:szCs w:val="16"/>
        </w:rPr>
        <w:t xml:space="preserve"> Dle údajů Sdružení automobilového průmyslu bylo v 1</w:t>
      </w:r>
      <w:r>
        <w:rPr>
          <w:rFonts w:cs="Arial"/>
          <w:color w:val="0D0D0D" w:themeColor="text1" w:themeTint="F2"/>
          <w:sz w:val="16"/>
          <w:szCs w:val="16"/>
        </w:rPr>
        <w:t>. čtvrt</w:t>
      </w:r>
      <w:r w:rsidRPr="0027583D">
        <w:rPr>
          <w:rFonts w:cs="Arial"/>
          <w:color w:val="0D0D0D" w:themeColor="text1" w:themeTint="F2"/>
          <w:sz w:val="16"/>
          <w:szCs w:val="16"/>
        </w:rPr>
        <w:t>letí 2018 v Česku vyrobeno 379</w:t>
      </w:r>
      <w:r>
        <w:rPr>
          <w:rFonts w:cs="Arial"/>
          <w:color w:val="0D0D0D" w:themeColor="text1" w:themeTint="F2"/>
          <w:sz w:val="16"/>
          <w:szCs w:val="16"/>
        </w:rPr>
        <w:t> </w:t>
      </w:r>
      <w:r w:rsidRPr="0027583D">
        <w:rPr>
          <w:rFonts w:cs="Arial"/>
          <w:color w:val="0D0D0D" w:themeColor="text1" w:themeTint="F2"/>
          <w:sz w:val="16"/>
          <w:szCs w:val="16"/>
        </w:rPr>
        <w:t>tis. motorových vozidel, meziročně o 2,6 % m</w:t>
      </w:r>
      <w:r>
        <w:rPr>
          <w:rFonts w:cs="Arial"/>
          <w:color w:val="0D0D0D" w:themeColor="text1" w:themeTint="F2"/>
          <w:sz w:val="16"/>
          <w:szCs w:val="16"/>
        </w:rPr>
        <w:t>é</w:t>
      </w:r>
      <w:r w:rsidRPr="0027583D">
        <w:rPr>
          <w:rFonts w:cs="Arial"/>
          <w:color w:val="0D0D0D" w:themeColor="text1" w:themeTint="F2"/>
          <w:sz w:val="16"/>
          <w:szCs w:val="16"/>
        </w:rPr>
        <w:t>ně (za celý loňský rok +5,2</w:t>
      </w:r>
      <w:r>
        <w:rPr>
          <w:rFonts w:cs="Arial"/>
          <w:color w:val="0D0D0D" w:themeColor="text1" w:themeTint="F2"/>
          <w:sz w:val="16"/>
          <w:szCs w:val="16"/>
        </w:rPr>
        <w:t> %</w:t>
      </w:r>
      <w:r w:rsidRPr="0027583D">
        <w:rPr>
          <w:rFonts w:cs="Arial"/>
          <w:color w:val="0D0D0D" w:themeColor="text1" w:themeTint="F2"/>
          <w:sz w:val="16"/>
          <w:szCs w:val="16"/>
        </w:rPr>
        <w:t>). Na poklesu se vedle osobních automobilů podílela i</w:t>
      </w:r>
      <w:r>
        <w:rPr>
          <w:rFonts w:cs="Arial"/>
          <w:color w:val="0D0D0D" w:themeColor="text1" w:themeTint="F2"/>
          <w:sz w:val="16"/>
          <w:szCs w:val="16"/>
        </w:rPr>
        <w:t> </w:t>
      </w:r>
      <w:r w:rsidRPr="0027583D">
        <w:rPr>
          <w:rFonts w:cs="Arial"/>
          <w:color w:val="0D0D0D" w:themeColor="text1" w:themeTint="F2"/>
          <w:sz w:val="16"/>
          <w:szCs w:val="16"/>
        </w:rPr>
        <w:t>většina zbývajících kategorií motorových vozidel. Více než 90</w:t>
      </w:r>
      <w:r>
        <w:rPr>
          <w:rFonts w:cs="Arial"/>
          <w:color w:val="0D0D0D" w:themeColor="text1" w:themeTint="F2"/>
          <w:sz w:val="16"/>
          <w:szCs w:val="16"/>
        </w:rPr>
        <w:t> %</w:t>
      </w:r>
      <w:r w:rsidRPr="0027583D">
        <w:rPr>
          <w:rFonts w:cs="Arial"/>
          <w:color w:val="0D0D0D" w:themeColor="text1" w:themeTint="F2"/>
          <w:sz w:val="16"/>
          <w:szCs w:val="16"/>
        </w:rPr>
        <w:t xml:space="preserve"> produkce směřovalo na export.</w:t>
      </w:r>
    </w:p>
  </w:footnote>
  <w:footnote w:id="16">
    <w:p w:rsidR="00583E52" w:rsidRPr="00715E4D" w:rsidRDefault="00583E52" w:rsidP="003927F6">
      <w:pPr>
        <w:pStyle w:val="Textpoznpodarou"/>
        <w:jc w:val="both"/>
        <w:rPr>
          <w:sz w:val="16"/>
          <w:szCs w:val="16"/>
        </w:rPr>
      </w:pPr>
      <w:r w:rsidRPr="00715E4D">
        <w:rPr>
          <w:rStyle w:val="Znakapoznpodarou"/>
          <w:sz w:val="16"/>
          <w:szCs w:val="16"/>
        </w:rPr>
        <w:footnoteRef/>
      </w:r>
      <w:r w:rsidRPr="00715E4D">
        <w:rPr>
          <w:sz w:val="16"/>
          <w:szCs w:val="16"/>
        </w:rPr>
        <w:t xml:space="preserve"> Meziročn</w:t>
      </w:r>
      <w:r>
        <w:rPr>
          <w:sz w:val="16"/>
          <w:szCs w:val="16"/>
        </w:rPr>
        <w:t>ě</w:t>
      </w:r>
      <w:r w:rsidRPr="00715E4D">
        <w:rPr>
          <w:sz w:val="16"/>
          <w:szCs w:val="16"/>
        </w:rPr>
        <w:t xml:space="preserve"> poklesla v tomto odvětví produkce o</w:t>
      </w:r>
      <w:r>
        <w:rPr>
          <w:sz w:val="16"/>
          <w:szCs w:val="16"/>
        </w:rPr>
        <w:t> </w:t>
      </w:r>
      <w:r w:rsidRPr="00715E4D">
        <w:rPr>
          <w:sz w:val="16"/>
          <w:szCs w:val="16"/>
        </w:rPr>
        <w:t>pětinu, za posledních deset let o</w:t>
      </w:r>
      <w:r>
        <w:rPr>
          <w:sz w:val="16"/>
          <w:szCs w:val="16"/>
        </w:rPr>
        <w:t> </w:t>
      </w:r>
      <w:r w:rsidRPr="00715E4D">
        <w:rPr>
          <w:sz w:val="16"/>
          <w:szCs w:val="16"/>
        </w:rPr>
        <w:t>38</w:t>
      </w:r>
      <w:r>
        <w:rPr>
          <w:sz w:val="16"/>
          <w:szCs w:val="16"/>
        </w:rPr>
        <w:t> %</w:t>
      </w:r>
      <w:r w:rsidRPr="00715E4D">
        <w:rPr>
          <w:sz w:val="16"/>
          <w:szCs w:val="16"/>
        </w:rPr>
        <w:t>.</w:t>
      </w:r>
    </w:p>
  </w:footnote>
  <w:footnote w:id="17">
    <w:p w:rsidR="00583E52" w:rsidRPr="00537571" w:rsidRDefault="00583E52" w:rsidP="003927F6">
      <w:pPr>
        <w:pStyle w:val="Textpoznpodarou"/>
        <w:jc w:val="both"/>
        <w:rPr>
          <w:sz w:val="16"/>
          <w:szCs w:val="16"/>
        </w:rPr>
      </w:pPr>
      <w:r w:rsidRPr="00537571">
        <w:rPr>
          <w:rStyle w:val="Znakapoznpodarou"/>
          <w:sz w:val="16"/>
          <w:szCs w:val="16"/>
        </w:rPr>
        <w:footnoteRef/>
      </w:r>
      <w:r w:rsidRPr="00537571">
        <w:rPr>
          <w:sz w:val="16"/>
          <w:szCs w:val="16"/>
        </w:rPr>
        <w:t xml:space="preserve"> Za poklesem stál především dlouhod</w:t>
      </w:r>
      <w:r>
        <w:rPr>
          <w:sz w:val="16"/>
          <w:szCs w:val="16"/>
        </w:rPr>
        <w:t>o</w:t>
      </w:r>
      <w:r w:rsidRPr="00537571">
        <w:rPr>
          <w:sz w:val="16"/>
          <w:szCs w:val="16"/>
        </w:rPr>
        <w:t>bý útlum těžby černé</w:t>
      </w:r>
      <w:r>
        <w:rPr>
          <w:sz w:val="16"/>
          <w:szCs w:val="16"/>
        </w:rPr>
        <w:t>ho</w:t>
      </w:r>
      <w:r w:rsidRPr="00537571">
        <w:rPr>
          <w:sz w:val="16"/>
          <w:szCs w:val="16"/>
        </w:rPr>
        <w:t xml:space="preserve"> </w:t>
      </w:r>
      <w:r>
        <w:rPr>
          <w:sz w:val="16"/>
          <w:szCs w:val="16"/>
        </w:rPr>
        <w:t>uhlí. Naopak ve váhově méně výz</w:t>
      </w:r>
      <w:r w:rsidRPr="00537571">
        <w:rPr>
          <w:sz w:val="16"/>
          <w:szCs w:val="16"/>
        </w:rPr>
        <w:t>n</w:t>
      </w:r>
      <w:r>
        <w:rPr>
          <w:sz w:val="16"/>
          <w:szCs w:val="16"/>
        </w:rPr>
        <w:t>amn</w:t>
      </w:r>
      <w:r w:rsidRPr="00537571">
        <w:rPr>
          <w:sz w:val="16"/>
          <w:szCs w:val="16"/>
        </w:rPr>
        <w:t>ém oddílu osta</w:t>
      </w:r>
      <w:r>
        <w:rPr>
          <w:sz w:val="16"/>
          <w:szCs w:val="16"/>
        </w:rPr>
        <w:t>tní těžba a dobývání (zahrnujícím</w:t>
      </w:r>
      <w:r w:rsidRPr="00537571">
        <w:rPr>
          <w:sz w:val="16"/>
          <w:szCs w:val="16"/>
        </w:rPr>
        <w:t xml:space="preserve"> těžbu stavebních materiálů – </w:t>
      </w:r>
      <w:r w:rsidR="007A775D">
        <w:rPr>
          <w:sz w:val="16"/>
          <w:szCs w:val="16"/>
        </w:rPr>
        <w:t>kamene, jílů, písků) produkce po 1</w:t>
      </w:r>
      <w:r>
        <w:rPr>
          <w:sz w:val="16"/>
          <w:szCs w:val="16"/>
        </w:rPr>
        <w:t>. čtvrt</w:t>
      </w:r>
      <w:r w:rsidRPr="00537571">
        <w:rPr>
          <w:sz w:val="16"/>
          <w:szCs w:val="16"/>
        </w:rPr>
        <w:t>letí 2017 rostla.</w:t>
      </w:r>
    </w:p>
  </w:footnote>
  <w:footnote w:id="18">
    <w:p w:rsidR="00583E52" w:rsidRPr="003927F6" w:rsidRDefault="00583E52" w:rsidP="003927F6">
      <w:pPr>
        <w:pStyle w:val="Textpoznpodarou"/>
        <w:jc w:val="both"/>
        <w:rPr>
          <w:sz w:val="16"/>
          <w:szCs w:val="16"/>
        </w:rPr>
      </w:pPr>
      <w:r w:rsidRPr="003927F6">
        <w:rPr>
          <w:rStyle w:val="Znakapoznpodarou"/>
          <w:sz w:val="16"/>
          <w:szCs w:val="16"/>
        </w:rPr>
        <w:footnoteRef/>
      </w:r>
      <w:r w:rsidRPr="003927F6">
        <w:rPr>
          <w:sz w:val="16"/>
          <w:szCs w:val="16"/>
        </w:rPr>
        <w:t xml:space="preserve"> V 1</w:t>
      </w:r>
      <w:r>
        <w:rPr>
          <w:sz w:val="16"/>
          <w:szCs w:val="16"/>
        </w:rPr>
        <w:t>. čtvrt</w:t>
      </w:r>
      <w:r w:rsidRPr="003927F6">
        <w:rPr>
          <w:sz w:val="16"/>
          <w:szCs w:val="16"/>
        </w:rPr>
        <w:t>letí 2018 činila hrubá výroba elektřiny 23</w:t>
      </w:r>
      <w:r>
        <w:rPr>
          <w:sz w:val="16"/>
          <w:szCs w:val="16"/>
        </w:rPr>
        <w:t> </w:t>
      </w:r>
      <w:proofErr w:type="spellStart"/>
      <w:r w:rsidRPr="003927F6">
        <w:rPr>
          <w:sz w:val="16"/>
          <w:szCs w:val="16"/>
        </w:rPr>
        <w:t>TWh</w:t>
      </w:r>
      <w:proofErr w:type="spellEnd"/>
      <w:r w:rsidRPr="003927F6">
        <w:rPr>
          <w:sz w:val="16"/>
          <w:szCs w:val="16"/>
        </w:rPr>
        <w:t>, meziročně o</w:t>
      </w:r>
      <w:r>
        <w:rPr>
          <w:sz w:val="16"/>
          <w:szCs w:val="16"/>
        </w:rPr>
        <w:t> </w:t>
      </w:r>
      <w:r w:rsidRPr="003927F6">
        <w:rPr>
          <w:sz w:val="16"/>
          <w:szCs w:val="16"/>
        </w:rPr>
        <w:t>4,1</w:t>
      </w:r>
      <w:r>
        <w:rPr>
          <w:sz w:val="16"/>
          <w:szCs w:val="16"/>
        </w:rPr>
        <w:t> %</w:t>
      </w:r>
      <w:r w:rsidRPr="003927F6">
        <w:rPr>
          <w:sz w:val="16"/>
          <w:szCs w:val="16"/>
        </w:rPr>
        <w:t xml:space="preserve"> méně. </w:t>
      </w:r>
      <w:r>
        <w:rPr>
          <w:sz w:val="16"/>
          <w:szCs w:val="16"/>
        </w:rPr>
        <w:t>Snížilo se i kladné saldo zahraničního obchodu s elektřinou.</w:t>
      </w:r>
    </w:p>
  </w:footnote>
  <w:footnote w:id="19">
    <w:p w:rsidR="00583E52" w:rsidRPr="009A2359" w:rsidRDefault="00583E52" w:rsidP="00C21430">
      <w:pPr>
        <w:pStyle w:val="Textpoznpodarou"/>
        <w:rPr>
          <w:sz w:val="16"/>
          <w:szCs w:val="16"/>
        </w:rPr>
      </w:pPr>
      <w:r w:rsidRPr="009A2359">
        <w:rPr>
          <w:rStyle w:val="Znakapoznpodarou"/>
          <w:sz w:val="16"/>
          <w:szCs w:val="16"/>
        </w:rPr>
        <w:footnoteRef/>
      </w:r>
      <w:r w:rsidRPr="009A2359">
        <w:rPr>
          <w:sz w:val="16"/>
          <w:szCs w:val="16"/>
        </w:rPr>
        <w:t xml:space="preserve"> </w:t>
      </w:r>
      <w:r w:rsidRPr="009A2359">
        <w:rPr>
          <w:rFonts w:cs="Arial"/>
          <w:color w:val="0D0D0D" w:themeColor="text1" w:themeTint="F2"/>
          <w:spacing w:val="-4"/>
          <w:sz w:val="16"/>
          <w:szCs w:val="16"/>
        </w:rPr>
        <w:t>Půjde přitom primárně</w:t>
      </w:r>
      <w:r w:rsidRPr="009A2359">
        <w:rPr>
          <w:rFonts w:eastAsia="Times New Roman" w:cs="Arial"/>
          <w:color w:val="0D0D0D" w:themeColor="text1" w:themeTint="F2"/>
          <w:spacing w:val="-4"/>
          <w:sz w:val="16"/>
          <w:szCs w:val="16"/>
        </w:rPr>
        <w:t xml:space="preserve"> o</w:t>
      </w:r>
      <w:r>
        <w:rPr>
          <w:rFonts w:eastAsia="Times New Roman" w:cs="Arial"/>
          <w:color w:val="0D0D0D" w:themeColor="text1" w:themeTint="F2"/>
          <w:spacing w:val="-4"/>
          <w:sz w:val="16"/>
          <w:szCs w:val="16"/>
        </w:rPr>
        <w:t> </w:t>
      </w:r>
      <w:r w:rsidRPr="009A2359">
        <w:rPr>
          <w:rFonts w:eastAsia="Times New Roman" w:cs="Arial"/>
          <w:color w:val="0D0D0D" w:themeColor="text1" w:themeTint="F2"/>
          <w:spacing w:val="-4"/>
          <w:sz w:val="16"/>
          <w:szCs w:val="16"/>
        </w:rPr>
        <w:t>obnovu stávajících výrobních zařízení, méně pak o</w:t>
      </w:r>
      <w:r>
        <w:rPr>
          <w:rFonts w:eastAsia="Times New Roman" w:cs="Arial"/>
          <w:color w:val="0D0D0D" w:themeColor="text1" w:themeTint="F2"/>
          <w:spacing w:val="-4"/>
          <w:sz w:val="16"/>
          <w:szCs w:val="16"/>
        </w:rPr>
        <w:t> </w:t>
      </w:r>
      <w:r w:rsidRPr="009A2359">
        <w:rPr>
          <w:rFonts w:eastAsia="Times New Roman" w:cs="Arial"/>
          <w:color w:val="0D0D0D" w:themeColor="text1" w:themeTint="F2"/>
          <w:spacing w:val="-4"/>
          <w:sz w:val="16"/>
          <w:szCs w:val="16"/>
        </w:rPr>
        <w:t>rozšíření výrobních kapacit a pořízení nových technologií.</w:t>
      </w:r>
    </w:p>
  </w:footnote>
  <w:footnote w:id="20">
    <w:p w:rsidR="00583E52" w:rsidRPr="00FA05A0" w:rsidRDefault="00583E52" w:rsidP="00C21430">
      <w:pPr>
        <w:pStyle w:val="Textpoznpodarou"/>
        <w:jc w:val="both"/>
        <w:rPr>
          <w:spacing w:val="-2"/>
          <w:sz w:val="16"/>
          <w:szCs w:val="16"/>
        </w:rPr>
      </w:pPr>
      <w:r w:rsidRPr="00FA05A0">
        <w:rPr>
          <w:rStyle w:val="Znakapoznpodarou"/>
          <w:spacing w:val="-2"/>
          <w:sz w:val="16"/>
          <w:szCs w:val="16"/>
        </w:rPr>
        <w:footnoteRef/>
      </w:r>
      <w:r w:rsidRPr="00FA05A0">
        <w:rPr>
          <w:spacing w:val="-2"/>
          <w:sz w:val="16"/>
          <w:szCs w:val="16"/>
        </w:rPr>
        <w:t xml:space="preserve"> </w:t>
      </w:r>
      <w:r w:rsidRPr="00FA05A0">
        <w:rPr>
          <w:color w:val="0D0D0D" w:themeColor="text1" w:themeTint="F2"/>
          <w:spacing w:val="-2"/>
          <w:sz w:val="16"/>
          <w:szCs w:val="16"/>
        </w:rPr>
        <w:t>Nedostatek zaměstnanců sužoval nejvíce silné exportní obory: automobilový průmysl (66</w:t>
      </w:r>
      <w:r>
        <w:rPr>
          <w:color w:val="0D0D0D" w:themeColor="text1" w:themeTint="F2"/>
          <w:spacing w:val="-2"/>
          <w:sz w:val="16"/>
          <w:szCs w:val="16"/>
        </w:rPr>
        <w:t> %</w:t>
      </w:r>
      <w:r w:rsidRPr="00FA05A0">
        <w:rPr>
          <w:color w:val="0D0D0D" w:themeColor="text1" w:themeTint="F2"/>
          <w:spacing w:val="-2"/>
          <w:sz w:val="16"/>
          <w:szCs w:val="16"/>
        </w:rPr>
        <w:t>), strojírenství (59</w:t>
      </w:r>
      <w:r>
        <w:rPr>
          <w:color w:val="0D0D0D" w:themeColor="text1" w:themeTint="F2"/>
          <w:spacing w:val="-2"/>
          <w:sz w:val="16"/>
          <w:szCs w:val="16"/>
        </w:rPr>
        <w:t> %</w:t>
      </w:r>
      <w:r w:rsidRPr="00FA05A0">
        <w:rPr>
          <w:color w:val="0D0D0D" w:themeColor="text1" w:themeTint="F2"/>
          <w:spacing w:val="-2"/>
          <w:sz w:val="16"/>
          <w:szCs w:val="16"/>
        </w:rPr>
        <w:t>), hlavní subdodavatele pro automobilový průmysl (kolem 50</w:t>
      </w:r>
      <w:r>
        <w:rPr>
          <w:color w:val="0D0D0D" w:themeColor="text1" w:themeTint="F2"/>
          <w:spacing w:val="-2"/>
          <w:sz w:val="16"/>
          <w:szCs w:val="16"/>
        </w:rPr>
        <w:t> %</w:t>
      </w:r>
      <w:r w:rsidRPr="00FA05A0">
        <w:rPr>
          <w:color w:val="0D0D0D" w:themeColor="text1" w:themeTint="F2"/>
          <w:spacing w:val="-2"/>
          <w:sz w:val="16"/>
          <w:szCs w:val="16"/>
        </w:rPr>
        <w:t>) a</w:t>
      </w:r>
      <w:r>
        <w:rPr>
          <w:color w:val="0D0D0D" w:themeColor="text1" w:themeTint="F2"/>
          <w:spacing w:val="-2"/>
          <w:sz w:val="16"/>
          <w:szCs w:val="16"/>
        </w:rPr>
        <w:t> </w:t>
      </w:r>
      <w:r w:rsidRPr="00FA05A0">
        <w:rPr>
          <w:color w:val="0D0D0D" w:themeColor="text1" w:themeTint="F2"/>
          <w:spacing w:val="-2"/>
          <w:sz w:val="16"/>
          <w:szCs w:val="16"/>
        </w:rPr>
        <w:t>kovodělný průmysl (47</w:t>
      </w:r>
      <w:r>
        <w:rPr>
          <w:color w:val="0D0D0D" w:themeColor="text1" w:themeTint="F2"/>
          <w:spacing w:val="-2"/>
          <w:sz w:val="16"/>
          <w:szCs w:val="16"/>
        </w:rPr>
        <w:t> %</w:t>
      </w:r>
      <w:r w:rsidRPr="00FA05A0">
        <w:rPr>
          <w:color w:val="0D0D0D" w:themeColor="text1" w:themeTint="F2"/>
          <w:spacing w:val="-2"/>
          <w:sz w:val="16"/>
          <w:szCs w:val="16"/>
        </w:rPr>
        <w:t>). Vysoký byl i</w:t>
      </w:r>
      <w:r>
        <w:rPr>
          <w:color w:val="0D0D0D" w:themeColor="text1" w:themeTint="F2"/>
          <w:spacing w:val="-2"/>
          <w:sz w:val="16"/>
          <w:szCs w:val="16"/>
        </w:rPr>
        <w:t> </w:t>
      </w:r>
      <w:r w:rsidRPr="00FA05A0">
        <w:rPr>
          <w:color w:val="0D0D0D" w:themeColor="text1" w:themeTint="F2"/>
          <w:spacing w:val="-2"/>
          <w:sz w:val="16"/>
          <w:szCs w:val="16"/>
        </w:rPr>
        <w:t>v</w:t>
      </w:r>
      <w:r>
        <w:rPr>
          <w:color w:val="0D0D0D" w:themeColor="text1" w:themeTint="F2"/>
          <w:spacing w:val="-2"/>
          <w:sz w:val="16"/>
          <w:szCs w:val="16"/>
        </w:rPr>
        <w:t> </w:t>
      </w:r>
      <w:r w:rsidRPr="00FA05A0">
        <w:rPr>
          <w:color w:val="0D0D0D" w:themeColor="text1" w:themeTint="F2"/>
          <w:spacing w:val="-2"/>
          <w:sz w:val="16"/>
          <w:szCs w:val="16"/>
        </w:rPr>
        <w:t>mnoh</w:t>
      </w:r>
      <w:r>
        <w:rPr>
          <w:color w:val="0D0D0D" w:themeColor="text1" w:themeTint="F2"/>
          <w:spacing w:val="-2"/>
          <w:sz w:val="16"/>
          <w:szCs w:val="16"/>
        </w:rPr>
        <w:t>a</w:t>
      </w:r>
      <w:r w:rsidRPr="00FA05A0">
        <w:rPr>
          <w:color w:val="0D0D0D" w:themeColor="text1" w:themeTint="F2"/>
          <w:spacing w:val="-2"/>
          <w:sz w:val="16"/>
          <w:szCs w:val="16"/>
        </w:rPr>
        <w:t xml:space="preserve"> malých oborech s nízkou mzdovou úrovní – průmysl kožedělný (79 %), textilní (51</w:t>
      </w:r>
      <w:r>
        <w:rPr>
          <w:color w:val="0D0D0D" w:themeColor="text1" w:themeTint="F2"/>
          <w:spacing w:val="-2"/>
          <w:sz w:val="16"/>
          <w:szCs w:val="16"/>
        </w:rPr>
        <w:t> %</w:t>
      </w:r>
      <w:r w:rsidRPr="00FA05A0">
        <w:rPr>
          <w:color w:val="0D0D0D" w:themeColor="text1" w:themeTint="F2"/>
          <w:spacing w:val="-2"/>
          <w:sz w:val="16"/>
          <w:szCs w:val="16"/>
        </w:rPr>
        <w:t>), oděvní (40</w:t>
      </w:r>
      <w:r>
        <w:rPr>
          <w:color w:val="0D0D0D" w:themeColor="text1" w:themeTint="F2"/>
          <w:spacing w:val="-2"/>
          <w:sz w:val="16"/>
          <w:szCs w:val="16"/>
        </w:rPr>
        <w:t> %</w:t>
      </w:r>
      <w:r w:rsidRPr="00FA05A0">
        <w:rPr>
          <w:color w:val="0D0D0D" w:themeColor="text1" w:themeTint="F2"/>
          <w:spacing w:val="-2"/>
          <w:sz w:val="16"/>
          <w:szCs w:val="16"/>
        </w:rPr>
        <w:t>). Nízký (do 15</w:t>
      </w:r>
      <w:r>
        <w:rPr>
          <w:color w:val="0D0D0D" w:themeColor="text1" w:themeTint="F2"/>
          <w:spacing w:val="-2"/>
          <w:sz w:val="16"/>
          <w:szCs w:val="16"/>
        </w:rPr>
        <w:t> %</w:t>
      </w:r>
      <w:r w:rsidRPr="00FA05A0">
        <w:rPr>
          <w:color w:val="0D0D0D" w:themeColor="text1" w:themeTint="F2"/>
          <w:spacing w:val="-2"/>
          <w:sz w:val="16"/>
          <w:szCs w:val="16"/>
        </w:rPr>
        <w:t>) pak v chemii, hutnictví, výrobě nápojů, těžbě a</w:t>
      </w:r>
      <w:r>
        <w:rPr>
          <w:color w:val="0D0D0D" w:themeColor="text1" w:themeTint="F2"/>
          <w:spacing w:val="-2"/>
          <w:sz w:val="16"/>
          <w:szCs w:val="16"/>
        </w:rPr>
        <w:t> </w:t>
      </w:r>
      <w:r w:rsidRPr="00FA05A0">
        <w:rPr>
          <w:color w:val="0D0D0D" w:themeColor="text1" w:themeTint="F2"/>
          <w:spacing w:val="-2"/>
          <w:sz w:val="16"/>
          <w:szCs w:val="16"/>
        </w:rPr>
        <w:t>energetice.</w:t>
      </w:r>
    </w:p>
  </w:footnote>
  <w:footnote w:id="21">
    <w:p w:rsidR="00583E52" w:rsidRPr="00D85B50" w:rsidRDefault="00583E52" w:rsidP="00512461">
      <w:pPr>
        <w:pStyle w:val="Textpoznpodarou"/>
        <w:jc w:val="both"/>
        <w:rPr>
          <w:spacing w:val="-4"/>
          <w:sz w:val="16"/>
          <w:szCs w:val="16"/>
        </w:rPr>
      </w:pPr>
      <w:r w:rsidRPr="00D85B50">
        <w:rPr>
          <w:rStyle w:val="Znakapoznpodarou"/>
          <w:color w:val="0D0D0D" w:themeColor="text1" w:themeTint="F2"/>
          <w:spacing w:val="-4"/>
          <w:sz w:val="16"/>
          <w:szCs w:val="16"/>
        </w:rPr>
        <w:footnoteRef/>
      </w:r>
      <w:r w:rsidRPr="00D85B50">
        <w:rPr>
          <w:color w:val="0D0D0D" w:themeColor="text1" w:themeTint="F2"/>
          <w:spacing w:val="-4"/>
          <w:sz w:val="16"/>
          <w:szCs w:val="16"/>
        </w:rPr>
        <w:t xml:space="preserve"> </w:t>
      </w:r>
      <w:r>
        <w:rPr>
          <w:color w:val="0D0D0D" w:themeColor="text1" w:themeTint="F2"/>
          <w:spacing w:val="-4"/>
          <w:sz w:val="16"/>
          <w:szCs w:val="16"/>
        </w:rPr>
        <w:t>Všechny m</w:t>
      </w:r>
      <w:r w:rsidRPr="00D85B50">
        <w:rPr>
          <w:color w:val="0D0D0D" w:themeColor="text1" w:themeTint="F2"/>
          <w:spacing w:val="-4"/>
          <w:sz w:val="16"/>
          <w:szCs w:val="16"/>
        </w:rPr>
        <w:t>eziroční údaje o</w:t>
      </w:r>
      <w:r>
        <w:rPr>
          <w:color w:val="0D0D0D" w:themeColor="text1" w:themeTint="F2"/>
          <w:spacing w:val="-4"/>
          <w:sz w:val="16"/>
          <w:szCs w:val="16"/>
        </w:rPr>
        <w:t> </w:t>
      </w:r>
      <w:r w:rsidRPr="00D85B50">
        <w:rPr>
          <w:color w:val="0D0D0D" w:themeColor="text1" w:themeTint="F2"/>
          <w:spacing w:val="-4"/>
          <w:sz w:val="16"/>
          <w:szCs w:val="16"/>
        </w:rPr>
        <w:t>s</w:t>
      </w:r>
      <w:r>
        <w:rPr>
          <w:color w:val="0D0D0D" w:themeColor="text1" w:themeTint="F2"/>
          <w:spacing w:val="-4"/>
          <w:sz w:val="16"/>
          <w:szCs w:val="16"/>
        </w:rPr>
        <w:t>tavební produkci jsou očištěny</w:t>
      </w:r>
      <w:r w:rsidRPr="00D85B50">
        <w:rPr>
          <w:color w:val="0D0D0D" w:themeColor="text1" w:themeTint="F2"/>
          <w:spacing w:val="-4"/>
          <w:sz w:val="16"/>
          <w:szCs w:val="16"/>
        </w:rPr>
        <w:t xml:space="preserve"> o</w:t>
      </w:r>
      <w:r>
        <w:rPr>
          <w:color w:val="0D0D0D" w:themeColor="text1" w:themeTint="F2"/>
          <w:spacing w:val="-4"/>
          <w:sz w:val="16"/>
          <w:szCs w:val="16"/>
        </w:rPr>
        <w:t> </w:t>
      </w:r>
      <w:r w:rsidRPr="00D85B50">
        <w:rPr>
          <w:color w:val="0D0D0D" w:themeColor="text1" w:themeTint="F2"/>
          <w:spacing w:val="-4"/>
          <w:sz w:val="16"/>
          <w:szCs w:val="16"/>
        </w:rPr>
        <w:t>kalendářní vlivy</w:t>
      </w:r>
      <w:r>
        <w:rPr>
          <w:color w:val="0D0D0D" w:themeColor="text1" w:themeTint="F2"/>
          <w:spacing w:val="-4"/>
          <w:sz w:val="16"/>
          <w:szCs w:val="16"/>
        </w:rPr>
        <w:t>.</w:t>
      </w:r>
    </w:p>
  </w:footnote>
  <w:footnote w:id="22">
    <w:p w:rsidR="00583E52" w:rsidRPr="00D97D00" w:rsidRDefault="00583E52">
      <w:pPr>
        <w:pStyle w:val="Textpoznpodarou"/>
        <w:rPr>
          <w:sz w:val="16"/>
          <w:szCs w:val="16"/>
        </w:rPr>
      </w:pPr>
      <w:r w:rsidRPr="00D97D00">
        <w:rPr>
          <w:rStyle w:val="Znakapoznpodarou"/>
          <w:sz w:val="16"/>
          <w:szCs w:val="16"/>
        </w:rPr>
        <w:footnoteRef/>
      </w:r>
      <w:r w:rsidRPr="00D97D00">
        <w:rPr>
          <w:sz w:val="16"/>
          <w:szCs w:val="16"/>
        </w:rPr>
        <w:t xml:space="preserve"> V Praze byla v prvn</w:t>
      </w:r>
      <w:r>
        <w:rPr>
          <w:sz w:val="16"/>
          <w:szCs w:val="16"/>
        </w:rPr>
        <w:t>í</w:t>
      </w:r>
      <w:r w:rsidRPr="00D97D00">
        <w:rPr>
          <w:sz w:val="16"/>
          <w:szCs w:val="16"/>
        </w:rPr>
        <w:t xml:space="preserve"> třetině roku 2018 zahájena výstavba 678 bytů. Na celorepubl</w:t>
      </w:r>
      <w:r>
        <w:rPr>
          <w:sz w:val="16"/>
          <w:szCs w:val="16"/>
        </w:rPr>
        <w:t xml:space="preserve">ikovém úhrnu se podílela 6,7 %. </w:t>
      </w:r>
    </w:p>
  </w:footnote>
  <w:footnote w:id="23">
    <w:p w:rsidR="00583E52" w:rsidRPr="001459BC" w:rsidRDefault="00583E52">
      <w:pPr>
        <w:pStyle w:val="Textpoznpodarou"/>
        <w:rPr>
          <w:sz w:val="16"/>
          <w:szCs w:val="16"/>
        </w:rPr>
      </w:pPr>
      <w:r w:rsidRPr="001459BC">
        <w:rPr>
          <w:rStyle w:val="Znakapoznpodarou"/>
          <w:sz w:val="16"/>
          <w:szCs w:val="16"/>
        </w:rPr>
        <w:footnoteRef/>
      </w:r>
      <w:r w:rsidRPr="001459BC">
        <w:rPr>
          <w:sz w:val="16"/>
          <w:szCs w:val="16"/>
        </w:rPr>
        <w:t xml:space="preserve"> Pokrývá pouze podniky s 50 a</w:t>
      </w:r>
      <w:r>
        <w:rPr>
          <w:sz w:val="16"/>
          <w:szCs w:val="16"/>
        </w:rPr>
        <w:t> </w:t>
      </w:r>
      <w:r w:rsidRPr="001459BC">
        <w:rPr>
          <w:sz w:val="16"/>
          <w:szCs w:val="16"/>
        </w:rPr>
        <w:t>více zaměstnanci.</w:t>
      </w:r>
    </w:p>
  </w:footnote>
  <w:footnote w:id="24">
    <w:p w:rsidR="00583E52" w:rsidRPr="006F440B" w:rsidRDefault="00583E52">
      <w:pPr>
        <w:pStyle w:val="Textpoznpodarou"/>
        <w:rPr>
          <w:sz w:val="16"/>
          <w:szCs w:val="16"/>
        </w:rPr>
      </w:pPr>
      <w:r w:rsidRPr="006F440B">
        <w:rPr>
          <w:rStyle w:val="Znakapoznpodarou"/>
          <w:sz w:val="16"/>
          <w:szCs w:val="16"/>
        </w:rPr>
        <w:footnoteRef/>
      </w:r>
      <w:r w:rsidRPr="006F440B">
        <w:rPr>
          <w:sz w:val="16"/>
          <w:szCs w:val="16"/>
        </w:rPr>
        <w:t xml:space="preserve"> </w:t>
      </w:r>
      <w:r>
        <w:rPr>
          <w:sz w:val="16"/>
          <w:szCs w:val="16"/>
        </w:rPr>
        <w:t>Jejich</w:t>
      </w:r>
      <w:r w:rsidRPr="006F440B">
        <w:rPr>
          <w:sz w:val="16"/>
          <w:szCs w:val="16"/>
        </w:rPr>
        <w:t xml:space="preserve"> objem poklesl za poslední čtyři roky o</w:t>
      </w:r>
      <w:r>
        <w:rPr>
          <w:sz w:val="16"/>
          <w:szCs w:val="16"/>
        </w:rPr>
        <w:t> </w:t>
      </w:r>
      <w:r w:rsidRPr="006F440B">
        <w:rPr>
          <w:sz w:val="16"/>
          <w:szCs w:val="16"/>
        </w:rPr>
        <w:t>polovinu (na 16</w:t>
      </w:r>
      <w:r>
        <w:rPr>
          <w:sz w:val="16"/>
          <w:szCs w:val="16"/>
        </w:rPr>
        <w:t> mld.</w:t>
      </w:r>
      <w:r w:rsidRPr="006F440B">
        <w:rPr>
          <w:sz w:val="16"/>
          <w:szCs w:val="16"/>
        </w:rPr>
        <w:t xml:space="preserve"> korun) a</w:t>
      </w:r>
      <w:r>
        <w:rPr>
          <w:sz w:val="16"/>
          <w:szCs w:val="16"/>
        </w:rPr>
        <w:t> </w:t>
      </w:r>
      <w:r w:rsidRPr="006F440B">
        <w:rPr>
          <w:sz w:val="16"/>
          <w:szCs w:val="16"/>
        </w:rPr>
        <w:t>na celkové zásobě práce stavebních podniků se v 1</w:t>
      </w:r>
      <w:r>
        <w:rPr>
          <w:sz w:val="16"/>
          <w:szCs w:val="16"/>
        </w:rPr>
        <w:t>. čtvrt</w:t>
      </w:r>
      <w:r w:rsidRPr="006F440B">
        <w:rPr>
          <w:sz w:val="16"/>
          <w:szCs w:val="16"/>
        </w:rPr>
        <w:t>letí 2018 podílely již jen desetinou.</w:t>
      </w:r>
    </w:p>
  </w:footnote>
  <w:footnote w:id="25">
    <w:p w:rsidR="00583E52" w:rsidRPr="0094416B" w:rsidRDefault="00583E52">
      <w:pPr>
        <w:pStyle w:val="Textpoznpodarou"/>
        <w:rPr>
          <w:sz w:val="16"/>
          <w:szCs w:val="16"/>
        </w:rPr>
      </w:pPr>
      <w:r w:rsidRPr="0094416B">
        <w:rPr>
          <w:rStyle w:val="Znakapoznpodarou"/>
          <w:sz w:val="16"/>
          <w:szCs w:val="16"/>
        </w:rPr>
        <w:footnoteRef/>
      </w:r>
      <w:r w:rsidRPr="0094416B">
        <w:rPr>
          <w:sz w:val="16"/>
          <w:szCs w:val="16"/>
        </w:rPr>
        <w:t xml:space="preserve"> Tato skutečnost souvisí se započetím realizace větší průmyslové stavby.</w:t>
      </w:r>
    </w:p>
  </w:footnote>
  <w:footnote w:id="26">
    <w:p w:rsidR="00583E52" w:rsidRPr="00DE38E6" w:rsidRDefault="00583E52" w:rsidP="00492879">
      <w:pPr>
        <w:spacing w:line="240" w:lineRule="auto"/>
      </w:pPr>
      <w:r w:rsidRPr="004A26AF">
        <w:rPr>
          <w:rStyle w:val="Znakapoznpodarou"/>
          <w:color w:val="0D0D0D" w:themeColor="text1" w:themeTint="F2"/>
          <w:sz w:val="16"/>
          <w:szCs w:val="16"/>
        </w:rPr>
        <w:footnoteRef/>
      </w:r>
      <w:r>
        <w:rPr>
          <w:color w:val="0D0D0D" w:themeColor="text1" w:themeTint="F2"/>
          <w:sz w:val="16"/>
          <w:szCs w:val="16"/>
        </w:rPr>
        <w:t xml:space="preserve"> B</w:t>
      </w:r>
      <w:r w:rsidRPr="004A26AF">
        <w:rPr>
          <w:color w:val="0D0D0D" w:themeColor="text1" w:themeTint="F2"/>
          <w:sz w:val="16"/>
          <w:szCs w:val="16"/>
        </w:rPr>
        <w:t>ez obchodu, peněžnictví, poji</w:t>
      </w:r>
      <w:r>
        <w:rPr>
          <w:color w:val="0D0D0D" w:themeColor="text1" w:themeTint="F2"/>
          <w:sz w:val="16"/>
          <w:szCs w:val="16"/>
        </w:rPr>
        <w:t>šťovnictví, vědy, výzkumu a veřejných</w:t>
      </w:r>
      <w:r w:rsidRPr="004A26AF">
        <w:rPr>
          <w:color w:val="0D0D0D" w:themeColor="text1" w:themeTint="F2"/>
          <w:sz w:val="16"/>
          <w:szCs w:val="16"/>
        </w:rPr>
        <w:t xml:space="preserve"> služeb. Všechny údaje za služby jsou </w:t>
      </w:r>
      <w:r>
        <w:rPr>
          <w:color w:val="0D0D0D" w:themeColor="text1" w:themeTint="F2"/>
          <w:sz w:val="16"/>
          <w:szCs w:val="16"/>
        </w:rPr>
        <w:t xml:space="preserve">ve stálých cenách, meziroční údaje jsou </w:t>
      </w:r>
      <w:r w:rsidRPr="004A26AF">
        <w:rPr>
          <w:color w:val="0D0D0D" w:themeColor="text1" w:themeTint="F2"/>
          <w:sz w:val="16"/>
          <w:szCs w:val="16"/>
        </w:rPr>
        <w:t>očištěny o</w:t>
      </w:r>
      <w:r>
        <w:rPr>
          <w:color w:val="0D0D0D" w:themeColor="text1" w:themeTint="F2"/>
          <w:sz w:val="16"/>
          <w:szCs w:val="16"/>
        </w:rPr>
        <w:t> </w:t>
      </w:r>
      <w:r w:rsidRPr="004A26AF">
        <w:rPr>
          <w:color w:val="0D0D0D" w:themeColor="text1" w:themeTint="F2"/>
          <w:sz w:val="16"/>
          <w:szCs w:val="16"/>
        </w:rPr>
        <w:t>kal</w:t>
      </w:r>
      <w:r>
        <w:rPr>
          <w:color w:val="0D0D0D" w:themeColor="text1" w:themeTint="F2"/>
          <w:sz w:val="16"/>
          <w:szCs w:val="16"/>
        </w:rPr>
        <w:t xml:space="preserve">endářní vlivy, </w:t>
      </w:r>
      <w:proofErr w:type="spellStart"/>
      <w:r>
        <w:rPr>
          <w:color w:val="0D0D0D" w:themeColor="text1" w:themeTint="F2"/>
          <w:sz w:val="16"/>
          <w:szCs w:val="16"/>
        </w:rPr>
        <w:t>mezičtvrtletní</w:t>
      </w:r>
      <w:proofErr w:type="spellEnd"/>
      <w:r>
        <w:rPr>
          <w:color w:val="0D0D0D" w:themeColor="text1" w:themeTint="F2"/>
          <w:sz w:val="16"/>
          <w:szCs w:val="16"/>
        </w:rPr>
        <w:t xml:space="preserve"> jsou očištěny o sezónní vlivy (včetně vlivu počtu pracovních dnů)</w:t>
      </w:r>
      <w:r w:rsidRPr="004A26AF">
        <w:rPr>
          <w:color w:val="0D0D0D" w:themeColor="text1" w:themeTint="F2"/>
          <w:sz w:val="16"/>
          <w:szCs w:val="16"/>
        </w:rPr>
        <w:t>.</w:t>
      </w:r>
    </w:p>
  </w:footnote>
  <w:footnote w:id="27">
    <w:p w:rsidR="00583E52" w:rsidRPr="004A62A0" w:rsidRDefault="00583E52" w:rsidP="00CC20FE">
      <w:pPr>
        <w:pStyle w:val="Textpoznpodarou"/>
        <w:jc w:val="both"/>
        <w:rPr>
          <w:sz w:val="16"/>
          <w:szCs w:val="16"/>
        </w:rPr>
      </w:pPr>
      <w:r w:rsidRPr="004A62A0">
        <w:rPr>
          <w:rStyle w:val="Znakapoznpodarou"/>
          <w:sz w:val="16"/>
          <w:szCs w:val="16"/>
        </w:rPr>
        <w:footnoteRef/>
      </w:r>
      <w:r w:rsidRPr="004A62A0">
        <w:rPr>
          <w:sz w:val="16"/>
          <w:szCs w:val="16"/>
        </w:rPr>
        <w:t xml:space="preserve"> Plošný charakter růstu byl letos patrný i</w:t>
      </w:r>
      <w:r>
        <w:rPr>
          <w:sz w:val="16"/>
          <w:szCs w:val="16"/>
        </w:rPr>
        <w:t> </w:t>
      </w:r>
      <w:r w:rsidRPr="004A62A0">
        <w:rPr>
          <w:sz w:val="16"/>
          <w:szCs w:val="16"/>
        </w:rPr>
        <w:t>na podrobnější úrovni. Z</w:t>
      </w:r>
      <w:r>
        <w:rPr>
          <w:sz w:val="16"/>
          <w:szCs w:val="16"/>
        </w:rPr>
        <w:t> </w:t>
      </w:r>
      <w:r w:rsidR="00DC56FE">
        <w:rPr>
          <w:sz w:val="16"/>
          <w:szCs w:val="16"/>
        </w:rPr>
        <w:t>25</w:t>
      </w:r>
      <w:r>
        <w:rPr>
          <w:sz w:val="16"/>
          <w:szCs w:val="16"/>
        </w:rPr>
        <w:t> </w:t>
      </w:r>
      <w:r w:rsidRPr="004A62A0">
        <w:rPr>
          <w:sz w:val="16"/>
          <w:szCs w:val="16"/>
        </w:rPr>
        <w:t xml:space="preserve">odvětvových oddílů služeb </w:t>
      </w:r>
      <w:r w:rsidR="00DC56FE">
        <w:rPr>
          <w:sz w:val="16"/>
          <w:szCs w:val="16"/>
        </w:rPr>
        <w:t xml:space="preserve">sledovaných v konjunkturální statistice, </w:t>
      </w:r>
      <w:r>
        <w:rPr>
          <w:sz w:val="16"/>
          <w:szCs w:val="16"/>
        </w:rPr>
        <w:t>jich</w:t>
      </w:r>
      <w:r w:rsidRPr="004A62A0">
        <w:rPr>
          <w:sz w:val="16"/>
          <w:szCs w:val="16"/>
        </w:rPr>
        <w:t xml:space="preserve"> meziroční snížení tržeb </w:t>
      </w:r>
      <w:r w:rsidR="00DC56FE">
        <w:rPr>
          <w:sz w:val="16"/>
          <w:szCs w:val="16"/>
        </w:rPr>
        <w:t>vykáza</w:t>
      </w:r>
      <w:r w:rsidR="00FC77EB">
        <w:rPr>
          <w:sz w:val="16"/>
          <w:szCs w:val="16"/>
        </w:rPr>
        <w:t>lo</w:t>
      </w:r>
      <w:r w:rsidR="00DC56FE">
        <w:rPr>
          <w:sz w:val="16"/>
          <w:szCs w:val="16"/>
        </w:rPr>
        <w:t xml:space="preserve"> </w:t>
      </w:r>
      <w:r w:rsidRPr="004A62A0">
        <w:rPr>
          <w:sz w:val="16"/>
          <w:szCs w:val="16"/>
        </w:rPr>
        <w:t>je</w:t>
      </w:r>
      <w:r>
        <w:rPr>
          <w:sz w:val="16"/>
          <w:szCs w:val="16"/>
        </w:rPr>
        <w:t>n </w:t>
      </w:r>
      <w:r w:rsidR="00570BC3">
        <w:rPr>
          <w:sz w:val="16"/>
          <w:szCs w:val="16"/>
        </w:rPr>
        <w:t>5</w:t>
      </w:r>
      <w:r w:rsidRPr="004A62A0">
        <w:rPr>
          <w:sz w:val="16"/>
          <w:szCs w:val="16"/>
        </w:rPr>
        <w:t>. Vyjma letecké dopravy (</w:t>
      </w:r>
      <w:r w:rsidR="00AC2960">
        <w:rPr>
          <w:sz w:val="16"/>
          <w:szCs w:val="16"/>
        </w:rPr>
        <w:t>-</w:t>
      </w:r>
      <w:r w:rsidR="005570D6">
        <w:rPr>
          <w:sz w:val="16"/>
          <w:szCs w:val="16"/>
        </w:rPr>
        <w:t>7,2</w:t>
      </w:r>
      <w:r>
        <w:rPr>
          <w:sz w:val="16"/>
          <w:szCs w:val="16"/>
        </w:rPr>
        <w:t> %</w:t>
      </w:r>
      <w:r w:rsidRPr="004A62A0">
        <w:rPr>
          <w:sz w:val="16"/>
          <w:szCs w:val="16"/>
        </w:rPr>
        <w:t>) šlo přitom jen o</w:t>
      </w:r>
      <w:r>
        <w:rPr>
          <w:sz w:val="16"/>
          <w:szCs w:val="16"/>
        </w:rPr>
        <w:t> </w:t>
      </w:r>
      <w:r w:rsidRPr="004A62A0">
        <w:rPr>
          <w:sz w:val="16"/>
          <w:szCs w:val="16"/>
        </w:rPr>
        <w:t xml:space="preserve">mělčí poklesy. </w:t>
      </w:r>
    </w:p>
  </w:footnote>
  <w:footnote w:id="28">
    <w:p w:rsidR="00583E52" w:rsidRPr="004A62A0" w:rsidRDefault="00583E52" w:rsidP="00634CE7">
      <w:pPr>
        <w:pStyle w:val="Textpoznpodarou"/>
        <w:jc w:val="both"/>
        <w:rPr>
          <w:sz w:val="16"/>
          <w:szCs w:val="16"/>
        </w:rPr>
      </w:pPr>
      <w:r w:rsidRPr="004A62A0">
        <w:rPr>
          <w:rStyle w:val="Znakapoznpodarou"/>
          <w:sz w:val="16"/>
          <w:szCs w:val="16"/>
        </w:rPr>
        <w:footnoteRef/>
      </w:r>
      <w:r w:rsidRPr="004A62A0">
        <w:rPr>
          <w:sz w:val="16"/>
          <w:szCs w:val="16"/>
        </w:rPr>
        <w:t xml:space="preserve"> V 1</w:t>
      </w:r>
      <w:r>
        <w:rPr>
          <w:sz w:val="16"/>
          <w:szCs w:val="16"/>
        </w:rPr>
        <w:t>. čtvrt</w:t>
      </w:r>
      <w:r w:rsidRPr="004A62A0">
        <w:rPr>
          <w:sz w:val="16"/>
          <w:szCs w:val="16"/>
        </w:rPr>
        <w:t>letí stoupl počet přenocování zahraničních hostů v hromadných ubytovacích zařízeních v ČR meziročně o</w:t>
      </w:r>
      <w:r>
        <w:rPr>
          <w:sz w:val="16"/>
          <w:szCs w:val="16"/>
        </w:rPr>
        <w:t> </w:t>
      </w:r>
      <w:r w:rsidRPr="004A62A0">
        <w:rPr>
          <w:sz w:val="16"/>
          <w:szCs w:val="16"/>
        </w:rPr>
        <w:t>9,0</w:t>
      </w:r>
      <w:r>
        <w:rPr>
          <w:sz w:val="16"/>
          <w:szCs w:val="16"/>
        </w:rPr>
        <w:t> %</w:t>
      </w:r>
      <w:r w:rsidRPr="004A62A0">
        <w:rPr>
          <w:sz w:val="16"/>
          <w:szCs w:val="16"/>
        </w:rPr>
        <w:t>, u</w:t>
      </w:r>
      <w:r>
        <w:rPr>
          <w:sz w:val="16"/>
          <w:szCs w:val="16"/>
        </w:rPr>
        <w:t> </w:t>
      </w:r>
      <w:r w:rsidRPr="004A62A0">
        <w:rPr>
          <w:sz w:val="16"/>
          <w:szCs w:val="16"/>
        </w:rPr>
        <w:t>tuzemské klientely dokonce o</w:t>
      </w:r>
      <w:r>
        <w:rPr>
          <w:sz w:val="16"/>
          <w:szCs w:val="16"/>
        </w:rPr>
        <w:t> </w:t>
      </w:r>
      <w:r w:rsidRPr="004A62A0">
        <w:rPr>
          <w:sz w:val="16"/>
          <w:szCs w:val="16"/>
        </w:rPr>
        <w:t>9,5</w:t>
      </w:r>
      <w:r>
        <w:rPr>
          <w:sz w:val="16"/>
          <w:szCs w:val="16"/>
        </w:rPr>
        <w:t> %</w:t>
      </w:r>
      <w:r w:rsidRPr="004A62A0">
        <w:rPr>
          <w:sz w:val="16"/>
          <w:szCs w:val="16"/>
        </w:rPr>
        <w:t xml:space="preserve">. </w:t>
      </w:r>
    </w:p>
  </w:footnote>
  <w:footnote w:id="29">
    <w:p w:rsidR="00583E52" w:rsidRPr="00122994" w:rsidRDefault="00583E52" w:rsidP="00097191">
      <w:pPr>
        <w:pStyle w:val="Textpoznpodarou"/>
      </w:pPr>
      <w:r w:rsidRPr="004A62A0">
        <w:rPr>
          <w:rStyle w:val="Znakapoznpodarou"/>
          <w:sz w:val="16"/>
          <w:szCs w:val="16"/>
        </w:rPr>
        <w:footnoteRef/>
      </w:r>
      <w:r w:rsidRPr="004A62A0">
        <w:rPr>
          <w:sz w:val="16"/>
          <w:szCs w:val="16"/>
        </w:rPr>
        <w:t xml:space="preserve"> Data nezahrnují motoristický segment. Údaje o</w:t>
      </w:r>
      <w:r>
        <w:rPr>
          <w:sz w:val="16"/>
          <w:szCs w:val="16"/>
        </w:rPr>
        <w:t> </w:t>
      </w:r>
      <w:r w:rsidRPr="004A62A0">
        <w:rPr>
          <w:sz w:val="16"/>
          <w:szCs w:val="16"/>
        </w:rPr>
        <w:t>maloobchodu jsou vyjádřeny ve stálých cenách a</w:t>
      </w:r>
      <w:r>
        <w:rPr>
          <w:sz w:val="16"/>
          <w:szCs w:val="16"/>
        </w:rPr>
        <w:t> </w:t>
      </w:r>
      <w:r w:rsidRPr="004A62A0">
        <w:rPr>
          <w:sz w:val="16"/>
          <w:szCs w:val="16"/>
        </w:rPr>
        <w:t>očištěny o</w:t>
      </w:r>
      <w:r>
        <w:rPr>
          <w:sz w:val="16"/>
          <w:szCs w:val="16"/>
        </w:rPr>
        <w:t> </w:t>
      </w:r>
      <w:r w:rsidRPr="004A62A0">
        <w:rPr>
          <w:sz w:val="16"/>
          <w:szCs w:val="16"/>
        </w:rPr>
        <w:t>kalendářní vlivy.</w:t>
      </w:r>
      <w:r w:rsidRPr="00122994">
        <w:t xml:space="preserve"> </w:t>
      </w:r>
    </w:p>
  </w:footnote>
  <w:footnote w:id="30">
    <w:p w:rsidR="00583E52" w:rsidRPr="003279A7" w:rsidRDefault="00583E52" w:rsidP="001554C2">
      <w:pPr>
        <w:pStyle w:val="Textpoznpodarou"/>
        <w:rPr>
          <w:sz w:val="16"/>
          <w:szCs w:val="16"/>
        </w:rPr>
      </w:pPr>
      <w:r w:rsidRPr="003279A7">
        <w:rPr>
          <w:rStyle w:val="Znakapoznpodarou"/>
          <w:sz w:val="16"/>
          <w:szCs w:val="16"/>
        </w:rPr>
        <w:footnoteRef/>
      </w:r>
      <w:r w:rsidRPr="003279A7">
        <w:rPr>
          <w:sz w:val="16"/>
          <w:szCs w:val="16"/>
        </w:rPr>
        <w:t xml:space="preserve"> Údaje </w:t>
      </w:r>
      <w:r>
        <w:rPr>
          <w:sz w:val="16"/>
          <w:szCs w:val="16"/>
        </w:rPr>
        <w:t xml:space="preserve">statistiky zahraničního obchodu </w:t>
      </w:r>
      <w:r w:rsidRPr="003279A7">
        <w:rPr>
          <w:sz w:val="16"/>
          <w:szCs w:val="16"/>
        </w:rPr>
        <w:t>v národním pojetí v nominálním vyjádření zahrnující pouze obchod se zbožím. Hodnota vývozu je zachycena v cenách FOB, tj. včetně nákladů souvisejících s dopravou na hranice ČR. Dovoz</w:t>
      </w:r>
      <w:r>
        <w:rPr>
          <w:sz w:val="16"/>
          <w:szCs w:val="16"/>
        </w:rPr>
        <w:t xml:space="preserve"> uvedený níže v této kapitole</w:t>
      </w:r>
      <w:r w:rsidRPr="003279A7">
        <w:rPr>
          <w:sz w:val="16"/>
          <w:szCs w:val="16"/>
        </w:rPr>
        <w:t xml:space="preserve"> je v cenách CIF, tj. včetně nákladů souvisejících s dopravou v zahraničí na hranice ČR. Data jsou platná k </w:t>
      </w:r>
      <w:r>
        <w:rPr>
          <w:sz w:val="16"/>
          <w:szCs w:val="16"/>
        </w:rPr>
        <w:t>6. 6. 2018.</w:t>
      </w:r>
    </w:p>
  </w:footnote>
  <w:footnote w:id="31">
    <w:p w:rsidR="00583E52" w:rsidRPr="00B4223A" w:rsidRDefault="00583E52" w:rsidP="00935BD4">
      <w:pPr>
        <w:pStyle w:val="Textpoznpodarou"/>
        <w:jc w:val="both"/>
        <w:rPr>
          <w:sz w:val="16"/>
          <w:szCs w:val="16"/>
        </w:rPr>
      </w:pPr>
      <w:r w:rsidRPr="00B4223A">
        <w:rPr>
          <w:rStyle w:val="Znakapoznpodarou"/>
          <w:sz w:val="16"/>
          <w:szCs w:val="16"/>
        </w:rPr>
        <w:footnoteRef/>
      </w:r>
      <w:r w:rsidRPr="00B4223A">
        <w:rPr>
          <w:sz w:val="16"/>
          <w:szCs w:val="16"/>
        </w:rPr>
        <w:t xml:space="preserve"> Pok</w:t>
      </w:r>
      <w:r>
        <w:rPr>
          <w:sz w:val="16"/>
          <w:szCs w:val="16"/>
        </w:rPr>
        <w:t xml:space="preserve">ud není uvedeno jinak, jsou </w:t>
      </w:r>
      <w:r w:rsidRPr="00B4223A">
        <w:rPr>
          <w:sz w:val="16"/>
          <w:szCs w:val="16"/>
        </w:rPr>
        <w:t xml:space="preserve">v této kapitole </w:t>
      </w:r>
      <w:r>
        <w:rPr>
          <w:sz w:val="16"/>
          <w:szCs w:val="16"/>
        </w:rPr>
        <w:t>údaje o zaměstnanosti</w:t>
      </w:r>
      <w:r w:rsidRPr="00B4223A">
        <w:rPr>
          <w:sz w:val="16"/>
          <w:szCs w:val="16"/>
        </w:rPr>
        <w:t xml:space="preserve"> </w:t>
      </w:r>
      <w:r>
        <w:rPr>
          <w:sz w:val="16"/>
          <w:szCs w:val="16"/>
        </w:rPr>
        <w:t xml:space="preserve">uvedeny </w:t>
      </w:r>
      <w:r w:rsidRPr="00B4223A">
        <w:rPr>
          <w:sz w:val="16"/>
          <w:szCs w:val="16"/>
        </w:rPr>
        <w:t>v pojetí národních účtů v očištění o</w:t>
      </w:r>
      <w:r>
        <w:rPr>
          <w:sz w:val="16"/>
          <w:szCs w:val="16"/>
        </w:rPr>
        <w:t> </w:t>
      </w:r>
      <w:r w:rsidRPr="00B4223A">
        <w:rPr>
          <w:sz w:val="16"/>
          <w:szCs w:val="16"/>
        </w:rPr>
        <w:t>sezónní vlivy.</w:t>
      </w:r>
    </w:p>
  </w:footnote>
  <w:footnote w:id="32">
    <w:p w:rsidR="00583E52" w:rsidRPr="00577979" w:rsidRDefault="00583E52" w:rsidP="00935BD4">
      <w:pPr>
        <w:pStyle w:val="Textpoznpodarou"/>
        <w:jc w:val="both"/>
        <w:rPr>
          <w:sz w:val="16"/>
          <w:szCs w:val="16"/>
        </w:rPr>
      </w:pPr>
      <w:r w:rsidRPr="00577979">
        <w:rPr>
          <w:rStyle w:val="Znakapoznpodarou"/>
          <w:sz w:val="16"/>
          <w:szCs w:val="16"/>
        </w:rPr>
        <w:footnoteRef/>
      </w:r>
      <w:r w:rsidRPr="00577979">
        <w:rPr>
          <w:sz w:val="16"/>
          <w:szCs w:val="16"/>
        </w:rPr>
        <w:t xml:space="preserve"> Podle kvalifikovaných odhadů Ministerstva práce a</w:t>
      </w:r>
      <w:r>
        <w:rPr>
          <w:sz w:val="16"/>
          <w:szCs w:val="16"/>
        </w:rPr>
        <w:t> </w:t>
      </w:r>
      <w:r w:rsidRPr="00577979">
        <w:rPr>
          <w:sz w:val="16"/>
          <w:szCs w:val="16"/>
        </w:rPr>
        <w:t>sociálních věcí vzrostl během roku 2017 počet cizinců v pozici zaměstnanců (evidovaných úřady práce) o</w:t>
      </w:r>
      <w:r>
        <w:rPr>
          <w:sz w:val="16"/>
          <w:szCs w:val="16"/>
        </w:rPr>
        <w:t> </w:t>
      </w:r>
      <w:r w:rsidRPr="00577979">
        <w:rPr>
          <w:sz w:val="16"/>
          <w:szCs w:val="16"/>
        </w:rPr>
        <w:t>87 tis.</w:t>
      </w:r>
      <w:r>
        <w:rPr>
          <w:sz w:val="16"/>
          <w:szCs w:val="16"/>
        </w:rPr>
        <w:t xml:space="preserve"> Téměř třetinu z tohoto nárůstu tvořili občané Ukrajiny.</w:t>
      </w:r>
      <w:r w:rsidRPr="00577979">
        <w:rPr>
          <w:sz w:val="16"/>
          <w:szCs w:val="16"/>
        </w:rPr>
        <w:t xml:space="preserve"> Na konci roku 2017 tak v zaměstnaneckých pozicích v Česku pracovalo </w:t>
      </w:r>
      <w:r>
        <w:rPr>
          <w:sz w:val="16"/>
          <w:szCs w:val="16"/>
        </w:rPr>
        <w:t xml:space="preserve">celkem </w:t>
      </w:r>
      <w:r w:rsidRPr="00577979">
        <w:rPr>
          <w:sz w:val="16"/>
          <w:szCs w:val="16"/>
        </w:rPr>
        <w:t>472 ti</w:t>
      </w:r>
      <w:r>
        <w:rPr>
          <w:sz w:val="16"/>
          <w:szCs w:val="16"/>
        </w:rPr>
        <w:t xml:space="preserve">s. cizích státních příslušníků (70 % z nich byli občané EU). Bezmála třetina cizinců působila ve zpracovatelském průmyslu a společně s odvětvím administrativních a podpůrných činností (kam patří z velké části agenturní pracovníci) to byla skoro polovina. Z pohledu kvalifikace byla třetina cizinců řazena jako pomocní a nekvalifikovaní pracovníci, pětina pak v kategorii </w:t>
      </w:r>
      <w:r w:rsidRPr="005C57CC">
        <w:rPr>
          <w:sz w:val="16"/>
          <w:szCs w:val="16"/>
        </w:rPr>
        <w:t>obsluha strojů a</w:t>
      </w:r>
      <w:r>
        <w:rPr>
          <w:sz w:val="16"/>
          <w:szCs w:val="16"/>
        </w:rPr>
        <w:t> </w:t>
      </w:r>
      <w:r w:rsidRPr="005C57CC">
        <w:rPr>
          <w:sz w:val="16"/>
          <w:szCs w:val="16"/>
        </w:rPr>
        <w:t>zařízení, montéři.</w:t>
      </w:r>
    </w:p>
  </w:footnote>
  <w:footnote w:id="33">
    <w:p w:rsidR="00583E52" w:rsidRPr="00A615C3" w:rsidRDefault="00583E52" w:rsidP="00935BD4">
      <w:pPr>
        <w:pStyle w:val="Textpoznpodarou"/>
        <w:rPr>
          <w:sz w:val="16"/>
          <w:szCs w:val="16"/>
        </w:rPr>
      </w:pPr>
      <w:r w:rsidRPr="00A615C3">
        <w:rPr>
          <w:rStyle w:val="Znakapoznpodarou"/>
          <w:sz w:val="16"/>
          <w:szCs w:val="16"/>
        </w:rPr>
        <w:footnoteRef/>
      </w:r>
      <w:r w:rsidRPr="00A615C3">
        <w:rPr>
          <w:sz w:val="16"/>
          <w:szCs w:val="16"/>
        </w:rPr>
        <w:t xml:space="preserve"> Více než tři uchazeč</w:t>
      </w:r>
      <w:r>
        <w:rPr>
          <w:sz w:val="16"/>
          <w:szCs w:val="16"/>
        </w:rPr>
        <w:t>e</w:t>
      </w:r>
      <w:r w:rsidRPr="00A615C3">
        <w:rPr>
          <w:sz w:val="16"/>
          <w:szCs w:val="16"/>
        </w:rPr>
        <w:t xml:space="preserve"> na </w:t>
      </w:r>
      <w:r>
        <w:rPr>
          <w:sz w:val="16"/>
          <w:szCs w:val="16"/>
        </w:rPr>
        <w:t xml:space="preserve">jedno </w:t>
      </w:r>
      <w:r w:rsidRPr="00A615C3">
        <w:rPr>
          <w:sz w:val="16"/>
          <w:szCs w:val="16"/>
        </w:rPr>
        <w:t xml:space="preserve">volné místo registrovaly ÚP na konci dubna jen v šesti okresech – Karviná (6,1), Ústí nad Labem (4,8), Most (4,6), Jeseník (4,5), Znojmo (3,2) </w:t>
      </w:r>
      <w:r>
        <w:rPr>
          <w:sz w:val="16"/>
          <w:szCs w:val="16"/>
        </w:rPr>
        <w:t>a Děčín</w:t>
      </w:r>
      <w:r w:rsidRPr="00A615C3">
        <w:rPr>
          <w:sz w:val="16"/>
          <w:szCs w:val="16"/>
        </w:rPr>
        <w:t xml:space="preserve"> (3,1). </w:t>
      </w:r>
    </w:p>
  </w:footnote>
  <w:footnote w:id="34">
    <w:p w:rsidR="00583E52" w:rsidRPr="00E83936" w:rsidRDefault="00583E52" w:rsidP="00446D44">
      <w:pPr>
        <w:pStyle w:val="Textpoznpodarou"/>
        <w:rPr>
          <w:sz w:val="16"/>
          <w:szCs w:val="16"/>
        </w:rPr>
      </w:pPr>
      <w:r w:rsidRPr="00E83936">
        <w:rPr>
          <w:rStyle w:val="Znakapoznpodarou"/>
          <w:sz w:val="16"/>
          <w:szCs w:val="16"/>
        </w:rPr>
        <w:footnoteRef/>
      </w:r>
      <w:r w:rsidRPr="00E83936">
        <w:rPr>
          <w:sz w:val="16"/>
          <w:szCs w:val="16"/>
        </w:rPr>
        <w:t xml:space="preserve"> Kurzy devizového trhu vyhlašované ČNB</w:t>
      </w:r>
      <w:r>
        <w:rPr>
          <w:sz w:val="16"/>
          <w:szCs w:val="16"/>
        </w:rPr>
        <w:t xml:space="preserve"> v pracovních dnech</w:t>
      </w:r>
      <w:r w:rsidRPr="00E83936">
        <w:rPr>
          <w:sz w:val="16"/>
          <w:szCs w:val="16"/>
        </w:rPr>
        <w:t>.</w:t>
      </w:r>
      <w:r>
        <w:rPr>
          <w:sz w:val="16"/>
          <w:szCs w:val="16"/>
        </w:rPr>
        <w:t xml:space="preserve"> Není-li uvedeno jinak, jsou veškeré údaje převzaty z databáze ARAD České národní banky.</w:t>
      </w:r>
      <w:r w:rsidRPr="00E83936">
        <w:rPr>
          <w:sz w:val="16"/>
          <w:szCs w:val="16"/>
        </w:rPr>
        <w:t xml:space="preserve"> </w:t>
      </w:r>
    </w:p>
  </w:footnote>
  <w:footnote w:id="35">
    <w:p w:rsidR="00583E52" w:rsidRPr="00D72076" w:rsidRDefault="00583E52" w:rsidP="00965797">
      <w:pPr>
        <w:pStyle w:val="Textpoznpodarou"/>
        <w:jc w:val="both"/>
        <w:rPr>
          <w:sz w:val="16"/>
          <w:szCs w:val="16"/>
        </w:rPr>
      </w:pPr>
      <w:r w:rsidRPr="00D72076">
        <w:rPr>
          <w:rStyle w:val="Znakapoznpodarou"/>
          <w:sz w:val="16"/>
          <w:szCs w:val="16"/>
        </w:rPr>
        <w:footnoteRef/>
      </w:r>
      <w:r w:rsidRPr="00D72076">
        <w:rPr>
          <w:sz w:val="16"/>
          <w:szCs w:val="16"/>
        </w:rPr>
        <w:t xml:space="preserve"> </w:t>
      </w:r>
      <w:r w:rsidRPr="00D72076">
        <w:rPr>
          <w:color w:val="0D0D0D" w:themeColor="text1" w:themeTint="F2"/>
          <w:spacing w:val="-2"/>
          <w:sz w:val="16"/>
          <w:szCs w:val="16"/>
        </w:rPr>
        <w:t xml:space="preserve">Pokud není uvedeno jinak, vycházejí všechny údaje týkající se státního rozpočtu </w:t>
      </w:r>
      <w:r w:rsidRPr="00D72076">
        <w:rPr>
          <w:rFonts w:cs="Arial"/>
          <w:color w:val="0D0D0D" w:themeColor="text1" w:themeTint="F2"/>
          <w:spacing w:val="-2"/>
          <w:sz w:val="16"/>
          <w:szCs w:val="16"/>
        </w:rPr>
        <w:t>z dat Ministerstva financí o pokladním plnění.</w:t>
      </w:r>
    </w:p>
  </w:footnote>
  <w:footnote w:id="36">
    <w:p w:rsidR="00583E52" w:rsidRPr="00D72076" w:rsidRDefault="00583E52" w:rsidP="00965797">
      <w:pPr>
        <w:pStyle w:val="Textpoznpodarou"/>
        <w:jc w:val="both"/>
        <w:rPr>
          <w:sz w:val="16"/>
          <w:szCs w:val="16"/>
        </w:rPr>
      </w:pPr>
      <w:r w:rsidRPr="00D72076">
        <w:rPr>
          <w:rStyle w:val="Znakapoznpodarou"/>
          <w:sz w:val="16"/>
          <w:szCs w:val="16"/>
        </w:rPr>
        <w:footnoteRef/>
      </w:r>
      <w:r w:rsidRPr="00D72076">
        <w:rPr>
          <w:sz w:val="16"/>
          <w:szCs w:val="16"/>
        </w:rPr>
        <w:t xml:space="preserve"> Z nejaktuálnějších údajů za prvních pět měsíců roku 2018 ale vyplynulo, že výsledek hospodaření SR skončil v tomto období schodkem ve výši 23,1 mld. korun, jenž byl nejhlubším za posledních pět let.</w:t>
      </w:r>
    </w:p>
  </w:footnote>
  <w:footnote w:id="37">
    <w:p w:rsidR="00583E52" w:rsidRPr="00D72076" w:rsidRDefault="00583E52" w:rsidP="00965797">
      <w:pPr>
        <w:pStyle w:val="Textpoznpodarou"/>
        <w:jc w:val="both"/>
      </w:pPr>
      <w:r w:rsidRPr="00D72076">
        <w:rPr>
          <w:rStyle w:val="Znakapoznpodarou"/>
          <w:sz w:val="16"/>
          <w:szCs w:val="16"/>
        </w:rPr>
        <w:footnoteRef/>
      </w:r>
      <w:r w:rsidRPr="00D72076">
        <w:rPr>
          <w:sz w:val="16"/>
          <w:szCs w:val="16"/>
        </w:rPr>
        <w:t xml:space="preserve"> Z propočtů MF ČR vyplývá, že </w:t>
      </w:r>
      <w:r w:rsidRPr="00D72076">
        <w:rPr>
          <w:color w:val="0D0D0D" w:themeColor="text1" w:themeTint="F2"/>
          <w:spacing w:val="-2"/>
          <w:sz w:val="16"/>
          <w:szCs w:val="16"/>
        </w:rPr>
        <w:t>SR očištěný na příjmové i výdajové straně</w:t>
      </w:r>
      <w:r w:rsidRPr="00D72076">
        <w:rPr>
          <w:rStyle w:val="Zvraznn"/>
          <w:i w:val="0"/>
          <w:color w:val="0D0D0D" w:themeColor="text1" w:themeTint="F2"/>
          <w:spacing w:val="-2"/>
          <w:sz w:val="16"/>
          <w:szCs w:val="16"/>
        </w:rPr>
        <w:t xml:space="preserve"> o prostředky na programy z rozpočtu EU a Finančních mechanismů (EHP a Norské fondy, Program švýcarsko-české spolupráce) by v 1. čtvrtletí 2018 dosáhl schodku 5,3 mld. korun (o rok dříve by deficit činil 4,6 mld.).</w:t>
      </w:r>
    </w:p>
  </w:footnote>
  <w:footnote w:id="38">
    <w:p w:rsidR="00583E52" w:rsidRPr="00D468A8" w:rsidRDefault="00583E52" w:rsidP="00965797">
      <w:pPr>
        <w:pStyle w:val="Textpoznpodarou"/>
        <w:jc w:val="both"/>
        <w:rPr>
          <w:sz w:val="16"/>
          <w:szCs w:val="16"/>
        </w:rPr>
      </w:pPr>
      <w:r w:rsidRPr="00D72076">
        <w:rPr>
          <w:rStyle w:val="Znakapoznpodarou"/>
          <w:sz w:val="16"/>
          <w:szCs w:val="16"/>
        </w:rPr>
        <w:footnoteRef/>
      </w:r>
      <w:r w:rsidRPr="00D72076">
        <w:rPr>
          <w:sz w:val="16"/>
          <w:szCs w:val="16"/>
        </w:rPr>
        <w:t xml:space="preserve"> Jednalo se o vliv inkasa ve výši 20,0 mld. Kč, které představovalo část závěrečných plateb vztahujících se k programovému období 2007–2013. Bez této mimořádné platby by byl objem přijatých prostředků z rozpočtu EU (vč. FM) v 1. čtvrtletí 2018 meziročně o 2,6 mld. korun (resp. o 9,7 %) slabší.</w:t>
      </w:r>
    </w:p>
  </w:footnote>
  <w:footnote w:id="39">
    <w:p w:rsidR="00583E52" w:rsidRPr="003D7302" w:rsidRDefault="00583E52" w:rsidP="00965797">
      <w:pPr>
        <w:pStyle w:val="Textpoznpodarou"/>
        <w:jc w:val="both"/>
        <w:rPr>
          <w:color w:val="0D0D0D" w:themeColor="text1" w:themeTint="F2"/>
          <w:spacing w:val="-2"/>
          <w:sz w:val="16"/>
          <w:szCs w:val="16"/>
        </w:rPr>
      </w:pPr>
      <w:r w:rsidRPr="003D7302">
        <w:rPr>
          <w:rStyle w:val="Znakapoznpodarou"/>
          <w:color w:val="0D0D0D" w:themeColor="text1" w:themeTint="F2"/>
          <w:spacing w:val="-2"/>
          <w:sz w:val="16"/>
          <w:szCs w:val="16"/>
        </w:rPr>
        <w:footnoteRef/>
      </w:r>
      <w:r w:rsidRPr="003D7302">
        <w:rPr>
          <w:color w:val="0D0D0D" w:themeColor="text1" w:themeTint="F2"/>
          <w:spacing w:val="-2"/>
          <w:sz w:val="16"/>
          <w:szCs w:val="16"/>
        </w:rPr>
        <w:t xml:space="preserve"> </w:t>
      </w:r>
      <w:r>
        <w:rPr>
          <w:sz w:val="16"/>
          <w:szCs w:val="16"/>
        </w:rPr>
        <w:t>Od 1. 1. 2018 vešla v platnost změna</w:t>
      </w:r>
      <w:r w:rsidRPr="003D7302">
        <w:rPr>
          <w:sz w:val="16"/>
          <w:szCs w:val="16"/>
        </w:rPr>
        <w:t xml:space="preserve"> rozpočtového určení daní</w:t>
      </w:r>
      <w:r>
        <w:rPr>
          <w:sz w:val="16"/>
          <w:szCs w:val="16"/>
        </w:rPr>
        <w:t>, která snížila</w:t>
      </w:r>
      <w:r w:rsidRPr="003D7302">
        <w:rPr>
          <w:sz w:val="16"/>
          <w:szCs w:val="16"/>
        </w:rPr>
        <w:t xml:space="preserve"> podíl státního rozpo</w:t>
      </w:r>
      <w:r>
        <w:rPr>
          <w:sz w:val="16"/>
          <w:szCs w:val="16"/>
        </w:rPr>
        <w:t>čtu na celostátním výnosu DPH z </w:t>
      </w:r>
      <w:r w:rsidRPr="003D7302">
        <w:rPr>
          <w:sz w:val="16"/>
          <w:szCs w:val="16"/>
        </w:rPr>
        <w:t>69,68</w:t>
      </w:r>
      <w:r>
        <w:rPr>
          <w:sz w:val="16"/>
          <w:szCs w:val="16"/>
        </w:rPr>
        <w:t> %</w:t>
      </w:r>
      <w:r w:rsidRPr="003D7302">
        <w:rPr>
          <w:sz w:val="16"/>
          <w:szCs w:val="16"/>
        </w:rPr>
        <w:t xml:space="preserve"> na 67,5</w:t>
      </w:r>
      <w:r>
        <w:rPr>
          <w:sz w:val="16"/>
          <w:szCs w:val="16"/>
        </w:rPr>
        <w:t> %</w:t>
      </w:r>
      <w:r w:rsidRPr="003D7302">
        <w:rPr>
          <w:sz w:val="16"/>
          <w:szCs w:val="16"/>
        </w:rPr>
        <w:t xml:space="preserve"> ve prospěch podílu obcí.</w:t>
      </w:r>
    </w:p>
  </w:footnote>
  <w:footnote w:id="40">
    <w:p w:rsidR="00583E52" w:rsidRPr="00C2521F" w:rsidRDefault="00583E52" w:rsidP="00965797">
      <w:pPr>
        <w:pStyle w:val="Textpoznpodarou"/>
        <w:jc w:val="both"/>
        <w:rPr>
          <w:sz w:val="16"/>
          <w:szCs w:val="16"/>
        </w:rPr>
      </w:pPr>
      <w:r w:rsidRPr="00C2521F">
        <w:rPr>
          <w:rStyle w:val="Znakapoznpodarou"/>
          <w:sz w:val="16"/>
          <w:szCs w:val="16"/>
        </w:rPr>
        <w:footnoteRef/>
      </w:r>
      <w:r w:rsidRPr="00C2521F">
        <w:rPr>
          <w:sz w:val="16"/>
          <w:szCs w:val="16"/>
        </w:rPr>
        <w:t xml:space="preserve"> </w:t>
      </w:r>
      <w:r>
        <w:rPr>
          <w:sz w:val="16"/>
          <w:szCs w:val="16"/>
        </w:rPr>
        <w:t>Jedná</w:t>
      </w:r>
      <w:r w:rsidRPr="00C2521F">
        <w:rPr>
          <w:sz w:val="16"/>
          <w:szCs w:val="16"/>
        </w:rPr>
        <w:t xml:space="preserve"> se především o</w:t>
      </w:r>
      <w:r>
        <w:rPr>
          <w:sz w:val="16"/>
          <w:szCs w:val="16"/>
        </w:rPr>
        <w:t> </w:t>
      </w:r>
      <w:r w:rsidRPr="00C2521F">
        <w:rPr>
          <w:sz w:val="16"/>
          <w:szCs w:val="16"/>
        </w:rPr>
        <w:t>zavedení kontrolních hlášení a</w:t>
      </w:r>
      <w:r>
        <w:rPr>
          <w:sz w:val="16"/>
          <w:szCs w:val="16"/>
        </w:rPr>
        <w:t> </w:t>
      </w:r>
      <w:r w:rsidRPr="00C2521F">
        <w:rPr>
          <w:sz w:val="16"/>
          <w:szCs w:val="16"/>
        </w:rPr>
        <w:t>elektronickou evidenci tržeb</w:t>
      </w:r>
      <w:r>
        <w:rPr>
          <w:sz w:val="16"/>
          <w:szCs w:val="16"/>
        </w:rPr>
        <w:t xml:space="preserve"> – především její druhou vlnu</w:t>
      </w:r>
      <w:r w:rsidRPr="00C2521F">
        <w:rPr>
          <w:sz w:val="16"/>
          <w:szCs w:val="16"/>
        </w:rPr>
        <w:t xml:space="preserve"> </w:t>
      </w:r>
      <w:r>
        <w:rPr>
          <w:sz w:val="16"/>
          <w:szCs w:val="16"/>
        </w:rPr>
        <w:t>účinnou</w:t>
      </w:r>
      <w:r w:rsidRPr="00C2521F">
        <w:rPr>
          <w:sz w:val="16"/>
          <w:szCs w:val="16"/>
        </w:rPr>
        <w:t xml:space="preserve"> od dubna 2017 pro </w:t>
      </w:r>
      <w:r>
        <w:rPr>
          <w:sz w:val="16"/>
          <w:szCs w:val="16"/>
        </w:rPr>
        <w:t>maloobchod, velkoobchod. V samotném dubnu 2018 tak výběr DPH již narážel na vyšší srovnávací základnu a jeho meziroční růst se p</w:t>
      </w:r>
      <w:r w:rsidR="00E03D73">
        <w:rPr>
          <w:sz w:val="16"/>
          <w:szCs w:val="16"/>
        </w:rPr>
        <w:t>o šestnácti měsících zastavil (-</w:t>
      </w:r>
      <w:r>
        <w:rPr>
          <w:sz w:val="16"/>
          <w:szCs w:val="16"/>
        </w:rPr>
        <w:t>2,6 %).</w:t>
      </w:r>
    </w:p>
  </w:footnote>
  <w:footnote w:id="41">
    <w:p w:rsidR="00583E52" w:rsidRPr="00225EF3" w:rsidRDefault="00583E52" w:rsidP="00965797">
      <w:pPr>
        <w:pStyle w:val="Textpoznpodarou"/>
        <w:jc w:val="both"/>
        <w:rPr>
          <w:sz w:val="16"/>
          <w:szCs w:val="16"/>
        </w:rPr>
      </w:pPr>
      <w:r w:rsidRPr="00225EF3">
        <w:rPr>
          <w:rStyle w:val="Znakapoznpodarou"/>
          <w:sz w:val="16"/>
          <w:szCs w:val="16"/>
        </w:rPr>
        <w:footnoteRef/>
      </w:r>
      <w:r w:rsidRPr="00225EF3">
        <w:rPr>
          <w:sz w:val="16"/>
          <w:szCs w:val="16"/>
        </w:rPr>
        <w:t xml:space="preserve"> Jde o</w:t>
      </w:r>
      <w:r>
        <w:rPr>
          <w:sz w:val="16"/>
          <w:szCs w:val="16"/>
        </w:rPr>
        <w:t> </w:t>
      </w:r>
      <w:r w:rsidRPr="00225EF3">
        <w:rPr>
          <w:sz w:val="16"/>
          <w:szCs w:val="16"/>
        </w:rPr>
        <w:t xml:space="preserve">tzv. zelenou naftu umožňující vrácení této daně pro živočišnou prvovýrobu. </w:t>
      </w:r>
      <w:r>
        <w:rPr>
          <w:sz w:val="16"/>
          <w:szCs w:val="16"/>
        </w:rPr>
        <w:t>Toto opatření</w:t>
      </w:r>
      <w:r w:rsidRPr="00225EF3">
        <w:rPr>
          <w:sz w:val="16"/>
          <w:szCs w:val="16"/>
        </w:rPr>
        <w:t xml:space="preserve"> se v letošním roce (na rozdíl od loňska) projevuje již v plné výši. </w:t>
      </w:r>
      <w:r>
        <w:rPr>
          <w:sz w:val="16"/>
          <w:szCs w:val="16"/>
        </w:rPr>
        <w:t>Naopak vliv faktoru ekonomického růstu je dobře dokumentován rostoucí spotřebou motorové nafty i leteckého petroleje (v prvních dvou měsících roku 2018 meziročně vyšší o 4,0 %, resp. 16,3 %).</w:t>
      </w:r>
    </w:p>
  </w:footnote>
  <w:footnote w:id="42">
    <w:p w:rsidR="00583E52" w:rsidRPr="00B10C90" w:rsidRDefault="00583E52" w:rsidP="00965797">
      <w:pPr>
        <w:pStyle w:val="Textpoznpodarou"/>
        <w:jc w:val="both"/>
        <w:rPr>
          <w:sz w:val="16"/>
          <w:szCs w:val="16"/>
        </w:rPr>
      </w:pPr>
      <w:r w:rsidRPr="00B10C90">
        <w:rPr>
          <w:rStyle w:val="Znakapoznpodarou"/>
          <w:sz w:val="16"/>
          <w:szCs w:val="16"/>
        </w:rPr>
        <w:footnoteRef/>
      </w:r>
      <w:r w:rsidRPr="00B10C90">
        <w:rPr>
          <w:sz w:val="16"/>
          <w:szCs w:val="16"/>
        </w:rPr>
        <w:t xml:space="preserve"> Zahrnuje z velké části jen první čtvrtletní zálohu na daň u</w:t>
      </w:r>
      <w:r>
        <w:rPr>
          <w:sz w:val="16"/>
          <w:szCs w:val="16"/>
        </w:rPr>
        <w:t> </w:t>
      </w:r>
      <w:r w:rsidRPr="00B10C90">
        <w:rPr>
          <w:sz w:val="16"/>
          <w:szCs w:val="16"/>
        </w:rPr>
        <w:t>větších plátců. Největší část objemu této daně získává SR tradičně během června, příp.</w:t>
      </w:r>
      <w:r>
        <w:rPr>
          <w:sz w:val="16"/>
          <w:szCs w:val="16"/>
        </w:rPr>
        <w:t> </w:t>
      </w:r>
      <w:r w:rsidRPr="00B10C90">
        <w:rPr>
          <w:sz w:val="16"/>
          <w:szCs w:val="16"/>
        </w:rPr>
        <w:t>července díky úhradě celoroční daně u</w:t>
      </w:r>
      <w:r>
        <w:rPr>
          <w:sz w:val="16"/>
          <w:szCs w:val="16"/>
        </w:rPr>
        <w:t> </w:t>
      </w:r>
      <w:r w:rsidRPr="00B10C90">
        <w:rPr>
          <w:sz w:val="16"/>
          <w:szCs w:val="16"/>
        </w:rPr>
        <w:t>poplatníků, kteří mají povinný audit</w:t>
      </w:r>
      <w:r w:rsidR="00E03D73">
        <w:rPr>
          <w:sz w:val="16"/>
          <w:szCs w:val="16"/>
        </w:rPr>
        <w:t>,</w:t>
      </w:r>
      <w:r w:rsidRPr="00B10C90">
        <w:rPr>
          <w:sz w:val="16"/>
          <w:szCs w:val="16"/>
        </w:rPr>
        <w:t xml:space="preserve"> nebo jim daňové přiznání zpracovává a předkládá daňový poradce.</w:t>
      </w:r>
    </w:p>
  </w:footnote>
  <w:footnote w:id="43">
    <w:p w:rsidR="00583E52" w:rsidRPr="005F5B45" w:rsidRDefault="00583E52" w:rsidP="00965797">
      <w:pPr>
        <w:pStyle w:val="Textpoznpodarou"/>
        <w:jc w:val="both"/>
        <w:rPr>
          <w:sz w:val="16"/>
          <w:szCs w:val="16"/>
        </w:rPr>
      </w:pPr>
      <w:r w:rsidRPr="005F5B45">
        <w:rPr>
          <w:rStyle w:val="Znakapoznpodarou"/>
          <w:sz w:val="16"/>
          <w:szCs w:val="16"/>
        </w:rPr>
        <w:footnoteRef/>
      </w:r>
      <w:r w:rsidRPr="005F5B45">
        <w:rPr>
          <w:sz w:val="16"/>
          <w:szCs w:val="16"/>
        </w:rPr>
        <w:t xml:space="preserve"> Za první čtyři měsíce roku 2018 se výběr </w:t>
      </w:r>
      <w:r w:rsidRPr="005F5B45">
        <w:rPr>
          <w:rFonts w:cs="Arial"/>
          <w:spacing w:val="-4"/>
          <w:sz w:val="16"/>
          <w:szCs w:val="16"/>
        </w:rPr>
        <w:t>DPFO ze samostatné výdělečné činnosti</w:t>
      </w:r>
      <w:r w:rsidRPr="005F5B45">
        <w:rPr>
          <w:sz w:val="16"/>
          <w:szCs w:val="16"/>
        </w:rPr>
        <w:t xml:space="preserve"> propadl do záporných hodnot (</w:t>
      </w:r>
      <w:r w:rsidR="00E03D73">
        <w:rPr>
          <w:sz w:val="16"/>
          <w:szCs w:val="16"/>
        </w:rPr>
        <w:t>-</w:t>
      </w:r>
      <w:r w:rsidRPr="005F5B45">
        <w:rPr>
          <w:sz w:val="16"/>
          <w:szCs w:val="16"/>
        </w:rPr>
        <w:t>2</w:t>
      </w:r>
      <w:r>
        <w:rPr>
          <w:sz w:val="16"/>
          <w:szCs w:val="16"/>
        </w:rPr>
        <w:t> mld.</w:t>
      </w:r>
      <w:r w:rsidRPr="005F5B45">
        <w:rPr>
          <w:sz w:val="16"/>
          <w:szCs w:val="16"/>
        </w:rPr>
        <w:t xml:space="preserve"> korun, o</w:t>
      </w:r>
      <w:r>
        <w:rPr>
          <w:sz w:val="16"/>
          <w:szCs w:val="16"/>
        </w:rPr>
        <w:t> </w:t>
      </w:r>
      <w:r w:rsidRPr="005F5B45">
        <w:rPr>
          <w:sz w:val="16"/>
          <w:szCs w:val="16"/>
        </w:rPr>
        <w:t xml:space="preserve">rok dříve </w:t>
      </w:r>
      <w:r w:rsidR="00E03D73">
        <w:rPr>
          <w:sz w:val="16"/>
          <w:szCs w:val="16"/>
        </w:rPr>
        <w:t>-</w:t>
      </w:r>
      <w:r w:rsidRPr="005F5B45">
        <w:rPr>
          <w:sz w:val="16"/>
          <w:szCs w:val="16"/>
        </w:rPr>
        <w:t>0,9</w:t>
      </w:r>
      <w:r>
        <w:rPr>
          <w:sz w:val="16"/>
          <w:szCs w:val="16"/>
        </w:rPr>
        <w:t> mld.</w:t>
      </w:r>
      <w:r w:rsidRPr="005F5B45">
        <w:rPr>
          <w:sz w:val="16"/>
          <w:szCs w:val="16"/>
        </w:rPr>
        <w:t>), což souviselo s pravidelným ročním zúčtováním záloh na základě podání daňových přiznání.</w:t>
      </w:r>
    </w:p>
  </w:footnote>
  <w:footnote w:id="44">
    <w:p w:rsidR="00583E52" w:rsidRPr="001E36B5" w:rsidRDefault="00583E52" w:rsidP="00965797">
      <w:pPr>
        <w:pStyle w:val="Textpoznpodarou"/>
        <w:rPr>
          <w:sz w:val="16"/>
          <w:szCs w:val="16"/>
        </w:rPr>
      </w:pPr>
      <w:r w:rsidRPr="001E36B5">
        <w:rPr>
          <w:rStyle w:val="Znakapoznpodarou"/>
          <w:sz w:val="16"/>
          <w:szCs w:val="16"/>
        </w:rPr>
        <w:footnoteRef/>
      </w:r>
      <w:r w:rsidRPr="001E36B5">
        <w:rPr>
          <w:sz w:val="16"/>
          <w:szCs w:val="16"/>
        </w:rPr>
        <w:t xml:space="preserve"> Veškeré výdaje na financování společných programů EU a</w:t>
      </w:r>
      <w:r>
        <w:rPr>
          <w:sz w:val="16"/>
          <w:szCs w:val="16"/>
        </w:rPr>
        <w:t> </w:t>
      </w:r>
      <w:r w:rsidRPr="001E36B5">
        <w:rPr>
          <w:sz w:val="16"/>
          <w:szCs w:val="16"/>
        </w:rPr>
        <w:t>ČR (v</w:t>
      </w:r>
      <w:r>
        <w:rPr>
          <w:sz w:val="16"/>
          <w:szCs w:val="16"/>
        </w:rPr>
        <w:t>č. </w:t>
      </w:r>
      <w:r w:rsidRPr="001E36B5">
        <w:rPr>
          <w:sz w:val="16"/>
          <w:szCs w:val="16"/>
        </w:rPr>
        <w:t>běžných výdajů, resp. výdajů na společnou zemědělskou politiku) dosáhly v 1</w:t>
      </w:r>
      <w:r>
        <w:rPr>
          <w:sz w:val="16"/>
          <w:szCs w:val="16"/>
        </w:rPr>
        <w:t>. čtvrt</w:t>
      </w:r>
      <w:r w:rsidRPr="001E36B5">
        <w:rPr>
          <w:sz w:val="16"/>
          <w:szCs w:val="16"/>
        </w:rPr>
        <w:t>letí 25,7 mld. korun a</w:t>
      </w:r>
      <w:r w:rsidRPr="001E36B5">
        <w:rPr>
          <w:rFonts w:cs="Arial"/>
          <w:color w:val="0D0D0D" w:themeColor="text1" w:themeTint="F2"/>
          <w:spacing w:val="-4"/>
          <w:sz w:val="16"/>
          <w:szCs w:val="16"/>
        </w:rPr>
        <w:t> </w:t>
      </w:r>
      <w:r w:rsidRPr="001E36B5">
        <w:rPr>
          <w:sz w:val="16"/>
          <w:szCs w:val="16"/>
        </w:rPr>
        <w:t>meziročně vzrostly o</w:t>
      </w:r>
      <w:r>
        <w:rPr>
          <w:sz w:val="16"/>
          <w:szCs w:val="16"/>
        </w:rPr>
        <w:t> </w:t>
      </w:r>
      <w:r w:rsidRPr="001E36B5">
        <w:rPr>
          <w:sz w:val="16"/>
          <w:szCs w:val="16"/>
        </w:rPr>
        <w:t>více než čtvrtinu.</w:t>
      </w:r>
    </w:p>
  </w:footnote>
  <w:footnote w:id="45">
    <w:p w:rsidR="00583E52" w:rsidRPr="005C64FE" w:rsidRDefault="00583E52" w:rsidP="00965797">
      <w:pPr>
        <w:pStyle w:val="Textpoznpodarou"/>
        <w:rPr>
          <w:sz w:val="16"/>
          <w:szCs w:val="16"/>
        </w:rPr>
      </w:pPr>
      <w:r w:rsidRPr="005C64FE">
        <w:rPr>
          <w:rStyle w:val="Znakapoznpodarou"/>
          <w:sz w:val="16"/>
          <w:szCs w:val="16"/>
        </w:rPr>
        <w:footnoteRef/>
      </w:r>
      <w:r w:rsidRPr="005C64FE">
        <w:rPr>
          <w:sz w:val="16"/>
          <w:szCs w:val="16"/>
        </w:rPr>
        <w:t xml:space="preserve"> Od ledna 2018 došlo ke zvýšení základní výměry důchodu o</w:t>
      </w:r>
      <w:r>
        <w:rPr>
          <w:sz w:val="16"/>
          <w:szCs w:val="16"/>
        </w:rPr>
        <w:t> </w:t>
      </w:r>
      <w:r w:rsidRPr="005C64FE">
        <w:rPr>
          <w:sz w:val="16"/>
          <w:szCs w:val="16"/>
        </w:rPr>
        <w:t>150 Kč a</w:t>
      </w:r>
      <w:r>
        <w:rPr>
          <w:sz w:val="16"/>
          <w:szCs w:val="16"/>
        </w:rPr>
        <w:t> </w:t>
      </w:r>
      <w:r w:rsidRPr="005C64FE">
        <w:rPr>
          <w:sz w:val="16"/>
          <w:szCs w:val="16"/>
        </w:rPr>
        <w:t>procentní výměry o</w:t>
      </w:r>
      <w:r>
        <w:rPr>
          <w:sz w:val="16"/>
          <w:szCs w:val="16"/>
        </w:rPr>
        <w:t> </w:t>
      </w:r>
      <w:r w:rsidRPr="005C64FE">
        <w:rPr>
          <w:sz w:val="16"/>
          <w:szCs w:val="16"/>
        </w:rPr>
        <w:t>3,5</w:t>
      </w:r>
      <w:r>
        <w:rPr>
          <w:sz w:val="16"/>
          <w:szCs w:val="16"/>
        </w:rPr>
        <w:t> %</w:t>
      </w:r>
      <w:r w:rsidRPr="005C64FE">
        <w:rPr>
          <w:sz w:val="16"/>
          <w:szCs w:val="16"/>
        </w:rPr>
        <w:t xml:space="preserve"> (tj. v</w:t>
      </w:r>
      <w:r>
        <w:rPr>
          <w:sz w:val="16"/>
          <w:szCs w:val="16"/>
        </w:rPr>
        <w:t> </w:t>
      </w:r>
      <w:r w:rsidRPr="005C64FE">
        <w:rPr>
          <w:sz w:val="16"/>
          <w:szCs w:val="16"/>
        </w:rPr>
        <w:t>průměru o</w:t>
      </w:r>
      <w:r>
        <w:rPr>
          <w:sz w:val="16"/>
          <w:szCs w:val="16"/>
        </w:rPr>
        <w:t> </w:t>
      </w:r>
      <w:r w:rsidRPr="005C64FE">
        <w:rPr>
          <w:sz w:val="16"/>
          <w:szCs w:val="16"/>
        </w:rPr>
        <w:t>475 Kč měsíčně).</w:t>
      </w:r>
    </w:p>
  </w:footnote>
  <w:footnote w:id="46">
    <w:p w:rsidR="00583E52" w:rsidRDefault="00583E52" w:rsidP="00965797">
      <w:pPr>
        <w:pStyle w:val="Textpoznpodarou"/>
      </w:pPr>
      <w:r>
        <w:rPr>
          <w:rStyle w:val="Znakapoznpodarou"/>
        </w:rPr>
        <w:footnoteRef/>
      </w:r>
      <w:r>
        <w:t xml:space="preserve"> </w:t>
      </w:r>
      <w:r>
        <w:rPr>
          <w:sz w:val="16"/>
          <w:szCs w:val="16"/>
        </w:rPr>
        <w:t>Je vyjádřeno</w:t>
      </w:r>
      <w:r w:rsidRPr="00E82336">
        <w:rPr>
          <w:sz w:val="16"/>
          <w:szCs w:val="16"/>
        </w:rPr>
        <w:t xml:space="preserve"> jako </w:t>
      </w:r>
      <w:r w:rsidRPr="00E82336">
        <w:rPr>
          <w:rFonts w:cs="Arial"/>
          <w:color w:val="000000" w:themeColor="text1"/>
          <w:spacing w:val="-4"/>
          <w:sz w:val="16"/>
          <w:szCs w:val="16"/>
        </w:rPr>
        <w:t>rozdíl mezi příjmy a</w:t>
      </w:r>
      <w:r>
        <w:rPr>
          <w:rFonts w:cs="Arial"/>
          <w:color w:val="000000" w:themeColor="text1"/>
          <w:spacing w:val="-4"/>
          <w:sz w:val="16"/>
          <w:szCs w:val="16"/>
        </w:rPr>
        <w:t> </w:t>
      </w:r>
      <w:r w:rsidRPr="00E82336">
        <w:rPr>
          <w:rFonts w:cs="Arial"/>
          <w:color w:val="000000" w:themeColor="text1"/>
          <w:spacing w:val="-4"/>
          <w:sz w:val="16"/>
          <w:szCs w:val="16"/>
        </w:rPr>
        <w:t>výdaji na důchody ze SR</w:t>
      </w:r>
      <w:r>
        <w:rPr>
          <w:rFonts w:cs="Arial"/>
          <w:color w:val="000000" w:themeColor="text1"/>
          <w:spacing w:val="-4"/>
          <w:sz w:val="16"/>
          <w:szCs w:val="16"/>
        </w:rPr>
        <w:t xml:space="preserve"> (z předběžných údajů)</w:t>
      </w:r>
      <w:r w:rsidRPr="00E82336">
        <w:rPr>
          <w:rFonts w:cs="Arial"/>
          <w:color w:val="000000" w:themeColor="text1"/>
          <w:spacing w:val="-4"/>
          <w:sz w:val="16"/>
          <w:szCs w:val="16"/>
        </w:rPr>
        <w:t>.</w:t>
      </w:r>
    </w:p>
  </w:footnote>
  <w:footnote w:id="47">
    <w:p w:rsidR="00583E52" w:rsidRDefault="00583E52" w:rsidP="00965797">
      <w:pPr>
        <w:pStyle w:val="Textpoznpodarou"/>
        <w:jc w:val="both"/>
      </w:pPr>
      <w:r>
        <w:rPr>
          <w:rStyle w:val="Znakapoznpodarou"/>
        </w:rPr>
        <w:footnoteRef/>
      </w:r>
      <w:r>
        <w:t xml:space="preserve"> </w:t>
      </w:r>
      <w:r w:rsidRPr="00A92D7D">
        <w:rPr>
          <w:rFonts w:cs="Arial"/>
          <w:color w:val="0D0D0D" w:themeColor="text1" w:themeTint="F2"/>
          <w:spacing w:val="-4"/>
          <w:sz w:val="16"/>
          <w:szCs w:val="16"/>
        </w:rPr>
        <w:t xml:space="preserve">Během 1. čtvrtletí </w:t>
      </w:r>
      <w:r>
        <w:rPr>
          <w:rFonts w:cs="Arial"/>
          <w:color w:val="0D0D0D" w:themeColor="text1" w:themeTint="F2"/>
          <w:spacing w:val="-4"/>
          <w:sz w:val="16"/>
          <w:szCs w:val="16"/>
        </w:rPr>
        <w:t xml:space="preserve">2017 dluh </w:t>
      </w:r>
      <w:r w:rsidRPr="00A92D7D">
        <w:rPr>
          <w:rFonts w:cs="Arial"/>
          <w:color w:val="0D0D0D" w:themeColor="text1" w:themeTint="F2"/>
          <w:spacing w:val="-4"/>
          <w:sz w:val="16"/>
          <w:szCs w:val="16"/>
        </w:rPr>
        <w:t>vystoupal na</w:t>
      </w:r>
      <w:r w:rsidRPr="00A92D7D">
        <w:rPr>
          <w:spacing w:val="-2"/>
          <w:sz w:val="16"/>
          <w:szCs w:val="16"/>
        </w:rPr>
        <w:t xml:space="preserve"> 1 789</w:t>
      </w:r>
      <w:r w:rsidRPr="00A92D7D">
        <w:rPr>
          <w:rFonts w:cs="Arial"/>
          <w:color w:val="0D0D0D" w:themeColor="text1" w:themeTint="F2"/>
          <w:spacing w:val="-4"/>
          <w:sz w:val="16"/>
          <w:szCs w:val="16"/>
        </w:rPr>
        <w:t> mld.</w:t>
      </w:r>
      <w:r w:rsidRPr="00A92D7D">
        <w:rPr>
          <w:spacing w:val="-2"/>
          <w:sz w:val="16"/>
          <w:szCs w:val="16"/>
        </w:rPr>
        <w:t xml:space="preserve"> korun a</w:t>
      </w:r>
      <w:r>
        <w:rPr>
          <w:spacing w:val="-2"/>
          <w:sz w:val="16"/>
          <w:szCs w:val="16"/>
        </w:rPr>
        <w:t> </w:t>
      </w:r>
      <w:r w:rsidRPr="00A92D7D">
        <w:rPr>
          <w:spacing w:val="-2"/>
          <w:sz w:val="16"/>
          <w:szCs w:val="16"/>
        </w:rPr>
        <w:t xml:space="preserve">zaznamenal nejrychlejší </w:t>
      </w:r>
      <w:proofErr w:type="spellStart"/>
      <w:r w:rsidRPr="00A92D7D">
        <w:rPr>
          <w:spacing w:val="-2"/>
          <w:sz w:val="16"/>
          <w:szCs w:val="16"/>
        </w:rPr>
        <w:t>mezičtv</w:t>
      </w:r>
      <w:r w:rsidR="00E03D73">
        <w:rPr>
          <w:spacing w:val="-2"/>
          <w:sz w:val="16"/>
          <w:szCs w:val="16"/>
        </w:rPr>
        <w:t>rtletní</w:t>
      </w:r>
      <w:proofErr w:type="spellEnd"/>
      <w:r w:rsidR="00E03D73">
        <w:rPr>
          <w:spacing w:val="-2"/>
          <w:sz w:val="16"/>
          <w:szCs w:val="16"/>
        </w:rPr>
        <w:t xml:space="preserve"> růst po roce</w:t>
      </w:r>
      <w:r w:rsidRPr="00A92D7D">
        <w:rPr>
          <w:spacing w:val="-2"/>
          <w:sz w:val="16"/>
          <w:szCs w:val="16"/>
        </w:rPr>
        <w:t xml:space="preserve"> 2010 (+</w:t>
      </w:r>
      <w:r w:rsidRPr="00A92D7D">
        <w:rPr>
          <w:rFonts w:cs="Arial"/>
          <w:spacing w:val="-2"/>
          <w:sz w:val="16"/>
          <w:szCs w:val="16"/>
        </w:rPr>
        <w:t>11 %</w:t>
      </w:r>
      <w:r w:rsidRPr="00A92D7D">
        <w:rPr>
          <w:rFonts w:cs="Arial"/>
          <w:color w:val="0D0D0D" w:themeColor="text1" w:themeTint="F2"/>
          <w:spacing w:val="-4"/>
          <w:sz w:val="16"/>
          <w:szCs w:val="16"/>
        </w:rPr>
        <w:t>)</w:t>
      </w:r>
      <w:r w:rsidRPr="00A92D7D">
        <w:rPr>
          <w:spacing w:val="-2"/>
          <w:sz w:val="16"/>
          <w:szCs w:val="16"/>
        </w:rPr>
        <w:t xml:space="preserve">. Toto krátkodobé navýšení souviselo se specifickou situací na dluhopisovém trhu vlivem očekávání spojených s ukončením </w:t>
      </w:r>
      <w:r w:rsidRPr="00A92D7D">
        <w:rPr>
          <w:color w:val="000000" w:themeColor="text1"/>
          <w:spacing w:val="-4"/>
          <w:sz w:val="16"/>
          <w:szCs w:val="16"/>
        </w:rPr>
        <w:t>režimu devizových intervencí.</w:t>
      </w:r>
    </w:p>
  </w:footnote>
  <w:footnote w:id="48">
    <w:p w:rsidR="00583E52" w:rsidRPr="002A5846" w:rsidRDefault="00583E52" w:rsidP="00161553">
      <w:pPr>
        <w:pStyle w:val="Textpoznpodarou"/>
        <w:jc w:val="both"/>
        <w:rPr>
          <w:spacing w:val="-4"/>
        </w:rPr>
      </w:pPr>
      <w:r w:rsidRPr="002A5846">
        <w:rPr>
          <w:rStyle w:val="Znakapoznpodarou"/>
          <w:spacing w:val="-4"/>
        </w:rPr>
        <w:footnoteRef/>
      </w:r>
      <w:r w:rsidRPr="002A5846">
        <w:rPr>
          <w:spacing w:val="-4"/>
        </w:rPr>
        <w:t xml:space="preserve"> </w:t>
      </w:r>
      <w:r w:rsidRPr="002A5846">
        <w:rPr>
          <w:color w:val="0D0D0D" w:themeColor="text1" w:themeTint="F2"/>
          <w:spacing w:val="-4"/>
          <w:sz w:val="16"/>
          <w:szCs w:val="16"/>
        </w:rPr>
        <w:t>Předběžné údaje o</w:t>
      </w:r>
      <w:r>
        <w:rPr>
          <w:color w:val="0D0D0D" w:themeColor="text1" w:themeTint="F2"/>
          <w:spacing w:val="-4"/>
          <w:sz w:val="16"/>
          <w:szCs w:val="16"/>
        </w:rPr>
        <w:t> </w:t>
      </w:r>
      <w:r w:rsidRPr="002A5846">
        <w:rPr>
          <w:color w:val="0D0D0D" w:themeColor="text1" w:themeTint="F2"/>
          <w:spacing w:val="-4"/>
          <w:sz w:val="16"/>
          <w:szCs w:val="16"/>
        </w:rPr>
        <w:t>dluhu a</w:t>
      </w:r>
      <w:r>
        <w:rPr>
          <w:color w:val="0D0D0D" w:themeColor="text1" w:themeTint="F2"/>
          <w:spacing w:val="-4"/>
          <w:sz w:val="16"/>
          <w:szCs w:val="16"/>
        </w:rPr>
        <w:t> </w:t>
      </w:r>
      <w:r w:rsidRPr="002A5846">
        <w:rPr>
          <w:color w:val="0D0D0D" w:themeColor="text1" w:themeTint="F2"/>
          <w:spacing w:val="-4"/>
          <w:sz w:val="16"/>
          <w:szCs w:val="16"/>
        </w:rPr>
        <w:t>deficitu sektoru vládních institucí za 1</w:t>
      </w:r>
      <w:r>
        <w:rPr>
          <w:color w:val="0D0D0D" w:themeColor="text1" w:themeTint="F2"/>
          <w:spacing w:val="-4"/>
          <w:sz w:val="16"/>
          <w:szCs w:val="16"/>
        </w:rPr>
        <w:t>. čtvrt</w:t>
      </w:r>
      <w:r w:rsidRPr="002A5846">
        <w:rPr>
          <w:color w:val="0D0D0D" w:themeColor="text1" w:themeTint="F2"/>
          <w:spacing w:val="-4"/>
          <w:sz w:val="16"/>
          <w:szCs w:val="16"/>
        </w:rPr>
        <w:t>letí 2018 zveřejní ČSÚ 2</w:t>
      </w:r>
      <w:r>
        <w:rPr>
          <w:color w:val="0D0D0D" w:themeColor="text1" w:themeTint="F2"/>
          <w:spacing w:val="-4"/>
          <w:sz w:val="16"/>
          <w:szCs w:val="16"/>
        </w:rPr>
        <w:t>. </w:t>
      </w:r>
      <w:r w:rsidRPr="002A5846">
        <w:rPr>
          <w:color w:val="0D0D0D" w:themeColor="text1" w:themeTint="F2"/>
          <w:spacing w:val="-4"/>
          <w:sz w:val="16"/>
          <w:szCs w:val="16"/>
        </w:rPr>
        <w:t xml:space="preserve">července 2018, </w:t>
      </w:r>
      <w:proofErr w:type="spellStart"/>
      <w:r w:rsidRPr="002A5846">
        <w:rPr>
          <w:color w:val="0D0D0D" w:themeColor="text1" w:themeTint="F2"/>
          <w:spacing w:val="-4"/>
          <w:sz w:val="16"/>
          <w:szCs w:val="16"/>
        </w:rPr>
        <w:t>Eurostat</w:t>
      </w:r>
      <w:proofErr w:type="spellEnd"/>
      <w:r w:rsidRPr="002A5846">
        <w:rPr>
          <w:color w:val="0D0D0D" w:themeColor="text1" w:themeTint="F2"/>
          <w:spacing w:val="-4"/>
          <w:sz w:val="16"/>
          <w:szCs w:val="16"/>
        </w:rPr>
        <w:t xml:space="preserve"> 20. července 2018.</w:t>
      </w:r>
    </w:p>
  </w:footnote>
  <w:footnote w:id="49">
    <w:p w:rsidR="00583E52" w:rsidRPr="001D22C2" w:rsidRDefault="00583E52" w:rsidP="00161553">
      <w:pPr>
        <w:pStyle w:val="Textpoznpodarou"/>
        <w:jc w:val="both"/>
        <w:rPr>
          <w:sz w:val="16"/>
          <w:szCs w:val="16"/>
        </w:rPr>
      </w:pPr>
      <w:r w:rsidRPr="00CE62FA">
        <w:rPr>
          <w:rStyle w:val="Znakapoznpodarou"/>
        </w:rPr>
        <w:footnoteRef/>
      </w:r>
      <w:r w:rsidRPr="001D22C2">
        <w:rPr>
          <w:sz w:val="16"/>
          <w:szCs w:val="16"/>
        </w:rPr>
        <w:t xml:space="preserve"> </w:t>
      </w:r>
      <w:r w:rsidRPr="001D22C2">
        <w:rPr>
          <w:rFonts w:cs="Arial"/>
          <w:color w:val="0D0D0D" w:themeColor="text1" w:themeTint="F2"/>
          <w:sz w:val="16"/>
          <w:szCs w:val="16"/>
        </w:rPr>
        <w:t>Indikátory salda hospodaření a</w:t>
      </w:r>
      <w:r>
        <w:rPr>
          <w:rFonts w:cs="Arial"/>
          <w:color w:val="0D0D0D" w:themeColor="text1" w:themeTint="F2"/>
          <w:sz w:val="16"/>
          <w:szCs w:val="16"/>
        </w:rPr>
        <w:t> </w:t>
      </w:r>
      <w:r w:rsidRPr="001D22C2">
        <w:rPr>
          <w:rFonts w:cs="Arial"/>
          <w:color w:val="0D0D0D" w:themeColor="text1" w:themeTint="F2"/>
          <w:sz w:val="16"/>
          <w:szCs w:val="16"/>
        </w:rPr>
        <w:t>dluhu vládních institucí jsou založeny na akruálním principu. Dle něj jsou příjmy i</w:t>
      </w:r>
      <w:r>
        <w:rPr>
          <w:rFonts w:cs="Arial"/>
          <w:color w:val="0D0D0D" w:themeColor="text1" w:themeTint="F2"/>
          <w:sz w:val="16"/>
          <w:szCs w:val="16"/>
        </w:rPr>
        <w:t> </w:t>
      </w:r>
      <w:r w:rsidRPr="001D22C2">
        <w:rPr>
          <w:rFonts w:cs="Arial"/>
          <w:color w:val="0D0D0D" w:themeColor="text1" w:themeTint="F2"/>
          <w:sz w:val="16"/>
          <w:szCs w:val="16"/>
        </w:rPr>
        <w:t>výdaje přiřazeny období, se kterým věcně souvis</w:t>
      </w:r>
      <w:r>
        <w:rPr>
          <w:rFonts w:cs="Arial"/>
          <w:color w:val="0D0D0D" w:themeColor="text1" w:themeTint="F2"/>
          <w:sz w:val="16"/>
          <w:szCs w:val="16"/>
        </w:rPr>
        <w:t>ej</w:t>
      </w:r>
      <w:r w:rsidRPr="001D22C2">
        <w:rPr>
          <w:rFonts w:cs="Arial"/>
          <w:color w:val="0D0D0D" w:themeColor="text1" w:themeTint="F2"/>
          <w:sz w:val="16"/>
          <w:szCs w:val="16"/>
        </w:rPr>
        <w:t>í, tj. bez ohledu na období uskutečnění hotovostního toku (jak je tomu v případě pokladního plnění).</w:t>
      </w:r>
    </w:p>
  </w:footnote>
  <w:footnote w:id="50">
    <w:p w:rsidR="00583E52" w:rsidRPr="0063642C" w:rsidRDefault="00583E52" w:rsidP="00161553">
      <w:pPr>
        <w:pStyle w:val="Textpoznpodarou"/>
        <w:jc w:val="both"/>
        <w:rPr>
          <w:sz w:val="16"/>
          <w:szCs w:val="16"/>
        </w:rPr>
      </w:pPr>
      <w:r w:rsidRPr="00CE62FA">
        <w:rPr>
          <w:rStyle w:val="Znakapoznpodarou"/>
        </w:rPr>
        <w:footnoteRef/>
      </w:r>
      <w:r w:rsidRPr="0063642C">
        <w:rPr>
          <w:sz w:val="16"/>
          <w:szCs w:val="16"/>
        </w:rPr>
        <w:t xml:space="preserve"> Šlo o</w:t>
      </w:r>
      <w:r>
        <w:rPr>
          <w:sz w:val="16"/>
          <w:szCs w:val="16"/>
        </w:rPr>
        <w:t> </w:t>
      </w:r>
      <w:r w:rsidRPr="0063642C">
        <w:rPr>
          <w:sz w:val="16"/>
          <w:szCs w:val="16"/>
        </w:rPr>
        <w:t>tř</w:t>
      </w:r>
      <w:r>
        <w:rPr>
          <w:sz w:val="16"/>
          <w:szCs w:val="16"/>
        </w:rPr>
        <w:t>e</w:t>
      </w:r>
      <w:r w:rsidRPr="0063642C">
        <w:rPr>
          <w:sz w:val="16"/>
          <w:szCs w:val="16"/>
        </w:rPr>
        <w:t>tí nejlepší výsledek mezi státy EU</w:t>
      </w:r>
      <w:r>
        <w:rPr>
          <w:sz w:val="16"/>
          <w:szCs w:val="16"/>
        </w:rPr>
        <w:t xml:space="preserve"> (po Maltě a Kypru)</w:t>
      </w:r>
      <w:r w:rsidRPr="0063642C">
        <w:rPr>
          <w:sz w:val="16"/>
          <w:szCs w:val="16"/>
        </w:rPr>
        <w:t>. Kladného</w:t>
      </w:r>
      <w:r>
        <w:rPr>
          <w:sz w:val="16"/>
          <w:szCs w:val="16"/>
        </w:rPr>
        <w:t xml:space="preserve"> salda</w:t>
      </w:r>
      <w:r w:rsidRPr="0063642C">
        <w:rPr>
          <w:sz w:val="16"/>
          <w:szCs w:val="16"/>
        </w:rPr>
        <w:t xml:space="preserve"> hospodaření docílila vloni téměř polovina unijních členů. </w:t>
      </w:r>
      <w:r>
        <w:rPr>
          <w:sz w:val="16"/>
          <w:szCs w:val="16"/>
        </w:rPr>
        <w:t>Se schodkem přesahujícím 3 % HDP hospodařilo jen Španělsko (v roce 2016 vedle něj ještě Francie).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52" w:rsidRPr="006F5416" w:rsidRDefault="00583E52" w:rsidP="00937AE2">
    <w:pPr>
      <w:pStyle w:val="Zhlav"/>
    </w:pPr>
    <w:r>
      <w:t xml:space="preserve">Vývoj ekonomiky České republiky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E52" w:rsidRPr="006F5416" w:rsidRDefault="00583E52" w:rsidP="00937AE2">
    <w:pPr>
      <w:pStyle w:val="Zhlav"/>
    </w:pPr>
    <w:r>
      <w:t xml:space="preserve">Vývoj ekonomiky České republiky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2">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1">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21"/>
  </w:num>
  <w:num w:numId="14">
    <w:abstractNumId w:val="11"/>
  </w:num>
  <w:num w:numId="15">
    <w:abstractNumId w:val="17"/>
  </w:num>
  <w:num w:numId="16">
    <w:abstractNumId w:val="13"/>
  </w:num>
  <w:num w:numId="17">
    <w:abstractNumId w:val="22"/>
  </w:num>
  <w:num w:numId="18">
    <w:abstractNumId w:val="18"/>
  </w:num>
  <w:num w:numId="19">
    <w:abstractNumId w:val="23"/>
  </w:num>
  <w:num w:numId="20">
    <w:abstractNumId w:val="24"/>
  </w:num>
  <w:num w:numId="21">
    <w:abstractNumId w:val="20"/>
  </w:num>
  <w:num w:numId="22">
    <w:abstractNumId w:val="16"/>
  </w:num>
  <w:num w:numId="23">
    <w:abstractNumId w:val="14"/>
  </w:num>
  <w:num w:numId="24">
    <w:abstractNumId w:val="15"/>
  </w:num>
  <w:num w:numId="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lada">
    <w15:presenceInfo w15:providerId="None" w15:userId="Vlad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1001"/>
  <w:stylePaneSortMethod w:val="0004"/>
  <w:defaultTabStop w:val="708"/>
  <w:hyphenationZone w:val="425"/>
  <w:evenAndOddHeaders/>
  <w:drawingGridHorizontalSpacing w:val="110"/>
  <w:displayHorizontalDrawingGridEvery w:val="2"/>
  <w:characterSpacingControl w:val="doNotCompress"/>
  <w:hdrShapeDefaults>
    <o:shapedefaults v:ext="edit" spidmax="13314">
      <o:colormru v:ext="edit" colors="#ecf4dd,#eaecee,#fcec0a,#fcecdb,#f1daf5"/>
    </o:shapedefaults>
  </w:hdrShapeDefaults>
  <w:footnotePr>
    <w:footnote w:id="-1"/>
    <w:footnote w:id="0"/>
  </w:footnotePr>
  <w:endnotePr>
    <w:endnote w:id="-1"/>
    <w:endnote w:id="0"/>
  </w:endnotePr>
  <w:compat/>
  <w:rsids>
    <w:rsidRoot w:val="00C62828"/>
    <w:rsid w:val="0000209D"/>
    <w:rsid w:val="00003F5C"/>
    <w:rsid w:val="00004D5A"/>
    <w:rsid w:val="000056D5"/>
    <w:rsid w:val="000063D5"/>
    <w:rsid w:val="00006ABD"/>
    <w:rsid w:val="0000767A"/>
    <w:rsid w:val="00010256"/>
    <w:rsid w:val="00010702"/>
    <w:rsid w:val="00011912"/>
    <w:rsid w:val="00016420"/>
    <w:rsid w:val="00017B01"/>
    <w:rsid w:val="0002195D"/>
    <w:rsid w:val="000234D6"/>
    <w:rsid w:val="00023D29"/>
    <w:rsid w:val="00026389"/>
    <w:rsid w:val="00031AE0"/>
    <w:rsid w:val="000322EF"/>
    <w:rsid w:val="00033FCD"/>
    <w:rsid w:val="00034DF7"/>
    <w:rsid w:val="00036195"/>
    <w:rsid w:val="000403A7"/>
    <w:rsid w:val="00041CEC"/>
    <w:rsid w:val="00044183"/>
    <w:rsid w:val="0004694F"/>
    <w:rsid w:val="00047D54"/>
    <w:rsid w:val="000522E4"/>
    <w:rsid w:val="00053713"/>
    <w:rsid w:val="0005434E"/>
    <w:rsid w:val="00057B1E"/>
    <w:rsid w:val="000610E1"/>
    <w:rsid w:val="00062EC5"/>
    <w:rsid w:val="00062F22"/>
    <w:rsid w:val="00063975"/>
    <w:rsid w:val="0006533F"/>
    <w:rsid w:val="00065A75"/>
    <w:rsid w:val="00070A87"/>
    <w:rsid w:val="000712B3"/>
    <w:rsid w:val="0007474E"/>
    <w:rsid w:val="0008263E"/>
    <w:rsid w:val="00082C19"/>
    <w:rsid w:val="00085395"/>
    <w:rsid w:val="00086AC1"/>
    <w:rsid w:val="00087634"/>
    <w:rsid w:val="00087F2B"/>
    <w:rsid w:val="00090694"/>
    <w:rsid w:val="000913B1"/>
    <w:rsid w:val="00094A84"/>
    <w:rsid w:val="00095025"/>
    <w:rsid w:val="00095135"/>
    <w:rsid w:val="00097191"/>
    <w:rsid w:val="000974D1"/>
    <w:rsid w:val="0009799E"/>
    <w:rsid w:val="000A1183"/>
    <w:rsid w:val="000A256D"/>
    <w:rsid w:val="000A3A2C"/>
    <w:rsid w:val="000A4A54"/>
    <w:rsid w:val="000B03CC"/>
    <w:rsid w:val="000C0EA8"/>
    <w:rsid w:val="000C3408"/>
    <w:rsid w:val="000C6AFD"/>
    <w:rsid w:val="000D3058"/>
    <w:rsid w:val="000D5637"/>
    <w:rsid w:val="000E0E96"/>
    <w:rsid w:val="000E2C7D"/>
    <w:rsid w:val="000E6253"/>
    <w:rsid w:val="000E6FBD"/>
    <w:rsid w:val="00100F5C"/>
    <w:rsid w:val="00101CDA"/>
    <w:rsid w:val="00102037"/>
    <w:rsid w:val="00103DCB"/>
    <w:rsid w:val="00104C4C"/>
    <w:rsid w:val="00112CAB"/>
    <w:rsid w:val="00117623"/>
    <w:rsid w:val="0012192F"/>
    <w:rsid w:val="00122994"/>
    <w:rsid w:val="00124B46"/>
    <w:rsid w:val="00125D69"/>
    <w:rsid w:val="0012799C"/>
    <w:rsid w:val="00130ADC"/>
    <w:rsid w:val="00130D9F"/>
    <w:rsid w:val="001405FA"/>
    <w:rsid w:val="001425C3"/>
    <w:rsid w:val="0014262D"/>
    <w:rsid w:val="001459BC"/>
    <w:rsid w:val="001554C2"/>
    <w:rsid w:val="0015753D"/>
    <w:rsid w:val="001612F4"/>
    <w:rsid w:val="00161553"/>
    <w:rsid w:val="0016256B"/>
    <w:rsid w:val="00163793"/>
    <w:rsid w:val="00167CB9"/>
    <w:rsid w:val="001705AD"/>
    <w:rsid w:val="001706D6"/>
    <w:rsid w:val="001714F2"/>
    <w:rsid w:val="00175B9F"/>
    <w:rsid w:val="00181BBC"/>
    <w:rsid w:val="00184017"/>
    <w:rsid w:val="00184B08"/>
    <w:rsid w:val="00185010"/>
    <w:rsid w:val="00197A70"/>
    <w:rsid w:val="00197C0F"/>
    <w:rsid w:val="001A0487"/>
    <w:rsid w:val="001A552F"/>
    <w:rsid w:val="001B2CA9"/>
    <w:rsid w:val="001B3110"/>
    <w:rsid w:val="001B3E38"/>
    <w:rsid w:val="001B4729"/>
    <w:rsid w:val="001B4F0E"/>
    <w:rsid w:val="001B6310"/>
    <w:rsid w:val="001B6C09"/>
    <w:rsid w:val="001C05CD"/>
    <w:rsid w:val="001C1B66"/>
    <w:rsid w:val="001C31A2"/>
    <w:rsid w:val="001D22C2"/>
    <w:rsid w:val="001D5DF2"/>
    <w:rsid w:val="001D68B2"/>
    <w:rsid w:val="001E504C"/>
    <w:rsid w:val="001F4597"/>
    <w:rsid w:val="00200085"/>
    <w:rsid w:val="00203CD5"/>
    <w:rsid w:val="00203D8F"/>
    <w:rsid w:val="00203DA4"/>
    <w:rsid w:val="002071D5"/>
    <w:rsid w:val="002118B9"/>
    <w:rsid w:val="002142C0"/>
    <w:rsid w:val="00217C5B"/>
    <w:rsid w:val="0022139E"/>
    <w:rsid w:val="00222729"/>
    <w:rsid w:val="0022441D"/>
    <w:rsid w:val="002252E0"/>
    <w:rsid w:val="002255F6"/>
    <w:rsid w:val="00227850"/>
    <w:rsid w:val="00227A53"/>
    <w:rsid w:val="00230C6E"/>
    <w:rsid w:val="00233603"/>
    <w:rsid w:val="00236443"/>
    <w:rsid w:val="00241B06"/>
    <w:rsid w:val="002436BA"/>
    <w:rsid w:val="00244A15"/>
    <w:rsid w:val="002452D9"/>
    <w:rsid w:val="00247319"/>
    <w:rsid w:val="0024799E"/>
    <w:rsid w:val="00253C0F"/>
    <w:rsid w:val="002558C1"/>
    <w:rsid w:val="00256207"/>
    <w:rsid w:val="002603E1"/>
    <w:rsid w:val="0026291D"/>
    <w:rsid w:val="00271022"/>
    <w:rsid w:val="00271465"/>
    <w:rsid w:val="00272DF4"/>
    <w:rsid w:val="0027583D"/>
    <w:rsid w:val="00275DEF"/>
    <w:rsid w:val="002812E3"/>
    <w:rsid w:val="002837AE"/>
    <w:rsid w:val="002853FA"/>
    <w:rsid w:val="00285412"/>
    <w:rsid w:val="00291640"/>
    <w:rsid w:val="0029237E"/>
    <w:rsid w:val="00292997"/>
    <w:rsid w:val="0029588F"/>
    <w:rsid w:val="00297D51"/>
    <w:rsid w:val="002A0122"/>
    <w:rsid w:val="002A016B"/>
    <w:rsid w:val="002A16D4"/>
    <w:rsid w:val="002A1E4F"/>
    <w:rsid w:val="002A230C"/>
    <w:rsid w:val="002A532A"/>
    <w:rsid w:val="002A5846"/>
    <w:rsid w:val="002A5D97"/>
    <w:rsid w:val="002B4845"/>
    <w:rsid w:val="002C27A6"/>
    <w:rsid w:val="002C43BD"/>
    <w:rsid w:val="002D0E59"/>
    <w:rsid w:val="002E02A1"/>
    <w:rsid w:val="002E196A"/>
    <w:rsid w:val="002E222E"/>
    <w:rsid w:val="002E37D1"/>
    <w:rsid w:val="002E3BEE"/>
    <w:rsid w:val="002E4E4C"/>
    <w:rsid w:val="002E5846"/>
    <w:rsid w:val="002F498A"/>
    <w:rsid w:val="00304771"/>
    <w:rsid w:val="003052D4"/>
    <w:rsid w:val="00306C5B"/>
    <w:rsid w:val="00307DB3"/>
    <w:rsid w:val="0031076D"/>
    <w:rsid w:val="00311C4D"/>
    <w:rsid w:val="003121AB"/>
    <w:rsid w:val="003153C8"/>
    <w:rsid w:val="003209D6"/>
    <w:rsid w:val="00321924"/>
    <w:rsid w:val="0032656E"/>
    <w:rsid w:val="00332190"/>
    <w:rsid w:val="00341F05"/>
    <w:rsid w:val="0034335E"/>
    <w:rsid w:val="00344668"/>
    <w:rsid w:val="003462D9"/>
    <w:rsid w:val="00360C86"/>
    <w:rsid w:val="00360FBC"/>
    <w:rsid w:val="00361537"/>
    <w:rsid w:val="0036242A"/>
    <w:rsid w:val="00362E90"/>
    <w:rsid w:val="00364FA0"/>
    <w:rsid w:val="003657F3"/>
    <w:rsid w:val="003738BD"/>
    <w:rsid w:val="00374E21"/>
    <w:rsid w:val="003818DC"/>
    <w:rsid w:val="00383388"/>
    <w:rsid w:val="003834F8"/>
    <w:rsid w:val="00384327"/>
    <w:rsid w:val="00385D98"/>
    <w:rsid w:val="003908A6"/>
    <w:rsid w:val="003927F6"/>
    <w:rsid w:val="003A04F6"/>
    <w:rsid w:val="003A2B4D"/>
    <w:rsid w:val="003A2D12"/>
    <w:rsid w:val="003A478C"/>
    <w:rsid w:val="003A5525"/>
    <w:rsid w:val="003A6B38"/>
    <w:rsid w:val="003A6B83"/>
    <w:rsid w:val="003B1F9D"/>
    <w:rsid w:val="003B461F"/>
    <w:rsid w:val="003B5A32"/>
    <w:rsid w:val="003C3490"/>
    <w:rsid w:val="003C6221"/>
    <w:rsid w:val="003C7E62"/>
    <w:rsid w:val="003D242B"/>
    <w:rsid w:val="003D2492"/>
    <w:rsid w:val="003D6920"/>
    <w:rsid w:val="003E4C91"/>
    <w:rsid w:val="003E52D8"/>
    <w:rsid w:val="003F313C"/>
    <w:rsid w:val="003F37FC"/>
    <w:rsid w:val="003F4B2C"/>
    <w:rsid w:val="003F551C"/>
    <w:rsid w:val="003F72ED"/>
    <w:rsid w:val="003F7D23"/>
    <w:rsid w:val="00400050"/>
    <w:rsid w:val="00400468"/>
    <w:rsid w:val="00402ADB"/>
    <w:rsid w:val="004059D2"/>
    <w:rsid w:val="00406C2E"/>
    <w:rsid w:val="00407C13"/>
    <w:rsid w:val="00410638"/>
    <w:rsid w:val="00412511"/>
    <w:rsid w:val="004125C2"/>
    <w:rsid w:val="00413465"/>
    <w:rsid w:val="0041501E"/>
    <w:rsid w:val="004159C3"/>
    <w:rsid w:val="00416DAC"/>
    <w:rsid w:val="00432A58"/>
    <w:rsid w:val="00434617"/>
    <w:rsid w:val="00440900"/>
    <w:rsid w:val="00441BF6"/>
    <w:rsid w:val="004441A0"/>
    <w:rsid w:val="00446D44"/>
    <w:rsid w:val="0045078A"/>
    <w:rsid w:val="0045086D"/>
    <w:rsid w:val="00451EF1"/>
    <w:rsid w:val="00460FB3"/>
    <w:rsid w:val="004707FE"/>
    <w:rsid w:val="0047276D"/>
    <w:rsid w:val="00474A04"/>
    <w:rsid w:val="00476240"/>
    <w:rsid w:val="00476439"/>
    <w:rsid w:val="0047735C"/>
    <w:rsid w:val="004776BC"/>
    <w:rsid w:val="0048139F"/>
    <w:rsid w:val="00481E40"/>
    <w:rsid w:val="00482405"/>
    <w:rsid w:val="004826A7"/>
    <w:rsid w:val="0048368C"/>
    <w:rsid w:val="00484ECE"/>
    <w:rsid w:val="00486A4D"/>
    <w:rsid w:val="004915CB"/>
    <w:rsid w:val="004924DC"/>
    <w:rsid w:val="00492879"/>
    <w:rsid w:val="004A14E4"/>
    <w:rsid w:val="004A27F0"/>
    <w:rsid w:val="004A3212"/>
    <w:rsid w:val="004A40D9"/>
    <w:rsid w:val="004A5494"/>
    <w:rsid w:val="004A61C5"/>
    <w:rsid w:val="004A62A0"/>
    <w:rsid w:val="004A77DF"/>
    <w:rsid w:val="004B1417"/>
    <w:rsid w:val="004B55B7"/>
    <w:rsid w:val="004B6468"/>
    <w:rsid w:val="004B7125"/>
    <w:rsid w:val="004B756A"/>
    <w:rsid w:val="004B7FB1"/>
    <w:rsid w:val="004C384C"/>
    <w:rsid w:val="004C3867"/>
    <w:rsid w:val="004C3DB0"/>
    <w:rsid w:val="004C4CD0"/>
    <w:rsid w:val="004C5165"/>
    <w:rsid w:val="004C6E0E"/>
    <w:rsid w:val="004C70DC"/>
    <w:rsid w:val="004D0211"/>
    <w:rsid w:val="004D0794"/>
    <w:rsid w:val="004E1A40"/>
    <w:rsid w:val="004E200A"/>
    <w:rsid w:val="004E765E"/>
    <w:rsid w:val="004F06F5"/>
    <w:rsid w:val="004F12A4"/>
    <w:rsid w:val="004F253F"/>
    <w:rsid w:val="004F33A0"/>
    <w:rsid w:val="004F3BD2"/>
    <w:rsid w:val="0050689D"/>
    <w:rsid w:val="005108C0"/>
    <w:rsid w:val="00511873"/>
    <w:rsid w:val="00512461"/>
    <w:rsid w:val="00512A2F"/>
    <w:rsid w:val="00513B7E"/>
    <w:rsid w:val="00515BE9"/>
    <w:rsid w:val="00515C74"/>
    <w:rsid w:val="0052007E"/>
    <w:rsid w:val="0052337A"/>
    <w:rsid w:val="00525137"/>
    <w:rsid w:val="005251DD"/>
    <w:rsid w:val="00532CE7"/>
    <w:rsid w:val="0053324C"/>
    <w:rsid w:val="00534A28"/>
    <w:rsid w:val="00535018"/>
    <w:rsid w:val="00537571"/>
    <w:rsid w:val="00541508"/>
    <w:rsid w:val="00543498"/>
    <w:rsid w:val="00544BE5"/>
    <w:rsid w:val="00550160"/>
    <w:rsid w:val="00552F2C"/>
    <w:rsid w:val="005547EB"/>
    <w:rsid w:val="0055599F"/>
    <w:rsid w:val="00556D68"/>
    <w:rsid w:val="005570D6"/>
    <w:rsid w:val="00563EB8"/>
    <w:rsid w:val="005647BF"/>
    <w:rsid w:val="00564AF1"/>
    <w:rsid w:val="00570BC3"/>
    <w:rsid w:val="0057182A"/>
    <w:rsid w:val="00572079"/>
    <w:rsid w:val="00573602"/>
    <w:rsid w:val="0057364B"/>
    <w:rsid w:val="00574773"/>
    <w:rsid w:val="00580DE7"/>
    <w:rsid w:val="00583E52"/>
    <w:rsid w:val="00583FFD"/>
    <w:rsid w:val="0058519A"/>
    <w:rsid w:val="005911BE"/>
    <w:rsid w:val="00591273"/>
    <w:rsid w:val="00593152"/>
    <w:rsid w:val="005A10F2"/>
    <w:rsid w:val="005A21E0"/>
    <w:rsid w:val="005A28FF"/>
    <w:rsid w:val="005A2C09"/>
    <w:rsid w:val="005A3DF8"/>
    <w:rsid w:val="005A5549"/>
    <w:rsid w:val="005B121D"/>
    <w:rsid w:val="005B6CA1"/>
    <w:rsid w:val="005B770C"/>
    <w:rsid w:val="005C06ED"/>
    <w:rsid w:val="005C11B8"/>
    <w:rsid w:val="005C2609"/>
    <w:rsid w:val="005C45DD"/>
    <w:rsid w:val="005D3F06"/>
    <w:rsid w:val="005D4B73"/>
    <w:rsid w:val="005D5802"/>
    <w:rsid w:val="005D5AA9"/>
    <w:rsid w:val="005D7119"/>
    <w:rsid w:val="005D76C8"/>
    <w:rsid w:val="005D7890"/>
    <w:rsid w:val="005E4BC9"/>
    <w:rsid w:val="005E5314"/>
    <w:rsid w:val="005E7C78"/>
    <w:rsid w:val="005F04A7"/>
    <w:rsid w:val="005F18C5"/>
    <w:rsid w:val="005F36CC"/>
    <w:rsid w:val="005F3EB1"/>
    <w:rsid w:val="005F466B"/>
    <w:rsid w:val="005F46D8"/>
    <w:rsid w:val="005F5469"/>
    <w:rsid w:val="005F63F3"/>
    <w:rsid w:val="00604307"/>
    <w:rsid w:val="0060487F"/>
    <w:rsid w:val="00604EAD"/>
    <w:rsid w:val="006104FB"/>
    <w:rsid w:val="00612A2F"/>
    <w:rsid w:val="00612AAE"/>
    <w:rsid w:val="00616E05"/>
    <w:rsid w:val="00617985"/>
    <w:rsid w:val="00624093"/>
    <w:rsid w:val="00631698"/>
    <w:rsid w:val="00634CE7"/>
    <w:rsid w:val="006350D5"/>
    <w:rsid w:val="0063642C"/>
    <w:rsid w:val="006404A7"/>
    <w:rsid w:val="006451E4"/>
    <w:rsid w:val="00645B33"/>
    <w:rsid w:val="006516CB"/>
    <w:rsid w:val="00656CFB"/>
    <w:rsid w:val="00657E87"/>
    <w:rsid w:val="00662469"/>
    <w:rsid w:val="00664647"/>
    <w:rsid w:val="00664803"/>
    <w:rsid w:val="00665BA4"/>
    <w:rsid w:val="00667AF2"/>
    <w:rsid w:val="006710C9"/>
    <w:rsid w:val="006741CD"/>
    <w:rsid w:val="00674D89"/>
    <w:rsid w:val="00675E37"/>
    <w:rsid w:val="00676D76"/>
    <w:rsid w:val="00676F9F"/>
    <w:rsid w:val="00677594"/>
    <w:rsid w:val="0068032F"/>
    <w:rsid w:val="00680D37"/>
    <w:rsid w:val="0068174E"/>
    <w:rsid w:val="00681DCE"/>
    <w:rsid w:val="0068260E"/>
    <w:rsid w:val="00684E25"/>
    <w:rsid w:val="006858A4"/>
    <w:rsid w:val="00686718"/>
    <w:rsid w:val="00686BFA"/>
    <w:rsid w:val="00695BEF"/>
    <w:rsid w:val="006968C1"/>
    <w:rsid w:val="006977F6"/>
    <w:rsid w:val="00697A13"/>
    <w:rsid w:val="006A109C"/>
    <w:rsid w:val="006A7691"/>
    <w:rsid w:val="006A7EE2"/>
    <w:rsid w:val="006B0514"/>
    <w:rsid w:val="006B0F92"/>
    <w:rsid w:val="006B2785"/>
    <w:rsid w:val="006B344A"/>
    <w:rsid w:val="006B74AC"/>
    <w:rsid w:val="006B78D8"/>
    <w:rsid w:val="006C113F"/>
    <w:rsid w:val="006C123E"/>
    <w:rsid w:val="006C15A1"/>
    <w:rsid w:val="006C1752"/>
    <w:rsid w:val="006C28CA"/>
    <w:rsid w:val="006C4355"/>
    <w:rsid w:val="006C469D"/>
    <w:rsid w:val="006C56D4"/>
    <w:rsid w:val="006C6924"/>
    <w:rsid w:val="006C7CA6"/>
    <w:rsid w:val="006D3E8A"/>
    <w:rsid w:val="006D61F6"/>
    <w:rsid w:val="006E279A"/>
    <w:rsid w:val="006E313B"/>
    <w:rsid w:val="006E7227"/>
    <w:rsid w:val="006F0741"/>
    <w:rsid w:val="006F1C27"/>
    <w:rsid w:val="006F42BB"/>
    <w:rsid w:val="006F438E"/>
    <w:rsid w:val="006F440B"/>
    <w:rsid w:val="006F5416"/>
    <w:rsid w:val="006F624B"/>
    <w:rsid w:val="00705242"/>
    <w:rsid w:val="00706AD4"/>
    <w:rsid w:val="00707150"/>
    <w:rsid w:val="007140BE"/>
    <w:rsid w:val="00715E4D"/>
    <w:rsid w:val="00716F48"/>
    <w:rsid w:val="007211F5"/>
    <w:rsid w:val="007240E2"/>
    <w:rsid w:val="0072583E"/>
    <w:rsid w:val="00725BB5"/>
    <w:rsid w:val="00730AE8"/>
    <w:rsid w:val="00730F1B"/>
    <w:rsid w:val="00741493"/>
    <w:rsid w:val="007434E5"/>
    <w:rsid w:val="00752180"/>
    <w:rsid w:val="00752323"/>
    <w:rsid w:val="00753CAB"/>
    <w:rsid w:val="00754A70"/>
    <w:rsid w:val="00755202"/>
    <w:rsid w:val="00755D3A"/>
    <w:rsid w:val="0075751D"/>
    <w:rsid w:val="007578D3"/>
    <w:rsid w:val="00760391"/>
    <w:rsid w:val="007609C6"/>
    <w:rsid w:val="0076175D"/>
    <w:rsid w:val="00763B85"/>
    <w:rsid w:val="0076521E"/>
    <w:rsid w:val="007661E9"/>
    <w:rsid w:val="00776169"/>
    <w:rsid w:val="00776527"/>
    <w:rsid w:val="00777040"/>
    <w:rsid w:val="00780EF1"/>
    <w:rsid w:val="00786C87"/>
    <w:rsid w:val="007877C9"/>
    <w:rsid w:val="00790764"/>
    <w:rsid w:val="0079085F"/>
    <w:rsid w:val="0079453C"/>
    <w:rsid w:val="00794677"/>
    <w:rsid w:val="007A3CAF"/>
    <w:rsid w:val="007A516D"/>
    <w:rsid w:val="007A775D"/>
    <w:rsid w:val="007B0834"/>
    <w:rsid w:val="007B11FA"/>
    <w:rsid w:val="007B2011"/>
    <w:rsid w:val="007B2CFE"/>
    <w:rsid w:val="007B3DCB"/>
    <w:rsid w:val="007B6689"/>
    <w:rsid w:val="007B6F72"/>
    <w:rsid w:val="007C2D94"/>
    <w:rsid w:val="007C5F92"/>
    <w:rsid w:val="007C6227"/>
    <w:rsid w:val="007C6BBD"/>
    <w:rsid w:val="007D0382"/>
    <w:rsid w:val="007D1A1F"/>
    <w:rsid w:val="007D40DF"/>
    <w:rsid w:val="007D4458"/>
    <w:rsid w:val="007E1788"/>
    <w:rsid w:val="007E29B4"/>
    <w:rsid w:val="007E435A"/>
    <w:rsid w:val="007E49F7"/>
    <w:rsid w:val="007E7E61"/>
    <w:rsid w:val="007F0845"/>
    <w:rsid w:val="007F20F3"/>
    <w:rsid w:val="007F708D"/>
    <w:rsid w:val="00801E13"/>
    <w:rsid w:val="0080734C"/>
    <w:rsid w:val="00807C82"/>
    <w:rsid w:val="008117CC"/>
    <w:rsid w:val="00816905"/>
    <w:rsid w:val="00817A17"/>
    <w:rsid w:val="00817EC1"/>
    <w:rsid w:val="0082112D"/>
    <w:rsid w:val="00821FF6"/>
    <w:rsid w:val="00822574"/>
    <w:rsid w:val="00825C4D"/>
    <w:rsid w:val="00830E86"/>
    <w:rsid w:val="0083143E"/>
    <w:rsid w:val="00831CDE"/>
    <w:rsid w:val="00834304"/>
    <w:rsid w:val="00834FAA"/>
    <w:rsid w:val="008354FB"/>
    <w:rsid w:val="00836086"/>
    <w:rsid w:val="00836A06"/>
    <w:rsid w:val="008374BC"/>
    <w:rsid w:val="00840293"/>
    <w:rsid w:val="008417B5"/>
    <w:rsid w:val="00846121"/>
    <w:rsid w:val="0084708F"/>
    <w:rsid w:val="008477C8"/>
    <w:rsid w:val="0085114D"/>
    <w:rsid w:val="00852217"/>
    <w:rsid w:val="00855408"/>
    <w:rsid w:val="00856D65"/>
    <w:rsid w:val="00861B41"/>
    <w:rsid w:val="00861B9F"/>
    <w:rsid w:val="00861BE3"/>
    <w:rsid w:val="00863434"/>
    <w:rsid w:val="00865E4C"/>
    <w:rsid w:val="00867DAB"/>
    <w:rsid w:val="008701E4"/>
    <w:rsid w:val="00874FE8"/>
    <w:rsid w:val="00875A32"/>
    <w:rsid w:val="00876086"/>
    <w:rsid w:val="00876E83"/>
    <w:rsid w:val="008772BC"/>
    <w:rsid w:val="00882911"/>
    <w:rsid w:val="00885D40"/>
    <w:rsid w:val="008873D4"/>
    <w:rsid w:val="00891EDF"/>
    <w:rsid w:val="00892872"/>
    <w:rsid w:val="0089296D"/>
    <w:rsid w:val="00893E85"/>
    <w:rsid w:val="00894031"/>
    <w:rsid w:val="00894C5D"/>
    <w:rsid w:val="00895508"/>
    <w:rsid w:val="008A0ADD"/>
    <w:rsid w:val="008A3CBA"/>
    <w:rsid w:val="008A4B59"/>
    <w:rsid w:val="008B3F7B"/>
    <w:rsid w:val="008B6106"/>
    <w:rsid w:val="008B7C02"/>
    <w:rsid w:val="008B7D2B"/>
    <w:rsid w:val="008B7EF9"/>
    <w:rsid w:val="008C0049"/>
    <w:rsid w:val="008C0E88"/>
    <w:rsid w:val="008C4B50"/>
    <w:rsid w:val="008C7569"/>
    <w:rsid w:val="008D0DBD"/>
    <w:rsid w:val="008D127E"/>
    <w:rsid w:val="008D1E6A"/>
    <w:rsid w:val="008D2A16"/>
    <w:rsid w:val="008E2C57"/>
    <w:rsid w:val="008E31FF"/>
    <w:rsid w:val="008E6DCB"/>
    <w:rsid w:val="008E6F06"/>
    <w:rsid w:val="008E7B8E"/>
    <w:rsid w:val="008E7FC9"/>
    <w:rsid w:val="008F029B"/>
    <w:rsid w:val="008F2A5D"/>
    <w:rsid w:val="008F3636"/>
    <w:rsid w:val="008F3FC9"/>
    <w:rsid w:val="008F585B"/>
    <w:rsid w:val="009003A8"/>
    <w:rsid w:val="00902500"/>
    <w:rsid w:val="00902EFF"/>
    <w:rsid w:val="00904F96"/>
    <w:rsid w:val="009052A3"/>
    <w:rsid w:val="00905B8D"/>
    <w:rsid w:val="00906401"/>
    <w:rsid w:val="009110F7"/>
    <w:rsid w:val="0091155E"/>
    <w:rsid w:val="00912A92"/>
    <w:rsid w:val="00915D07"/>
    <w:rsid w:val="009162AE"/>
    <w:rsid w:val="00917251"/>
    <w:rsid w:val="0091728D"/>
    <w:rsid w:val="0092180B"/>
    <w:rsid w:val="00921F14"/>
    <w:rsid w:val="00923CB0"/>
    <w:rsid w:val="00924AC8"/>
    <w:rsid w:val="00925429"/>
    <w:rsid w:val="0092597A"/>
    <w:rsid w:val="00926520"/>
    <w:rsid w:val="0093033E"/>
    <w:rsid w:val="00930FB1"/>
    <w:rsid w:val="0093139F"/>
    <w:rsid w:val="00932443"/>
    <w:rsid w:val="00935BD4"/>
    <w:rsid w:val="009373B2"/>
    <w:rsid w:val="00937AE2"/>
    <w:rsid w:val="0094416B"/>
    <w:rsid w:val="0094427A"/>
    <w:rsid w:val="00944C7C"/>
    <w:rsid w:val="00945245"/>
    <w:rsid w:val="0095759C"/>
    <w:rsid w:val="009618EE"/>
    <w:rsid w:val="009624D2"/>
    <w:rsid w:val="009628D9"/>
    <w:rsid w:val="009637AE"/>
    <w:rsid w:val="00964A4E"/>
    <w:rsid w:val="009651C7"/>
    <w:rsid w:val="00965797"/>
    <w:rsid w:val="009674BE"/>
    <w:rsid w:val="00972FCD"/>
    <w:rsid w:val="009741FC"/>
    <w:rsid w:val="00974923"/>
    <w:rsid w:val="00977C3D"/>
    <w:rsid w:val="00980D3D"/>
    <w:rsid w:val="00983101"/>
    <w:rsid w:val="00983E41"/>
    <w:rsid w:val="00987A30"/>
    <w:rsid w:val="0099182E"/>
    <w:rsid w:val="00992CF3"/>
    <w:rsid w:val="00994868"/>
    <w:rsid w:val="009968D6"/>
    <w:rsid w:val="009A10A0"/>
    <w:rsid w:val="009A1CAB"/>
    <w:rsid w:val="009A2359"/>
    <w:rsid w:val="009A4D57"/>
    <w:rsid w:val="009A60D1"/>
    <w:rsid w:val="009B3764"/>
    <w:rsid w:val="009B6FD3"/>
    <w:rsid w:val="009C1750"/>
    <w:rsid w:val="009C2E29"/>
    <w:rsid w:val="009C3E8F"/>
    <w:rsid w:val="009C554B"/>
    <w:rsid w:val="009C719E"/>
    <w:rsid w:val="009D3ACD"/>
    <w:rsid w:val="009E5273"/>
    <w:rsid w:val="009E5DDB"/>
    <w:rsid w:val="009F4982"/>
    <w:rsid w:val="009F4CA7"/>
    <w:rsid w:val="00A023C5"/>
    <w:rsid w:val="00A04616"/>
    <w:rsid w:val="00A04717"/>
    <w:rsid w:val="00A05EE4"/>
    <w:rsid w:val="00A10D66"/>
    <w:rsid w:val="00A14114"/>
    <w:rsid w:val="00A16413"/>
    <w:rsid w:val="00A16AED"/>
    <w:rsid w:val="00A16E1D"/>
    <w:rsid w:val="00A17A15"/>
    <w:rsid w:val="00A17D5B"/>
    <w:rsid w:val="00A23E43"/>
    <w:rsid w:val="00A25216"/>
    <w:rsid w:val="00A2628E"/>
    <w:rsid w:val="00A30F65"/>
    <w:rsid w:val="00A40EAC"/>
    <w:rsid w:val="00A418BC"/>
    <w:rsid w:val="00A44B0D"/>
    <w:rsid w:val="00A45087"/>
    <w:rsid w:val="00A45489"/>
    <w:rsid w:val="00A46DE0"/>
    <w:rsid w:val="00A50D73"/>
    <w:rsid w:val="00A52CAD"/>
    <w:rsid w:val="00A53FC7"/>
    <w:rsid w:val="00A626FF"/>
    <w:rsid w:val="00A62CE1"/>
    <w:rsid w:val="00A655D3"/>
    <w:rsid w:val="00A6741E"/>
    <w:rsid w:val="00A722F9"/>
    <w:rsid w:val="00A72D42"/>
    <w:rsid w:val="00A75E40"/>
    <w:rsid w:val="00A77D1D"/>
    <w:rsid w:val="00A81652"/>
    <w:rsid w:val="00A83150"/>
    <w:rsid w:val="00A83398"/>
    <w:rsid w:val="00A857C0"/>
    <w:rsid w:val="00A90FED"/>
    <w:rsid w:val="00A91E71"/>
    <w:rsid w:val="00A96116"/>
    <w:rsid w:val="00A9614E"/>
    <w:rsid w:val="00A96C0F"/>
    <w:rsid w:val="00AA2996"/>
    <w:rsid w:val="00AA52BF"/>
    <w:rsid w:val="00AA559A"/>
    <w:rsid w:val="00AA7CE8"/>
    <w:rsid w:val="00AB2AF1"/>
    <w:rsid w:val="00AB5A64"/>
    <w:rsid w:val="00AC044E"/>
    <w:rsid w:val="00AC2395"/>
    <w:rsid w:val="00AC2960"/>
    <w:rsid w:val="00AC2AC4"/>
    <w:rsid w:val="00AC4284"/>
    <w:rsid w:val="00AC45BD"/>
    <w:rsid w:val="00AD168E"/>
    <w:rsid w:val="00AD306C"/>
    <w:rsid w:val="00AD5AD2"/>
    <w:rsid w:val="00AD6462"/>
    <w:rsid w:val="00AD68C4"/>
    <w:rsid w:val="00AE09B3"/>
    <w:rsid w:val="00AE1A83"/>
    <w:rsid w:val="00AE7CE7"/>
    <w:rsid w:val="00AE7FAB"/>
    <w:rsid w:val="00AF436B"/>
    <w:rsid w:val="00AF5179"/>
    <w:rsid w:val="00B00913"/>
    <w:rsid w:val="00B01593"/>
    <w:rsid w:val="00B01FF9"/>
    <w:rsid w:val="00B023F2"/>
    <w:rsid w:val="00B10A4D"/>
    <w:rsid w:val="00B10C90"/>
    <w:rsid w:val="00B14BC1"/>
    <w:rsid w:val="00B16EB8"/>
    <w:rsid w:val="00B17E71"/>
    <w:rsid w:val="00B17FDE"/>
    <w:rsid w:val="00B20632"/>
    <w:rsid w:val="00B2379C"/>
    <w:rsid w:val="00B2687D"/>
    <w:rsid w:val="00B32DDB"/>
    <w:rsid w:val="00B34528"/>
    <w:rsid w:val="00B34CC9"/>
    <w:rsid w:val="00B402FC"/>
    <w:rsid w:val="00B439DA"/>
    <w:rsid w:val="00B46604"/>
    <w:rsid w:val="00B47089"/>
    <w:rsid w:val="00B52151"/>
    <w:rsid w:val="00B530CD"/>
    <w:rsid w:val="00B55F5E"/>
    <w:rsid w:val="00B56B6F"/>
    <w:rsid w:val="00B5752E"/>
    <w:rsid w:val="00B63A11"/>
    <w:rsid w:val="00B64C24"/>
    <w:rsid w:val="00B6608F"/>
    <w:rsid w:val="00B679FB"/>
    <w:rsid w:val="00B76D1E"/>
    <w:rsid w:val="00B77543"/>
    <w:rsid w:val="00B80EC6"/>
    <w:rsid w:val="00B81D70"/>
    <w:rsid w:val="00B84CF6"/>
    <w:rsid w:val="00B85016"/>
    <w:rsid w:val="00B8561A"/>
    <w:rsid w:val="00B92D1D"/>
    <w:rsid w:val="00B938C5"/>
    <w:rsid w:val="00B95940"/>
    <w:rsid w:val="00B95ACA"/>
    <w:rsid w:val="00BA46E8"/>
    <w:rsid w:val="00BA6C2B"/>
    <w:rsid w:val="00BA7B64"/>
    <w:rsid w:val="00BB0351"/>
    <w:rsid w:val="00BB1AF4"/>
    <w:rsid w:val="00BB46F3"/>
    <w:rsid w:val="00BB4CB1"/>
    <w:rsid w:val="00BB4F98"/>
    <w:rsid w:val="00BB5ABF"/>
    <w:rsid w:val="00BB6EA2"/>
    <w:rsid w:val="00BC5C12"/>
    <w:rsid w:val="00BC7154"/>
    <w:rsid w:val="00BC731E"/>
    <w:rsid w:val="00BD25BB"/>
    <w:rsid w:val="00BD366B"/>
    <w:rsid w:val="00BD6D50"/>
    <w:rsid w:val="00BE18B9"/>
    <w:rsid w:val="00BE2495"/>
    <w:rsid w:val="00BF02C8"/>
    <w:rsid w:val="00BF1578"/>
    <w:rsid w:val="00BF1D12"/>
    <w:rsid w:val="00C06EE3"/>
    <w:rsid w:val="00C07749"/>
    <w:rsid w:val="00C21430"/>
    <w:rsid w:val="00C21E61"/>
    <w:rsid w:val="00C21F94"/>
    <w:rsid w:val="00C27913"/>
    <w:rsid w:val="00C33B68"/>
    <w:rsid w:val="00C36A79"/>
    <w:rsid w:val="00C401D2"/>
    <w:rsid w:val="00C405D4"/>
    <w:rsid w:val="00C419D5"/>
    <w:rsid w:val="00C4513B"/>
    <w:rsid w:val="00C5390B"/>
    <w:rsid w:val="00C54697"/>
    <w:rsid w:val="00C55402"/>
    <w:rsid w:val="00C5603B"/>
    <w:rsid w:val="00C61F47"/>
    <w:rsid w:val="00C62828"/>
    <w:rsid w:val="00C71D2F"/>
    <w:rsid w:val="00C73885"/>
    <w:rsid w:val="00C7435A"/>
    <w:rsid w:val="00C747B1"/>
    <w:rsid w:val="00C82191"/>
    <w:rsid w:val="00C83134"/>
    <w:rsid w:val="00C832F3"/>
    <w:rsid w:val="00C85545"/>
    <w:rsid w:val="00C90CF4"/>
    <w:rsid w:val="00C922DE"/>
    <w:rsid w:val="00C92843"/>
    <w:rsid w:val="00C92EB6"/>
    <w:rsid w:val="00C93389"/>
    <w:rsid w:val="00CA0346"/>
    <w:rsid w:val="00CA37FF"/>
    <w:rsid w:val="00CA6AB4"/>
    <w:rsid w:val="00CB2351"/>
    <w:rsid w:val="00CB4930"/>
    <w:rsid w:val="00CC20FE"/>
    <w:rsid w:val="00CC2E7D"/>
    <w:rsid w:val="00CC655F"/>
    <w:rsid w:val="00CC76BD"/>
    <w:rsid w:val="00CD10A5"/>
    <w:rsid w:val="00CD1129"/>
    <w:rsid w:val="00CD2076"/>
    <w:rsid w:val="00CD24CE"/>
    <w:rsid w:val="00CD29B5"/>
    <w:rsid w:val="00CD2B78"/>
    <w:rsid w:val="00CD5C3E"/>
    <w:rsid w:val="00CD6331"/>
    <w:rsid w:val="00CE62FA"/>
    <w:rsid w:val="00CE670B"/>
    <w:rsid w:val="00CF4908"/>
    <w:rsid w:val="00CF51EC"/>
    <w:rsid w:val="00CF545D"/>
    <w:rsid w:val="00CF5873"/>
    <w:rsid w:val="00CF73AE"/>
    <w:rsid w:val="00D03A72"/>
    <w:rsid w:val="00D040DD"/>
    <w:rsid w:val="00D075BE"/>
    <w:rsid w:val="00D12C25"/>
    <w:rsid w:val="00D133B4"/>
    <w:rsid w:val="00D13986"/>
    <w:rsid w:val="00D214EF"/>
    <w:rsid w:val="00D21D6D"/>
    <w:rsid w:val="00D21D83"/>
    <w:rsid w:val="00D235B7"/>
    <w:rsid w:val="00D25F28"/>
    <w:rsid w:val="00D26071"/>
    <w:rsid w:val="00D27973"/>
    <w:rsid w:val="00D31E1E"/>
    <w:rsid w:val="00D35BBB"/>
    <w:rsid w:val="00D35E1A"/>
    <w:rsid w:val="00D36E1C"/>
    <w:rsid w:val="00D373AF"/>
    <w:rsid w:val="00D40556"/>
    <w:rsid w:val="00D41F74"/>
    <w:rsid w:val="00D50F46"/>
    <w:rsid w:val="00D544E7"/>
    <w:rsid w:val="00D57677"/>
    <w:rsid w:val="00D63BE5"/>
    <w:rsid w:val="00D66223"/>
    <w:rsid w:val="00D72076"/>
    <w:rsid w:val="00D77252"/>
    <w:rsid w:val="00D8084C"/>
    <w:rsid w:val="00D8598C"/>
    <w:rsid w:val="00D915EA"/>
    <w:rsid w:val="00D9195B"/>
    <w:rsid w:val="00D97D00"/>
    <w:rsid w:val="00DA096C"/>
    <w:rsid w:val="00DA6364"/>
    <w:rsid w:val="00DA7114"/>
    <w:rsid w:val="00DA7C0C"/>
    <w:rsid w:val="00DB08A9"/>
    <w:rsid w:val="00DB2EC8"/>
    <w:rsid w:val="00DC17D0"/>
    <w:rsid w:val="00DC56FE"/>
    <w:rsid w:val="00DC5B3B"/>
    <w:rsid w:val="00DC7B1A"/>
    <w:rsid w:val="00DD129F"/>
    <w:rsid w:val="00DD32DD"/>
    <w:rsid w:val="00DF42FF"/>
    <w:rsid w:val="00DF5D1E"/>
    <w:rsid w:val="00E01C0E"/>
    <w:rsid w:val="00E0368F"/>
    <w:rsid w:val="00E03D73"/>
    <w:rsid w:val="00E03F9A"/>
    <w:rsid w:val="00E04694"/>
    <w:rsid w:val="00E129E7"/>
    <w:rsid w:val="00E12B1E"/>
    <w:rsid w:val="00E1444C"/>
    <w:rsid w:val="00E17262"/>
    <w:rsid w:val="00E2009B"/>
    <w:rsid w:val="00E2251C"/>
    <w:rsid w:val="00E2363D"/>
    <w:rsid w:val="00E253A2"/>
    <w:rsid w:val="00E27233"/>
    <w:rsid w:val="00E31771"/>
    <w:rsid w:val="00E3309D"/>
    <w:rsid w:val="00E417BE"/>
    <w:rsid w:val="00E43A9E"/>
    <w:rsid w:val="00E453F9"/>
    <w:rsid w:val="00E45D7D"/>
    <w:rsid w:val="00E47EBA"/>
    <w:rsid w:val="00E50156"/>
    <w:rsid w:val="00E5076C"/>
    <w:rsid w:val="00E53470"/>
    <w:rsid w:val="00E539F6"/>
    <w:rsid w:val="00E578A2"/>
    <w:rsid w:val="00E61740"/>
    <w:rsid w:val="00E6519D"/>
    <w:rsid w:val="00E67696"/>
    <w:rsid w:val="00E71A58"/>
    <w:rsid w:val="00E72A26"/>
    <w:rsid w:val="00E72A7A"/>
    <w:rsid w:val="00E747DC"/>
    <w:rsid w:val="00E75C94"/>
    <w:rsid w:val="00E76E61"/>
    <w:rsid w:val="00E80CA3"/>
    <w:rsid w:val="00E82618"/>
    <w:rsid w:val="00E930A1"/>
    <w:rsid w:val="00E93820"/>
    <w:rsid w:val="00E94A86"/>
    <w:rsid w:val="00E96143"/>
    <w:rsid w:val="00EA0C68"/>
    <w:rsid w:val="00EA32BC"/>
    <w:rsid w:val="00EA35A7"/>
    <w:rsid w:val="00EA513E"/>
    <w:rsid w:val="00EB4511"/>
    <w:rsid w:val="00EB6FAC"/>
    <w:rsid w:val="00EC03D7"/>
    <w:rsid w:val="00EC13A7"/>
    <w:rsid w:val="00ED2EA1"/>
    <w:rsid w:val="00ED4D04"/>
    <w:rsid w:val="00ED62C6"/>
    <w:rsid w:val="00ED64C1"/>
    <w:rsid w:val="00EE3446"/>
    <w:rsid w:val="00EE3E78"/>
    <w:rsid w:val="00EE4B1B"/>
    <w:rsid w:val="00EF150D"/>
    <w:rsid w:val="00EF1F5A"/>
    <w:rsid w:val="00EF47BF"/>
    <w:rsid w:val="00EF5FF9"/>
    <w:rsid w:val="00F0160B"/>
    <w:rsid w:val="00F04811"/>
    <w:rsid w:val="00F0488C"/>
    <w:rsid w:val="00F073ED"/>
    <w:rsid w:val="00F10F11"/>
    <w:rsid w:val="00F15AAA"/>
    <w:rsid w:val="00F15BEF"/>
    <w:rsid w:val="00F207C2"/>
    <w:rsid w:val="00F219A1"/>
    <w:rsid w:val="00F24407"/>
    <w:rsid w:val="00F24FAA"/>
    <w:rsid w:val="00F25040"/>
    <w:rsid w:val="00F27331"/>
    <w:rsid w:val="00F3364D"/>
    <w:rsid w:val="00F437CC"/>
    <w:rsid w:val="00F44537"/>
    <w:rsid w:val="00F46423"/>
    <w:rsid w:val="00F47067"/>
    <w:rsid w:val="00F525EB"/>
    <w:rsid w:val="00F63AAE"/>
    <w:rsid w:val="00F63DDE"/>
    <w:rsid w:val="00F63FB7"/>
    <w:rsid w:val="00F6421B"/>
    <w:rsid w:val="00F649D2"/>
    <w:rsid w:val="00F6602B"/>
    <w:rsid w:val="00F7150B"/>
    <w:rsid w:val="00F73A0C"/>
    <w:rsid w:val="00F756DB"/>
    <w:rsid w:val="00F767A8"/>
    <w:rsid w:val="00F84E7D"/>
    <w:rsid w:val="00F85066"/>
    <w:rsid w:val="00F87A4D"/>
    <w:rsid w:val="00F939F3"/>
    <w:rsid w:val="00FA05A0"/>
    <w:rsid w:val="00FA17CC"/>
    <w:rsid w:val="00FA5112"/>
    <w:rsid w:val="00FA5526"/>
    <w:rsid w:val="00FA5D4D"/>
    <w:rsid w:val="00FB0EE2"/>
    <w:rsid w:val="00FB1A79"/>
    <w:rsid w:val="00FB208B"/>
    <w:rsid w:val="00FB2B2D"/>
    <w:rsid w:val="00FB542E"/>
    <w:rsid w:val="00FC05F8"/>
    <w:rsid w:val="00FC0E5F"/>
    <w:rsid w:val="00FC1A95"/>
    <w:rsid w:val="00FC56DE"/>
    <w:rsid w:val="00FC684B"/>
    <w:rsid w:val="00FC77EB"/>
    <w:rsid w:val="00FC7D98"/>
    <w:rsid w:val="00FD1135"/>
    <w:rsid w:val="00FD3265"/>
    <w:rsid w:val="00FD4916"/>
    <w:rsid w:val="00FE27C7"/>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titul">
    <w:name w:val="Subtitle"/>
    <w:link w:val="Podtitul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titulChar">
    <w:name w:val="Podtitul Char"/>
    <w:link w:val="Podtitul"/>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vraznn">
    <w:name w:val="Emphasis"/>
    <w:basedOn w:val="Standardnpsmoodstavce"/>
    <w:uiPriority w:val="20"/>
    <w:qFormat/>
    <w:rsid w:val="00965797"/>
    <w:rPr>
      <w:i/>
      <w:iCs/>
    </w:rPr>
  </w:style>
  <w:style w:type="paragraph" w:styleId="Rozvrendokumentu">
    <w:name w:val="Document Map"/>
    <w:basedOn w:val="Normln"/>
    <w:link w:val="RozvrendokumentuChar"/>
    <w:uiPriority w:val="99"/>
    <w:semiHidden/>
    <w:rsid w:val="00AD5AD2"/>
    <w:pPr>
      <w:spacing w:after="0" w:line="288" w:lineRule="auto"/>
      <w:jc w:val="left"/>
    </w:pPr>
    <w:rPr>
      <w:rFonts w:ascii="Tahoma" w:eastAsia="Calibri" w:hAnsi="Tahoma" w:cs="Tahoma"/>
      <w:sz w:val="16"/>
      <w:szCs w:val="16"/>
    </w:rPr>
  </w:style>
  <w:style w:type="character" w:customStyle="1" w:styleId="RozvrendokumentuChar">
    <w:name w:val="Rozvržení dokumentu Char"/>
    <w:basedOn w:val="Standardnpsmoodstavce"/>
    <w:link w:val="Rozvrendokumentu"/>
    <w:uiPriority w:val="99"/>
    <w:semiHidden/>
    <w:rsid w:val="00AD5AD2"/>
    <w:rPr>
      <w:rFonts w:ascii="Tahoma" w:hAnsi="Tahoma" w:cs="Tahoma"/>
      <w:sz w:val="16"/>
      <w:szCs w:val="16"/>
      <w:lang w:eastAsia="cs-CZ"/>
    </w:rPr>
  </w:style>
  <w:style w:type="paragraph" w:customStyle="1" w:styleId="Heading1">
    <w:name w:val="Heading 1"/>
    <w:basedOn w:val="Normln"/>
    <w:uiPriority w:val="9"/>
    <w:qFormat/>
    <w:rsid w:val="00E747DC"/>
    <w:pPr>
      <w:keepNext/>
      <w:keepLines/>
      <w:spacing w:after="100"/>
      <w:contextualSpacing/>
      <w:jc w:val="left"/>
      <w:outlineLvl w:val="0"/>
    </w:pPr>
    <w:rPr>
      <w:rFonts w:eastAsia="MS Gothic"/>
      <w:b/>
      <w:bCs/>
      <w:color w:val="71818C"/>
      <w:sz w:val="32"/>
      <w:szCs w:val="28"/>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chart" Target="charts/chart13.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footer" Target="footer2.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footer" Target="footer1.xm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okumenty\Anal&#253;za\Q\2018Q1\Makroanal&#253;za%20graf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Dokumenty\Anal&#253;za\Q\2018Q1\Makroanal&#253;za%20graf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Dokumenty\Anal&#253;za\Q\2018Q1\Makroanal&#253;za%20graf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Dokumenty\Anal&#253;za\Q\2018Q1\Makroanal&#253;za%20graf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Dokumenty\Anal&#253;za\Q\2018Q1\Makroanal&#253;za%20grafy.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JKAM%20CSU\PUBLIKACE\PUBLIKACE\2018\QMakro\1.%20kvart&#225;l\Trh%20pr&#225;ce\Grafy-trh%20pr&#225;ce-2018-1q.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JKAM%20CSU\PUBLIKACE\PUBLIKACE\2018\QMakro\1.%20kvart&#225;l\Trh%20pr&#225;ce\Grafy-trh%20pr&#225;ce-2018-1q.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JKAM%20CSU\PUBLIKACE\PUBLIKACE\2018\QMakro\1.%20kvart&#225;l\Trh%20pr&#225;ce\Grafy-trh%20pr&#225;ce-2018-1q.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Dokumenty\Anal&#253;za\Q\2018Q1\Makroanal&#253;za%20grafy.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JKAM%20CSU\PUBLIKACE\PUBLIKACE\2018\QMakro\1.%20kvart&#225;l\Grafy-st&#225;tn&#237;%20rozpo&#269;et-1q-2018.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JKAM%20CSU\PUBLIKACE\PUBLIKACE\2018\QMakro\1.%20kvart&#225;l\Grafy-st&#225;tn&#237;%20rozpo&#269;et-1q-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kumenty\Anal&#253;za\Q\2018Q1\Makroanal&#253;za%20grafy.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JKAM%20CSU\PUBLIKACE\PUBLIKACE\2018\QMakro\1.%20kvart&#225;l\Grafy-st&#225;tn&#237;%20rozpo&#269;et-1q-2018.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JKAM%20CSU\PUBLIKACE\PUBLIKACE\2018\QMakro\1.%20kvart&#225;l\Grafy-st&#225;tn&#237;%20rozpo&#269;et-1q-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kumenty\Anal&#253;za\Q\2018Q1\Makroanal&#253;za%20graf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okumenty\Anal&#253;za\Q\2018Q1\Makroanal&#253;za%20graf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JKAM%20CSU\PUBLIKACE\PUBLIKACE\2018\QMakro\1.%20kvart&#225;l\Odv&#283;tv&#237;\Odv&#283;tv&#237;%20grafy-1q-20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JKAM%20CSU\PUBLIKACE\PUBLIKACE\2018\QMakro\1.%20kvart&#225;l\Odv&#283;tv&#237;\Odv&#283;tv&#237;%20grafy-1q-2018.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JKAM%20CSU\PUBLIKACE\PUBLIKACE\2018\QMakro\1.%20kvart&#225;l\Odv&#283;tv&#237;\Odv&#283;tv&#237;%20grafy-1q-2018.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JKAM%20CSU\PUBLIKACE\PUBLIKACE\2018\QMakro\1.%20kvart&#225;l\Odv&#283;tv&#237;\Odv&#283;tv&#237;%20grafy-1q-2018.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Dokumenty\Anal&#253;za\Q\2018Q1\Makroanal&#253;za%20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2240163796014245E-2"/>
          <c:y val="2.3046636085627001E-2"/>
          <c:w val="0.93617042384329663"/>
          <c:h val="0.7419284025667221"/>
        </c:manualLayout>
      </c:layout>
      <c:barChart>
        <c:barDir val="col"/>
        <c:grouping val="clustered"/>
        <c:ser>
          <c:idx val="0"/>
          <c:order val="0"/>
          <c:tx>
            <c:strRef>
              <c:f>'souhrnná výkonnost 1'!$C$4</c:f>
              <c:strCache>
                <c:ptCount val="1"/>
                <c:pt idx="0">
                  <c:v>ČR meziroční změna</c:v>
                </c:pt>
              </c:strCache>
            </c:strRef>
          </c:tx>
          <c:spPr>
            <a:solidFill>
              <a:srgbClr val="A6A6A6"/>
            </a:solidFill>
            <a:ln>
              <a:noFill/>
            </a:ln>
          </c:spPr>
          <c:cat>
            <c:multiLvlStrRef>
              <c:f>'souhrnná výkonnost 1'!$A$9:$B$29</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2013</c:v>
                  </c:pt>
                  <c:pt idx="4">
                    <c:v>2014</c:v>
                  </c:pt>
                  <c:pt idx="8">
                    <c:v>2015</c:v>
                  </c:pt>
                  <c:pt idx="12">
                    <c:v>2016</c:v>
                  </c:pt>
                  <c:pt idx="16">
                    <c:v>2017</c:v>
                  </c:pt>
                  <c:pt idx="20">
                    <c:v>2018</c:v>
                  </c:pt>
                </c:lvl>
              </c:multiLvlStrCache>
            </c:multiLvlStrRef>
          </c:cat>
          <c:val>
            <c:numRef>
              <c:f>'souhrnná výkonnost 1'!$C$9:$C$29</c:f>
              <c:numCache>
                <c:formatCode>0.0</c:formatCode>
                <c:ptCount val="21"/>
                <c:pt idx="0">
                  <c:v>-1.7511683134985252</c:v>
                </c:pt>
                <c:pt idx="1">
                  <c:v>-1.1225511599608489</c:v>
                </c:pt>
                <c:pt idx="2">
                  <c:v>-0.35187335671894032</c:v>
                </c:pt>
                <c:pt idx="3">
                  <c:v>1.3064560933108851</c:v>
                </c:pt>
                <c:pt idx="4">
                  <c:v>1.6429851449055735</c:v>
                </c:pt>
                <c:pt idx="5">
                  <c:v>2.380005912333516</c:v>
                </c:pt>
                <c:pt idx="6">
                  <c:v>3.4230502025552192</c:v>
                </c:pt>
                <c:pt idx="7">
                  <c:v>3.3996162248718567</c:v>
                </c:pt>
                <c:pt idx="8">
                  <c:v>5.192481496563687</c:v>
                </c:pt>
                <c:pt idx="9">
                  <c:v>5.7975383686409039</c:v>
                </c:pt>
                <c:pt idx="10">
                  <c:v>5.6880380309177045</c:v>
                </c:pt>
                <c:pt idx="11">
                  <c:v>4.8805410212801323</c:v>
                </c:pt>
                <c:pt idx="12">
                  <c:v>3.5407527805050312</c:v>
                </c:pt>
                <c:pt idx="13">
                  <c:v>2.8476786947813078</c:v>
                </c:pt>
                <c:pt idx="14">
                  <c:v>1.8438752983696487</c:v>
                </c:pt>
                <c:pt idx="15">
                  <c:v>1.7657987870616114</c:v>
                </c:pt>
                <c:pt idx="16" formatCode="General">
                  <c:v>3.0212086796601767</c:v>
                </c:pt>
                <c:pt idx="17" formatCode="General">
                  <c:v>4.6357209710506879</c:v>
                </c:pt>
                <c:pt idx="18" formatCode="General">
                  <c:v>5.1854722523414045</c:v>
                </c:pt>
                <c:pt idx="19" formatCode="General">
                  <c:v>5.5424958733431282</c:v>
                </c:pt>
                <c:pt idx="20" formatCode="General">
                  <c:v>4.3580685115212505</c:v>
                </c:pt>
              </c:numCache>
            </c:numRef>
          </c:val>
          <c:extLst xmlns:c16r2="http://schemas.microsoft.com/office/drawing/2015/06/chart">
            <c:ext xmlns:c16="http://schemas.microsoft.com/office/drawing/2014/chart" uri="{C3380CC4-5D6E-409C-BE32-E72D297353CC}">
              <c16:uniqueId val="{00000000-60B2-4311-A090-94F96140E0DE}"/>
            </c:ext>
          </c:extLst>
        </c:ser>
        <c:ser>
          <c:idx val="1"/>
          <c:order val="1"/>
          <c:tx>
            <c:strRef>
              <c:f>'souhrnná výkonnost 1'!$D$4</c:f>
              <c:strCache>
                <c:ptCount val="1"/>
                <c:pt idx="0">
                  <c:v>EU28 meziroční změna</c:v>
                </c:pt>
              </c:strCache>
            </c:strRef>
          </c:tx>
          <c:spPr>
            <a:solidFill>
              <a:srgbClr val="808080"/>
            </a:solidFill>
            <a:ln>
              <a:noFill/>
            </a:ln>
          </c:spPr>
          <c:cat>
            <c:multiLvlStrRef>
              <c:f>'souhrnná výkonnost 1'!$A$9:$B$29</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2013</c:v>
                  </c:pt>
                  <c:pt idx="4">
                    <c:v>2014</c:v>
                  </c:pt>
                  <c:pt idx="8">
                    <c:v>2015</c:v>
                  </c:pt>
                  <c:pt idx="12">
                    <c:v>2016</c:v>
                  </c:pt>
                  <c:pt idx="16">
                    <c:v>2017</c:v>
                  </c:pt>
                  <c:pt idx="20">
                    <c:v>2018</c:v>
                  </c:pt>
                </c:lvl>
              </c:multiLvlStrCache>
            </c:multiLvlStrRef>
          </c:cat>
          <c:val>
            <c:numRef>
              <c:f>'souhrnná výkonnost 1'!$D$9:$D$29</c:f>
              <c:numCache>
                <c:formatCode>0.0</c:formatCode>
                <c:ptCount val="21"/>
                <c:pt idx="0">
                  <c:v>-0.59113300492609699</c:v>
                </c:pt>
                <c:pt idx="1">
                  <c:v>9.8716683119455736E-2</c:v>
                </c:pt>
                <c:pt idx="2">
                  <c:v>0.49358341559723923</c:v>
                </c:pt>
                <c:pt idx="3">
                  <c:v>1.1892963330029618</c:v>
                </c:pt>
                <c:pt idx="4">
                  <c:v>1.6848364717542021</c:v>
                </c:pt>
                <c:pt idx="5">
                  <c:v>1.4792899408284024</c:v>
                </c:pt>
                <c:pt idx="6">
                  <c:v>1.5717092337917571</c:v>
                </c:pt>
                <c:pt idx="7">
                  <c:v>1.8609206660137181</c:v>
                </c:pt>
                <c:pt idx="8" formatCode="#,##0.0">
                  <c:v>2.2000000000000002</c:v>
                </c:pt>
                <c:pt idx="9" formatCode="#,##0.0">
                  <c:v>1.9000000000000001</c:v>
                </c:pt>
                <c:pt idx="10" formatCode="#,##0.0">
                  <c:v>1.9000000000000001</c:v>
                </c:pt>
                <c:pt idx="11" formatCode="#,##0.0">
                  <c:v>1.9000000000000001</c:v>
                </c:pt>
                <c:pt idx="12" formatCode="#,##0.0">
                  <c:v>2.1</c:v>
                </c:pt>
                <c:pt idx="13" formatCode="#,##0.0">
                  <c:v>2.2000000000000002</c:v>
                </c:pt>
                <c:pt idx="14" formatCode="#,##0.0">
                  <c:v>2.5</c:v>
                </c:pt>
                <c:pt idx="15" formatCode="#,##0.0">
                  <c:v>2.7</c:v>
                </c:pt>
                <c:pt idx="16" formatCode="#,##0.0">
                  <c:v>2.7</c:v>
                </c:pt>
                <c:pt idx="17" formatCode="#,##0.0">
                  <c:v>2.4</c:v>
                </c:pt>
                <c:pt idx="18" formatCode="#,##0.0">
                  <c:v>2.8</c:v>
                </c:pt>
                <c:pt idx="19" formatCode="#,##0.0">
                  <c:v>2.6</c:v>
                </c:pt>
                <c:pt idx="20" formatCode="#,##0.0">
                  <c:v>2.4</c:v>
                </c:pt>
              </c:numCache>
            </c:numRef>
          </c:val>
          <c:extLst xmlns:c16r2="http://schemas.microsoft.com/office/drawing/2015/06/chart">
            <c:ext xmlns:c16="http://schemas.microsoft.com/office/drawing/2014/chart" uri="{C3380CC4-5D6E-409C-BE32-E72D297353CC}">
              <c16:uniqueId val="{00000001-60B2-4311-A090-94F96140E0DE}"/>
            </c:ext>
          </c:extLst>
        </c:ser>
        <c:gapWidth val="100"/>
        <c:axId val="136924544"/>
        <c:axId val="149882368"/>
      </c:barChart>
      <c:lineChart>
        <c:grouping val="standard"/>
        <c:ser>
          <c:idx val="2"/>
          <c:order val="2"/>
          <c:tx>
            <c:strRef>
              <c:f>'souhrnná výkonnost 1'!$E$4</c:f>
              <c:strCache>
                <c:ptCount val="1"/>
                <c:pt idx="0">
                  <c:v>ČR mezičtvrtletní změna</c:v>
                </c:pt>
              </c:strCache>
            </c:strRef>
          </c:tx>
          <c:spPr>
            <a:ln w="19050">
              <a:noFill/>
            </a:ln>
          </c:spPr>
          <c:marker>
            <c:symbol val="dash"/>
            <c:size val="8"/>
            <c:spPr>
              <a:solidFill>
                <a:srgbClr val="0071BC"/>
              </a:solidFill>
              <a:ln>
                <a:noFill/>
              </a:ln>
            </c:spPr>
          </c:marker>
          <c:cat>
            <c:multiLvlStrRef>
              <c:f>'souhrnná výkonnost 1'!$A$9:$B$29</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2013</c:v>
                  </c:pt>
                  <c:pt idx="4">
                    <c:v>2014</c:v>
                  </c:pt>
                  <c:pt idx="8">
                    <c:v>2015</c:v>
                  </c:pt>
                  <c:pt idx="12">
                    <c:v>2016</c:v>
                  </c:pt>
                  <c:pt idx="16">
                    <c:v>2017</c:v>
                  </c:pt>
                  <c:pt idx="20">
                    <c:v>2018</c:v>
                  </c:pt>
                </c:lvl>
              </c:multiLvlStrCache>
            </c:multiLvlStrRef>
          </c:cat>
          <c:val>
            <c:numRef>
              <c:f>'souhrnná výkonnost 1'!$E$9:$E$29</c:f>
              <c:numCache>
                <c:formatCode>0.0</c:formatCode>
                <c:ptCount val="21"/>
                <c:pt idx="0">
                  <c:v>-0.45693637688056332</c:v>
                </c:pt>
                <c:pt idx="1">
                  <c:v>0.19806063963226161</c:v>
                </c:pt>
                <c:pt idx="2">
                  <c:v>0.25106366477383801</c:v>
                </c:pt>
                <c:pt idx="3">
                  <c:v>1.3159486871259494</c:v>
                </c:pt>
                <c:pt idx="4">
                  <c:v>-0.12685347461345467</c:v>
                </c:pt>
                <c:pt idx="5">
                  <c:v>0.92460435186374923</c:v>
                </c:pt>
                <c:pt idx="6">
                  <c:v>1.2724186103070698</c:v>
                </c:pt>
                <c:pt idx="7">
                  <c:v>1.2935884078140978</c:v>
                </c:pt>
                <c:pt idx="8">
                  <c:v>1.6048656798419643</c:v>
                </c:pt>
                <c:pt idx="9">
                  <c:v>1.5051128117461445</c:v>
                </c:pt>
                <c:pt idx="10">
                  <c:v>1.1676017666368361</c:v>
                </c:pt>
                <c:pt idx="11">
                  <c:v>0.51966667306828662</c:v>
                </c:pt>
                <c:pt idx="12">
                  <c:v>0.30692229665743748</c:v>
                </c:pt>
                <c:pt idx="13">
                  <c:v>0.82566475512039972</c:v>
                </c:pt>
                <c:pt idx="14">
                  <c:v>0.18019608525490591</c:v>
                </c:pt>
                <c:pt idx="15">
                  <c:v>0.44260533905398325</c:v>
                </c:pt>
                <c:pt idx="16" formatCode="General">
                  <c:v>1.5443351018261757</c:v>
                </c:pt>
                <c:pt idx="17" formatCode="General">
                  <c:v>2.4057692512822655</c:v>
                </c:pt>
                <c:pt idx="18" formatCode="General">
                  <c:v>0.70653824304498869</c:v>
                </c:pt>
                <c:pt idx="19" formatCode="General">
                  <c:v>0.78353058180008495</c:v>
                </c:pt>
                <c:pt idx="20" formatCode="General">
                  <c:v>0.40477621668340191</c:v>
                </c:pt>
              </c:numCache>
            </c:numRef>
          </c:val>
          <c:extLst xmlns:c16r2="http://schemas.microsoft.com/office/drawing/2015/06/chart">
            <c:ext xmlns:c16="http://schemas.microsoft.com/office/drawing/2014/chart" uri="{C3380CC4-5D6E-409C-BE32-E72D297353CC}">
              <c16:uniqueId val="{00000002-60B2-4311-A090-94F96140E0DE}"/>
            </c:ext>
          </c:extLst>
        </c:ser>
        <c:ser>
          <c:idx val="3"/>
          <c:order val="3"/>
          <c:tx>
            <c:strRef>
              <c:f>'souhrnná výkonnost 1'!$F$4</c:f>
              <c:strCache>
                <c:ptCount val="1"/>
                <c:pt idx="0">
                  <c:v>EU28 mezičtvrtletní změna</c:v>
                </c:pt>
              </c:strCache>
            </c:strRef>
          </c:tx>
          <c:spPr>
            <a:ln w="19050">
              <a:noFill/>
            </a:ln>
          </c:spPr>
          <c:marker>
            <c:symbol val="dash"/>
            <c:size val="8"/>
            <c:spPr>
              <a:solidFill>
                <a:srgbClr val="BD1B21"/>
              </a:solidFill>
              <a:ln>
                <a:noFill/>
              </a:ln>
            </c:spPr>
          </c:marker>
          <c:cat>
            <c:multiLvlStrRef>
              <c:f>'souhrnná výkonnost 1'!$A$9:$B$29</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2013</c:v>
                  </c:pt>
                  <c:pt idx="4">
                    <c:v>2014</c:v>
                  </c:pt>
                  <c:pt idx="8">
                    <c:v>2015</c:v>
                  </c:pt>
                  <c:pt idx="12">
                    <c:v>2016</c:v>
                  </c:pt>
                  <c:pt idx="16">
                    <c:v>2017</c:v>
                  </c:pt>
                  <c:pt idx="20">
                    <c:v>2018</c:v>
                  </c:pt>
                </c:lvl>
              </c:multiLvlStrCache>
            </c:multiLvlStrRef>
          </c:cat>
          <c:val>
            <c:numRef>
              <c:f>'souhrnná výkonnost 1'!$F$9:$F$29</c:f>
              <c:numCache>
                <c:formatCode>0.0</c:formatCode>
                <c:ptCount val="21"/>
                <c:pt idx="0">
                  <c:v>0</c:v>
                </c:pt>
                <c:pt idx="1">
                  <c:v>0.49554013875123876</c:v>
                </c:pt>
                <c:pt idx="2">
                  <c:v>0.39447731755423754</c:v>
                </c:pt>
                <c:pt idx="3">
                  <c:v>0.29469548133595425</c:v>
                </c:pt>
                <c:pt idx="4">
                  <c:v>0.48971596474045542</c:v>
                </c:pt>
                <c:pt idx="5">
                  <c:v>0.29239766081872481</c:v>
                </c:pt>
                <c:pt idx="6">
                  <c:v>0.48590864917396065</c:v>
                </c:pt>
                <c:pt idx="7">
                  <c:v>0.58027079303674456</c:v>
                </c:pt>
                <c:pt idx="8" formatCode="#,##0.0">
                  <c:v>0.5</c:v>
                </c:pt>
                <c:pt idx="9" formatCode="#,##0.0">
                  <c:v>0.5</c:v>
                </c:pt>
                <c:pt idx="10" formatCode="#,##0.0">
                  <c:v>0.4</c:v>
                </c:pt>
                <c:pt idx="11" formatCode="#,##0.0">
                  <c:v>0.4</c:v>
                </c:pt>
                <c:pt idx="12" formatCode="#,##0.0">
                  <c:v>0.70000000000000062</c:v>
                </c:pt>
                <c:pt idx="13" formatCode="#,##0.0">
                  <c:v>0.70000000000000062</c:v>
                </c:pt>
                <c:pt idx="14" formatCode="#,##0.0">
                  <c:v>0.70000000000000062</c:v>
                </c:pt>
                <c:pt idx="15" formatCode="#,##0.0">
                  <c:v>0.70000000000000062</c:v>
                </c:pt>
                <c:pt idx="16" formatCode="#,##0.0">
                  <c:v>0.60000000000000064</c:v>
                </c:pt>
                <c:pt idx="17" formatCode="#,##0.0">
                  <c:v>0.4</c:v>
                </c:pt>
                <c:pt idx="18" formatCode="#,##0.0">
                  <c:v>0.70000000000000062</c:v>
                </c:pt>
                <c:pt idx="19" formatCode="#,##0.0">
                  <c:v>0.60000000000000064</c:v>
                </c:pt>
                <c:pt idx="20" formatCode="#,##0.0">
                  <c:v>0.4</c:v>
                </c:pt>
              </c:numCache>
            </c:numRef>
          </c:val>
          <c:extLst xmlns:c16r2="http://schemas.microsoft.com/office/drawing/2015/06/chart">
            <c:ext xmlns:c16="http://schemas.microsoft.com/office/drawing/2014/chart" uri="{C3380CC4-5D6E-409C-BE32-E72D297353CC}">
              <c16:uniqueId val="{00000003-60B2-4311-A090-94F96140E0DE}"/>
            </c:ext>
          </c:extLst>
        </c:ser>
        <c:marker val="1"/>
        <c:axId val="136924544"/>
        <c:axId val="149882368"/>
      </c:lineChart>
      <c:catAx>
        <c:axId val="136924544"/>
        <c:scaling>
          <c:orientation val="minMax"/>
        </c:scaling>
        <c:axPos val="b"/>
        <c:numFmt formatCode="General" sourceLinked="0"/>
        <c:tickLblPos val="low"/>
        <c:spPr>
          <a:ln>
            <a:solidFill>
              <a:schemeClr val="tx1"/>
            </a:solidFill>
          </a:ln>
        </c:spPr>
        <c:txPr>
          <a:bodyPr rot="0" vert="horz"/>
          <a:lstStyle/>
          <a:p>
            <a:pPr>
              <a:defRPr/>
            </a:pPr>
            <a:endParaRPr lang="cs-CZ"/>
          </a:p>
        </c:txPr>
        <c:crossAx val="149882368"/>
        <c:crosses val="autoZero"/>
        <c:auto val="1"/>
        <c:lblAlgn val="ctr"/>
        <c:lblOffset val="100"/>
      </c:catAx>
      <c:valAx>
        <c:axId val="149882368"/>
        <c:scaling>
          <c:orientation val="minMax"/>
          <c:max val="6"/>
        </c:scaling>
        <c:axPos val="l"/>
        <c:majorGridlines>
          <c:spPr>
            <a:ln w="6350">
              <a:solidFill>
                <a:schemeClr val="bg1">
                  <a:lumMod val="75000"/>
                </a:schemeClr>
              </a:solidFill>
            </a:ln>
          </c:spPr>
        </c:majorGridlines>
        <c:numFmt formatCode="0" sourceLinked="0"/>
        <c:tickLblPos val="nextTo"/>
        <c:spPr>
          <a:ln>
            <a:solidFill>
              <a:schemeClr val="tx1"/>
            </a:solidFill>
          </a:ln>
        </c:spPr>
        <c:crossAx val="136924544"/>
        <c:crosses val="autoZero"/>
        <c:crossBetween val="between"/>
      </c:valAx>
      <c:spPr>
        <a:ln>
          <a:solidFill>
            <a:schemeClr val="tx1"/>
          </a:solidFill>
        </a:ln>
      </c:spPr>
    </c:plotArea>
    <c:legend>
      <c:legendPos val="b"/>
      <c:layout>
        <c:manualLayout>
          <c:xMode val="edge"/>
          <c:yMode val="edge"/>
          <c:x val="3.9667131036811895E-2"/>
          <c:y val="0.89437255125718018"/>
          <c:w val="0.93714918946301962"/>
          <c:h val="9.0301755758791014E-2"/>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8568840579710145E-2"/>
          <c:y val="2.1811315924220677E-2"/>
          <c:w val="0.92237743255066085"/>
          <c:h val="0.73318107621300299"/>
        </c:manualLayout>
      </c:layout>
      <c:barChart>
        <c:barDir val="col"/>
        <c:grouping val="clustered"/>
        <c:ser>
          <c:idx val="0"/>
          <c:order val="0"/>
          <c:tx>
            <c:strRef>
              <c:f>'Ceny 2'!$C$5</c:f>
              <c:strCache>
                <c:ptCount val="1"/>
                <c:pt idx="0">
                  <c:v>Celkem</c:v>
                </c:pt>
              </c:strCache>
            </c:strRef>
          </c:tx>
          <c:spPr>
            <a:solidFill>
              <a:schemeClr val="bg1">
                <a:lumMod val="65000"/>
              </a:schemeClr>
            </a:solidFill>
            <a:ln w="19050">
              <a:noFill/>
            </a:ln>
          </c:spPr>
          <c:cat>
            <c:multiLvlStrRef>
              <c:f>'Ceny 2'!$A$14:$B$30</c:f>
              <c:multiLvlStrCache>
                <c:ptCount val="1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lvl>
                <c:lvl>
                  <c:pt idx="0">
                    <c:v>2014</c:v>
                  </c:pt>
                  <c:pt idx="4">
                    <c:v>2015</c:v>
                  </c:pt>
                  <c:pt idx="8">
                    <c:v>2016</c:v>
                  </c:pt>
                  <c:pt idx="12">
                    <c:v>2017</c:v>
                  </c:pt>
                  <c:pt idx="16">
                    <c:v>2018</c:v>
                  </c:pt>
                </c:lvl>
              </c:multiLvlStrCache>
            </c:multiLvlStrRef>
          </c:cat>
          <c:val>
            <c:numRef>
              <c:f>'Ceny 2'!$C$14:$C$30</c:f>
              <c:numCache>
                <c:formatCode>0.0</c:formatCode>
                <c:ptCount val="17"/>
                <c:pt idx="0">
                  <c:v>0.20000000000000284</c:v>
                </c:pt>
                <c:pt idx="1">
                  <c:v>0.20000000000000284</c:v>
                </c:pt>
                <c:pt idx="2">
                  <c:v>0.59999999999999454</c:v>
                </c:pt>
                <c:pt idx="3">
                  <c:v>0.5</c:v>
                </c:pt>
                <c:pt idx="4">
                  <c:v>9.9999999999995245E-2</c:v>
                </c:pt>
                <c:pt idx="5">
                  <c:v>0.70000000000000284</c:v>
                </c:pt>
                <c:pt idx="6">
                  <c:v>0.40000000000000568</c:v>
                </c:pt>
                <c:pt idx="7">
                  <c:v>9.9999999999995245E-2</c:v>
                </c:pt>
                <c:pt idx="8">
                  <c:v>0.5</c:v>
                </c:pt>
                <c:pt idx="9">
                  <c:v>0.20000000000000284</c:v>
                </c:pt>
                <c:pt idx="10">
                  <c:v>0.5</c:v>
                </c:pt>
                <c:pt idx="11">
                  <c:v>1.4000000000000057</c:v>
                </c:pt>
                <c:pt idx="12" formatCode="General">
                  <c:v>2.4000000000000057</c:v>
                </c:pt>
                <c:pt idx="13" formatCode="General">
                  <c:v>2.2000000000000042</c:v>
                </c:pt>
                <c:pt idx="14">
                  <c:v>2.5</c:v>
                </c:pt>
                <c:pt idx="15">
                  <c:v>2.6</c:v>
                </c:pt>
                <c:pt idx="16">
                  <c:v>1.9000000000000001</c:v>
                </c:pt>
              </c:numCache>
            </c:numRef>
          </c:val>
          <c:extLst xmlns:c16r2="http://schemas.microsoft.com/office/drawing/2015/06/chart">
            <c:ext xmlns:c16="http://schemas.microsoft.com/office/drawing/2014/chart" uri="{C3380CC4-5D6E-409C-BE32-E72D297353CC}">
              <c16:uniqueId val="{00000000-6391-4DD3-A838-62A6CDC38CD1}"/>
            </c:ext>
          </c:extLst>
        </c:ser>
        <c:gapWidth val="95"/>
        <c:axId val="158418048"/>
        <c:axId val="158419584"/>
      </c:barChart>
      <c:lineChart>
        <c:grouping val="standard"/>
        <c:ser>
          <c:idx val="1"/>
          <c:order val="1"/>
          <c:tx>
            <c:strRef>
              <c:f>'Ceny 2'!$D$5</c:f>
              <c:strCache>
                <c:ptCount val="1"/>
                <c:pt idx="0">
                  <c:v>Potraviny</c:v>
                </c:pt>
              </c:strCache>
            </c:strRef>
          </c:tx>
          <c:spPr>
            <a:ln w="19050">
              <a:solidFill>
                <a:srgbClr val="0071BC"/>
              </a:solidFill>
            </a:ln>
          </c:spPr>
          <c:marker>
            <c:symbol val="none"/>
          </c:marker>
          <c:cat>
            <c:multiLvlStrRef>
              <c:f>'Ceny 2'!$A$14:$B$30</c:f>
              <c:multiLvlStrCache>
                <c:ptCount val="1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lvl>
                <c:lvl>
                  <c:pt idx="0">
                    <c:v>2014</c:v>
                  </c:pt>
                  <c:pt idx="4">
                    <c:v>2015</c:v>
                  </c:pt>
                  <c:pt idx="8">
                    <c:v>2016</c:v>
                  </c:pt>
                  <c:pt idx="12">
                    <c:v>2017</c:v>
                  </c:pt>
                  <c:pt idx="16">
                    <c:v>2018</c:v>
                  </c:pt>
                </c:lvl>
              </c:multiLvlStrCache>
            </c:multiLvlStrRef>
          </c:cat>
          <c:val>
            <c:numRef>
              <c:f>'Ceny 2'!$D$14:$D$30</c:f>
              <c:numCache>
                <c:formatCode>0.0</c:formatCode>
                <c:ptCount val="17"/>
                <c:pt idx="0">
                  <c:v>3.9000000000000057</c:v>
                </c:pt>
                <c:pt idx="1">
                  <c:v>1.5</c:v>
                </c:pt>
                <c:pt idx="2">
                  <c:v>1.4000000000000057</c:v>
                </c:pt>
                <c:pt idx="3">
                  <c:v>1.2000000000000028</c:v>
                </c:pt>
                <c:pt idx="4">
                  <c:v>-1.5999999999999774</c:v>
                </c:pt>
                <c:pt idx="5">
                  <c:v>-9.9999999999995245E-2</c:v>
                </c:pt>
                <c:pt idx="6">
                  <c:v>-0.90000000000000568</c:v>
                </c:pt>
                <c:pt idx="7">
                  <c:v>-1.5999999999999774</c:v>
                </c:pt>
                <c:pt idx="8">
                  <c:v>-1.7000000000000035</c:v>
                </c:pt>
                <c:pt idx="9">
                  <c:v>-2.4000000000000057</c:v>
                </c:pt>
                <c:pt idx="10">
                  <c:v>-0.7999999999999976</c:v>
                </c:pt>
                <c:pt idx="11">
                  <c:v>1.2000000000000028</c:v>
                </c:pt>
                <c:pt idx="12" formatCode="General">
                  <c:v>4.2000000000000028</c:v>
                </c:pt>
                <c:pt idx="13" formatCode="General">
                  <c:v>4.5</c:v>
                </c:pt>
                <c:pt idx="14">
                  <c:v>5.7</c:v>
                </c:pt>
                <c:pt idx="15">
                  <c:v>6.3</c:v>
                </c:pt>
                <c:pt idx="16">
                  <c:v>2.9</c:v>
                </c:pt>
              </c:numCache>
            </c:numRef>
          </c:val>
          <c:extLst xmlns:c16r2="http://schemas.microsoft.com/office/drawing/2015/06/chart">
            <c:ext xmlns:c16="http://schemas.microsoft.com/office/drawing/2014/chart" uri="{C3380CC4-5D6E-409C-BE32-E72D297353CC}">
              <c16:uniqueId val="{00000001-6391-4DD3-A838-62A6CDC38CD1}"/>
            </c:ext>
          </c:extLst>
        </c:ser>
        <c:ser>
          <c:idx val="3"/>
          <c:order val="2"/>
          <c:tx>
            <c:strRef>
              <c:f>'Ceny 2'!$F$5</c:f>
              <c:strCache>
                <c:ptCount val="1"/>
                <c:pt idx="0">
                  <c:v>Bydlení a energie</c:v>
                </c:pt>
              </c:strCache>
            </c:strRef>
          </c:tx>
          <c:spPr>
            <a:ln w="19050">
              <a:solidFill>
                <a:srgbClr val="7DBB2D"/>
              </a:solidFill>
            </a:ln>
          </c:spPr>
          <c:marker>
            <c:symbol val="none"/>
          </c:marker>
          <c:cat>
            <c:multiLvlStrRef>
              <c:f>'Ceny 2'!$A$14:$B$30</c:f>
              <c:multiLvlStrCache>
                <c:ptCount val="1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lvl>
                <c:lvl>
                  <c:pt idx="0">
                    <c:v>2014</c:v>
                  </c:pt>
                  <c:pt idx="4">
                    <c:v>2015</c:v>
                  </c:pt>
                  <c:pt idx="8">
                    <c:v>2016</c:v>
                  </c:pt>
                  <c:pt idx="12">
                    <c:v>2017</c:v>
                  </c:pt>
                  <c:pt idx="16">
                    <c:v>2018</c:v>
                  </c:pt>
                </c:lvl>
              </c:multiLvlStrCache>
            </c:multiLvlStrRef>
          </c:cat>
          <c:val>
            <c:numRef>
              <c:f>'Ceny 2'!$F$14:$F$30</c:f>
              <c:numCache>
                <c:formatCode>0.0</c:formatCode>
                <c:ptCount val="17"/>
                <c:pt idx="0">
                  <c:v>-2.4000000000000057</c:v>
                </c:pt>
                <c:pt idx="1">
                  <c:v>-1.7000000000000035</c:v>
                </c:pt>
                <c:pt idx="2">
                  <c:v>-0.70000000000000284</c:v>
                </c:pt>
                <c:pt idx="3">
                  <c:v>-0.59999999999999454</c:v>
                </c:pt>
                <c:pt idx="4">
                  <c:v>1.0999999999999774</c:v>
                </c:pt>
                <c:pt idx="5">
                  <c:v>1.2000000000000028</c:v>
                </c:pt>
                <c:pt idx="6">
                  <c:v>0.7999999999999976</c:v>
                </c:pt>
                <c:pt idx="7">
                  <c:v>0.90000000000000568</c:v>
                </c:pt>
                <c:pt idx="8">
                  <c:v>0.90000000000000568</c:v>
                </c:pt>
                <c:pt idx="9">
                  <c:v>0.5</c:v>
                </c:pt>
                <c:pt idx="10">
                  <c:v>0.40000000000000568</c:v>
                </c:pt>
                <c:pt idx="11">
                  <c:v>0.59999999999999454</c:v>
                </c:pt>
                <c:pt idx="12" formatCode="General">
                  <c:v>0.7999999999999976</c:v>
                </c:pt>
                <c:pt idx="13" formatCode="General">
                  <c:v>1.5</c:v>
                </c:pt>
                <c:pt idx="14">
                  <c:v>2.1</c:v>
                </c:pt>
                <c:pt idx="15">
                  <c:v>2.2000000000000002</c:v>
                </c:pt>
                <c:pt idx="16">
                  <c:v>2.2999999999999998</c:v>
                </c:pt>
              </c:numCache>
            </c:numRef>
          </c:val>
          <c:extLst xmlns:c16r2="http://schemas.microsoft.com/office/drawing/2015/06/chart">
            <c:ext xmlns:c16="http://schemas.microsoft.com/office/drawing/2014/chart" uri="{C3380CC4-5D6E-409C-BE32-E72D297353CC}">
              <c16:uniqueId val="{00000002-6391-4DD3-A838-62A6CDC38CD1}"/>
            </c:ext>
          </c:extLst>
        </c:ser>
        <c:ser>
          <c:idx val="4"/>
          <c:order val="3"/>
          <c:tx>
            <c:strRef>
              <c:f>'Ceny 2'!$G$5</c:f>
              <c:strCache>
                <c:ptCount val="1"/>
                <c:pt idx="0">
                  <c:v>Doprava</c:v>
                </c:pt>
              </c:strCache>
            </c:strRef>
          </c:tx>
          <c:spPr>
            <a:ln w="19050">
              <a:solidFill>
                <a:srgbClr val="FFC000"/>
              </a:solidFill>
            </a:ln>
          </c:spPr>
          <c:marker>
            <c:symbol val="none"/>
          </c:marker>
          <c:val>
            <c:numRef>
              <c:f>'Ceny 2'!$G$14:$G$30</c:f>
              <c:numCache>
                <c:formatCode>General</c:formatCode>
                <c:ptCount val="17"/>
                <c:pt idx="0">
                  <c:v>9.9999999999995245E-2</c:v>
                </c:pt>
                <c:pt idx="1">
                  <c:v>0.30000000000000032</c:v>
                </c:pt>
                <c:pt idx="2">
                  <c:v>0.5</c:v>
                </c:pt>
                <c:pt idx="3">
                  <c:v>0</c:v>
                </c:pt>
                <c:pt idx="4">
                  <c:v>-4.9000000000000083</c:v>
                </c:pt>
                <c:pt idx="5">
                  <c:v>-3.2999999999999972</c:v>
                </c:pt>
                <c:pt idx="6">
                  <c:v>-3.7999999999999972</c:v>
                </c:pt>
                <c:pt idx="7">
                  <c:v>-4.7000000000000028</c:v>
                </c:pt>
                <c:pt idx="8">
                  <c:v>-2.7000000000000042</c:v>
                </c:pt>
                <c:pt idx="9">
                  <c:v>-2.9000000000000057</c:v>
                </c:pt>
                <c:pt idx="10">
                  <c:v>-2.2999999999999972</c:v>
                </c:pt>
                <c:pt idx="11">
                  <c:v>1.0999999999999774</c:v>
                </c:pt>
                <c:pt idx="12">
                  <c:v>6</c:v>
                </c:pt>
                <c:pt idx="13">
                  <c:v>3.9000000000000057</c:v>
                </c:pt>
                <c:pt idx="14" formatCode="0.0">
                  <c:v>2.5</c:v>
                </c:pt>
                <c:pt idx="15" formatCode="0.0">
                  <c:v>2.5</c:v>
                </c:pt>
                <c:pt idx="16" formatCode="0.0">
                  <c:v>1</c:v>
                </c:pt>
              </c:numCache>
            </c:numRef>
          </c:val>
          <c:extLst xmlns:c16r2="http://schemas.microsoft.com/office/drawing/2015/06/chart">
            <c:ext xmlns:c16="http://schemas.microsoft.com/office/drawing/2014/chart" uri="{C3380CC4-5D6E-409C-BE32-E72D297353CC}">
              <c16:uniqueId val="{00000003-6391-4DD3-A838-62A6CDC38CD1}"/>
            </c:ext>
          </c:extLst>
        </c:ser>
        <c:ser>
          <c:idx val="2"/>
          <c:order val="4"/>
          <c:tx>
            <c:strRef>
              <c:f>'Ceny 2'!$H$5</c:f>
              <c:strCache>
                <c:ptCount val="1"/>
                <c:pt idx="0">
                  <c:v>Stravování a ubytování</c:v>
                </c:pt>
              </c:strCache>
            </c:strRef>
          </c:tx>
          <c:spPr>
            <a:ln w="19050">
              <a:solidFill>
                <a:schemeClr val="accent2"/>
              </a:solidFill>
            </a:ln>
          </c:spPr>
          <c:marker>
            <c:symbol val="none"/>
          </c:marker>
          <c:val>
            <c:numRef>
              <c:f>'Ceny 2'!$H$14:$H$30</c:f>
              <c:numCache>
                <c:formatCode>###,###,##0.0</c:formatCode>
                <c:ptCount val="17"/>
                <c:pt idx="0">
                  <c:v>1.5999999999999774</c:v>
                </c:pt>
                <c:pt idx="1">
                  <c:v>1.7000000000000035</c:v>
                </c:pt>
                <c:pt idx="2">
                  <c:v>1.7000000000000035</c:v>
                </c:pt>
                <c:pt idx="3">
                  <c:v>1.7000000000000035</c:v>
                </c:pt>
                <c:pt idx="4">
                  <c:v>1.7000000000000035</c:v>
                </c:pt>
                <c:pt idx="5">
                  <c:v>1.5999999999999774</c:v>
                </c:pt>
                <c:pt idx="6">
                  <c:v>1.4000000000000057</c:v>
                </c:pt>
                <c:pt idx="7">
                  <c:v>1.2999999999999774</c:v>
                </c:pt>
                <c:pt idx="8">
                  <c:v>1.2000000000000028</c:v>
                </c:pt>
                <c:pt idx="9">
                  <c:v>1.0999999999999774</c:v>
                </c:pt>
                <c:pt idx="10">
                  <c:v>1.2000000000000028</c:v>
                </c:pt>
                <c:pt idx="11">
                  <c:v>2.7000000000000042</c:v>
                </c:pt>
                <c:pt idx="12">
                  <c:v>5.2000000000000028</c:v>
                </c:pt>
                <c:pt idx="13">
                  <c:v>5.7999999999999972</c:v>
                </c:pt>
                <c:pt idx="14">
                  <c:v>6.2999999999999972</c:v>
                </c:pt>
                <c:pt idx="15" formatCode="0.0">
                  <c:v>5.6</c:v>
                </c:pt>
                <c:pt idx="16" formatCode="0.0">
                  <c:v>3.5</c:v>
                </c:pt>
              </c:numCache>
            </c:numRef>
          </c:val>
          <c:extLst xmlns:c16r2="http://schemas.microsoft.com/office/drawing/2015/06/chart">
            <c:ext xmlns:c16="http://schemas.microsoft.com/office/drawing/2014/chart" uri="{C3380CC4-5D6E-409C-BE32-E72D297353CC}">
              <c16:uniqueId val="{00000004-6391-4DD3-A838-62A6CDC38CD1}"/>
            </c:ext>
          </c:extLst>
        </c:ser>
        <c:marker val="1"/>
        <c:axId val="158418048"/>
        <c:axId val="158419584"/>
      </c:lineChart>
      <c:catAx>
        <c:axId val="158418048"/>
        <c:scaling>
          <c:orientation val="minMax"/>
        </c:scaling>
        <c:axPos val="b"/>
        <c:numFmt formatCode="General" sourceLinked="0"/>
        <c:tickLblPos val="low"/>
        <c:spPr>
          <a:ln>
            <a:solidFill>
              <a:schemeClr val="tx1"/>
            </a:solidFill>
          </a:ln>
        </c:spPr>
        <c:txPr>
          <a:bodyPr rot="0" vert="horz"/>
          <a:lstStyle/>
          <a:p>
            <a:pPr>
              <a:defRPr/>
            </a:pPr>
            <a:endParaRPr lang="cs-CZ"/>
          </a:p>
        </c:txPr>
        <c:crossAx val="158419584"/>
        <c:crosses val="autoZero"/>
        <c:auto val="1"/>
        <c:lblAlgn val="ctr"/>
        <c:lblOffset val="100"/>
      </c:catAx>
      <c:valAx>
        <c:axId val="158419584"/>
        <c:scaling>
          <c:orientation val="minMax"/>
        </c:scaling>
        <c:axPos val="l"/>
        <c:majorGridlines>
          <c:spPr>
            <a:ln w="6350">
              <a:solidFill>
                <a:schemeClr val="bg1">
                  <a:lumMod val="75000"/>
                </a:schemeClr>
              </a:solidFill>
            </a:ln>
          </c:spPr>
        </c:majorGridlines>
        <c:numFmt formatCode="0" sourceLinked="0"/>
        <c:tickLblPos val="nextTo"/>
        <c:spPr>
          <a:ln>
            <a:solidFill>
              <a:schemeClr val="tx1"/>
            </a:solidFill>
          </a:ln>
        </c:spPr>
        <c:crossAx val="158418048"/>
        <c:crosses val="autoZero"/>
        <c:crossBetween val="between"/>
        <c:majorUnit val="1"/>
      </c:valAx>
      <c:spPr>
        <a:ln>
          <a:solidFill>
            <a:schemeClr val="tx1"/>
          </a:solidFill>
        </a:ln>
      </c:spPr>
    </c:plotArea>
    <c:legend>
      <c:legendPos val="b"/>
      <c:layout>
        <c:manualLayout>
          <c:xMode val="edge"/>
          <c:yMode val="edge"/>
          <c:x val="5.6562767491901832E-2"/>
          <c:y val="0.87255825734550796"/>
          <c:w val="0.9236290526849239"/>
          <c:h val="0.1007621299110676"/>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9258203189717562E-2"/>
          <c:y val="2.9569886214146503E-2"/>
          <c:w val="0.92637856314472322"/>
          <c:h val="0.73556653157716956"/>
        </c:manualLayout>
      </c:layout>
      <c:barChart>
        <c:barDir val="col"/>
        <c:grouping val="clustered"/>
        <c:ser>
          <c:idx val="0"/>
          <c:order val="0"/>
          <c:tx>
            <c:strRef>
              <c:f>'Ceny 1'!$C$5</c:f>
              <c:strCache>
                <c:ptCount val="1"/>
                <c:pt idx="0">
                  <c:v>Realizované ceny starších bytů, ČR</c:v>
                </c:pt>
              </c:strCache>
            </c:strRef>
          </c:tx>
          <c:spPr>
            <a:solidFill>
              <a:schemeClr val="bg1">
                <a:lumMod val="65000"/>
              </a:schemeClr>
            </a:solidFill>
            <a:ln w="19050">
              <a:noFill/>
            </a:ln>
          </c:spPr>
          <c:cat>
            <c:multiLvlStrRef>
              <c:f>'Ceny 1'!$A$14:$B$30</c:f>
              <c:multiLvlStrCache>
                <c:ptCount val="1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lvl>
                <c:lvl>
                  <c:pt idx="0">
                    <c:v>2014</c:v>
                  </c:pt>
                  <c:pt idx="4">
                    <c:v>2015</c:v>
                  </c:pt>
                  <c:pt idx="8">
                    <c:v>2016</c:v>
                  </c:pt>
                  <c:pt idx="12">
                    <c:v>2017</c:v>
                  </c:pt>
                  <c:pt idx="16">
                    <c:v>2018</c:v>
                  </c:pt>
                </c:lvl>
              </c:multiLvlStrCache>
            </c:multiLvlStrRef>
          </c:cat>
          <c:val>
            <c:numRef>
              <c:f>'Ceny 1'!$C$14:$C$30</c:f>
              <c:numCache>
                <c:formatCode>General</c:formatCode>
                <c:ptCount val="17"/>
                <c:pt idx="0">
                  <c:v>1.2000000000000028</c:v>
                </c:pt>
                <c:pt idx="1">
                  <c:v>2.5</c:v>
                </c:pt>
                <c:pt idx="2">
                  <c:v>4.5</c:v>
                </c:pt>
                <c:pt idx="3">
                  <c:v>5.7000000000000028</c:v>
                </c:pt>
                <c:pt idx="4">
                  <c:v>4.2999999999999972</c:v>
                </c:pt>
                <c:pt idx="5">
                  <c:v>4.9000000000000083</c:v>
                </c:pt>
                <c:pt idx="6">
                  <c:v>6</c:v>
                </c:pt>
                <c:pt idx="7">
                  <c:v>6.7999999999999972</c:v>
                </c:pt>
                <c:pt idx="8">
                  <c:v>8.9000000000000057</c:v>
                </c:pt>
                <c:pt idx="9">
                  <c:v>10.3</c:v>
                </c:pt>
                <c:pt idx="10">
                  <c:v>12.3</c:v>
                </c:pt>
                <c:pt idx="11">
                  <c:v>14.600000000000001</c:v>
                </c:pt>
                <c:pt idx="12">
                  <c:v>17.200000000000003</c:v>
                </c:pt>
                <c:pt idx="13">
                  <c:v>18.700000000000003</c:v>
                </c:pt>
                <c:pt idx="14">
                  <c:v>15.8</c:v>
                </c:pt>
                <c:pt idx="15">
                  <c:v>12</c:v>
                </c:pt>
                <c:pt idx="16">
                  <c:v>9.3000000000000025</c:v>
                </c:pt>
              </c:numCache>
            </c:numRef>
          </c:val>
          <c:extLst xmlns:c16r2="http://schemas.microsoft.com/office/drawing/2015/06/chart">
            <c:ext xmlns:c16="http://schemas.microsoft.com/office/drawing/2014/chart" uri="{C3380CC4-5D6E-409C-BE32-E72D297353CC}">
              <c16:uniqueId val="{00000000-C325-4C4C-A009-8AAAA76AEDC3}"/>
            </c:ext>
          </c:extLst>
        </c:ser>
        <c:ser>
          <c:idx val="1"/>
          <c:order val="1"/>
          <c:tx>
            <c:strRef>
              <c:f>'Ceny 1'!$D$5</c:f>
              <c:strCache>
                <c:ptCount val="1"/>
                <c:pt idx="0">
                  <c:v>Realizované ceny starších bytů, Praha</c:v>
                </c:pt>
              </c:strCache>
            </c:strRef>
          </c:tx>
          <c:spPr>
            <a:solidFill>
              <a:prstClr val="black">
                <a:lumMod val="50000"/>
                <a:lumOff val="50000"/>
              </a:prstClr>
            </a:solidFill>
            <a:ln w="19050">
              <a:noFill/>
            </a:ln>
          </c:spPr>
          <c:cat>
            <c:multiLvlStrRef>
              <c:f>'Ceny 1'!$A$14:$B$30</c:f>
              <c:multiLvlStrCache>
                <c:ptCount val="1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lvl>
                <c:lvl>
                  <c:pt idx="0">
                    <c:v>2014</c:v>
                  </c:pt>
                  <c:pt idx="4">
                    <c:v>2015</c:v>
                  </c:pt>
                  <c:pt idx="8">
                    <c:v>2016</c:v>
                  </c:pt>
                  <c:pt idx="12">
                    <c:v>2017</c:v>
                  </c:pt>
                  <c:pt idx="16">
                    <c:v>2018</c:v>
                  </c:pt>
                </c:lvl>
              </c:multiLvlStrCache>
            </c:multiLvlStrRef>
          </c:cat>
          <c:val>
            <c:numRef>
              <c:f>'Ceny 1'!$D$14:$D$30</c:f>
              <c:numCache>
                <c:formatCode>General</c:formatCode>
                <c:ptCount val="17"/>
                <c:pt idx="0">
                  <c:v>2</c:v>
                </c:pt>
                <c:pt idx="1">
                  <c:v>2.0999999999999943</c:v>
                </c:pt>
                <c:pt idx="2">
                  <c:v>3.2000000000000042</c:v>
                </c:pt>
                <c:pt idx="3">
                  <c:v>5.2000000000000028</c:v>
                </c:pt>
                <c:pt idx="4">
                  <c:v>5</c:v>
                </c:pt>
                <c:pt idx="5">
                  <c:v>5.9000000000000083</c:v>
                </c:pt>
                <c:pt idx="6">
                  <c:v>5.5999999999999943</c:v>
                </c:pt>
                <c:pt idx="7">
                  <c:v>4.5999999999999943</c:v>
                </c:pt>
                <c:pt idx="8">
                  <c:v>5.7999999999999972</c:v>
                </c:pt>
                <c:pt idx="9">
                  <c:v>7.5</c:v>
                </c:pt>
                <c:pt idx="10">
                  <c:v>9.4000000000000057</c:v>
                </c:pt>
                <c:pt idx="11">
                  <c:v>13.900000000000006</c:v>
                </c:pt>
                <c:pt idx="12">
                  <c:v>16.200000000000003</c:v>
                </c:pt>
                <c:pt idx="13">
                  <c:v>19</c:v>
                </c:pt>
                <c:pt idx="14">
                  <c:v>16.400000000000006</c:v>
                </c:pt>
                <c:pt idx="15">
                  <c:v>11.100000000000001</c:v>
                </c:pt>
                <c:pt idx="16">
                  <c:v>8.4000000000000057</c:v>
                </c:pt>
              </c:numCache>
            </c:numRef>
          </c:val>
          <c:extLst xmlns:c16r2="http://schemas.microsoft.com/office/drawing/2015/06/chart">
            <c:ext xmlns:c16="http://schemas.microsoft.com/office/drawing/2014/chart" uri="{C3380CC4-5D6E-409C-BE32-E72D297353CC}">
              <c16:uniqueId val="{00000001-C325-4C4C-A009-8AAAA76AEDC3}"/>
            </c:ext>
          </c:extLst>
        </c:ser>
        <c:gapWidth val="95"/>
        <c:axId val="158464256"/>
        <c:axId val="158334976"/>
      </c:barChart>
      <c:lineChart>
        <c:grouping val="standard"/>
        <c:ser>
          <c:idx val="2"/>
          <c:order val="2"/>
          <c:tx>
            <c:strRef>
              <c:f>'Ceny 1'!$E$5</c:f>
              <c:strCache>
                <c:ptCount val="1"/>
                <c:pt idx="0">
                  <c:v>Nabídkové ceny bytů, ČR</c:v>
                </c:pt>
              </c:strCache>
            </c:strRef>
          </c:tx>
          <c:spPr>
            <a:ln w="19050">
              <a:solidFill>
                <a:schemeClr val="accent2"/>
              </a:solidFill>
            </a:ln>
          </c:spPr>
          <c:marker>
            <c:symbol val="none"/>
          </c:marker>
          <c:cat>
            <c:multiLvlStrRef>
              <c:f>'Ceny 1'!$A$14:$B$30</c:f>
              <c:multiLvlStrCache>
                <c:ptCount val="1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lvl>
                <c:lvl>
                  <c:pt idx="0">
                    <c:v>2014</c:v>
                  </c:pt>
                  <c:pt idx="4">
                    <c:v>2015</c:v>
                  </c:pt>
                  <c:pt idx="8">
                    <c:v>2016</c:v>
                  </c:pt>
                  <c:pt idx="12">
                    <c:v>2017</c:v>
                  </c:pt>
                  <c:pt idx="16">
                    <c:v>2018</c:v>
                  </c:pt>
                </c:lvl>
              </c:multiLvlStrCache>
            </c:multiLvlStrRef>
          </c:cat>
          <c:val>
            <c:numRef>
              <c:f>'Ceny 1'!$E$14:$E$30</c:f>
              <c:numCache>
                <c:formatCode>0.0</c:formatCode>
                <c:ptCount val="17"/>
                <c:pt idx="0">
                  <c:v>3.0082987551867202</c:v>
                </c:pt>
                <c:pt idx="1">
                  <c:v>4.1407867494823956</c:v>
                </c:pt>
                <c:pt idx="2">
                  <c:v>4.6201232032853845</c:v>
                </c:pt>
                <c:pt idx="3">
                  <c:v>2.7411167512690762</c:v>
                </c:pt>
                <c:pt idx="4">
                  <c:v>3.6253776435045406</c:v>
                </c:pt>
                <c:pt idx="5">
                  <c:v>4.9701789264413518</c:v>
                </c:pt>
                <c:pt idx="6">
                  <c:v>6.0843964671246233</c:v>
                </c:pt>
                <c:pt idx="7">
                  <c:v>9.5849802371541557</c:v>
                </c:pt>
                <c:pt idx="8">
                  <c:v>10.204081632653049</c:v>
                </c:pt>
                <c:pt idx="9">
                  <c:v>10.321969696969704</c:v>
                </c:pt>
                <c:pt idx="10">
                  <c:v>9.8982423681776162</c:v>
                </c:pt>
                <c:pt idx="11">
                  <c:v>9.9188458070333638</c:v>
                </c:pt>
                <c:pt idx="12">
                  <c:v>9.5238095238095202</c:v>
                </c:pt>
                <c:pt idx="13" formatCode="General">
                  <c:v>9.5278969957081507</c:v>
                </c:pt>
                <c:pt idx="14" formatCode="General">
                  <c:v>12.542087542087534</c:v>
                </c:pt>
                <c:pt idx="15" formatCode="General">
                  <c:v>12.469237079573476</c:v>
                </c:pt>
                <c:pt idx="16" formatCode="General">
                  <c:v>12.801932367149774</c:v>
                </c:pt>
              </c:numCache>
            </c:numRef>
          </c:val>
          <c:extLst xmlns:c16r2="http://schemas.microsoft.com/office/drawing/2015/06/chart">
            <c:ext xmlns:c16="http://schemas.microsoft.com/office/drawing/2014/chart" uri="{C3380CC4-5D6E-409C-BE32-E72D297353CC}">
              <c16:uniqueId val="{00000002-C325-4C4C-A009-8AAAA76AEDC3}"/>
            </c:ext>
          </c:extLst>
        </c:ser>
        <c:ser>
          <c:idx val="3"/>
          <c:order val="3"/>
          <c:tx>
            <c:strRef>
              <c:f>'Ceny 1'!$F$5</c:f>
              <c:strCache>
                <c:ptCount val="1"/>
                <c:pt idx="0">
                  <c:v>Nabídkové ceny bytů, Praha</c:v>
                </c:pt>
              </c:strCache>
            </c:strRef>
          </c:tx>
          <c:spPr>
            <a:ln>
              <a:solidFill>
                <a:schemeClr val="accent1"/>
              </a:solidFill>
            </a:ln>
          </c:spPr>
          <c:marker>
            <c:symbol val="none"/>
          </c:marker>
          <c:cat>
            <c:multiLvlStrRef>
              <c:f>'Ceny 1'!$A$14:$B$30</c:f>
              <c:multiLvlStrCache>
                <c:ptCount val="1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lvl>
                <c:lvl>
                  <c:pt idx="0">
                    <c:v>2014</c:v>
                  </c:pt>
                  <c:pt idx="4">
                    <c:v>2015</c:v>
                  </c:pt>
                  <c:pt idx="8">
                    <c:v>2016</c:v>
                  </c:pt>
                  <c:pt idx="12">
                    <c:v>2017</c:v>
                  </c:pt>
                  <c:pt idx="16">
                    <c:v>2018</c:v>
                  </c:pt>
                </c:lvl>
              </c:multiLvlStrCache>
            </c:multiLvlStrRef>
          </c:cat>
          <c:val>
            <c:numRef>
              <c:f>'Ceny 1'!$F$14:$F$30</c:f>
              <c:numCache>
                <c:formatCode>0.0</c:formatCode>
                <c:ptCount val="17"/>
                <c:pt idx="0">
                  <c:v>3.8310412573674002</c:v>
                </c:pt>
                <c:pt idx="1">
                  <c:v>5.2785923753665784</c:v>
                </c:pt>
                <c:pt idx="2">
                  <c:v>6.6731141199226212</c:v>
                </c:pt>
                <c:pt idx="3">
                  <c:v>5.1428571428571486</c:v>
                </c:pt>
                <c:pt idx="4">
                  <c:v>5.7710501419110924</c:v>
                </c:pt>
                <c:pt idx="5">
                  <c:v>6.4995357474466076</c:v>
                </c:pt>
                <c:pt idx="6">
                  <c:v>6.7089755213055255</c:v>
                </c:pt>
                <c:pt idx="7">
                  <c:v>8.7862318840579601</c:v>
                </c:pt>
                <c:pt idx="8">
                  <c:v>10.196779964221831</c:v>
                </c:pt>
                <c:pt idx="9">
                  <c:v>10.549258936355701</c:v>
                </c:pt>
                <c:pt idx="10">
                  <c:v>9.7706032285471505</c:v>
                </c:pt>
                <c:pt idx="11">
                  <c:v>11.323896752706126</c:v>
                </c:pt>
                <c:pt idx="12">
                  <c:v>13.636363636363633</c:v>
                </c:pt>
                <c:pt idx="13" formatCode="General">
                  <c:v>14.589905362776037</c:v>
                </c:pt>
                <c:pt idx="14" formatCode="General">
                  <c:v>18.266253869968889</c:v>
                </c:pt>
                <c:pt idx="15" formatCode="General">
                  <c:v>18.773373223635023</c:v>
                </c:pt>
                <c:pt idx="16" formatCode="General">
                  <c:v>15.071428571428566</c:v>
                </c:pt>
              </c:numCache>
            </c:numRef>
          </c:val>
          <c:extLst xmlns:c16r2="http://schemas.microsoft.com/office/drawing/2015/06/chart">
            <c:ext xmlns:c16="http://schemas.microsoft.com/office/drawing/2014/chart" uri="{C3380CC4-5D6E-409C-BE32-E72D297353CC}">
              <c16:uniqueId val="{00000003-C325-4C4C-A009-8AAAA76AEDC3}"/>
            </c:ext>
          </c:extLst>
        </c:ser>
        <c:marker val="1"/>
        <c:axId val="158464256"/>
        <c:axId val="158334976"/>
      </c:lineChart>
      <c:catAx>
        <c:axId val="158464256"/>
        <c:scaling>
          <c:orientation val="minMax"/>
        </c:scaling>
        <c:axPos val="b"/>
        <c:numFmt formatCode="General" sourceLinked="0"/>
        <c:tickLblPos val="low"/>
        <c:spPr>
          <a:ln>
            <a:solidFill>
              <a:schemeClr val="tx1"/>
            </a:solidFill>
          </a:ln>
        </c:spPr>
        <c:txPr>
          <a:bodyPr rot="0" vert="horz"/>
          <a:lstStyle/>
          <a:p>
            <a:pPr>
              <a:defRPr/>
            </a:pPr>
            <a:endParaRPr lang="cs-CZ"/>
          </a:p>
        </c:txPr>
        <c:crossAx val="158334976"/>
        <c:crosses val="autoZero"/>
        <c:auto val="1"/>
        <c:lblAlgn val="ctr"/>
        <c:lblOffset val="100"/>
      </c:catAx>
      <c:valAx>
        <c:axId val="158334976"/>
        <c:scaling>
          <c:orientation val="minMax"/>
          <c:min val="-6"/>
        </c:scaling>
        <c:axPos val="l"/>
        <c:majorGridlines>
          <c:spPr>
            <a:ln w="6350">
              <a:solidFill>
                <a:schemeClr val="bg1">
                  <a:lumMod val="75000"/>
                </a:schemeClr>
              </a:solidFill>
            </a:ln>
          </c:spPr>
        </c:majorGridlines>
        <c:numFmt formatCode="0" sourceLinked="0"/>
        <c:tickLblPos val="nextTo"/>
        <c:spPr>
          <a:ln>
            <a:solidFill>
              <a:schemeClr val="tx1"/>
            </a:solidFill>
          </a:ln>
        </c:spPr>
        <c:crossAx val="158464256"/>
        <c:crosses val="autoZero"/>
        <c:crossBetween val="between"/>
        <c:majorUnit val="2"/>
      </c:valAx>
      <c:spPr>
        <a:ln>
          <a:solidFill>
            <a:schemeClr val="tx1"/>
          </a:solidFill>
        </a:ln>
      </c:spPr>
    </c:plotArea>
    <c:legend>
      <c:legendPos val="b"/>
      <c:layout>
        <c:manualLayout>
          <c:xMode val="edge"/>
          <c:yMode val="edge"/>
          <c:x val="4.6528021206651497E-2"/>
          <c:y val="0.88817854328492629"/>
          <c:w val="0.9267997314289329"/>
          <c:h val="9.8380614657210319E-2"/>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1707738197712412E-2"/>
          <c:y val="2.1811315924220798E-2"/>
          <c:w val="0.89142432050272657"/>
          <c:h val="0.71663233141956562"/>
        </c:manualLayout>
      </c:layout>
      <c:barChart>
        <c:barDir val="col"/>
        <c:grouping val="clustered"/>
        <c:ser>
          <c:idx val="0"/>
          <c:order val="0"/>
          <c:tx>
            <c:strRef>
              <c:f>'Ceny 4'!$C$5</c:f>
              <c:strCache>
                <c:ptCount val="1"/>
                <c:pt idx="0">
                  <c:v>Celkem</c:v>
                </c:pt>
              </c:strCache>
            </c:strRef>
          </c:tx>
          <c:spPr>
            <a:solidFill>
              <a:schemeClr val="bg1">
                <a:lumMod val="65000"/>
              </a:schemeClr>
            </a:solidFill>
            <a:ln w="19050">
              <a:noFill/>
            </a:ln>
          </c:spPr>
          <c:cat>
            <c:multiLvlStrRef>
              <c:f>'Ceny 4'!$A$18:$B$68</c:f>
              <c:multiLvlStrCache>
                <c:ptCount val="51"/>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lvl>
                <c:lvl>
                  <c:pt idx="0">
                    <c:v>2014</c:v>
                  </c:pt>
                  <c:pt idx="12">
                    <c:v>2015</c:v>
                  </c:pt>
                  <c:pt idx="24">
                    <c:v>2016</c:v>
                  </c:pt>
                  <c:pt idx="36">
                    <c:v>2017</c:v>
                  </c:pt>
                  <c:pt idx="48">
                    <c:v>2018</c:v>
                  </c:pt>
                </c:lvl>
              </c:multiLvlStrCache>
            </c:multiLvlStrRef>
          </c:cat>
          <c:val>
            <c:numRef>
              <c:f>'Ceny 4'!$C$18:$C$68</c:f>
              <c:numCache>
                <c:formatCode>0.0</c:formatCode>
                <c:ptCount val="51"/>
                <c:pt idx="0">
                  <c:v>-0.70000000000000284</c:v>
                </c:pt>
                <c:pt idx="1">
                  <c:v>-0.70000000000000284</c:v>
                </c:pt>
                <c:pt idx="2">
                  <c:v>-0.7999999999999976</c:v>
                </c:pt>
                <c:pt idx="3">
                  <c:v>-0.30000000000000032</c:v>
                </c:pt>
                <c:pt idx="4">
                  <c:v>-9.9999999999995245E-2</c:v>
                </c:pt>
                <c:pt idx="5">
                  <c:v>-0.20000000000000284</c:v>
                </c:pt>
                <c:pt idx="6">
                  <c:v>-9.9999999999995245E-2</c:v>
                </c:pt>
                <c:pt idx="7">
                  <c:v>0</c:v>
                </c:pt>
                <c:pt idx="8">
                  <c:v>-0.30000000000000032</c:v>
                </c:pt>
                <c:pt idx="9">
                  <c:v>-0.30000000000000032</c:v>
                </c:pt>
                <c:pt idx="10">
                  <c:v>-1.7000000000000028</c:v>
                </c:pt>
                <c:pt idx="11">
                  <c:v>-3.7000000000000042</c:v>
                </c:pt>
                <c:pt idx="12">
                  <c:v>-3.5</c:v>
                </c:pt>
                <c:pt idx="13">
                  <c:v>-3.5999999999999943</c:v>
                </c:pt>
                <c:pt idx="14">
                  <c:v>-2.9000000000000057</c:v>
                </c:pt>
                <c:pt idx="15">
                  <c:v>-2.5999999999999943</c:v>
                </c:pt>
                <c:pt idx="16">
                  <c:v>-2.0999999999999943</c:v>
                </c:pt>
                <c:pt idx="17">
                  <c:v>-2.2999999999999972</c:v>
                </c:pt>
                <c:pt idx="18">
                  <c:v>-3</c:v>
                </c:pt>
                <c:pt idx="19">
                  <c:v>-3.7000000000000042</c:v>
                </c:pt>
                <c:pt idx="20">
                  <c:v>-4.2000000000000028</c:v>
                </c:pt>
                <c:pt idx="21">
                  <c:v>-3.9000000000000057</c:v>
                </c:pt>
                <c:pt idx="22">
                  <c:v>-3.7000000000000042</c:v>
                </c:pt>
                <c:pt idx="23">
                  <c:v>-2.9000000000000057</c:v>
                </c:pt>
                <c:pt idx="24">
                  <c:v>-3.4000000000000057</c:v>
                </c:pt>
                <c:pt idx="25">
                  <c:v>-4</c:v>
                </c:pt>
                <c:pt idx="26">
                  <c:v>-4.5</c:v>
                </c:pt>
                <c:pt idx="27">
                  <c:v>-4.7000000000000028</c:v>
                </c:pt>
                <c:pt idx="28">
                  <c:v>-4.7999999999999972</c:v>
                </c:pt>
                <c:pt idx="29">
                  <c:v>-4.4000000000000083</c:v>
                </c:pt>
                <c:pt idx="30">
                  <c:v>-4</c:v>
                </c:pt>
                <c:pt idx="31">
                  <c:v>-3.4000000000000057</c:v>
                </c:pt>
                <c:pt idx="32">
                  <c:v>-2.4000000000000057</c:v>
                </c:pt>
                <c:pt idx="33">
                  <c:v>-1.7000000000000028</c:v>
                </c:pt>
                <c:pt idx="34">
                  <c:v>-1.2999999999999774</c:v>
                </c:pt>
                <c:pt idx="35">
                  <c:v>-0.40000000000000568</c:v>
                </c:pt>
                <c:pt idx="36" formatCode="General">
                  <c:v>2.0999999999999943</c:v>
                </c:pt>
                <c:pt idx="37" formatCode="General">
                  <c:v>3.0999999999999943</c:v>
                </c:pt>
                <c:pt idx="38">
                  <c:v>3</c:v>
                </c:pt>
                <c:pt idx="39">
                  <c:v>3.2000000000000042</c:v>
                </c:pt>
                <c:pt idx="40" formatCode="General">
                  <c:v>2.2999999999999972</c:v>
                </c:pt>
                <c:pt idx="41" formatCode="General">
                  <c:v>1.2999999999999774</c:v>
                </c:pt>
                <c:pt idx="42" formatCode="General">
                  <c:v>1.1000000000000001</c:v>
                </c:pt>
                <c:pt idx="43" formatCode="General">
                  <c:v>1.4</c:v>
                </c:pt>
                <c:pt idx="44" formatCode="General">
                  <c:v>1.7</c:v>
                </c:pt>
                <c:pt idx="45" formatCode="General">
                  <c:v>1.1000000000000001</c:v>
                </c:pt>
                <c:pt idx="46" formatCode="General">
                  <c:v>0.9</c:v>
                </c:pt>
                <c:pt idx="47" formatCode="General">
                  <c:v>0.70000000000000062</c:v>
                </c:pt>
                <c:pt idx="48" formatCode="General">
                  <c:v>0.5</c:v>
                </c:pt>
                <c:pt idx="49" formatCode="General">
                  <c:v>-0.30000000000000032</c:v>
                </c:pt>
                <c:pt idx="50" formatCode="General">
                  <c:v>0.1</c:v>
                </c:pt>
              </c:numCache>
            </c:numRef>
          </c:val>
          <c:extLst xmlns:c16r2="http://schemas.microsoft.com/office/drawing/2015/06/chart">
            <c:ext xmlns:c16="http://schemas.microsoft.com/office/drawing/2014/chart" uri="{C3380CC4-5D6E-409C-BE32-E72D297353CC}">
              <c16:uniqueId val="{00000000-4E14-460C-BE6F-A62E0DC3AEF4}"/>
            </c:ext>
          </c:extLst>
        </c:ser>
        <c:gapWidth val="96"/>
        <c:axId val="158372608"/>
        <c:axId val="158374144"/>
      </c:barChart>
      <c:lineChart>
        <c:grouping val="standard"/>
        <c:ser>
          <c:idx val="1"/>
          <c:order val="1"/>
          <c:tx>
            <c:strRef>
              <c:f>'Ceny 4'!$D$5</c:f>
              <c:strCache>
                <c:ptCount val="1"/>
                <c:pt idx="0">
                  <c:v>Těžba a dobývání</c:v>
                </c:pt>
              </c:strCache>
            </c:strRef>
          </c:tx>
          <c:spPr>
            <a:ln w="19050">
              <a:solidFill>
                <a:srgbClr val="7DBB2D"/>
              </a:solidFill>
            </a:ln>
          </c:spPr>
          <c:marker>
            <c:symbol val="none"/>
          </c:marker>
          <c:cat>
            <c:multiLvlStrRef>
              <c:f>'Ceny 4'!$A$18:$B$68</c:f>
              <c:multiLvlStrCache>
                <c:ptCount val="51"/>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lvl>
                <c:lvl>
                  <c:pt idx="0">
                    <c:v>2014</c:v>
                  </c:pt>
                  <c:pt idx="12">
                    <c:v>2015</c:v>
                  </c:pt>
                  <c:pt idx="24">
                    <c:v>2016</c:v>
                  </c:pt>
                  <c:pt idx="36">
                    <c:v>2017</c:v>
                  </c:pt>
                  <c:pt idx="48">
                    <c:v>2018</c:v>
                  </c:pt>
                </c:lvl>
              </c:multiLvlStrCache>
            </c:multiLvlStrRef>
          </c:cat>
          <c:val>
            <c:numRef>
              <c:f>'Ceny 4'!$D$18:$D$68</c:f>
              <c:numCache>
                <c:formatCode>0.0</c:formatCode>
                <c:ptCount val="51"/>
                <c:pt idx="0">
                  <c:v>-3</c:v>
                </c:pt>
                <c:pt idx="1">
                  <c:v>-3.0999999999999943</c:v>
                </c:pt>
                <c:pt idx="2">
                  <c:v>-4</c:v>
                </c:pt>
                <c:pt idx="3">
                  <c:v>-4.0999999999999943</c:v>
                </c:pt>
                <c:pt idx="4">
                  <c:v>-4.5999999999999943</c:v>
                </c:pt>
                <c:pt idx="5">
                  <c:v>-4.7999999999999972</c:v>
                </c:pt>
                <c:pt idx="6">
                  <c:v>-3</c:v>
                </c:pt>
                <c:pt idx="7">
                  <c:v>-3.5999999999999943</c:v>
                </c:pt>
                <c:pt idx="8">
                  <c:v>-1.9000000000000061</c:v>
                </c:pt>
                <c:pt idx="9">
                  <c:v>-2.0999999999999943</c:v>
                </c:pt>
                <c:pt idx="10">
                  <c:v>-2.2999999999999972</c:v>
                </c:pt>
                <c:pt idx="11">
                  <c:v>-2.7999999999999972</c:v>
                </c:pt>
                <c:pt idx="12">
                  <c:v>-0.90000000000000568</c:v>
                </c:pt>
                <c:pt idx="13">
                  <c:v>-1.5</c:v>
                </c:pt>
                <c:pt idx="14">
                  <c:v>-0.90000000000000568</c:v>
                </c:pt>
                <c:pt idx="15">
                  <c:v>-0.90000000000000568</c:v>
                </c:pt>
                <c:pt idx="16">
                  <c:v>0.30000000000000032</c:v>
                </c:pt>
                <c:pt idx="17">
                  <c:v>0.59999999999999432</c:v>
                </c:pt>
                <c:pt idx="18">
                  <c:v>0.40000000000000568</c:v>
                </c:pt>
                <c:pt idx="19">
                  <c:v>-0.30000000000000032</c:v>
                </c:pt>
                <c:pt idx="20">
                  <c:v>-1.7000000000000028</c:v>
                </c:pt>
                <c:pt idx="21">
                  <c:v>-1.4000000000000057</c:v>
                </c:pt>
                <c:pt idx="22">
                  <c:v>-0.59999999999999432</c:v>
                </c:pt>
                <c:pt idx="23">
                  <c:v>-0.5</c:v>
                </c:pt>
                <c:pt idx="24">
                  <c:v>-6.5999999999999943</c:v>
                </c:pt>
                <c:pt idx="25">
                  <c:v>-6.0999999999999943</c:v>
                </c:pt>
                <c:pt idx="26">
                  <c:v>-6.5</c:v>
                </c:pt>
                <c:pt idx="27">
                  <c:v>-7</c:v>
                </c:pt>
                <c:pt idx="28">
                  <c:v>-7.0999999999999943</c:v>
                </c:pt>
                <c:pt idx="29">
                  <c:v>-7.2999999999999972</c:v>
                </c:pt>
                <c:pt idx="30">
                  <c:v>-6.5999999999999943</c:v>
                </c:pt>
                <c:pt idx="31">
                  <c:v>-6</c:v>
                </c:pt>
                <c:pt idx="32">
                  <c:v>-4.9000000000000083</c:v>
                </c:pt>
                <c:pt idx="33">
                  <c:v>-5.2000000000000028</c:v>
                </c:pt>
                <c:pt idx="34">
                  <c:v>-5.2999999999999972</c:v>
                </c:pt>
                <c:pt idx="35">
                  <c:v>-5.0999999999999943</c:v>
                </c:pt>
                <c:pt idx="36" formatCode="General">
                  <c:v>2.2999999999999972</c:v>
                </c:pt>
                <c:pt idx="37" formatCode="General">
                  <c:v>5.7999999999999972</c:v>
                </c:pt>
                <c:pt idx="38">
                  <c:v>6.2000000000000028</c:v>
                </c:pt>
                <c:pt idx="39">
                  <c:v>6.4000000000000083</c:v>
                </c:pt>
                <c:pt idx="40" formatCode="General">
                  <c:v>4.2999999999999972</c:v>
                </c:pt>
                <c:pt idx="41" formatCode="General">
                  <c:v>4.0999999999999943</c:v>
                </c:pt>
                <c:pt idx="42" formatCode="General">
                  <c:v>2.9</c:v>
                </c:pt>
                <c:pt idx="43" formatCode="General">
                  <c:v>1.7</c:v>
                </c:pt>
                <c:pt idx="44" formatCode="General">
                  <c:v>1.9000000000000001</c:v>
                </c:pt>
                <c:pt idx="45" formatCode="General">
                  <c:v>3.4</c:v>
                </c:pt>
                <c:pt idx="46" formatCode="General">
                  <c:v>3.3</c:v>
                </c:pt>
                <c:pt idx="47" formatCode="General">
                  <c:v>3.6</c:v>
                </c:pt>
                <c:pt idx="48" formatCode="General">
                  <c:v>6.7</c:v>
                </c:pt>
                <c:pt idx="49" formatCode="General">
                  <c:v>5</c:v>
                </c:pt>
                <c:pt idx="50" formatCode="General">
                  <c:v>4.3</c:v>
                </c:pt>
              </c:numCache>
            </c:numRef>
          </c:val>
          <c:extLst xmlns:c16r2="http://schemas.microsoft.com/office/drawing/2015/06/chart">
            <c:ext xmlns:c16="http://schemas.microsoft.com/office/drawing/2014/chart" uri="{C3380CC4-5D6E-409C-BE32-E72D297353CC}">
              <c16:uniqueId val="{00000001-4E14-460C-BE6F-A62E0DC3AEF4}"/>
            </c:ext>
          </c:extLst>
        </c:ser>
        <c:ser>
          <c:idx val="2"/>
          <c:order val="2"/>
          <c:tx>
            <c:strRef>
              <c:f>'Ceny 4'!$E$5</c:f>
              <c:strCache>
                <c:ptCount val="1"/>
                <c:pt idx="0">
                  <c:v>Zpracovatelský průmysl</c:v>
                </c:pt>
              </c:strCache>
            </c:strRef>
          </c:tx>
          <c:spPr>
            <a:ln w="19050">
              <a:solidFill>
                <a:srgbClr val="BD1B21"/>
              </a:solidFill>
            </a:ln>
          </c:spPr>
          <c:marker>
            <c:symbol val="none"/>
          </c:marker>
          <c:cat>
            <c:multiLvlStrRef>
              <c:f>'Ceny 4'!$A$18:$B$68</c:f>
              <c:multiLvlStrCache>
                <c:ptCount val="51"/>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lvl>
                <c:lvl>
                  <c:pt idx="0">
                    <c:v>2014</c:v>
                  </c:pt>
                  <c:pt idx="12">
                    <c:v>2015</c:v>
                  </c:pt>
                  <c:pt idx="24">
                    <c:v>2016</c:v>
                  </c:pt>
                  <c:pt idx="36">
                    <c:v>2017</c:v>
                  </c:pt>
                  <c:pt idx="48">
                    <c:v>2018</c:v>
                  </c:pt>
                </c:lvl>
              </c:multiLvlStrCache>
            </c:multiLvlStrRef>
          </c:cat>
          <c:val>
            <c:numRef>
              <c:f>'Ceny 4'!$E$18:$E$68</c:f>
              <c:numCache>
                <c:formatCode>0.0</c:formatCode>
                <c:ptCount val="51"/>
                <c:pt idx="0">
                  <c:v>1.0999999999999774</c:v>
                </c:pt>
                <c:pt idx="1">
                  <c:v>1.2000000000000028</c:v>
                </c:pt>
                <c:pt idx="2">
                  <c:v>1</c:v>
                </c:pt>
                <c:pt idx="3">
                  <c:v>1.5999999999999774</c:v>
                </c:pt>
                <c:pt idx="4">
                  <c:v>1.9000000000000061</c:v>
                </c:pt>
                <c:pt idx="5">
                  <c:v>1.9000000000000061</c:v>
                </c:pt>
                <c:pt idx="6">
                  <c:v>1.7999999999999774</c:v>
                </c:pt>
                <c:pt idx="7">
                  <c:v>2.0999999999999943</c:v>
                </c:pt>
                <c:pt idx="8">
                  <c:v>1.5</c:v>
                </c:pt>
                <c:pt idx="9">
                  <c:v>1.5</c:v>
                </c:pt>
                <c:pt idx="10">
                  <c:v>-9.9999999999995245E-2</c:v>
                </c:pt>
                <c:pt idx="11">
                  <c:v>-2.7999999999999972</c:v>
                </c:pt>
                <c:pt idx="12">
                  <c:v>-4.2999999999999972</c:v>
                </c:pt>
                <c:pt idx="13">
                  <c:v>-4.4000000000000083</c:v>
                </c:pt>
                <c:pt idx="14">
                  <c:v>-3.5</c:v>
                </c:pt>
                <c:pt idx="15">
                  <c:v>-3.0999999999999943</c:v>
                </c:pt>
                <c:pt idx="16">
                  <c:v>-2.7000000000000042</c:v>
                </c:pt>
                <c:pt idx="17">
                  <c:v>-2.7999999999999972</c:v>
                </c:pt>
                <c:pt idx="18">
                  <c:v>-3.5999999999999943</c:v>
                </c:pt>
                <c:pt idx="19">
                  <c:v>-4.7000000000000028</c:v>
                </c:pt>
                <c:pt idx="20">
                  <c:v>-5.2000000000000028</c:v>
                </c:pt>
                <c:pt idx="21">
                  <c:v>-4.9000000000000083</c:v>
                </c:pt>
                <c:pt idx="22">
                  <c:v>-4.5999999999999943</c:v>
                </c:pt>
                <c:pt idx="23">
                  <c:v>-3.5</c:v>
                </c:pt>
                <c:pt idx="24">
                  <c:v>-3.2999999999999972</c:v>
                </c:pt>
                <c:pt idx="25">
                  <c:v>-4.0999999999999943</c:v>
                </c:pt>
                <c:pt idx="26">
                  <c:v>-4.5999999999999943</c:v>
                </c:pt>
                <c:pt idx="27">
                  <c:v>-4.9000000000000083</c:v>
                </c:pt>
                <c:pt idx="28">
                  <c:v>-5</c:v>
                </c:pt>
                <c:pt idx="29">
                  <c:v>-4.5</c:v>
                </c:pt>
                <c:pt idx="30">
                  <c:v>-4</c:v>
                </c:pt>
                <c:pt idx="31">
                  <c:v>-3.2000000000000042</c:v>
                </c:pt>
                <c:pt idx="32">
                  <c:v>-2</c:v>
                </c:pt>
                <c:pt idx="33">
                  <c:v>-1.0999999999999774</c:v>
                </c:pt>
                <c:pt idx="34">
                  <c:v>-0.59999999999999432</c:v>
                </c:pt>
                <c:pt idx="35">
                  <c:v>0.59999999999999432</c:v>
                </c:pt>
                <c:pt idx="36" formatCode="General">
                  <c:v>2.5999999999999943</c:v>
                </c:pt>
                <c:pt idx="37" formatCode="General">
                  <c:v>4</c:v>
                </c:pt>
                <c:pt idx="38">
                  <c:v>3.7999999999999972</c:v>
                </c:pt>
                <c:pt idx="39">
                  <c:v>4</c:v>
                </c:pt>
                <c:pt idx="40" formatCode="General">
                  <c:v>2.7999999999999972</c:v>
                </c:pt>
                <c:pt idx="41" formatCode="General">
                  <c:v>1.5</c:v>
                </c:pt>
                <c:pt idx="42" formatCode="General">
                  <c:v>1.4</c:v>
                </c:pt>
                <c:pt idx="43" formatCode="General">
                  <c:v>2</c:v>
                </c:pt>
                <c:pt idx="44" formatCode="General">
                  <c:v>2.1</c:v>
                </c:pt>
                <c:pt idx="45" formatCode="General">
                  <c:v>1.4</c:v>
                </c:pt>
                <c:pt idx="46" formatCode="General">
                  <c:v>1.1000000000000001</c:v>
                </c:pt>
                <c:pt idx="47" formatCode="General">
                  <c:v>0.9</c:v>
                </c:pt>
                <c:pt idx="48" formatCode="General">
                  <c:v>0.2</c:v>
                </c:pt>
                <c:pt idx="49" formatCode="General">
                  <c:v>-0.9</c:v>
                </c:pt>
                <c:pt idx="50" formatCode="General">
                  <c:v>-0.5</c:v>
                </c:pt>
              </c:numCache>
            </c:numRef>
          </c:val>
          <c:extLst xmlns:c16r2="http://schemas.microsoft.com/office/drawing/2015/06/chart">
            <c:ext xmlns:c16="http://schemas.microsoft.com/office/drawing/2014/chart" uri="{C3380CC4-5D6E-409C-BE32-E72D297353CC}">
              <c16:uniqueId val="{00000002-4E14-460C-BE6F-A62E0DC3AEF4}"/>
            </c:ext>
          </c:extLst>
        </c:ser>
        <c:ser>
          <c:idx val="3"/>
          <c:order val="3"/>
          <c:tx>
            <c:strRef>
              <c:f>'Ceny 4'!$F$5</c:f>
              <c:strCache>
                <c:ptCount val="1"/>
                <c:pt idx="0">
                  <c:v>Elektřina, plyn, pára a klim. vzduch</c:v>
                </c:pt>
              </c:strCache>
            </c:strRef>
          </c:tx>
          <c:spPr>
            <a:ln w="19050">
              <a:solidFill>
                <a:srgbClr val="F8A124"/>
              </a:solidFill>
            </a:ln>
          </c:spPr>
          <c:marker>
            <c:symbol val="none"/>
          </c:marker>
          <c:cat>
            <c:multiLvlStrRef>
              <c:f>'Ceny 4'!$A$18:$B$68</c:f>
              <c:multiLvlStrCache>
                <c:ptCount val="51"/>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lvl>
                <c:lvl>
                  <c:pt idx="0">
                    <c:v>2014</c:v>
                  </c:pt>
                  <c:pt idx="12">
                    <c:v>2015</c:v>
                  </c:pt>
                  <c:pt idx="24">
                    <c:v>2016</c:v>
                  </c:pt>
                  <c:pt idx="36">
                    <c:v>2017</c:v>
                  </c:pt>
                  <c:pt idx="48">
                    <c:v>2018</c:v>
                  </c:pt>
                </c:lvl>
              </c:multiLvlStrCache>
            </c:multiLvlStrRef>
          </c:cat>
          <c:val>
            <c:numRef>
              <c:f>'Ceny 4'!$F$18:$F$68</c:f>
              <c:numCache>
                <c:formatCode>0.0</c:formatCode>
                <c:ptCount val="51"/>
                <c:pt idx="0">
                  <c:v>-8.8000000000000025</c:v>
                </c:pt>
                <c:pt idx="1">
                  <c:v>-8.8000000000000025</c:v>
                </c:pt>
                <c:pt idx="2">
                  <c:v>-8.8000000000000025</c:v>
                </c:pt>
                <c:pt idx="3">
                  <c:v>-8.6000000000000014</c:v>
                </c:pt>
                <c:pt idx="4">
                  <c:v>-8.6000000000000014</c:v>
                </c:pt>
                <c:pt idx="5">
                  <c:v>-8.7000000000000011</c:v>
                </c:pt>
                <c:pt idx="6">
                  <c:v>-8.7000000000000011</c:v>
                </c:pt>
                <c:pt idx="7">
                  <c:v>-8.6000000000000014</c:v>
                </c:pt>
                <c:pt idx="8">
                  <c:v>-8.6000000000000014</c:v>
                </c:pt>
                <c:pt idx="9">
                  <c:v>-8.9000000000000057</c:v>
                </c:pt>
                <c:pt idx="10">
                  <c:v>-8.9000000000000057</c:v>
                </c:pt>
                <c:pt idx="11">
                  <c:v>-8.6000000000000014</c:v>
                </c:pt>
                <c:pt idx="12">
                  <c:v>-0.7999999999999976</c:v>
                </c:pt>
                <c:pt idx="13">
                  <c:v>-0.7999999999999976</c:v>
                </c:pt>
                <c:pt idx="14">
                  <c:v>-0.7999999999999976</c:v>
                </c:pt>
                <c:pt idx="15">
                  <c:v>-0.70000000000000284</c:v>
                </c:pt>
                <c:pt idx="16">
                  <c:v>-0.70000000000000284</c:v>
                </c:pt>
                <c:pt idx="17">
                  <c:v>-0.70000000000000284</c:v>
                </c:pt>
                <c:pt idx="18">
                  <c:v>-0.70000000000000284</c:v>
                </c:pt>
                <c:pt idx="19">
                  <c:v>-0.7999999999999976</c:v>
                </c:pt>
                <c:pt idx="20">
                  <c:v>-0.7999999999999976</c:v>
                </c:pt>
                <c:pt idx="21">
                  <c:v>-0.90000000000000568</c:v>
                </c:pt>
                <c:pt idx="22">
                  <c:v>-0.90000000000000568</c:v>
                </c:pt>
                <c:pt idx="23">
                  <c:v>-0.90000000000000568</c:v>
                </c:pt>
                <c:pt idx="24">
                  <c:v>-4</c:v>
                </c:pt>
                <c:pt idx="25">
                  <c:v>-4.0999999999999943</c:v>
                </c:pt>
                <c:pt idx="26">
                  <c:v>-4.0999999999999943</c:v>
                </c:pt>
                <c:pt idx="27">
                  <c:v>-4</c:v>
                </c:pt>
                <c:pt idx="28">
                  <c:v>-4</c:v>
                </c:pt>
                <c:pt idx="29">
                  <c:v>-4.0999999999999943</c:v>
                </c:pt>
                <c:pt idx="30">
                  <c:v>-4</c:v>
                </c:pt>
                <c:pt idx="31">
                  <c:v>-4</c:v>
                </c:pt>
                <c:pt idx="32">
                  <c:v>-4.0999999999999943</c:v>
                </c:pt>
                <c:pt idx="33">
                  <c:v>-4.0999999999999943</c:v>
                </c:pt>
                <c:pt idx="34">
                  <c:v>-4.0999999999999943</c:v>
                </c:pt>
                <c:pt idx="35">
                  <c:v>-4.0999999999999943</c:v>
                </c:pt>
                <c:pt idx="36" formatCode="General">
                  <c:v>-1.0999999999999774</c:v>
                </c:pt>
                <c:pt idx="37" formatCode="General">
                  <c:v>-1.2000000000000028</c:v>
                </c:pt>
                <c:pt idx="38">
                  <c:v>-1.2000000000000028</c:v>
                </c:pt>
                <c:pt idx="39">
                  <c:v>-1.4000000000000057</c:v>
                </c:pt>
                <c:pt idx="40" formatCode="General">
                  <c:v>-1.2999999999999774</c:v>
                </c:pt>
                <c:pt idx="41" formatCode="General">
                  <c:v>-1.0999999999999774</c:v>
                </c:pt>
                <c:pt idx="42" formatCode="General">
                  <c:v>-1.1000000000000001</c:v>
                </c:pt>
                <c:pt idx="43" formatCode="General">
                  <c:v>-1.3</c:v>
                </c:pt>
                <c:pt idx="44" formatCode="General">
                  <c:v>-1.1000000000000001</c:v>
                </c:pt>
                <c:pt idx="45" formatCode="General">
                  <c:v>-1.1000000000000001</c:v>
                </c:pt>
                <c:pt idx="46" formatCode="General">
                  <c:v>-1.1000000000000001</c:v>
                </c:pt>
                <c:pt idx="47" formatCode="General">
                  <c:v>-1.1000000000000001</c:v>
                </c:pt>
                <c:pt idx="48" formatCode="General">
                  <c:v>1.5</c:v>
                </c:pt>
                <c:pt idx="49" formatCode="General">
                  <c:v>1.6</c:v>
                </c:pt>
                <c:pt idx="50" formatCode="General">
                  <c:v>1.6</c:v>
                </c:pt>
              </c:numCache>
            </c:numRef>
          </c:val>
          <c:extLst xmlns:c16r2="http://schemas.microsoft.com/office/drawing/2015/06/chart">
            <c:ext xmlns:c16="http://schemas.microsoft.com/office/drawing/2014/chart" uri="{C3380CC4-5D6E-409C-BE32-E72D297353CC}">
              <c16:uniqueId val="{00000003-4E14-460C-BE6F-A62E0DC3AEF4}"/>
            </c:ext>
          </c:extLst>
        </c:ser>
        <c:ser>
          <c:idx val="4"/>
          <c:order val="4"/>
          <c:tx>
            <c:strRef>
              <c:f>'Ceny 4'!$G$5</c:f>
              <c:strCache>
                <c:ptCount val="1"/>
                <c:pt idx="0">
                  <c:v>Zás. vodou; odpadní vody</c:v>
                </c:pt>
              </c:strCache>
            </c:strRef>
          </c:tx>
          <c:spPr>
            <a:ln w="19050">
              <a:solidFill>
                <a:schemeClr val="accent1"/>
              </a:solidFill>
            </a:ln>
          </c:spPr>
          <c:marker>
            <c:symbol val="none"/>
          </c:marker>
          <c:cat>
            <c:multiLvlStrRef>
              <c:f>'Ceny 4'!$A$18:$B$68</c:f>
              <c:multiLvlStrCache>
                <c:ptCount val="51"/>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lvl>
                <c:lvl>
                  <c:pt idx="0">
                    <c:v>2014</c:v>
                  </c:pt>
                  <c:pt idx="12">
                    <c:v>2015</c:v>
                  </c:pt>
                  <c:pt idx="24">
                    <c:v>2016</c:v>
                  </c:pt>
                  <c:pt idx="36">
                    <c:v>2017</c:v>
                  </c:pt>
                  <c:pt idx="48">
                    <c:v>2018</c:v>
                  </c:pt>
                </c:lvl>
              </c:multiLvlStrCache>
            </c:multiLvlStrRef>
          </c:cat>
          <c:val>
            <c:numRef>
              <c:f>'Ceny 4'!$G$18:$G$68</c:f>
              <c:numCache>
                <c:formatCode>General</c:formatCode>
                <c:ptCount val="51"/>
                <c:pt idx="0">
                  <c:v>3.4000000000000057</c:v>
                </c:pt>
                <c:pt idx="1">
                  <c:v>3.4000000000000057</c:v>
                </c:pt>
                <c:pt idx="2">
                  <c:v>3.4000000000000057</c:v>
                </c:pt>
                <c:pt idx="3">
                  <c:v>3.4000000000000057</c:v>
                </c:pt>
                <c:pt idx="4">
                  <c:v>3.4000000000000057</c:v>
                </c:pt>
                <c:pt idx="5">
                  <c:v>3.4000000000000057</c:v>
                </c:pt>
                <c:pt idx="6">
                  <c:v>3.4000000000000057</c:v>
                </c:pt>
                <c:pt idx="7">
                  <c:v>3.4000000000000057</c:v>
                </c:pt>
                <c:pt idx="8">
                  <c:v>3.4000000000000057</c:v>
                </c:pt>
                <c:pt idx="9">
                  <c:v>3.4000000000000057</c:v>
                </c:pt>
                <c:pt idx="10">
                  <c:v>3.4000000000000057</c:v>
                </c:pt>
                <c:pt idx="11">
                  <c:v>3.4000000000000057</c:v>
                </c:pt>
                <c:pt idx="12">
                  <c:v>3.4000000000000057</c:v>
                </c:pt>
                <c:pt idx="13">
                  <c:v>3.4000000000000057</c:v>
                </c:pt>
                <c:pt idx="14">
                  <c:v>3.4000000000000057</c:v>
                </c:pt>
                <c:pt idx="15">
                  <c:v>3.4000000000000057</c:v>
                </c:pt>
                <c:pt idx="16">
                  <c:v>3.4000000000000057</c:v>
                </c:pt>
                <c:pt idx="17">
                  <c:v>3.4000000000000057</c:v>
                </c:pt>
                <c:pt idx="18">
                  <c:v>3.4000000000000057</c:v>
                </c:pt>
                <c:pt idx="19">
                  <c:v>3.4000000000000057</c:v>
                </c:pt>
                <c:pt idx="20">
                  <c:v>3.4000000000000057</c:v>
                </c:pt>
                <c:pt idx="21">
                  <c:v>3.4000000000000057</c:v>
                </c:pt>
                <c:pt idx="22">
                  <c:v>3.4000000000000057</c:v>
                </c:pt>
                <c:pt idx="23">
                  <c:v>3.4000000000000057</c:v>
                </c:pt>
                <c:pt idx="24">
                  <c:v>0.5</c:v>
                </c:pt>
                <c:pt idx="25">
                  <c:v>0.5</c:v>
                </c:pt>
                <c:pt idx="26">
                  <c:v>0.5</c:v>
                </c:pt>
                <c:pt idx="27">
                  <c:v>1.5999999999999774</c:v>
                </c:pt>
                <c:pt idx="28">
                  <c:v>1.5999999999999774</c:v>
                </c:pt>
                <c:pt idx="29">
                  <c:v>1.5999999999999774</c:v>
                </c:pt>
                <c:pt idx="30">
                  <c:v>1.5999999999999774</c:v>
                </c:pt>
                <c:pt idx="31">
                  <c:v>1.5999999999999774</c:v>
                </c:pt>
                <c:pt idx="32">
                  <c:v>1.5999999999999774</c:v>
                </c:pt>
                <c:pt idx="33">
                  <c:v>1.5999999999999774</c:v>
                </c:pt>
                <c:pt idx="34">
                  <c:v>1.5999999999999774</c:v>
                </c:pt>
                <c:pt idx="35">
                  <c:v>1.5999999999999774</c:v>
                </c:pt>
                <c:pt idx="36">
                  <c:v>2.0999999999999943</c:v>
                </c:pt>
                <c:pt idx="37">
                  <c:v>2.0999999999999943</c:v>
                </c:pt>
                <c:pt idx="38" formatCode="0.0">
                  <c:v>2.0999999999999943</c:v>
                </c:pt>
                <c:pt idx="39" formatCode="0.0">
                  <c:v>1</c:v>
                </c:pt>
                <c:pt idx="40">
                  <c:v>1</c:v>
                </c:pt>
                <c:pt idx="41">
                  <c:v>1</c:v>
                </c:pt>
                <c:pt idx="42">
                  <c:v>1</c:v>
                </c:pt>
                <c:pt idx="43">
                  <c:v>1</c:v>
                </c:pt>
                <c:pt idx="44">
                  <c:v>1</c:v>
                </c:pt>
                <c:pt idx="45">
                  <c:v>1</c:v>
                </c:pt>
                <c:pt idx="46">
                  <c:v>1</c:v>
                </c:pt>
                <c:pt idx="47">
                  <c:v>1</c:v>
                </c:pt>
                <c:pt idx="48">
                  <c:v>1.9000000000000001</c:v>
                </c:pt>
                <c:pt idx="49">
                  <c:v>1.9000000000000001</c:v>
                </c:pt>
                <c:pt idx="50">
                  <c:v>1.9000000000000001</c:v>
                </c:pt>
              </c:numCache>
            </c:numRef>
          </c:val>
          <c:extLst xmlns:c16r2="http://schemas.microsoft.com/office/drawing/2015/06/chart">
            <c:ext xmlns:c16="http://schemas.microsoft.com/office/drawing/2014/chart" uri="{C3380CC4-5D6E-409C-BE32-E72D297353CC}">
              <c16:uniqueId val="{00000004-4E14-460C-BE6F-A62E0DC3AEF4}"/>
            </c:ext>
          </c:extLst>
        </c:ser>
        <c:marker val="1"/>
        <c:axId val="158372608"/>
        <c:axId val="158374144"/>
      </c:lineChart>
      <c:catAx>
        <c:axId val="158372608"/>
        <c:scaling>
          <c:orientation val="minMax"/>
        </c:scaling>
        <c:axPos val="b"/>
        <c:numFmt formatCode="General" sourceLinked="0"/>
        <c:tickLblPos val="low"/>
        <c:spPr>
          <a:ln>
            <a:solidFill>
              <a:schemeClr val="tx1"/>
            </a:solidFill>
          </a:ln>
        </c:spPr>
        <c:crossAx val="158374144"/>
        <c:crosses val="autoZero"/>
        <c:auto val="1"/>
        <c:lblAlgn val="ctr"/>
        <c:lblOffset val="100"/>
      </c:catAx>
      <c:valAx>
        <c:axId val="158374144"/>
        <c:scaling>
          <c:orientation val="minMax"/>
        </c:scaling>
        <c:axPos val="l"/>
        <c:majorGridlines>
          <c:spPr>
            <a:ln w="6350">
              <a:solidFill>
                <a:schemeClr val="bg1">
                  <a:lumMod val="75000"/>
                </a:schemeClr>
              </a:solidFill>
            </a:ln>
          </c:spPr>
        </c:majorGridlines>
        <c:numFmt formatCode="0" sourceLinked="0"/>
        <c:tickLblPos val="nextTo"/>
        <c:spPr>
          <a:ln>
            <a:solidFill>
              <a:schemeClr val="tx1"/>
            </a:solidFill>
          </a:ln>
        </c:spPr>
        <c:crossAx val="158372608"/>
        <c:crosses val="autoZero"/>
        <c:crossBetween val="between"/>
      </c:valAx>
      <c:spPr>
        <a:ln>
          <a:solidFill>
            <a:schemeClr val="tx1"/>
          </a:solidFill>
        </a:ln>
      </c:spPr>
    </c:plotArea>
    <c:legend>
      <c:legendPos val="b"/>
      <c:layout>
        <c:manualLayout>
          <c:xMode val="edge"/>
          <c:yMode val="edge"/>
          <c:x val="5.0596282132643146E-2"/>
          <c:y val="0.86223931272106069"/>
          <c:w val="0.89560705842620769"/>
          <c:h val="0.12109402425765317"/>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cs-CZ"/>
  <c:chart>
    <c:plotArea>
      <c:layout>
        <c:manualLayout>
          <c:layoutTarget val="inner"/>
          <c:xMode val="edge"/>
          <c:yMode val="edge"/>
          <c:x val="5.4942586963863574E-2"/>
          <c:y val="2.8593943487561255E-2"/>
          <c:w val="0.92629263762242564"/>
          <c:h val="0.75790048407069865"/>
        </c:manualLayout>
      </c:layout>
      <c:barChart>
        <c:barDir val="col"/>
        <c:grouping val="clustered"/>
        <c:ser>
          <c:idx val="3"/>
          <c:order val="3"/>
          <c:tx>
            <c:strRef>
              <c:f>'Ceny 3'!$H$5</c:f>
              <c:strCache>
                <c:ptCount val="1"/>
                <c:pt idx="0">
                  <c:v>Směnné relace</c:v>
                </c:pt>
              </c:strCache>
            </c:strRef>
          </c:tx>
          <c:spPr>
            <a:solidFill>
              <a:schemeClr val="bg1">
                <a:lumMod val="65000"/>
              </a:schemeClr>
            </a:solidFill>
          </c:spPr>
          <c:val>
            <c:numRef>
              <c:f>'Ceny 3'!$H$14:$H$30</c:f>
              <c:numCache>
                <c:formatCode>0.0</c:formatCode>
                <c:ptCount val="17"/>
                <c:pt idx="0">
                  <c:v>1.7793365680396958</c:v>
                </c:pt>
                <c:pt idx="1">
                  <c:v>2.1119010781197152</c:v>
                </c:pt>
                <c:pt idx="2">
                  <c:v>1.6037252877619608</c:v>
                </c:pt>
                <c:pt idx="3">
                  <c:v>0.65769164867340968</c:v>
                </c:pt>
                <c:pt idx="4">
                  <c:v>0.66875144912618911</c:v>
                </c:pt>
                <c:pt idx="5">
                  <c:v>-5.2081504969152093E-2</c:v>
                </c:pt>
                <c:pt idx="6">
                  <c:v>0.25836044006695147</c:v>
                </c:pt>
                <c:pt idx="7">
                  <c:v>0.70059437585936657</c:v>
                </c:pt>
                <c:pt idx="8">
                  <c:v>1.5034457920506288</c:v>
                </c:pt>
                <c:pt idx="9">
                  <c:v>1.531529098388734</c:v>
                </c:pt>
                <c:pt idx="10">
                  <c:v>1.13099756842058</c:v>
                </c:pt>
                <c:pt idx="11">
                  <c:v>6.2798561805466016E-2</c:v>
                </c:pt>
                <c:pt idx="12">
                  <c:v>-1.9126504282764503</c:v>
                </c:pt>
                <c:pt idx="13">
                  <c:v>-1.6759482318033041</c:v>
                </c:pt>
                <c:pt idx="14">
                  <c:v>-0.76570942005810128</c:v>
                </c:pt>
                <c:pt idx="15">
                  <c:v>0.3257506327969395</c:v>
                </c:pt>
                <c:pt idx="16">
                  <c:v>1.0539561006176679</c:v>
                </c:pt>
              </c:numCache>
            </c:numRef>
          </c:val>
          <c:extLst xmlns:c16r2="http://schemas.microsoft.com/office/drawing/2015/06/chart">
            <c:ext xmlns:c16="http://schemas.microsoft.com/office/drawing/2014/chart" uri="{C3380CC4-5D6E-409C-BE32-E72D297353CC}">
              <c16:uniqueId val="{00000000-9FD7-40CB-83D6-684CEC36D1BB}"/>
            </c:ext>
          </c:extLst>
        </c:ser>
        <c:gapWidth val="95"/>
        <c:axId val="158803840"/>
        <c:axId val="158805376"/>
      </c:barChart>
      <c:lineChart>
        <c:grouping val="standard"/>
        <c:ser>
          <c:idx val="1"/>
          <c:order val="0"/>
          <c:tx>
            <c:strRef>
              <c:f>'Ceny 3'!$E$5</c:f>
              <c:strCache>
                <c:ptCount val="1"/>
                <c:pt idx="0">
                  <c:v>HDP</c:v>
                </c:pt>
              </c:strCache>
            </c:strRef>
          </c:tx>
          <c:spPr>
            <a:ln w="19050">
              <a:solidFill>
                <a:sysClr val="windowText" lastClr="000000"/>
              </a:solidFill>
            </a:ln>
          </c:spPr>
          <c:marker>
            <c:symbol val="none"/>
          </c:marker>
          <c:cat>
            <c:multiLvlStrRef>
              <c:f>'Ceny 3'!$A$14:$B$30</c:f>
              <c:multiLvlStrCache>
                <c:ptCount val="1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lvl>
                <c:lvl>
                  <c:pt idx="0">
                    <c:v>2014</c:v>
                  </c:pt>
                  <c:pt idx="4">
                    <c:v>2015</c:v>
                  </c:pt>
                  <c:pt idx="8">
                    <c:v>2016</c:v>
                  </c:pt>
                  <c:pt idx="12">
                    <c:v>2017</c:v>
                  </c:pt>
                  <c:pt idx="16">
                    <c:v>2018</c:v>
                  </c:pt>
                </c:lvl>
              </c:multiLvlStrCache>
            </c:multiLvlStrRef>
          </c:cat>
          <c:val>
            <c:numRef>
              <c:f>'Ceny 3'!$E$14:$E$30</c:f>
              <c:numCache>
                <c:formatCode>#,##0.0</c:formatCode>
                <c:ptCount val="17"/>
                <c:pt idx="0">
                  <c:v>2.3138226678520941</c:v>
                </c:pt>
                <c:pt idx="1">
                  <c:v>2.7747745561013537</c:v>
                </c:pt>
                <c:pt idx="2">
                  <c:v>2.7588038689918002</c:v>
                </c:pt>
                <c:pt idx="3">
                  <c:v>2.0602666075479052</c:v>
                </c:pt>
                <c:pt idx="4">
                  <c:v>1.5369025402895033</c:v>
                </c:pt>
                <c:pt idx="5">
                  <c:v>1.3449575080006761</c:v>
                </c:pt>
                <c:pt idx="6">
                  <c:v>1.0393852766257941</c:v>
                </c:pt>
                <c:pt idx="7">
                  <c:v>0.76964301033775351</c:v>
                </c:pt>
                <c:pt idx="8">
                  <c:v>1.4771513599089299</c:v>
                </c:pt>
                <c:pt idx="9">
                  <c:v>1.08602150995047</c:v>
                </c:pt>
                <c:pt idx="10">
                  <c:v>1.2928489717723581</c:v>
                </c:pt>
                <c:pt idx="11">
                  <c:v>1.1131871246033109</c:v>
                </c:pt>
                <c:pt idx="12" formatCode="General">
                  <c:v>0.58999119858209781</c:v>
                </c:pt>
                <c:pt idx="13" formatCode="General">
                  <c:v>1.0517951586592034</c:v>
                </c:pt>
                <c:pt idx="14" formatCode="General">
                  <c:v>1.664278289905454</c:v>
                </c:pt>
                <c:pt idx="15" formatCode="General">
                  <c:v>2.3941497235363158</c:v>
                </c:pt>
                <c:pt idx="16" formatCode="General">
                  <c:v>2.5877198011451612</c:v>
                </c:pt>
              </c:numCache>
            </c:numRef>
          </c:val>
          <c:extLst xmlns:c16r2="http://schemas.microsoft.com/office/drawing/2015/06/chart">
            <c:ext xmlns:c16="http://schemas.microsoft.com/office/drawing/2014/chart" uri="{C3380CC4-5D6E-409C-BE32-E72D297353CC}">
              <c16:uniqueId val="{00000001-9FD7-40CB-83D6-684CEC36D1BB}"/>
            </c:ext>
          </c:extLst>
        </c:ser>
        <c:ser>
          <c:idx val="0"/>
          <c:order val="1"/>
          <c:tx>
            <c:strRef>
              <c:f>'Ceny 3'!$C$5</c:f>
              <c:strCache>
                <c:ptCount val="1"/>
                <c:pt idx="0">
                  <c:v>Výdaje na konečnou spotřebu</c:v>
                </c:pt>
              </c:strCache>
            </c:strRef>
          </c:tx>
          <c:spPr>
            <a:ln w="19050">
              <a:solidFill>
                <a:srgbClr val="0071BC"/>
              </a:solidFill>
            </a:ln>
          </c:spPr>
          <c:marker>
            <c:symbol val="none"/>
          </c:marker>
          <c:cat>
            <c:multiLvlStrRef>
              <c:f>'Ceny 3'!$A$14:$B$30</c:f>
              <c:multiLvlStrCache>
                <c:ptCount val="1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lvl>
                <c:lvl>
                  <c:pt idx="0">
                    <c:v>2014</c:v>
                  </c:pt>
                  <c:pt idx="4">
                    <c:v>2015</c:v>
                  </c:pt>
                  <c:pt idx="8">
                    <c:v>2016</c:v>
                  </c:pt>
                  <c:pt idx="12">
                    <c:v>2017</c:v>
                  </c:pt>
                  <c:pt idx="16">
                    <c:v>2018</c:v>
                  </c:pt>
                </c:lvl>
              </c:multiLvlStrCache>
            </c:multiLvlStrRef>
          </c:cat>
          <c:val>
            <c:numRef>
              <c:f>'Ceny 3'!$C$14:$C$30</c:f>
              <c:numCache>
                <c:formatCode>0.0</c:formatCode>
                <c:ptCount val="17"/>
                <c:pt idx="0">
                  <c:v>0.58981800757618463</c:v>
                </c:pt>
                <c:pt idx="1">
                  <c:v>0.73002869006749194</c:v>
                </c:pt>
                <c:pt idx="2">
                  <c:v>0.9627234351177667</c:v>
                </c:pt>
                <c:pt idx="3">
                  <c:v>1.371359354161328</c:v>
                </c:pt>
                <c:pt idx="4">
                  <c:v>0.68976772600146319</c:v>
                </c:pt>
                <c:pt idx="5">
                  <c:v>0.98818745870417501</c:v>
                </c:pt>
                <c:pt idx="6">
                  <c:v>0.80963604805681655</c:v>
                </c:pt>
                <c:pt idx="7">
                  <c:v>0.11779517766055535</c:v>
                </c:pt>
                <c:pt idx="8">
                  <c:v>0.59228639059519139</c:v>
                </c:pt>
                <c:pt idx="9">
                  <c:v>0.57463914657525095</c:v>
                </c:pt>
                <c:pt idx="10">
                  <c:v>0.959214673279709</c:v>
                </c:pt>
                <c:pt idx="11">
                  <c:v>1.4790479556241394</c:v>
                </c:pt>
                <c:pt idx="12" formatCode="General">
                  <c:v>2.5778825063099782</c:v>
                </c:pt>
                <c:pt idx="13" formatCode="General">
                  <c:v>2.8155437911204038</c:v>
                </c:pt>
                <c:pt idx="14" formatCode="General">
                  <c:v>2.9730367471450738</c:v>
                </c:pt>
                <c:pt idx="15" formatCode="General">
                  <c:v>3.5057124220068787</c:v>
                </c:pt>
                <c:pt idx="16" formatCode="General">
                  <c:v>3.5458618471438257</c:v>
                </c:pt>
              </c:numCache>
            </c:numRef>
          </c:val>
          <c:extLst xmlns:c16r2="http://schemas.microsoft.com/office/drawing/2015/06/chart">
            <c:ext xmlns:c16="http://schemas.microsoft.com/office/drawing/2014/chart" uri="{C3380CC4-5D6E-409C-BE32-E72D297353CC}">
              <c16:uniqueId val="{00000002-9FD7-40CB-83D6-684CEC36D1BB}"/>
            </c:ext>
          </c:extLst>
        </c:ser>
        <c:ser>
          <c:idx val="2"/>
          <c:order val="2"/>
          <c:tx>
            <c:strRef>
              <c:f>'Ceny 3'!$D$5</c:f>
              <c:strCache>
                <c:ptCount val="1"/>
                <c:pt idx="0">
                  <c:v>Tvorba hrubého kapitálu</c:v>
                </c:pt>
              </c:strCache>
            </c:strRef>
          </c:tx>
          <c:spPr>
            <a:ln w="19050">
              <a:solidFill>
                <a:srgbClr val="BD1B21"/>
              </a:solidFill>
            </a:ln>
          </c:spPr>
          <c:marker>
            <c:symbol val="none"/>
          </c:marker>
          <c:cat>
            <c:multiLvlStrRef>
              <c:f>'Ceny 3'!$A$14:$B$30</c:f>
              <c:multiLvlStrCache>
                <c:ptCount val="1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lvl>
                <c:lvl>
                  <c:pt idx="0">
                    <c:v>2014</c:v>
                  </c:pt>
                  <c:pt idx="4">
                    <c:v>2015</c:v>
                  </c:pt>
                  <c:pt idx="8">
                    <c:v>2016</c:v>
                  </c:pt>
                  <c:pt idx="12">
                    <c:v>2017</c:v>
                  </c:pt>
                  <c:pt idx="16">
                    <c:v>2018</c:v>
                  </c:pt>
                </c:lvl>
              </c:multiLvlStrCache>
            </c:multiLvlStrRef>
          </c:cat>
          <c:val>
            <c:numRef>
              <c:f>'Ceny 3'!$D$14:$D$30</c:f>
              <c:numCache>
                <c:formatCode>0.0</c:formatCode>
                <c:ptCount val="17"/>
                <c:pt idx="0">
                  <c:v>1.1260357140715893</c:v>
                </c:pt>
                <c:pt idx="1">
                  <c:v>1.6973812617109445</c:v>
                </c:pt>
                <c:pt idx="2">
                  <c:v>2.2949207936498794</c:v>
                </c:pt>
                <c:pt idx="3">
                  <c:v>1.7670779218698414</c:v>
                </c:pt>
                <c:pt idx="4">
                  <c:v>2.1226196017486227</c:v>
                </c:pt>
                <c:pt idx="5">
                  <c:v>2.5279179757964436</c:v>
                </c:pt>
                <c:pt idx="6">
                  <c:v>1.5887191520748578</c:v>
                </c:pt>
                <c:pt idx="7">
                  <c:v>1.3230471173612701</c:v>
                </c:pt>
                <c:pt idx="8">
                  <c:v>0.68154056171792565</c:v>
                </c:pt>
                <c:pt idx="9">
                  <c:v>-0.46944009951816668</c:v>
                </c:pt>
                <c:pt idx="10">
                  <c:v>-3.1420942952650056E-2</c:v>
                </c:pt>
                <c:pt idx="11">
                  <c:v>0.48571883221630685</c:v>
                </c:pt>
                <c:pt idx="12" formatCode="General">
                  <c:v>0.8848968557242215</c:v>
                </c:pt>
                <c:pt idx="13" formatCode="General">
                  <c:v>1.6680548667056607</c:v>
                </c:pt>
                <c:pt idx="14" formatCode="General">
                  <c:v>1.56253945107882</c:v>
                </c:pt>
                <c:pt idx="15" formatCode="General">
                  <c:v>0.35591291122876267</c:v>
                </c:pt>
                <c:pt idx="16" formatCode="General">
                  <c:v>-0.87235175230773665</c:v>
                </c:pt>
              </c:numCache>
            </c:numRef>
          </c:val>
          <c:extLst xmlns:c16r2="http://schemas.microsoft.com/office/drawing/2015/06/chart">
            <c:ext xmlns:c16="http://schemas.microsoft.com/office/drawing/2014/chart" uri="{C3380CC4-5D6E-409C-BE32-E72D297353CC}">
              <c16:uniqueId val="{00000003-9FD7-40CB-83D6-684CEC36D1BB}"/>
            </c:ext>
          </c:extLst>
        </c:ser>
        <c:marker val="1"/>
        <c:axId val="158803840"/>
        <c:axId val="158805376"/>
      </c:lineChart>
      <c:catAx>
        <c:axId val="158803840"/>
        <c:scaling>
          <c:orientation val="minMax"/>
        </c:scaling>
        <c:axPos val="b"/>
        <c:tickLblPos val="low"/>
        <c:spPr>
          <a:ln>
            <a:solidFill>
              <a:schemeClr val="tx1"/>
            </a:solidFill>
          </a:ln>
        </c:spPr>
        <c:txPr>
          <a:bodyPr rot="0" vert="horz"/>
          <a:lstStyle/>
          <a:p>
            <a:pPr>
              <a:defRPr/>
            </a:pPr>
            <a:endParaRPr lang="cs-CZ"/>
          </a:p>
        </c:txPr>
        <c:crossAx val="158805376"/>
        <c:crossesAt val="0"/>
        <c:auto val="1"/>
        <c:lblAlgn val="ctr"/>
        <c:lblOffset val="100"/>
      </c:catAx>
      <c:valAx>
        <c:axId val="158805376"/>
        <c:scaling>
          <c:orientation val="minMax"/>
          <c:min val="-2"/>
        </c:scaling>
        <c:axPos val="l"/>
        <c:majorGridlines>
          <c:spPr>
            <a:ln w="6350">
              <a:solidFill>
                <a:schemeClr val="bg1">
                  <a:lumMod val="75000"/>
                </a:schemeClr>
              </a:solidFill>
            </a:ln>
          </c:spPr>
        </c:majorGridlines>
        <c:numFmt formatCode="0" sourceLinked="0"/>
        <c:tickLblPos val="nextTo"/>
        <c:spPr>
          <a:ln>
            <a:solidFill>
              <a:schemeClr val="tx1"/>
            </a:solidFill>
          </a:ln>
        </c:spPr>
        <c:crossAx val="158803840"/>
        <c:crosses val="autoZero"/>
        <c:crossBetween val="between"/>
      </c:valAx>
      <c:spPr>
        <a:ln>
          <a:solidFill>
            <a:schemeClr val="tx1"/>
          </a:solidFill>
        </a:ln>
      </c:spPr>
    </c:plotArea>
    <c:legend>
      <c:legendPos val="b"/>
      <c:layout>
        <c:manualLayout>
          <c:xMode val="edge"/>
          <c:yMode val="edge"/>
          <c:x val="5.1257598784194246E-2"/>
          <c:y val="0.9105279747832935"/>
          <c:w val="0.92611385511651467"/>
          <c:h val="7.2151581672858289E-2"/>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3306663279993532E-2"/>
          <c:y val="1.6549886621315398E-2"/>
          <c:w val="0.92698007507126057"/>
          <c:h val="0.7279408267001356"/>
        </c:manualLayout>
      </c:layout>
      <c:barChart>
        <c:barDir val="col"/>
        <c:grouping val="stacked"/>
        <c:ser>
          <c:idx val="0"/>
          <c:order val="0"/>
          <c:tx>
            <c:strRef>
              <c:f>'Trh práce 1'!$AB$7</c:f>
              <c:strCache>
                <c:ptCount val="1"/>
                <c:pt idx="0">
                  <c:v>Zemědělství, lesnictví a rybářství</c:v>
                </c:pt>
              </c:strCache>
            </c:strRef>
          </c:tx>
          <c:spPr>
            <a:solidFill>
              <a:srgbClr val="7DBB2D"/>
            </a:solidFill>
            <a:ln>
              <a:noFill/>
            </a:ln>
          </c:spPr>
          <c:cat>
            <c:multiLvlStrRef>
              <c:f>'Trh práce 1'!$Z$8:$AA$40</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1'!$AB$8:$AB$40</c:f>
              <c:numCache>
                <c:formatCode>0.00</c:formatCode>
                <c:ptCount val="33"/>
                <c:pt idx="0">
                  <c:v>-0.23442727577579694</c:v>
                </c:pt>
                <c:pt idx="1">
                  <c:v>-0.17374069762940841</c:v>
                </c:pt>
                <c:pt idx="2">
                  <c:v>-0.13917972182171817</c:v>
                </c:pt>
                <c:pt idx="3">
                  <c:v>-0.14147627624500286</c:v>
                </c:pt>
                <c:pt idx="4">
                  <c:v>0.11997121485354836</c:v>
                </c:pt>
                <c:pt idx="5">
                  <c:v>9.3505504334923259E-2</c:v>
                </c:pt>
                <c:pt idx="6">
                  <c:v>5.3207901837043908E-2</c:v>
                </c:pt>
                <c:pt idx="7">
                  <c:v>3.2226140386528282E-2</c:v>
                </c:pt>
                <c:pt idx="8">
                  <c:v>3.5815297040764214E-2</c:v>
                </c:pt>
                <c:pt idx="9">
                  <c:v>3.2500622004900732E-2</c:v>
                </c:pt>
                <c:pt idx="10">
                  <c:v>6.2520906356959768E-2</c:v>
                </c:pt>
                <c:pt idx="11">
                  <c:v>7.0976267236171814E-2</c:v>
                </c:pt>
                <c:pt idx="12">
                  <c:v>3.1132755788945445E-2</c:v>
                </c:pt>
                <c:pt idx="13">
                  <c:v>7.64383068954545E-2</c:v>
                </c:pt>
                <c:pt idx="14">
                  <c:v>2.3168443045195327E-2</c:v>
                </c:pt>
                <c:pt idx="15">
                  <c:v>7.6748689368519004E-4</c:v>
                </c:pt>
                <c:pt idx="16">
                  <c:v>3.5976705281007292E-3</c:v>
                </c:pt>
                <c:pt idx="17">
                  <c:v>-6.2321084508568513E-2</c:v>
                </c:pt>
                <c:pt idx="18">
                  <c:v>-3.1061169468757605E-2</c:v>
                </c:pt>
                <c:pt idx="19">
                  <c:v>-3.1769018970727092E-2</c:v>
                </c:pt>
                <c:pt idx="20">
                  <c:v>-2.8282138208264838E-2</c:v>
                </c:pt>
                <c:pt idx="21">
                  <c:v>-2.1515372606243449E-2</c:v>
                </c:pt>
                <c:pt idx="22">
                  <c:v>-2.7530661810536945E-2</c:v>
                </c:pt>
                <c:pt idx="23">
                  <c:v>-9.9605378729429012E-2</c:v>
                </c:pt>
                <c:pt idx="24">
                  <c:v>-0.11270440896076718</c:v>
                </c:pt>
                <c:pt idx="25">
                  <c:v>-1.838687015573922E-2</c:v>
                </c:pt>
                <c:pt idx="26">
                  <c:v>-1.5461939914361483E-2</c:v>
                </c:pt>
                <c:pt idx="27">
                  <c:v>7.4598736110096167E-2</c:v>
                </c:pt>
                <c:pt idx="28">
                  <c:v>0.10028542627727401</c:v>
                </c:pt>
                <c:pt idx="29">
                  <c:v>3.8260780756199202E-2</c:v>
                </c:pt>
                <c:pt idx="30">
                  <c:v>2.0642967498942611E-2</c:v>
                </c:pt>
                <c:pt idx="31">
                  <c:v>-9.8489741851906412E-2</c:v>
                </c:pt>
                <c:pt idx="32">
                  <c:v>-6.0887648591932804E-2</c:v>
                </c:pt>
              </c:numCache>
            </c:numRef>
          </c:val>
          <c:extLst xmlns:c16r2="http://schemas.microsoft.com/office/drawing/2015/06/chart">
            <c:ext xmlns:c16="http://schemas.microsoft.com/office/drawing/2014/chart" uri="{C3380CC4-5D6E-409C-BE32-E72D297353CC}">
              <c16:uniqueId val="{00000000-D3ED-4C67-B45F-8F066EB5FAC1}"/>
            </c:ext>
          </c:extLst>
        </c:ser>
        <c:ser>
          <c:idx val="1"/>
          <c:order val="1"/>
          <c:tx>
            <c:strRef>
              <c:f>'Trh práce 1'!$AC$7</c:f>
              <c:strCache>
                <c:ptCount val="1"/>
                <c:pt idx="0">
                  <c:v>Zpracovatelský průmysl</c:v>
                </c:pt>
              </c:strCache>
            </c:strRef>
          </c:tx>
          <c:spPr>
            <a:solidFill>
              <a:schemeClr val="accent5">
                <a:lumMod val="40000"/>
                <a:lumOff val="60000"/>
              </a:schemeClr>
            </a:solidFill>
            <a:ln>
              <a:noFill/>
            </a:ln>
          </c:spPr>
          <c:cat>
            <c:multiLvlStrRef>
              <c:f>'Trh práce 1'!$Z$8:$AA$40</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1'!$AC$8:$AC$40</c:f>
              <c:numCache>
                <c:formatCode>0.00</c:formatCode>
                <c:ptCount val="33"/>
                <c:pt idx="0">
                  <c:v>-1.8460761633666125</c:v>
                </c:pt>
                <c:pt idx="1">
                  <c:v>-0.84774590652684989</c:v>
                </c:pt>
                <c:pt idx="2">
                  <c:v>-0.30149698936224634</c:v>
                </c:pt>
                <c:pt idx="3">
                  <c:v>-0.14265968298900011</c:v>
                </c:pt>
                <c:pt idx="4">
                  <c:v>0.97855991241307205</c:v>
                </c:pt>
                <c:pt idx="5">
                  <c:v>1.0633183092447167</c:v>
                </c:pt>
                <c:pt idx="6">
                  <c:v>0.95669661986791288</c:v>
                </c:pt>
                <c:pt idx="7">
                  <c:v>0.57766588528952656</c:v>
                </c:pt>
                <c:pt idx="8">
                  <c:v>0.15488875828266291</c:v>
                </c:pt>
                <c:pt idx="9">
                  <c:v>0.13144739996014104</c:v>
                </c:pt>
                <c:pt idx="10">
                  <c:v>0.31080123464423437</c:v>
                </c:pt>
                <c:pt idx="11">
                  <c:v>0.42051551727082642</c:v>
                </c:pt>
                <c:pt idx="12">
                  <c:v>-4.6163046689604366E-2</c:v>
                </c:pt>
                <c:pt idx="13">
                  <c:v>4.1558882988915885E-2</c:v>
                </c:pt>
                <c:pt idx="14">
                  <c:v>-0.10430720449999331</c:v>
                </c:pt>
                <c:pt idx="15">
                  <c:v>-5.5200018891986072E-2</c:v>
                </c:pt>
                <c:pt idx="16">
                  <c:v>0.20443466264623841</c:v>
                </c:pt>
                <c:pt idx="17">
                  <c:v>0.19624762296588016</c:v>
                </c:pt>
                <c:pt idx="18">
                  <c:v>0.39720944880775066</c:v>
                </c:pt>
                <c:pt idx="19">
                  <c:v>0.53466373722870963</c:v>
                </c:pt>
                <c:pt idx="20">
                  <c:v>0.89950564237501363</c:v>
                </c:pt>
                <c:pt idx="21">
                  <c:v>0.95675743525774992</c:v>
                </c:pt>
                <c:pt idx="22">
                  <c:v>0.81099194400861363</c:v>
                </c:pt>
                <c:pt idx="23">
                  <c:v>0.98229495391862753</c:v>
                </c:pt>
                <c:pt idx="24">
                  <c:v>0.63946699955904152</c:v>
                </c:pt>
                <c:pt idx="25">
                  <c:v>0.41707743204423042</c:v>
                </c:pt>
                <c:pt idx="26">
                  <c:v>0.48574011987823495</c:v>
                </c:pt>
                <c:pt idx="27">
                  <c:v>0.35453150301356484</c:v>
                </c:pt>
                <c:pt idx="28">
                  <c:v>2.7984847546826449E-3</c:v>
                </c:pt>
                <c:pt idx="29">
                  <c:v>0.11724033067375128</c:v>
                </c:pt>
                <c:pt idx="30">
                  <c:v>0.26165532604748426</c:v>
                </c:pt>
                <c:pt idx="31">
                  <c:v>0.2643193341350708</c:v>
                </c:pt>
                <c:pt idx="32">
                  <c:v>0.63904638191725027</c:v>
                </c:pt>
              </c:numCache>
            </c:numRef>
          </c:val>
          <c:extLst xmlns:c16r2="http://schemas.microsoft.com/office/drawing/2015/06/chart">
            <c:ext xmlns:c16="http://schemas.microsoft.com/office/drawing/2014/chart" uri="{C3380CC4-5D6E-409C-BE32-E72D297353CC}">
              <c16:uniqueId val="{00000001-D3ED-4C67-B45F-8F066EB5FAC1}"/>
            </c:ext>
          </c:extLst>
        </c:ser>
        <c:ser>
          <c:idx val="2"/>
          <c:order val="2"/>
          <c:tx>
            <c:strRef>
              <c:f>'Trh práce 1'!$AD$7</c:f>
              <c:strCache>
                <c:ptCount val="1"/>
                <c:pt idx="0">
                  <c:v>Stavebnictví</c:v>
                </c:pt>
              </c:strCache>
            </c:strRef>
          </c:tx>
          <c:spPr>
            <a:solidFill>
              <a:schemeClr val="tx2">
                <a:lumMod val="60000"/>
                <a:lumOff val="40000"/>
              </a:schemeClr>
            </a:solidFill>
            <a:ln w="19050">
              <a:noFill/>
            </a:ln>
          </c:spPr>
          <c:cat>
            <c:multiLvlStrRef>
              <c:f>'Trh práce 1'!$Z$8:$AA$40</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1'!$AD$8:$AD$40</c:f>
              <c:numCache>
                <c:formatCode>0.00</c:formatCode>
                <c:ptCount val="33"/>
                <c:pt idx="0">
                  <c:v>8.7543211421876987E-2</c:v>
                </c:pt>
                <c:pt idx="1">
                  <c:v>0.14296902461616709</c:v>
                </c:pt>
                <c:pt idx="2">
                  <c:v>0.18681352871005039</c:v>
                </c:pt>
                <c:pt idx="3">
                  <c:v>0.19076516713253341</c:v>
                </c:pt>
                <c:pt idx="4">
                  <c:v>-0.46917881888338886</c:v>
                </c:pt>
                <c:pt idx="5">
                  <c:v>-0.4606986903885093</c:v>
                </c:pt>
                <c:pt idx="6">
                  <c:v>-0.50136166458464559</c:v>
                </c:pt>
                <c:pt idx="7">
                  <c:v>-0.48358920757399082</c:v>
                </c:pt>
                <c:pt idx="8">
                  <c:v>-9.0064062752369597E-2</c:v>
                </c:pt>
                <c:pt idx="9">
                  <c:v>-5.7737097678621035E-2</c:v>
                </c:pt>
                <c:pt idx="10">
                  <c:v>-0.14594816967321891</c:v>
                </c:pt>
                <c:pt idx="11">
                  <c:v>-0.16163285927118068</c:v>
                </c:pt>
                <c:pt idx="12">
                  <c:v>-0.21348175398134134</c:v>
                </c:pt>
                <c:pt idx="13">
                  <c:v>-0.32452685518023994</c:v>
                </c:pt>
                <c:pt idx="14">
                  <c:v>-0.19042609857198306</c:v>
                </c:pt>
                <c:pt idx="15">
                  <c:v>-9.3830192540815122E-2</c:v>
                </c:pt>
                <c:pt idx="16">
                  <c:v>-0.43347976379514236</c:v>
                </c:pt>
                <c:pt idx="17">
                  <c:v>-0.30734599723942546</c:v>
                </c:pt>
                <c:pt idx="18">
                  <c:v>-0.36080104003804331</c:v>
                </c:pt>
                <c:pt idx="19">
                  <c:v>-0.44693009969964292</c:v>
                </c:pt>
                <c:pt idx="20">
                  <c:v>-1.3895393824352474E-2</c:v>
                </c:pt>
                <c:pt idx="21">
                  <c:v>-7.4921352193110186E-3</c:v>
                </c:pt>
                <c:pt idx="22">
                  <c:v>-4.8847874042826034E-2</c:v>
                </c:pt>
                <c:pt idx="23">
                  <c:v>-7.8713779042880697E-2</c:v>
                </c:pt>
                <c:pt idx="24">
                  <c:v>-6.9249066845534293E-2</c:v>
                </c:pt>
                <c:pt idx="25">
                  <c:v>-0.10043394169974421</c:v>
                </c:pt>
                <c:pt idx="26">
                  <c:v>1.536554378023176E-2</c:v>
                </c:pt>
                <c:pt idx="27">
                  <c:v>3.7193595162910612E-2</c:v>
                </c:pt>
                <c:pt idx="28">
                  <c:v>6.8390367155449133E-2</c:v>
                </c:pt>
                <c:pt idx="29">
                  <c:v>4.6587454655830023E-2</c:v>
                </c:pt>
                <c:pt idx="30">
                  <c:v>0.13027540651316241</c:v>
                </c:pt>
                <c:pt idx="31">
                  <c:v>-5.0400675899589104E-3</c:v>
                </c:pt>
                <c:pt idx="32">
                  <c:v>-3.4061566990770446E-2</c:v>
                </c:pt>
              </c:numCache>
            </c:numRef>
          </c:val>
          <c:extLst xmlns:c16r2="http://schemas.microsoft.com/office/drawing/2015/06/chart">
            <c:ext xmlns:c16="http://schemas.microsoft.com/office/drawing/2014/chart" uri="{C3380CC4-5D6E-409C-BE32-E72D297353CC}">
              <c16:uniqueId val="{00000002-D3ED-4C67-B45F-8F066EB5FAC1}"/>
            </c:ext>
          </c:extLst>
        </c:ser>
        <c:ser>
          <c:idx val="3"/>
          <c:order val="3"/>
          <c:tx>
            <c:strRef>
              <c:f>'Trh práce 1'!$AE$7</c:f>
              <c:strCache>
                <c:ptCount val="1"/>
                <c:pt idx="0">
                  <c:v>Obchod, doprava, ubytování a pohost.</c:v>
                </c:pt>
              </c:strCache>
            </c:strRef>
          </c:tx>
          <c:spPr>
            <a:solidFill>
              <a:srgbClr val="FAF400"/>
            </a:solidFill>
            <a:ln w="19050">
              <a:noFill/>
            </a:ln>
          </c:spPr>
          <c:cat>
            <c:multiLvlStrRef>
              <c:f>'Trh práce 1'!$Z$8:$AA$40</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1'!$AE$8:$AE$40</c:f>
              <c:numCache>
                <c:formatCode>0.00</c:formatCode>
                <c:ptCount val="33"/>
                <c:pt idx="0">
                  <c:v>-0.35876877002174556</c:v>
                </c:pt>
                <c:pt idx="1">
                  <c:v>-0.13509038152573827</c:v>
                </c:pt>
                <c:pt idx="2">
                  <c:v>0.14676096020617824</c:v>
                </c:pt>
                <c:pt idx="3">
                  <c:v>0.2890273737758709</c:v>
                </c:pt>
                <c:pt idx="4">
                  <c:v>-6.5090342893225892E-2</c:v>
                </c:pt>
                <c:pt idx="5">
                  <c:v>-8.2757517702014213E-2</c:v>
                </c:pt>
                <c:pt idx="6">
                  <c:v>-8.8896850455218238E-2</c:v>
                </c:pt>
                <c:pt idx="7">
                  <c:v>-0.15161068614873274</c:v>
                </c:pt>
                <c:pt idx="8">
                  <c:v>-0.1330821037409412</c:v>
                </c:pt>
                <c:pt idx="9">
                  <c:v>-9.9105124469270042E-2</c:v>
                </c:pt>
                <c:pt idx="10">
                  <c:v>-9.1710540291601556E-2</c:v>
                </c:pt>
                <c:pt idx="11">
                  <c:v>-0.18933624281747893</c:v>
                </c:pt>
                <c:pt idx="12">
                  <c:v>0.18824595512435643</c:v>
                </c:pt>
                <c:pt idx="13">
                  <c:v>0.14698762323898368</c:v>
                </c:pt>
                <c:pt idx="14">
                  <c:v>1.8778839987354422E-2</c:v>
                </c:pt>
                <c:pt idx="15">
                  <c:v>4.2802153686299048E-2</c:v>
                </c:pt>
                <c:pt idx="16">
                  <c:v>-6.7209229645833521E-2</c:v>
                </c:pt>
                <c:pt idx="17">
                  <c:v>-0.24906842246589864</c:v>
                </c:pt>
                <c:pt idx="18">
                  <c:v>-0.10541138651359432</c:v>
                </c:pt>
                <c:pt idx="19">
                  <c:v>0.15711402756606879</c:v>
                </c:pt>
                <c:pt idx="20">
                  <c:v>0.12271971575566452</c:v>
                </c:pt>
                <c:pt idx="21">
                  <c:v>0.38368754265810012</c:v>
                </c:pt>
                <c:pt idx="22">
                  <c:v>0.22544270828245191</c:v>
                </c:pt>
                <c:pt idx="23">
                  <c:v>8.0896483487742227E-2</c:v>
                </c:pt>
                <c:pt idx="24">
                  <c:v>0.24045030525485614</c:v>
                </c:pt>
                <c:pt idx="25">
                  <c:v>0.40958006046081002</c:v>
                </c:pt>
                <c:pt idx="26">
                  <c:v>0.18814597459383758</c:v>
                </c:pt>
                <c:pt idx="27">
                  <c:v>0.27125938974810776</c:v>
                </c:pt>
                <c:pt idx="28">
                  <c:v>0.53968586816952024</c:v>
                </c:pt>
                <c:pt idx="29">
                  <c:v>0.37231855377297929</c:v>
                </c:pt>
                <c:pt idx="30">
                  <c:v>0.78687031093755277</c:v>
                </c:pt>
                <c:pt idx="31">
                  <c:v>0.64365073695830954</c:v>
                </c:pt>
                <c:pt idx="32">
                  <c:v>0.26676837907747453</c:v>
                </c:pt>
              </c:numCache>
            </c:numRef>
          </c:val>
          <c:extLst xmlns:c16r2="http://schemas.microsoft.com/office/drawing/2015/06/chart">
            <c:ext xmlns:c16="http://schemas.microsoft.com/office/drawing/2014/chart" uri="{C3380CC4-5D6E-409C-BE32-E72D297353CC}">
              <c16:uniqueId val="{00000003-D3ED-4C67-B45F-8F066EB5FAC1}"/>
            </c:ext>
          </c:extLst>
        </c:ser>
        <c:ser>
          <c:idx val="4"/>
          <c:order val="4"/>
          <c:tx>
            <c:strRef>
              <c:f>'Trh práce 1'!$AF$7</c:f>
              <c:strCache>
                <c:ptCount val="1"/>
                <c:pt idx="0">
                  <c:v>Informační a komunikač. čin.</c:v>
                </c:pt>
              </c:strCache>
            </c:strRef>
          </c:tx>
          <c:spPr>
            <a:solidFill>
              <a:srgbClr val="F9B883"/>
            </a:solidFill>
            <a:ln w="19050">
              <a:noFill/>
            </a:ln>
          </c:spPr>
          <c:cat>
            <c:multiLvlStrRef>
              <c:f>'Trh práce 1'!$Z$8:$AA$40</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1'!$AF$8:$AF$40</c:f>
              <c:numCache>
                <c:formatCode>0.00</c:formatCode>
                <c:ptCount val="33"/>
                <c:pt idx="0">
                  <c:v>-6.6912993019723629E-2</c:v>
                </c:pt>
                <c:pt idx="1">
                  <c:v>-7.6694582738850769E-2</c:v>
                </c:pt>
                <c:pt idx="2">
                  <c:v>-6.6301375689548109E-2</c:v>
                </c:pt>
                <c:pt idx="3">
                  <c:v>-8.0649169603487864E-2</c:v>
                </c:pt>
                <c:pt idx="4">
                  <c:v>-4.5386461248404397E-2</c:v>
                </c:pt>
                <c:pt idx="5">
                  <c:v>-8.7310071892747657E-2</c:v>
                </c:pt>
                <c:pt idx="6">
                  <c:v>-0.13131323493784341</c:v>
                </c:pt>
                <c:pt idx="7">
                  <c:v>-0.15947504701370141</c:v>
                </c:pt>
                <c:pt idx="8">
                  <c:v>2.0397853383881039E-2</c:v>
                </c:pt>
                <c:pt idx="9">
                  <c:v>3.269855514743937E-2</c:v>
                </c:pt>
                <c:pt idx="10">
                  <c:v>5.4376344546274512E-2</c:v>
                </c:pt>
                <c:pt idx="11">
                  <c:v>7.4074280019843744E-2</c:v>
                </c:pt>
                <c:pt idx="12">
                  <c:v>4.1794930443706087E-2</c:v>
                </c:pt>
                <c:pt idx="13">
                  <c:v>7.2150015117710381E-2</c:v>
                </c:pt>
                <c:pt idx="14">
                  <c:v>3.1613015743911843E-2</c:v>
                </c:pt>
                <c:pt idx="15">
                  <c:v>3.2529636801587158E-2</c:v>
                </c:pt>
                <c:pt idx="16">
                  <c:v>0.10227663358457104</c:v>
                </c:pt>
                <c:pt idx="17">
                  <c:v>6.5756104914552513E-2</c:v>
                </c:pt>
                <c:pt idx="18">
                  <c:v>8.3865157565646622E-2</c:v>
                </c:pt>
                <c:pt idx="19">
                  <c:v>8.3484654186852247E-2</c:v>
                </c:pt>
                <c:pt idx="20">
                  <c:v>9.0801583406658944E-3</c:v>
                </c:pt>
                <c:pt idx="21">
                  <c:v>5.2935269520738432E-2</c:v>
                </c:pt>
                <c:pt idx="22">
                  <c:v>7.2998262969599381E-2</c:v>
                </c:pt>
                <c:pt idx="23">
                  <c:v>9.9507936566711544E-2</c:v>
                </c:pt>
                <c:pt idx="24">
                  <c:v>8.4077062100575764E-2</c:v>
                </c:pt>
                <c:pt idx="25">
                  <c:v>6.5973015244334562E-2</c:v>
                </c:pt>
                <c:pt idx="26">
                  <c:v>8.6737241489667202E-2</c:v>
                </c:pt>
                <c:pt idx="27">
                  <c:v>0.11796562188691215</c:v>
                </c:pt>
                <c:pt idx="28">
                  <c:v>0.11236107967075239</c:v>
                </c:pt>
                <c:pt idx="29">
                  <c:v>9.4413430601078679E-2</c:v>
                </c:pt>
                <c:pt idx="30">
                  <c:v>0.10991808893348422</c:v>
                </c:pt>
                <c:pt idx="31">
                  <c:v>8.6950639738053045E-2</c:v>
                </c:pt>
                <c:pt idx="32">
                  <c:v>0.11244284344374378</c:v>
                </c:pt>
              </c:numCache>
            </c:numRef>
          </c:val>
          <c:extLst xmlns:c16r2="http://schemas.microsoft.com/office/drawing/2015/06/chart">
            <c:ext xmlns:c16="http://schemas.microsoft.com/office/drawing/2014/chart" uri="{C3380CC4-5D6E-409C-BE32-E72D297353CC}">
              <c16:uniqueId val="{00000004-D3ED-4C67-B45F-8F066EB5FAC1}"/>
            </c:ext>
          </c:extLst>
        </c:ser>
        <c:ser>
          <c:idx val="5"/>
          <c:order val="5"/>
          <c:tx>
            <c:strRef>
              <c:f>'Trh práce 1'!$AG$7</c:f>
              <c:strCache>
                <c:ptCount val="1"/>
                <c:pt idx="0">
                  <c:v>Profesní, vědec., techn. a admin. čin.</c:v>
                </c:pt>
              </c:strCache>
            </c:strRef>
          </c:tx>
          <c:spPr>
            <a:solidFill>
              <a:srgbClr val="F6882E"/>
            </a:solidFill>
            <a:ln w="19050">
              <a:noFill/>
            </a:ln>
          </c:spPr>
          <c:cat>
            <c:multiLvlStrRef>
              <c:f>'Trh práce 1'!$Z$8:$AA$40</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1'!$AG$8:$AG$40</c:f>
              <c:numCache>
                <c:formatCode>0.00</c:formatCode>
                <c:ptCount val="33"/>
                <c:pt idx="0">
                  <c:v>-0.14153334291440844</c:v>
                </c:pt>
                <c:pt idx="1">
                  <c:v>-5.9236448049634904E-2</c:v>
                </c:pt>
                <c:pt idx="2">
                  <c:v>-9.7866895508478564E-3</c:v>
                </c:pt>
                <c:pt idx="3">
                  <c:v>-5.2977175239659648E-2</c:v>
                </c:pt>
                <c:pt idx="4">
                  <c:v>-0.19958125278947991</c:v>
                </c:pt>
                <c:pt idx="5">
                  <c:v>-0.23651508706561924</c:v>
                </c:pt>
                <c:pt idx="6">
                  <c:v>-0.39200630682316057</c:v>
                </c:pt>
                <c:pt idx="7">
                  <c:v>-0.29701266635143742</c:v>
                </c:pt>
                <c:pt idx="8">
                  <c:v>0.1290144384260658</c:v>
                </c:pt>
                <c:pt idx="9">
                  <c:v>0.13645510846637351</c:v>
                </c:pt>
                <c:pt idx="10">
                  <c:v>0.20393110850062396</c:v>
                </c:pt>
                <c:pt idx="11">
                  <c:v>0.24063218525481003</c:v>
                </c:pt>
                <c:pt idx="12">
                  <c:v>5.4124931301445467E-2</c:v>
                </c:pt>
                <c:pt idx="13">
                  <c:v>0.15848894035717512</c:v>
                </c:pt>
                <c:pt idx="14">
                  <c:v>0.21485433801045944</c:v>
                </c:pt>
                <c:pt idx="15">
                  <c:v>0.19338701805758857</c:v>
                </c:pt>
                <c:pt idx="16">
                  <c:v>0.32827755197892688</c:v>
                </c:pt>
                <c:pt idx="17">
                  <c:v>0.23346361547871122</c:v>
                </c:pt>
                <c:pt idx="18">
                  <c:v>0.12190526068086428</c:v>
                </c:pt>
                <c:pt idx="19">
                  <c:v>7.7858685502251904E-2</c:v>
                </c:pt>
                <c:pt idx="20">
                  <c:v>0.11192965746773223</c:v>
                </c:pt>
                <c:pt idx="21">
                  <c:v>0.10955776789286541</c:v>
                </c:pt>
                <c:pt idx="22">
                  <c:v>0.22063607747663611</c:v>
                </c:pt>
                <c:pt idx="23">
                  <c:v>0.34749824068175156</c:v>
                </c:pt>
                <c:pt idx="24">
                  <c:v>0.28751560433008638</c:v>
                </c:pt>
                <c:pt idx="25">
                  <c:v>0.25309892964902186</c:v>
                </c:pt>
                <c:pt idx="26">
                  <c:v>0.25899713317897172</c:v>
                </c:pt>
                <c:pt idx="27">
                  <c:v>0.2605474804897096</c:v>
                </c:pt>
                <c:pt idx="28">
                  <c:v>0.48603546523563396</c:v>
                </c:pt>
                <c:pt idx="29">
                  <c:v>0.38302699938303042</c:v>
                </c:pt>
                <c:pt idx="30">
                  <c:v>0.31232962172524203</c:v>
                </c:pt>
                <c:pt idx="31">
                  <c:v>0.15188414210944409</c:v>
                </c:pt>
                <c:pt idx="32">
                  <c:v>0.14164926749683948</c:v>
                </c:pt>
              </c:numCache>
            </c:numRef>
          </c:val>
          <c:extLst xmlns:c16r2="http://schemas.microsoft.com/office/drawing/2015/06/chart">
            <c:ext xmlns:c16="http://schemas.microsoft.com/office/drawing/2014/chart" uri="{C3380CC4-5D6E-409C-BE32-E72D297353CC}">
              <c16:uniqueId val="{00000005-D3ED-4C67-B45F-8F066EB5FAC1}"/>
            </c:ext>
          </c:extLst>
        </c:ser>
        <c:ser>
          <c:idx val="6"/>
          <c:order val="6"/>
          <c:tx>
            <c:strRef>
              <c:f>'Trh práce 1'!$AH$7</c:f>
              <c:strCache>
                <c:ptCount val="1"/>
                <c:pt idx="0">
                  <c:v>Veř.spr.,obrana, vzděl.,zdrav.a soc.péče</c:v>
                </c:pt>
              </c:strCache>
            </c:strRef>
          </c:tx>
          <c:spPr>
            <a:solidFill>
              <a:srgbClr val="FF0000"/>
            </a:solidFill>
            <a:ln>
              <a:noFill/>
            </a:ln>
          </c:spPr>
          <c:cat>
            <c:multiLvlStrRef>
              <c:f>'Trh práce 1'!$Z$8:$AA$40</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1'!$AH$8:$AH$40</c:f>
              <c:numCache>
                <c:formatCode>0.00</c:formatCode>
                <c:ptCount val="33"/>
                <c:pt idx="0">
                  <c:v>-3.2452028947221674E-3</c:v>
                </c:pt>
                <c:pt idx="1">
                  <c:v>-3.9960164954934506E-2</c:v>
                </c:pt>
                <c:pt idx="2">
                  <c:v>-5.1906868523210546E-2</c:v>
                </c:pt>
                <c:pt idx="3">
                  <c:v>-3.984136038127814E-2</c:v>
                </c:pt>
                <c:pt idx="4">
                  <c:v>-8.4694910618464764E-2</c:v>
                </c:pt>
                <c:pt idx="5">
                  <c:v>-0.13580467088101209</c:v>
                </c:pt>
                <c:pt idx="6">
                  <c:v>-0.18452113677488621</c:v>
                </c:pt>
                <c:pt idx="7">
                  <c:v>-0.13312253955389119</c:v>
                </c:pt>
                <c:pt idx="8">
                  <c:v>-0.4531974428870037</c:v>
                </c:pt>
                <c:pt idx="9">
                  <c:v>-0.33581336963163577</c:v>
                </c:pt>
                <c:pt idx="10">
                  <c:v>-5.5862578453334123E-2</c:v>
                </c:pt>
                <c:pt idx="11">
                  <c:v>6.3489403008964732E-2</c:v>
                </c:pt>
                <c:pt idx="12">
                  <c:v>0.14377058971157483</c:v>
                </c:pt>
                <c:pt idx="13">
                  <c:v>0.36325981317276351</c:v>
                </c:pt>
                <c:pt idx="14">
                  <c:v>0.19757150624012687</c:v>
                </c:pt>
                <c:pt idx="15">
                  <c:v>0.16231363843889254</c:v>
                </c:pt>
                <c:pt idx="16">
                  <c:v>0.27605202706001586</c:v>
                </c:pt>
                <c:pt idx="17">
                  <c:v>0.17021998263253657</c:v>
                </c:pt>
                <c:pt idx="18">
                  <c:v>0.3513450764212897</c:v>
                </c:pt>
                <c:pt idx="19">
                  <c:v>0.33517790355555876</c:v>
                </c:pt>
                <c:pt idx="20">
                  <c:v>0.26839532965396712</c:v>
                </c:pt>
                <c:pt idx="21">
                  <c:v>0.23776742215632618</c:v>
                </c:pt>
                <c:pt idx="22">
                  <c:v>0.10344025807308872</c:v>
                </c:pt>
                <c:pt idx="23">
                  <c:v>8.8380041584417243E-2</c:v>
                </c:pt>
                <c:pt idx="24">
                  <c:v>0.11251032525323842</c:v>
                </c:pt>
                <c:pt idx="25">
                  <c:v>8.148814152878997E-2</c:v>
                </c:pt>
                <c:pt idx="26">
                  <c:v>0.1631986550811354</c:v>
                </c:pt>
                <c:pt idx="27">
                  <c:v>0.25604732471508529</c:v>
                </c:pt>
                <c:pt idx="28">
                  <c:v>0.11776637214212017</c:v>
                </c:pt>
                <c:pt idx="29">
                  <c:v>0.16205574717703072</c:v>
                </c:pt>
                <c:pt idx="30">
                  <c:v>0.26533068834203588</c:v>
                </c:pt>
                <c:pt idx="31">
                  <c:v>0.29355551568133775</c:v>
                </c:pt>
                <c:pt idx="32">
                  <c:v>0.44980915698849877</c:v>
                </c:pt>
              </c:numCache>
            </c:numRef>
          </c:val>
          <c:extLst xmlns:c16r2="http://schemas.microsoft.com/office/drawing/2015/06/chart">
            <c:ext xmlns:c16="http://schemas.microsoft.com/office/drawing/2014/chart" uri="{C3380CC4-5D6E-409C-BE32-E72D297353CC}">
              <c16:uniqueId val="{00000006-D3ED-4C67-B45F-8F066EB5FAC1}"/>
            </c:ext>
          </c:extLst>
        </c:ser>
        <c:ser>
          <c:idx val="7"/>
          <c:order val="7"/>
          <c:tx>
            <c:strRef>
              <c:f>'Trh práce 1'!$AI$7</c:f>
              <c:strCache>
                <c:ptCount val="1"/>
                <c:pt idx="0">
                  <c:v>Ostatní odvětví*</c:v>
                </c:pt>
              </c:strCache>
            </c:strRef>
          </c:tx>
          <c:spPr>
            <a:solidFill>
              <a:schemeClr val="bg1">
                <a:lumMod val="85000"/>
              </a:schemeClr>
            </a:solidFill>
            <a:ln>
              <a:noFill/>
            </a:ln>
          </c:spPr>
          <c:cat>
            <c:multiLvlStrRef>
              <c:f>'Trh práce 1'!$Z$8:$AA$40</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1'!$AI$8:$AI$40</c:f>
              <c:numCache>
                <c:formatCode>0.00</c:formatCode>
                <c:ptCount val="33"/>
                <c:pt idx="0">
                  <c:v>-0.18594239919395469</c:v>
                </c:pt>
                <c:pt idx="1">
                  <c:v>-4.1856513291837392E-2</c:v>
                </c:pt>
                <c:pt idx="2">
                  <c:v>4.7436891605619584E-2</c:v>
                </c:pt>
                <c:pt idx="3">
                  <c:v>4.5127243837804483E-2</c:v>
                </c:pt>
                <c:pt idx="4">
                  <c:v>-0.1312135505500899</c:v>
                </c:pt>
                <c:pt idx="5">
                  <c:v>-0.15171881683471244</c:v>
                </c:pt>
                <c:pt idx="6">
                  <c:v>-0.15538206706286894</c:v>
                </c:pt>
                <c:pt idx="7">
                  <c:v>-0.13475848429522744</c:v>
                </c:pt>
                <c:pt idx="8">
                  <c:v>0.27173988530374282</c:v>
                </c:pt>
                <c:pt idx="9">
                  <c:v>0.31946409205791515</c:v>
                </c:pt>
                <c:pt idx="10">
                  <c:v>0.33315419260640372</c:v>
                </c:pt>
                <c:pt idx="11">
                  <c:v>0.39547324726948246</c:v>
                </c:pt>
                <c:pt idx="12">
                  <c:v>0.24399900248109169</c:v>
                </c:pt>
                <c:pt idx="13">
                  <c:v>0.14335146799886989</c:v>
                </c:pt>
                <c:pt idx="14">
                  <c:v>-6.2300868511507429E-2</c:v>
                </c:pt>
                <c:pt idx="15">
                  <c:v>-0.24244714180009347</c:v>
                </c:pt>
                <c:pt idx="16">
                  <c:v>0.16302191673211353</c:v>
                </c:pt>
                <c:pt idx="17">
                  <c:v>3.3447284410267654E-2</c:v>
                </c:pt>
                <c:pt idx="18">
                  <c:v>0.15617084193658912</c:v>
                </c:pt>
                <c:pt idx="19">
                  <c:v>0.22832384098651967</c:v>
                </c:pt>
                <c:pt idx="20">
                  <c:v>-0.10375358415665679</c:v>
                </c:pt>
                <c:pt idx="21">
                  <c:v>4.9640299057795434E-2</c:v>
                </c:pt>
                <c:pt idx="22">
                  <c:v>-8.9293913750284268E-3</c:v>
                </c:pt>
                <c:pt idx="23">
                  <c:v>-8.3917190531973565E-2</c:v>
                </c:pt>
                <c:pt idx="24">
                  <c:v>7.3518908411121714E-2</c:v>
                </c:pt>
                <c:pt idx="25">
                  <c:v>4.2401587361242804E-2</c:v>
                </c:pt>
                <c:pt idx="26">
                  <c:v>5.6025433156029023E-2</c:v>
                </c:pt>
                <c:pt idx="27">
                  <c:v>0.12573512160036271</c:v>
                </c:pt>
                <c:pt idx="28">
                  <c:v>3.4156848170126396E-2</c:v>
                </c:pt>
                <c:pt idx="29">
                  <c:v>7.9303470870170714E-2</c:v>
                </c:pt>
                <c:pt idx="30">
                  <c:v>0.14061593359058344</c:v>
                </c:pt>
                <c:pt idx="31">
                  <c:v>0.14424825023443114</c:v>
                </c:pt>
                <c:pt idx="32">
                  <c:v>0.21593106528259273</c:v>
                </c:pt>
              </c:numCache>
            </c:numRef>
          </c:val>
          <c:extLst xmlns:c16r2="http://schemas.microsoft.com/office/drawing/2015/06/chart">
            <c:ext xmlns:c16="http://schemas.microsoft.com/office/drawing/2014/chart" uri="{C3380CC4-5D6E-409C-BE32-E72D297353CC}">
              <c16:uniqueId val="{00000007-D3ED-4C67-B45F-8F066EB5FAC1}"/>
            </c:ext>
          </c:extLst>
        </c:ser>
        <c:gapWidth val="53"/>
        <c:overlap val="100"/>
        <c:axId val="158749824"/>
        <c:axId val="158751360"/>
      </c:barChart>
      <c:lineChart>
        <c:grouping val="standard"/>
        <c:ser>
          <c:idx val="8"/>
          <c:order val="8"/>
          <c:tx>
            <c:strRef>
              <c:f>'Trh práce 1'!$AJ$7</c:f>
              <c:strCache>
                <c:ptCount val="1"/>
                <c:pt idx="0">
                  <c:v>Zaměstnanost celkem</c:v>
                </c:pt>
              </c:strCache>
            </c:strRef>
          </c:tx>
          <c:spPr>
            <a:ln w="22225">
              <a:solidFill>
                <a:schemeClr val="tx1">
                  <a:lumMod val="95000"/>
                  <a:lumOff val="5000"/>
                </a:schemeClr>
              </a:solidFill>
            </a:ln>
          </c:spPr>
          <c:marker>
            <c:symbol val="none"/>
          </c:marker>
          <c:cat>
            <c:multiLvlStrRef>
              <c:f>'Trh práce 1'!$Z$8:$AA$40</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1'!$AJ$8:$AJ$40</c:f>
              <c:numCache>
                <c:formatCode>0.0</c:formatCode>
                <c:ptCount val="33"/>
                <c:pt idx="0">
                  <c:v>-2.7493629357650775</c:v>
                </c:pt>
                <c:pt idx="1">
                  <c:v>-1.231355670101081</c:v>
                </c:pt>
                <c:pt idx="2">
                  <c:v>-0.18766026442571621</c:v>
                </c:pt>
                <c:pt idx="3">
                  <c:v>6.7316120287756923E-2</c:v>
                </c:pt>
                <c:pt idx="4">
                  <c:v>0.10338579028356776</c:v>
                </c:pt>
                <c:pt idx="5">
                  <c:v>2.018958815014571E-3</c:v>
                </c:pt>
                <c:pt idx="6">
                  <c:v>-0.44357673893365934</c:v>
                </c:pt>
                <c:pt idx="7">
                  <c:v>-0.74967660526091662</c:v>
                </c:pt>
                <c:pt idx="8">
                  <c:v>-6.4487376943205804E-2</c:v>
                </c:pt>
                <c:pt idx="9">
                  <c:v>0.15991018585724501</c:v>
                </c:pt>
                <c:pt idx="10">
                  <c:v>0.67126249823633088</c:v>
                </c:pt>
                <c:pt idx="11">
                  <c:v>0.91419179797142669</c:v>
                </c:pt>
                <c:pt idx="12">
                  <c:v>0.4434233641801768</c:v>
                </c:pt>
                <c:pt idx="13">
                  <c:v>0.67770819458963116</c:v>
                </c:pt>
                <c:pt idx="14">
                  <c:v>0.1289519714435548</c:v>
                </c:pt>
                <c:pt idx="15">
                  <c:v>4.0322580645167333E-2</c:v>
                </c:pt>
                <c:pt idx="16">
                  <c:v>0.57697146908899155</c:v>
                </c:pt>
                <c:pt idx="17">
                  <c:v>8.0399106188068045E-2</c:v>
                </c:pt>
                <c:pt idx="18">
                  <c:v>0.61322218939174578</c:v>
                </c:pt>
                <c:pt idx="19">
                  <c:v>0.93792373035558319</c:v>
                </c:pt>
                <c:pt idx="20">
                  <c:v>1.265699387403763</c:v>
                </c:pt>
                <c:pt idx="21">
                  <c:v>1.7613382287180173</c:v>
                </c:pt>
                <c:pt idx="22">
                  <c:v>1.3482013235820041</c:v>
                </c:pt>
                <c:pt idx="23">
                  <c:v>1.3363413079349578</c:v>
                </c:pt>
                <c:pt idx="24">
                  <c:v>1.25558572910262</c:v>
                </c:pt>
                <c:pt idx="25">
                  <c:v>1.1507983544329499</c:v>
                </c:pt>
                <c:pt idx="26">
                  <c:v>1.2387481612437432</c:v>
                </c:pt>
                <c:pt idx="27">
                  <c:v>1.4978787727267502</c:v>
                </c:pt>
                <c:pt idx="28">
                  <c:v>1.4614799115755517</c:v>
                </c:pt>
                <c:pt idx="29">
                  <c:v>1.2932067678900694</c:v>
                </c:pt>
                <c:pt idx="30">
                  <c:v>2.0276383435884782</c:v>
                </c:pt>
                <c:pt idx="31">
                  <c:v>1.4810788094147682</c:v>
                </c:pt>
                <c:pt idx="32">
                  <c:v>1.7306978786237073</c:v>
                </c:pt>
              </c:numCache>
            </c:numRef>
          </c:val>
          <c:extLst xmlns:c16r2="http://schemas.microsoft.com/office/drawing/2015/06/chart">
            <c:ext xmlns:c16="http://schemas.microsoft.com/office/drawing/2014/chart" uri="{C3380CC4-5D6E-409C-BE32-E72D297353CC}">
              <c16:uniqueId val="{00000008-D3ED-4C67-B45F-8F066EB5FAC1}"/>
            </c:ext>
          </c:extLst>
        </c:ser>
        <c:marker val="1"/>
        <c:axId val="158749824"/>
        <c:axId val="158751360"/>
      </c:lineChart>
      <c:catAx>
        <c:axId val="158749824"/>
        <c:scaling>
          <c:orientation val="minMax"/>
        </c:scaling>
        <c:axPos val="b"/>
        <c:numFmt formatCode="General" sourceLinked="1"/>
        <c:tickLblPos val="low"/>
        <c:spPr>
          <a:ln>
            <a:solidFill>
              <a:schemeClr val="tx1"/>
            </a:solidFill>
          </a:ln>
        </c:spPr>
        <c:crossAx val="158751360"/>
        <c:crosses val="autoZero"/>
        <c:auto val="1"/>
        <c:lblAlgn val="ctr"/>
        <c:lblOffset val="10"/>
      </c:catAx>
      <c:valAx>
        <c:axId val="158751360"/>
        <c:scaling>
          <c:orientation val="minMax"/>
          <c:max val="2.5"/>
          <c:min val="-3"/>
        </c:scaling>
        <c:axPos val="l"/>
        <c:majorGridlines>
          <c:spPr>
            <a:ln w="6350">
              <a:solidFill>
                <a:schemeClr val="bg1">
                  <a:lumMod val="75000"/>
                </a:schemeClr>
              </a:solidFill>
            </a:ln>
          </c:spPr>
        </c:majorGridlines>
        <c:numFmt formatCode="0.0" sourceLinked="0"/>
        <c:tickLblPos val="nextTo"/>
        <c:spPr>
          <a:ln>
            <a:solidFill>
              <a:schemeClr val="tx1"/>
            </a:solidFill>
          </a:ln>
        </c:spPr>
        <c:crossAx val="158749824"/>
        <c:crosses val="autoZero"/>
        <c:crossBetween val="between"/>
        <c:majorUnit val="0.5"/>
      </c:valAx>
      <c:spPr>
        <a:ln>
          <a:solidFill>
            <a:schemeClr val="tx1"/>
          </a:solidFill>
        </a:ln>
      </c:spPr>
    </c:plotArea>
    <c:legend>
      <c:legendPos val="b"/>
      <c:layout>
        <c:manualLayout>
          <c:xMode val="edge"/>
          <c:yMode val="edge"/>
          <c:x val="5.8110705730154165E-2"/>
          <c:y val="0.8345894700837666"/>
          <c:w val="0.9272008319203987"/>
          <c:h val="0.16181455650038734"/>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3364838092894683E-2"/>
          <c:y val="1.643251153889452E-2"/>
          <c:w val="0.8844876162264117"/>
          <c:h val="0.75762726757371213"/>
        </c:manualLayout>
      </c:layout>
      <c:barChart>
        <c:barDir val="col"/>
        <c:grouping val="clustered"/>
        <c:ser>
          <c:idx val="0"/>
          <c:order val="0"/>
          <c:tx>
            <c:strRef>
              <c:f>'Trh práce-2'!$A$32</c:f>
              <c:strCache>
                <c:ptCount val="1"/>
                <c:pt idx="0">
                  <c:v>Míra nezaměstn. mužů (pravá osa)</c:v>
                </c:pt>
              </c:strCache>
            </c:strRef>
          </c:tx>
          <c:spPr>
            <a:solidFill>
              <a:srgbClr val="BCBCBC"/>
            </a:solidFill>
          </c:spPr>
          <c:cat>
            <c:multiLvlStrRef>
              <c:f>'Trh práce-2'!$B$30:$AH$31</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práce-2'!$B$32:$AH$32</c:f>
              <c:numCache>
                <c:formatCode>#,##0.0</c:formatCode>
                <c:ptCount val="33"/>
                <c:pt idx="0">
                  <c:v>7.0886891055735219</c:v>
                </c:pt>
                <c:pt idx="1">
                  <c:v>6.5127083981882876</c:v>
                </c:pt>
                <c:pt idx="2">
                  <c:v>6.2014834766570806</c:v>
                </c:pt>
                <c:pt idx="3">
                  <c:v>6.0762464648001275</c:v>
                </c:pt>
                <c:pt idx="4">
                  <c:v>6.0489357785187607</c:v>
                </c:pt>
                <c:pt idx="5">
                  <c:v>6.0030206920559941</c:v>
                </c:pt>
                <c:pt idx="6">
                  <c:v>5.7861569554175416</c:v>
                </c:pt>
                <c:pt idx="7">
                  <c:v>5.6925951195349045</c:v>
                </c:pt>
                <c:pt idx="8">
                  <c:v>5.9890977396131655</c:v>
                </c:pt>
                <c:pt idx="9">
                  <c:v>5.9928211219038134</c:v>
                </c:pt>
                <c:pt idx="10">
                  <c:v>6.0770627530286134</c:v>
                </c:pt>
                <c:pt idx="11">
                  <c:v>6.254232063843431</c:v>
                </c:pt>
                <c:pt idx="12">
                  <c:v>6.2580648972843163</c:v>
                </c:pt>
                <c:pt idx="13">
                  <c:v>5.9049810121411097</c:v>
                </c:pt>
                <c:pt idx="14">
                  <c:v>5.9484026451261434</c:v>
                </c:pt>
                <c:pt idx="15">
                  <c:v>5.7592806242173324</c:v>
                </c:pt>
                <c:pt idx="16">
                  <c:v>5.5211487003598574</c:v>
                </c:pt>
                <c:pt idx="17">
                  <c:v>5.2274636157908434</c:v>
                </c:pt>
                <c:pt idx="18">
                  <c:v>4.9575254505727795</c:v>
                </c:pt>
                <c:pt idx="19">
                  <c:v>5.0266678315589317</c:v>
                </c:pt>
                <c:pt idx="20">
                  <c:v>4.9763505606209764</c:v>
                </c:pt>
                <c:pt idx="21">
                  <c:v>4.3822444756420724</c:v>
                </c:pt>
                <c:pt idx="22">
                  <c:v>4.0898839308422001</c:v>
                </c:pt>
                <c:pt idx="23">
                  <c:v>3.7669960208831581</c:v>
                </c:pt>
                <c:pt idx="24">
                  <c:v>3.6012261066234665</c:v>
                </c:pt>
                <c:pt idx="25">
                  <c:v>3.6043394953300685</c:v>
                </c:pt>
                <c:pt idx="26">
                  <c:v>3.3990088490462167</c:v>
                </c:pt>
                <c:pt idx="27">
                  <c:v>3.1365758486796191</c:v>
                </c:pt>
                <c:pt idx="28">
                  <c:v>2.6601517195547495</c:v>
                </c:pt>
                <c:pt idx="29">
                  <c:v>2.527384208510155</c:v>
                </c:pt>
                <c:pt idx="30">
                  <c:v>2.2708018587882699</c:v>
                </c:pt>
                <c:pt idx="31">
                  <c:v>2.0288725184393552</c:v>
                </c:pt>
                <c:pt idx="32">
                  <c:v>1.8751815761494308</c:v>
                </c:pt>
              </c:numCache>
            </c:numRef>
          </c:val>
          <c:extLst xmlns:c16r2="http://schemas.microsoft.com/office/drawing/2015/06/chart">
            <c:ext xmlns:c16="http://schemas.microsoft.com/office/drawing/2014/chart" uri="{C3380CC4-5D6E-409C-BE32-E72D297353CC}">
              <c16:uniqueId val="{00000000-BF17-437F-A6B3-EC458BA60EA5}"/>
            </c:ext>
          </c:extLst>
        </c:ser>
        <c:ser>
          <c:idx val="1"/>
          <c:order val="1"/>
          <c:tx>
            <c:strRef>
              <c:f>'Trh práce-2'!$A$33</c:f>
              <c:strCache>
                <c:ptCount val="1"/>
                <c:pt idx="0">
                  <c:v>Míra nezaměstn. žen (pravá osa)</c:v>
                </c:pt>
              </c:strCache>
            </c:strRef>
          </c:tx>
          <c:spPr>
            <a:solidFill>
              <a:srgbClr val="DBDBDB"/>
            </a:solidFill>
          </c:spPr>
          <c:cat>
            <c:multiLvlStrRef>
              <c:f>'Trh práce-2'!$B$30:$AH$31</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práce-2'!$B$33:$AH$33</c:f>
              <c:numCache>
                <c:formatCode>#,##0.0</c:formatCode>
                <c:ptCount val="33"/>
                <c:pt idx="0">
                  <c:v>8.7515977114589045</c:v>
                </c:pt>
                <c:pt idx="1">
                  <c:v>8.6322372812005188</c:v>
                </c:pt>
                <c:pt idx="2">
                  <c:v>8.4790294191106703</c:v>
                </c:pt>
                <c:pt idx="3">
                  <c:v>8.2966552784429268</c:v>
                </c:pt>
                <c:pt idx="4">
                  <c:v>8.1665733035403836</c:v>
                </c:pt>
                <c:pt idx="5">
                  <c:v>8.1883431068075119</c:v>
                </c:pt>
                <c:pt idx="6">
                  <c:v>7.7697381071067175</c:v>
                </c:pt>
                <c:pt idx="7">
                  <c:v>7.7246155036003845</c:v>
                </c:pt>
                <c:pt idx="8">
                  <c:v>8.0226333044422748</c:v>
                </c:pt>
                <c:pt idx="9">
                  <c:v>8.2451429549292747</c:v>
                </c:pt>
                <c:pt idx="10">
                  <c:v>8.295974384811748</c:v>
                </c:pt>
                <c:pt idx="11">
                  <c:v>8.5420149315156166</c:v>
                </c:pt>
                <c:pt idx="12">
                  <c:v>8.4665087875447664</c:v>
                </c:pt>
                <c:pt idx="13">
                  <c:v>8.4627686751253268</c:v>
                </c:pt>
                <c:pt idx="14">
                  <c:v>8.3496496245694249</c:v>
                </c:pt>
                <c:pt idx="15">
                  <c:v>8.2454574829197629</c:v>
                </c:pt>
                <c:pt idx="16">
                  <c:v>8.0146041826530681</c:v>
                </c:pt>
                <c:pt idx="17">
                  <c:v>7.7058584551144014</c:v>
                </c:pt>
                <c:pt idx="18">
                  <c:v>7.2665132502927285</c:v>
                </c:pt>
                <c:pt idx="19">
                  <c:v>7.0035918595671696</c:v>
                </c:pt>
                <c:pt idx="20">
                  <c:v>6.8953979167493955</c:v>
                </c:pt>
                <c:pt idx="21">
                  <c:v>6.2684827955546965</c:v>
                </c:pt>
                <c:pt idx="22">
                  <c:v>5.9244107757350255</c:v>
                </c:pt>
                <c:pt idx="23">
                  <c:v>5.6151738166891949</c:v>
                </c:pt>
                <c:pt idx="24">
                  <c:v>5.1144440990358655</c:v>
                </c:pt>
                <c:pt idx="25">
                  <c:v>4.8543327888661629</c:v>
                </c:pt>
                <c:pt idx="26">
                  <c:v>4.7760664576086924</c:v>
                </c:pt>
                <c:pt idx="27">
                  <c:v>4.3183007578976396</c:v>
                </c:pt>
                <c:pt idx="28">
                  <c:v>4.3332656438581134</c:v>
                </c:pt>
                <c:pt idx="29">
                  <c:v>3.9328969653953667</c:v>
                </c:pt>
                <c:pt idx="30">
                  <c:v>3.3715332542043392</c:v>
                </c:pt>
                <c:pt idx="31">
                  <c:v>2.9521998910023681</c:v>
                </c:pt>
                <c:pt idx="32">
                  <c:v>3.0038287165839272</c:v>
                </c:pt>
              </c:numCache>
            </c:numRef>
          </c:val>
          <c:extLst xmlns:c16r2="http://schemas.microsoft.com/office/drawing/2015/06/chart">
            <c:ext xmlns:c16="http://schemas.microsoft.com/office/drawing/2014/chart" uri="{C3380CC4-5D6E-409C-BE32-E72D297353CC}">
              <c16:uniqueId val="{00000001-BF17-437F-A6B3-EC458BA60EA5}"/>
            </c:ext>
          </c:extLst>
        </c:ser>
        <c:gapWidth val="68"/>
        <c:axId val="158999680"/>
        <c:axId val="158997888"/>
      </c:barChart>
      <c:lineChart>
        <c:grouping val="standard"/>
        <c:ser>
          <c:idx val="2"/>
          <c:order val="2"/>
          <c:tx>
            <c:strRef>
              <c:f>'Trh práce-2'!$A$34</c:f>
              <c:strCache>
                <c:ptCount val="1"/>
                <c:pt idx="0">
                  <c:v>Nezaměstnaní s max. základ. vzděl.</c:v>
                </c:pt>
              </c:strCache>
            </c:strRef>
          </c:tx>
          <c:spPr>
            <a:ln w="19050">
              <a:solidFill>
                <a:srgbClr val="0071BC"/>
              </a:solidFill>
              <a:prstDash val="solid"/>
            </a:ln>
          </c:spPr>
          <c:marker>
            <c:symbol val="none"/>
          </c:marker>
          <c:cat>
            <c:multiLvlStrRef>
              <c:f>'Trh práce-2'!$B$30:$AH$31</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práce-2'!$B$34:$AH$34</c:f>
              <c:numCache>
                <c:formatCode>0</c:formatCode>
                <c:ptCount val="33"/>
                <c:pt idx="0">
                  <c:v>21.714768670214291</c:v>
                </c:pt>
                <c:pt idx="1">
                  <c:v>-1.21634331078873</c:v>
                </c:pt>
                <c:pt idx="2">
                  <c:v>-16.17582875054989</c:v>
                </c:pt>
                <c:pt idx="3">
                  <c:v>-17.326849096450193</c:v>
                </c:pt>
                <c:pt idx="4">
                  <c:v>-20.685159269353587</c:v>
                </c:pt>
                <c:pt idx="5">
                  <c:v>-13.109667018498984</c:v>
                </c:pt>
                <c:pt idx="6">
                  <c:v>-3.4347558981075395</c:v>
                </c:pt>
                <c:pt idx="7">
                  <c:v>-1.2914192636035153</c:v>
                </c:pt>
                <c:pt idx="8">
                  <c:v>15.116142329292568</c:v>
                </c:pt>
                <c:pt idx="9">
                  <c:v>20.564252208332089</c:v>
                </c:pt>
                <c:pt idx="10">
                  <c:v>17.30009637559121</c:v>
                </c:pt>
                <c:pt idx="11">
                  <c:v>21.054278842458295</c:v>
                </c:pt>
                <c:pt idx="12">
                  <c:v>1.5586037838760241</c:v>
                </c:pt>
                <c:pt idx="13">
                  <c:v>-14.506006075302391</c:v>
                </c:pt>
                <c:pt idx="14">
                  <c:v>-19.243419598176725</c:v>
                </c:pt>
                <c:pt idx="15">
                  <c:v>-25.150929504907829</c:v>
                </c:pt>
                <c:pt idx="16">
                  <c:v>-25.77535118359669</c:v>
                </c:pt>
                <c:pt idx="17">
                  <c:v>-22.260631131502766</c:v>
                </c:pt>
                <c:pt idx="18">
                  <c:v>-14.590196785136953</c:v>
                </c:pt>
                <c:pt idx="19">
                  <c:v>-9.444471544328108</c:v>
                </c:pt>
                <c:pt idx="20">
                  <c:v>-1.188370832677478</c:v>
                </c:pt>
                <c:pt idx="21">
                  <c:v>2.1795435785889632</c:v>
                </c:pt>
                <c:pt idx="22">
                  <c:v>-0.63856381013110364</c:v>
                </c:pt>
                <c:pt idx="23">
                  <c:v>4.3365931482174886</c:v>
                </c:pt>
                <c:pt idx="24">
                  <c:v>-7.7096667806765442</c:v>
                </c:pt>
                <c:pt idx="25">
                  <c:v>-3.4192888313452152</c:v>
                </c:pt>
                <c:pt idx="26">
                  <c:v>-5.2224150656789652</c:v>
                </c:pt>
                <c:pt idx="27">
                  <c:v>-15.506068308866634</c:v>
                </c:pt>
                <c:pt idx="28">
                  <c:v>-27.918696562118029</c:v>
                </c:pt>
                <c:pt idx="29">
                  <c:v>-33.500879210484243</c:v>
                </c:pt>
                <c:pt idx="30">
                  <c:v>-44.757409352166043</c:v>
                </c:pt>
                <c:pt idx="31">
                  <c:v>-47.836867796828997</c:v>
                </c:pt>
                <c:pt idx="32">
                  <c:v>-34.605209250246894</c:v>
                </c:pt>
              </c:numCache>
            </c:numRef>
          </c:val>
          <c:extLst xmlns:c16r2="http://schemas.microsoft.com/office/drawing/2015/06/chart">
            <c:ext xmlns:c16="http://schemas.microsoft.com/office/drawing/2014/chart" uri="{C3380CC4-5D6E-409C-BE32-E72D297353CC}">
              <c16:uniqueId val="{00000002-BF17-437F-A6B3-EC458BA60EA5}"/>
            </c:ext>
          </c:extLst>
        </c:ser>
        <c:ser>
          <c:idx val="3"/>
          <c:order val="3"/>
          <c:tx>
            <c:strRef>
              <c:f>'Trh práce-2'!$A$35</c:f>
              <c:strCache>
                <c:ptCount val="1"/>
                <c:pt idx="0">
                  <c:v>Nezaměstn. se střed.vzděl.bez mat.</c:v>
                </c:pt>
              </c:strCache>
            </c:strRef>
          </c:tx>
          <c:spPr>
            <a:ln w="19050">
              <a:solidFill>
                <a:srgbClr val="BD1B21"/>
              </a:solidFill>
              <a:prstDash val="solid"/>
            </a:ln>
          </c:spPr>
          <c:marker>
            <c:symbol val="none"/>
          </c:marker>
          <c:cat>
            <c:multiLvlStrRef>
              <c:f>'Trh práce-2'!$B$30:$AH$31</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práce-2'!$B$35:$AH$35</c:f>
              <c:numCache>
                <c:formatCode>0</c:formatCode>
                <c:ptCount val="33"/>
                <c:pt idx="0">
                  <c:v>49.784188022706395</c:v>
                </c:pt>
                <c:pt idx="1">
                  <c:v>13.867544627418576</c:v>
                </c:pt>
                <c:pt idx="2">
                  <c:v>-3.4814801600927581</c:v>
                </c:pt>
                <c:pt idx="3">
                  <c:v>-3.5322380372063265</c:v>
                </c:pt>
                <c:pt idx="4">
                  <c:v>-11.579352488945252</c:v>
                </c:pt>
                <c:pt idx="5">
                  <c:v>-8.4345228185388521</c:v>
                </c:pt>
                <c:pt idx="6">
                  <c:v>-7.4278516415523796</c:v>
                </c:pt>
                <c:pt idx="7">
                  <c:v>-11.39844334476407</c:v>
                </c:pt>
                <c:pt idx="8">
                  <c:v>-6.9967808393978146</c:v>
                </c:pt>
                <c:pt idx="9">
                  <c:v>-4.6316506832057804</c:v>
                </c:pt>
                <c:pt idx="10">
                  <c:v>1.5130013110978573</c:v>
                </c:pt>
                <c:pt idx="11">
                  <c:v>15.444727754266269</c:v>
                </c:pt>
                <c:pt idx="12">
                  <c:v>11.295553399301276</c:v>
                </c:pt>
                <c:pt idx="13">
                  <c:v>11.135950773644549</c:v>
                </c:pt>
                <c:pt idx="14">
                  <c:v>2.1227982768583051</c:v>
                </c:pt>
                <c:pt idx="15">
                  <c:v>-8.1974891991531127</c:v>
                </c:pt>
                <c:pt idx="16">
                  <c:v>-9.6245134843654139</c:v>
                </c:pt>
                <c:pt idx="17">
                  <c:v>-16.231929719850896</c:v>
                </c:pt>
                <c:pt idx="18">
                  <c:v>-19.827481877336286</c:v>
                </c:pt>
                <c:pt idx="19">
                  <c:v>-16.693209567708788</c:v>
                </c:pt>
                <c:pt idx="20">
                  <c:v>-16.454778753219031</c:v>
                </c:pt>
                <c:pt idx="21">
                  <c:v>-22.216756280012163</c:v>
                </c:pt>
                <c:pt idx="22">
                  <c:v>-16.999907523882399</c:v>
                </c:pt>
                <c:pt idx="23">
                  <c:v>-31.514681784053035</c:v>
                </c:pt>
                <c:pt idx="24">
                  <c:v>-32.064032560839479</c:v>
                </c:pt>
                <c:pt idx="25">
                  <c:v>-26.106419495499964</c:v>
                </c:pt>
                <c:pt idx="26">
                  <c:v>-25.857804572569627</c:v>
                </c:pt>
                <c:pt idx="27">
                  <c:v>-16.010888695992602</c:v>
                </c:pt>
                <c:pt idx="28">
                  <c:v>-18.906457523972289</c:v>
                </c:pt>
                <c:pt idx="29">
                  <c:v>-22.991543113790527</c:v>
                </c:pt>
                <c:pt idx="30">
                  <c:v>-24.844081230829687</c:v>
                </c:pt>
                <c:pt idx="31">
                  <c:v>-26.135398521553014</c:v>
                </c:pt>
                <c:pt idx="32">
                  <c:v>-31.645726914998889</c:v>
                </c:pt>
              </c:numCache>
            </c:numRef>
          </c:val>
          <c:extLst xmlns:c16r2="http://schemas.microsoft.com/office/drawing/2015/06/chart">
            <c:ext xmlns:c16="http://schemas.microsoft.com/office/drawing/2014/chart" uri="{C3380CC4-5D6E-409C-BE32-E72D297353CC}">
              <c16:uniqueId val="{00000003-BF17-437F-A6B3-EC458BA60EA5}"/>
            </c:ext>
          </c:extLst>
        </c:ser>
        <c:ser>
          <c:idx val="5"/>
          <c:order val="4"/>
          <c:tx>
            <c:strRef>
              <c:f>'Trh práce-2'!$A$37</c:f>
              <c:strCache>
                <c:ptCount val="1"/>
                <c:pt idx="0">
                  <c:v>Dlouhodobě nezaměstnaní (&gt;1 rok)</c:v>
                </c:pt>
              </c:strCache>
            </c:strRef>
          </c:tx>
          <c:spPr>
            <a:ln w="19050">
              <a:solidFill>
                <a:srgbClr val="7DBB2D"/>
              </a:solidFill>
              <a:prstDash val="solid"/>
            </a:ln>
          </c:spPr>
          <c:marker>
            <c:symbol val="none"/>
          </c:marker>
          <c:cat>
            <c:multiLvlStrRef>
              <c:f>'Trh práce-2'!$B$30:$AH$31</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práce-2'!$B$37:$AH$37</c:f>
              <c:numCache>
                <c:formatCode>0</c:formatCode>
                <c:ptCount val="33"/>
                <c:pt idx="0">
                  <c:v>44.412607449856274</c:v>
                </c:pt>
                <c:pt idx="1">
                  <c:v>60</c:v>
                </c:pt>
                <c:pt idx="2">
                  <c:v>47.702205882352963</c:v>
                </c:pt>
                <c:pt idx="3">
                  <c:v>40.757042253521149</c:v>
                </c:pt>
                <c:pt idx="4">
                  <c:v>-1.4550264550264533</c:v>
                </c:pt>
                <c:pt idx="5">
                  <c:v>-11.639871382636539</c:v>
                </c:pt>
                <c:pt idx="6">
                  <c:v>-14.18792781580585</c:v>
                </c:pt>
                <c:pt idx="7">
                  <c:v>-10.318949343339597</c:v>
                </c:pt>
                <c:pt idx="8">
                  <c:v>6.3758389261745085</c:v>
                </c:pt>
                <c:pt idx="9">
                  <c:v>12.590975254730694</c:v>
                </c:pt>
                <c:pt idx="10">
                  <c:v>15.155910079768065</c:v>
                </c:pt>
                <c:pt idx="11">
                  <c:v>12.482566248256758</c:v>
                </c:pt>
                <c:pt idx="12">
                  <c:v>6.6876971608832889</c:v>
                </c:pt>
                <c:pt idx="13">
                  <c:v>2.2624434389140187</c:v>
                </c:pt>
                <c:pt idx="14">
                  <c:v>1.4483627204030121</c:v>
                </c:pt>
                <c:pt idx="15">
                  <c:v>-7.1915685058896734</c:v>
                </c:pt>
                <c:pt idx="16">
                  <c:v>-13.18746303962152</c:v>
                </c:pt>
                <c:pt idx="17">
                  <c:v>-13.211125158027798</c:v>
                </c:pt>
                <c:pt idx="18">
                  <c:v>-14.959652389820091</c:v>
                </c:pt>
                <c:pt idx="19">
                  <c:v>-5.8116232464929851</c:v>
                </c:pt>
                <c:pt idx="20">
                  <c:v>-1.8392370572207284</c:v>
                </c:pt>
                <c:pt idx="21">
                  <c:v>-11.070648215586425</c:v>
                </c:pt>
                <c:pt idx="22">
                  <c:v>-9.1240875912408779</c:v>
                </c:pt>
                <c:pt idx="23">
                  <c:v>-18.581560283687889</c:v>
                </c:pt>
                <c:pt idx="24">
                  <c:v>-26.578764746703669</c:v>
                </c:pt>
                <c:pt idx="25">
                  <c:v>-25.389025389025289</c:v>
                </c:pt>
                <c:pt idx="26">
                  <c:v>-32.690763052208837</c:v>
                </c:pt>
                <c:pt idx="27">
                  <c:v>-34.930313588850169</c:v>
                </c:pt>
                <c:pt idx="28">
                  <c:v>-35.066162570888466</c:v>
                </c:pt>
                <c:pt idx="29">
                  <c:v>-35.016465422611994</c:v>
                </c:pt>
                <c:pt idx="30">
                  <c:v>-41.288782816229428</c:v>
                </c:pt>
                <c:pt idx="31">
                  <c:v>-45.783132530121065</c:v>
                </c:pt>
                <c:pt idx="32">
                  <c:v>-40.465793304221513</c:v>
                </c:pt>
              </c:numCache>
            </c:numRef>
          </c:val>
          <c:extLst xmlns:c16r2="http://schemas.microsoft.com/office/drawing/2015/06/chart">
            <c:ext xmlns:c16="http://schemas.microsoft.com/office/drawing/2014/chart" uri="{C3380CC4-5D6E-409C-BE32-E72D297353CC}">
              <c16:uniqueId val="{00000004-BF17-437F-A6B3-EC458BA60EA5}"/>
            </c:ext>
          </c:extLst>
        </c:ser>
        <c:marker val="1"/>
        <c:axId val="158994816"/>
        <c:axId val="158996352"/>
      </c:lineChart>
      <c:catAx>
        <c:axId val="158994816"/>
        <c:scaling>
          <c:orientation val="minMax"/>
        </c:scaling>
        <c:axPos val="b"/>
        <c:numFmt formatCode="General" sourceLinked="0"/>
        <c:tickLblPos val="low"/>
        <c:spPr>
          <a:ln>
            <a:solidFill>
              <a:schemeClr val="tx1"/>
            </a:solidFill>
          </a:ln>
        </c:spPr>
        <c:crossAx val="158996352"/>
        <c:crossesAt val="-50"/>
        <c:auto val="1"/>
        <c:lblAlgn val="ctr"/>
        <c:lblOffset val="0"/>
      </c:catAx>
      <c:valAx>
        <c:axId val="158996352"/>
        <c:scaling>
          <c:orientation val="minMax"/>
          <c:max val="60"/>
          <c:min val="-50"/>
        </c:scaling>
        <c:axPos val="l"/>
        <c:majorGridlines>
          <c:spPr>
            <a:ln w="6350">
              <a:solidFill>
                <a:schemeClr val="bg1">
                  <a:lumMod val="75000"/>
                </a:schemeClr>
              </a:solidFill>
            </a:ln>
          </c:spPr>
        </c:majorGridlines>
        <c:numFmt formatCode="0" sourceLinked="0"/>
        <c:tickLblPos val="nextTo"/>
        <c:spPr>
          <a:ln>
            <a:solidFill>
              <a:schemeClr val="tx1"/>
            </a:solidFill>
          </a:ln>
        </c:spPr>
        <c:crossAx val="158994816"/>
        <c:crosses val="autoZero"/>
        <c:crossBetween val="between"/>
        <c:majorUnit val="10"/>
      </c:valAx>
      <c:valAx>
        <c:axId val="158997888"/>
        <c:scaling>
          <c:orientation val="minMax"/>
          <c:max val="11"/>
          <c:min val="0"/>
        </c:scaling>
        <c:axPos val="r"/>
        <c:numFmt formatCode="#,##0" sourceLinked="0"/>
        <c:tickLblPos val="nextTo"/>
        <c:crossAx val="158999680"/>
        <c:crosses val="max"/>
        <c:crossBetween val="between"/>
        <c:majorUnit val="1"/>
      </c:valAx>
      <c:catAx>
        <c:axId val="158999680"/>
        <c:scaling>
          <c:orientation val="minMax"/>
        </c:scaling>
        <c:delete val="1"/>
        <c:axPos val="b"/>
        <c:numFmt formatCode="General" sourceLinked="1"/>
        <c:tickLblPos val="none"/>
        <c:crossAx val="158997888"/>
        <c:crosses val="autoZero"/>
        <c:auto val="1"/>
        <c:lblAlgn val="ctr"/>
        <c:lblOffset val="100"/>
      </c:catAx>
      <c:spPr>
        <a:ln>
          <a:solidFill>
            <a:schemeClr val="tx1"/>
          </a:solidFill>
        </a:ln>
      </c:spPr>
    </c:plotArea>
    <c:legend>
      <c:legendPos val="b"/>
      <c:layout>
        <c:manualLayout>
          <c:xMode val="edge"/>
          <c:yMode val="edge"/>
          <c:x val="4.9958329787081639E-2"/>
          <c:y val="0.86998849777404264"/>
          <c:w val="0.88690640708897361"/>
          <c:h val="0.11214023187848669"/>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4.0091348527306885E-2"/>
          <c:y val="2.4094443232317627E-2"/>
          <c:w val="0.94100987714832041"/>
          <c:h val="0.77475149161321155"/>
        </c:manualLayout>
      </c:layout>
      <c:barChart>
        <c:barDir val="col"/>
        <c:grouping val="clustered"/>
        <c:ser>
          <c:idx val="2"/>
          <c:order val="2"/>
          <c:tx>
            <c:strRef>
              <c:f>'Trh práce 3'!$E$8</c:f>
              <c:strCache>
                <c:ptCount val="1"/>
                <c:pt idx="0">
                  <c:v>Průměrná mzda (reálně)</c:v>
                </c:pt>
              </c:strCache>
            </c:strRef>
          </c:tx>
          <c:spPr>
            <a:solidFill>
              <a:srgbClr val="A6A6A6"/>
            </a:solidFill>
            <a:ln w="19050">
              <a:noFill/>
            </a:ln>
          </c:spPr>
          <c:cat>
            <c:multiLvlStrRef>
              <c:f>'Trh práce 3'!$A$9:$B$41</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3'!$E$9:$E$41</c:f>
              <c:numCache>
                <c:formatCode>#,##0.0</c:formatCode>
                <c:ptCount val="33"/>
                <c:pt idx="0">
                  <c:v>2.0999999999999943</c:v>
                </c:pt>
                <c:pt idx="1">
                  <c:v>1.9000000000000061</c:v>
                </c:pt>
                <c:pt idx="2">
                  <c:v>0.30000000000000032</c:v>
                </c:pt>
                <c:pt idx="3">
                  <c:v>-1.4000000000000057</c:v>
                </c:pt>
                <c:pt idx="4">
                  <c:v>1.0999999999999825</c:v>
                </c:pt>
                <c:pt idx="5">
                  <c:v>0.7999999999999976</c:v>
                </c:pt>
                <c:pt idx="6">
                  <c:v>0.30000000000000032</c:v>
                </c:pt>
                <c:pt idx="7">
                  <c:v>0</c:v>
                </c:pt>
                <c:pt idx="8">
                  <c:v>-0.5</c:v>
                </c:pt>
                <c:pt idx="9">
                  <c:v>-1.2999999999999832</c:v>
                </c:pt>
                <c:pt idx="10">
                  <c:v>-1.7999999999999832</c:v>
                </c:pt>
                <c:pt idx="11">
                  <c:v>0.40000000000000568</c:v>
                </c:pt>
                <c:pt idx="12">
                  <c:v>-2.4000000000000057</c:v>
                </c:pt>
                <c:pt idx="13">
                  <c:v>-0.5</c:v>
                </c:pt>
                <c:pt idx="14">
                  <c:v>0</c:v>
                </c:pt>
                <c:pt idx="15">
                  <c:v>-3.0999999999999943</c:v>
                </c:pt>
                <c:pt idx="16">
                  <c:v>3.7000000000000042</c:v>
                </c:pt>
                <c:pt idx="17">
                  <c:v>2.5999999999999943</c:v>
                </c:pt>
                <c:pt idx="18">
                  <c:v>1.5999999999999825</c:v>
                </c:pt>
                <c:pt idx="19">
                  <c:v>2.2999999999999972</c:v>
                </c:pt>
                <c:pt idx="20">
                  <c:v>2.2000000000000042</c:v>
                </c:pt>
                <c:pt idx="21">
                  <c:v>2.5999999999999943</c:v>
                </c:pt>
                <c:pt idx="22">
                  <c:v>3.0999999999999943</c:v>
                </c:pt>
                <c:pt idx="23">
                  <c:v>3.5999999999999943</c:v>
                </c:pt>
                <c:pt idx="24">
                  <c:v>4.2000000000000028</c:v>
                </c:pt>
                <c:pt idx="25">
                  <c:v>3.7999999999999972</c:v>
                </c:pt>
                <c:pt idx="26">
                  <c:v>4.2000000000000028</c:v>
                </c:pt>
                <c:pt idx="27">
                  <c:v>3</c:v>
                </c:pt>
                <c:pt idx="28">
                  <c:v>2.0999999999999943</c:v>
                </c:pt>
                <c:pt idx="29">
                  <c:v>4.5999999999999943</c:v>
                </c:pt>
                <c:pt idx="30">
                  <c:v>3.5</c:v>
                </c:pt>
                <c:pt idx="31">
                  <c:v>4.7000000000000028</c:v>
                </c:pt>
                <c:pt idx="32">
                  <c:v>6.5999999999999943</c:v>
                </c:pt>
              </c:numCache>
            </c:numRef>
          </c:val>
          <c:extLst xmlns:c16r2="http://schemas.microsoft.com/office/drawing/2015/06/chart">
            <c:ext xmlns:c16="http://schemas.microsoft.com/office/drawing/2014/chart" uri="{C3380CC4-5D6E-409C-BE32-E72D297353CC}">
              <c16:uniqueId val="{00000000-965B-4A68-9356-C11C7A1DF2F6}"/>
            </c:ext>
          </c:extLst>
        </c:ser>
        <c:gapWidth val="78"/>
        <c:axId val="159048064"/>
        <c:axId val="159049984"/>
      </c:barChart>
      <c:lineChart>
        <c:grouping val="standard"/>
        <c:ser>
          <c:idx val="0"/>
          <c:order val="0"/>
          <c:tx>
            <c:strRef>
              <c:f>'Trh práce 3'!$C$8</c:f>
              <c:strCache>
                <c:ptCount val="1"/>
                <c:pt idx="0">
                  <c:v>Průměrná mzda (nominálně)</c:v>
                </c:pt>
              </c:strCache>
            </c:strRef>
          </c:tx>
          <c:spPr>
            <a:ln w="19050">
              <a:solidFill>
                <a:srgbClr val="0071BC"/>
              </a:solidFill>
            </a:ln>
          </c:spPr>
          <c:marker>
            <c:symbol val="none"/>
          </c:marker>
          <c:cat>
            <c:multiLvlStrRef>
              <c:f>'Trh práce 3'!$A$9:$B$41</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3'!$C$9:$C$41</c:f>
              <c:numCache>
                <c:formatCode>0.0</c:formatCode>
                <c:ptCount val="33"/>
                <c:pt idx="0">
                  <c:v>2.7999999999999972</c:v>
                </c:pt>
                <c:pt idx="1">
                  <c:v>3.0999999999999943</c:v>
                </c:pt>
                <c:pt idx="2">
                  <c:v>2.2000000000000042</c:v>
                </c:pt>
                <c:pt idx="3">
                  <c:v>0.70000000000000284</c:v>
                </c:pt>
                <c:pt idx="4">
                  <c:v>2.7999999999999972</c:v>
                </c:pt>
                <c:pt idx="5">
                  <c:v>2.5999999999999943</c:v>
                </c:pt>
                <c:pt idx="6">
                  <c:v>2.0999999999999943</c:v>
                </c:pt>
                <c:pt idx="7">
                  <c:v>2.4000000000000057</c:v>
                </c:pt>
                <c:pt idx="8">
                  <c:v>3.2000000000000042</c:v>
                </c:pt>
                <c:pt idx="9">
                  <c:v>2.0999999999999943</c:v>
                </c:pt>
                <c:pt idx="10">
                  <c:v>1.4000000000000057</c:v>
                </c:pt>
                <c:pt idx="11">
                  <c:v>3.2000000000000042</c:v>
                </c:pt>
                <c:pt idx="12">
                  <c:v>-0.59999999999999432</c:v>
                </c:pt>
                <c:pt idx="13">
                  <c:v>1</c:v>
                </c:pt>
                <c:pt idx="14">
                  <c:v>1.2000000000000028</c:v>
                </c:pt>
                <c:pt idx="15">
                  <c:v>-2</c:v>
                </c:pt>
                <c:pt idx="16">
                  <c:v>3.9000000000000057</c:v>
                </c:pt>
                <c:pt idx="17">
                  <c:v>2.7999999999999972</c:v>
                </c:pt>
                <c:pt idx="18">
                  <c:v>2.2000000000000042</c:v>
                </c:pt>
                <c:pt idx="19">
                  <c:v>2.7999999999999972</c:v>
                </c:pt>
                <c:pt idx="20">
                  <c:v>2.2999999999999972</c:v>
                </c:pt>
                <c:pt idx="21">
                  <c:v>3.2999999999999972</c:v>
                </c:pt>
                <c:pt idx="22">
                  <c:v>3.5</c:v>
                </c:pt>
                <c:pt idx="23">
                  <c:v>3.7000000000000042</c:v>
                </c:pt>
                <c:pt idx="24">
                  <c:v>4.7000000000000028</c:v>
                </c:pt>
                <c:pt idx="25">
                  <c:v>4</c:v>
                </c:pt>
                <c:pt idx="26">
                  <c:v>4.7000000000000028</c:v>
                </c:pt>
                <c:pt idx="27">
                  <c:v>4.4000000000000083</c:v>
                </c:pt>
                <c:pt idx="28">
                  <c:v>4.5</c:v>
                </c:pt>
                <c:pt idx="29">
                  <c:v>6.9000000000000083</c:v>
                </c:pt>
                <c:pt idx="30">
                  <c:v>6.0999999999999943</c:v>
                </c:pt>
                <c:pt idx="31">
                  <c:v>7.4000000000000083</c:v>
                </c:pt>
                <c:pt idx="32">
                  <c:v>8.6000000000000014</c:v>
                </c:pt>
              </c:numCache>
            </c:numRef>
          </c:val>
          <c:extLst xmlns:c16r2="http://schemas.microsoft.com/office/drawing/2015/06/chart">
            <c:ext xmlns:c16="http://schemas.microsoft.com/office/drawing/2014/chart" uri="{C3380CC4-5D6E-409C-BE32-E72D297353CC}">
              <c16:uniqueId val="{00000001-965B-4A68-9356-C11C7A1DF2F6}"/>
            </c:ext>
          </c:extLst>
        </c:ser>
        <c:ser>
          <c:idx val="1"/>
          <c:order val="1"/>
          <c:tx>
            <c:strRef>
              <c:f>'Trh práce 3'!$D$8</c:f>
              <c:strCache>
                <c:ptCount val="1"/>
                <c:pt idx="0">
                  <c:v>Mediánová mzda (nominálně)</c:v>
                </c:pt>
              </c:strCache>
            </c:strRef>
          </c:tx>
          <c:spPr>
            <a:ln w="19050">
              <a:solidFill>
                <a:srgbClr val="BD1B21"/>
              </a:solidFill>
              <a:prstDash val="solid"/>
            </a:ln>
          </c:spPr>
          <c:marker>
            <c:symbol val="none"/>
          </c:marker>
          <c:cat>
            <c:multiLvlStrRef>
              <c:f>'Trh práce 3'!$A$9:$B$41</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3'!$D$9:$D$41</c:f>
              <c:numCache>
                <c:formatCode>0.0</c:formatCode>
                <c:ptCount val="33"/>
                <c:pt idx="0">
                  <c:v>3.2000000000000042</c:v>
                </c:pt>
                <c:pt idx="1">
                  <c:v>2.5999999999999943</c:v>
                </c:pt>
                <c:pt idx="2">
                  <c:v>2.7999999999999972</c:v>
                </c:pt>
                <c:pt idx="3">
                  <c:v>1.7999999999999832</c:v>
                </c:pt>
                <c:pt idx="4">
                  <c:v>2.7999999999999972</c:v>
                </c:pt>
                <c:pt idx="5">
                  <c:v>2.2000000000000042</c:v>
                </c:pt>
                <c:pt idx="6">
                  <c:v>1.7000000000000028</c:v>
                </c:pt>
                <c:pt idx="7">
                  <c:v>2.2000000000000042</c:v>
                </c:pt>
                <c:pt idx="8">
                  <c:v>1.4000000000000057</c:v>
                </c:pt>
                <c:pt idx="9">
                  <c:v>1.2999999999999832</c:v>
                </c:pt>
                <c:pt idx="10">
                  <c:v>-0.40000000000000568</c:v>
                </c:pt>
                <c:pt idx="11">
                  <c:v>-0.59999999999999432</c:v>
                </c:pt>
                <c:pt idx="12">
                  <c:v>0.59999999999999432</c:v>
                </c:pt>
                <c:pt idx="13">
                  <c:v>1.4000000000000057</c:v>
                </c:pt>
                <c:pt idx="14">
                  <c:v>2.2999999999999972</c:v>
                </c:pt>
                <c:pt idx="15">
                  <c:v>1.2000000000000028</c:v>
                </c:pt>
                <c:pt idx="16">
                  <c:v>4.7000000000000028</c:v>
                </c:pt>
                <c:pt idx="17">
                  <c:v>3.2999999999999972</c:v>
                </c:pt>
                <c:pt idx="18">
                  <c:v>2.5999999999999943</c:v>
                </c:pt>
                <c:pt idx="19">
                  <c:v>2.2999999999999972</c:v>
                </c:pt>
                <c:pt idx="20">
                  <c:v>0.70000000000000284</c:v>
                </c:pt>
                <c:pt idx="21">
                  <c:v>2.2999999999999972</c:v>
                </c:pt>
                <c:pt idx="22">
                  <c:v>3.7999999999999972</c:v>
                </c:pt>
                <c:pt idx="23">
                  <c:v>4.7000000000000028</c:v>
                </c:pt>
                <c:pt idx="24">
                  <c:v>6.7000000000000028</c:v>
                </c:pt>
                <c:pt idx="25">
                  <c:v>4.5999999999999943</c:v>
                </c:pt>
                <c:pt idx="26">
                  <c:v>5.2999999999999972</c:v>
                </c:pt>
                <c:pt idx="27">
                  <c:v>6.2000000000000028</c:v>
                </c:pt>
                <c:pt idx="28">
                  <c:v>4.4000000000000083</c:v>
                </c:pt>
                <c:pt idx="29">
                  <c:v>7.4000000000000083</c:v>
                </c:pt>
                <c:pt idx="30">
                  <c:v>6.4000000000000083</c:v>
                </c:pt>
                <c:pt idx="31">
                  <c:v>8.4000000000000057</c:v>
                </c:pt>
                <c:pt idx="32">
                  <c:v>8.3000000000000025</c:v>
                </c:pt>
              </c:numCache>
            </c:numRef>
          </c:val>
          <c:extLst xmlns:c16r2="http://schemas.microsoft.com/office/drawing/2015/06/chart">
            <c:ext xmlns:c16="http://schemas.microsoft.com/office/drawing/2014/chart" uri="{C3380CC4-5D6E-409C-BE32-E72D297353CC}">
              <c16:uniqueId val="{00000002-965B-4A68-9356-C11C7A1DF2F6}"/>
            </c:ext>
          </c:extLst>
        </c:ser>
        <c:ser>
          <c:idx val="3"/>
          <c:order val="3"/>
          <c:tx>
            <c:strRef>
              <c:f>'Trh práce 3'!$F$8</c:f>
              <c:strCache>
                <c:ptCount val="1"/>
                <c:pt idx="0">
                  <c:v>Produktivita práce v NH (reálně)*</c:v>
                </c:pt>
              </c:strCache>
            </c:strRef>
          </c:tx>
          <c:spPr>
            <a:ln>
              <a:noFill/>
            </a:ln>
          </c:spPr>
          <c:marker>
            <c:symbol val="diamond"/>
            <c:size val="5"/>
            <c:spPr>
              <a:solidFill>
                <a:srgbClr val="FFFF00"/>
              </a:solidFill>
              <a:ln>
                <a:solidFill>
                  <a:schemeClr val="tx1">
                    <a:lumMod val="95000"/>
                    <a:lumOff val="5000"/>
                  </a:schemeClr>
                </a:solidFill>
              </a:ln>
            </c:spPr>
          </c:marker>
          <c:cat>
            <c:multiLvlStrRef>
              <c:f>'Trh práce 3'!$A$9:$B$41</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2010</c:v>
                  </c:pt>
                  <c:pt idx="4">
                    <c:v>2011</c:v>
                  </c:pt>
                  <c:pt idx="8">
                    <c:v>2012</c:v>
                  </c:pt>
                  <c:pt idx="12">
                    <c:v>2013</c:v>
                  </c:pt>
                  <c:pt idx="16">
                    <c:v>2014</c:v>
                  </c:pt>
                  <c:pt idx="20">
                    <c:v>2015</c:v>
                  </c:pt>
                  <c:pt idx="24">
                    <c:v>2016</c:v>
                  </c:pt>
                  <c:pt idx="28">
                    <c:v>2017</c:v>
                  </c:pt>
                  <c:pt idx="32">
                    <c:v>2018</c:v>
                  </c:pt>
                </c:lvl>
              </c:multiLvlStrCache>
            </c:multiLvlStrRef>
          </c:cat>
          <c:val>
            <c:numRef>
              <c:f>'Trh práce 3'!$F$9:$F$41</c:f>
              <c:numCache>
                <c:formatCode>#,##0.0</c:formatCode>
                <c:ptCount val="33"/>
                <c:pt idx="0">
                  <c:v>3.5332846838865208</c:v>
                </c:pt>
                <c:pt idx="1">
                  <c:v>4.425122650740704</c:v>
                </c:pt>
                <c:pt idx="2">
                  <c:v>2.3152819998793177</c:v>
                </c:pt>
                <c:pt idx="3">
                  <c:v>2.9717863026053952</c:v>
                </c:pt>
                <c:pt idx="4">
                  <c:v>2.9527260280244576</c:v>
                </c:pt>
                <c:pt idx="5">
                  <c:v>2.0923191727528945</c:v>
                </c:pt>
                <c:pt idx="6">
                  <c:v>1.8080251400873806</c:v>
                </c:pt>
                <c:pt idx="7">
                  <c:v>1.5019620723850398</c:v>
                </c:pt>
                <c:pt idx="8">
                  <c:v>0.41537995919813397</c:v>
                </c:pt>
                <c:pt idx="9">
                  <c:v>-1.2819231607881099</c:v>
                </c:pt>
                <c:pt idx="10">
                  <c:v>-1.8249350322319771</c:v>
                </c:pt>
                <c:pt idx="11">
                  <c:v>-2.0588258996494337</c:v>
                </c:pt>
                <c:pt idx="12">
                  <c:v>-2.8802810421720602</c:v>
                </c:pt>
                <c:pt idx="13">
                  <c:v>-1.827948004663384</c:v>
                </c:pt>
                <c:pt idx="14">
                  <c:v>0.40461936993752351</c:v>
                </c:pt>
                <c:pt idx="15">
                  <c:v>0.95515229453815265</c:v>
                </c:pt>
                <c:pt idx="16">
                  <c:v>1.7448585072078089</c:v>
                </c:pt>
                <c:pt idx="17">
                  <c:v>2.7515963261383551</c:v>
                </c:pt>
                <c:pt idx="18">
                  <c:v>3.0294730201186377</c:v>
                </c:pt>
                <c:pt idx="19">
                  <c:v>1.0840279704352829</c:v>
                </c:pt>
                <c:pt idx="20">
                  <c:v>3.7518410336967767</c:v>
                </c:pt>
                <c:pt idx="21">
                  <c:v>4.1202609165826694</c:v>
                </c:pt>
                <c:pt idx="22">
                  <c:v>3.76028698995718</c:v>
                </c:pt>
                <c:pt idx="23">
                  <c:v>3.6745015563025101</c:v>
                </c:pt>
                <c:pt idx="24">
                  <c:v>1.8399838919702205</c:v>
                </c:pt>
                <c:pt idx="25">
                  <c:v>2.8834334980329612</c:v>
                </c:pt>
                <c:pt idx="26">
                  <c:v>0.36633315668368027</c:v>
                </c:pt>
                <c:pt idx="27">
                  <c:v>0.17270104557236984</c:v>
                </c:pt>
                <c:pt idx="28">
                  <c:v>2.4662023862270948</c:v>
                </c:pt>
                <c:pt idx="29">
                  <c:v>1.9926617848746702</c:v>
                </c:pt>
                <c:pt idx="30">
                  <c:v>2.7523342640098889</c:v>
                </c:pt>
                <c:pt idx="31">
                  <c:v>3.8975843222223672</c:v>
                </c:pt>
                <c:pt idx="32">
                  <c:v>1.8899728218748661</c:v>
                </c:pt>
              </c:numCache>
            </c:numRef>
          </c:val>
          <c:extLst xmlns:c16r2="http://schemas.microsoft.com/office/drawing/2015/06/chart">
            <c:ext xmlns:c16="http://schemas.microsoft.com/office/drawing/2014/chart" uri="{C3380CC4-5D6E-409C-BE32-E72D297353CC}">
              <c16:uniqueId val="{00000003-965B-4A68-9356-C11C7A1DF2F6}"/>
            </c:ext>
          </c:extLst>
        </c:ser>
        <c:marker val="1"/>
        <c:axId val="159048064"/>
        <c:axId val="159049984"/>
      </c:lineChart>
      <c:catAx>
        <c:axId val="159048064"/>
        <c:scaling>
          <c:orientation val="minMax"/>
        </c:scaling>
        <c:axPos val="b"/>
        <c:numFmt formatCode="General" sourceLinked="1"/>
        <c:tickLblPos val="low"/>
        <c:spPr>
          <a:ln>
            <a:solidFill>
              <a:schemeClr val="tx1"/>
            </a:solidFill>
          </a:ln>
        </c:spPr>
        <c:txPr>
          <a:bodyPr rot="0" vert="horz"/>
          <a:lstStyle/>
          <a:p>
            <a:pPr>
              <a:defRPr/>
            </a:pPr>
            <a:endParaRPr lang="cs-CZ"/>
          </a:p>
        </c:txPr>
        <c:crossAx val="159049984"/>
        <c:crosses val="autoZero"/>
        <c:auto val="1"/>
        <c:lblAlgn val="ctr"/>
        <c:lblOffset val="0"/>
        <c:tickMarkSkip val="4"/>
      </c:catAx>
      <c:valAx>
        <c:axId val="159049984"/>
        <c:scaling>
          <c:orientation val="minMax"/>
          <c:max val="9"/>
          <c:min val="-4"/>
        </c:scaling>
        <c:axPos val="l"/>
        <c:majorGridlines>
          <c:spPr>
            <a:ln>
              <a:solidFill>
                <a:schemeClr val="bg1">
                  <a:lumMod val="75000"/>
                </a:schemeClr>
              </a:solidFill>
            </a:ln>
          </c:spPr>
        </c:majorGridlines>
        <c:numFmt formatCode="0" sourceLinked="0"/>
        <c:tickLblPos val="nextTo"/>
        <c:spPr>
          <a:ln>
            <a:solidFill>
              <a:schemeClr val="tx1"/>
            </a:solidFill>
          </a:ln>
        </c:spPr>
        <c:crossAx val="159048064"/>
        <c:crosses val="autoZero"/>
        <c:crossBetween val="between"/>
        <c:majorUnit val="1"/>
      </c:valAx>
      <c:spPr>
        <a:ln>
          <a:solidFill>
            <a:schemeClr val="tx1"/>
          </a:solidFill>
        </a:ln>
      </c:spPr>
    </c:plotArea>
    <c:legend>
      <c:legendPos val="b"/>
      <c:layout>
        <c:manualLayout>
          <c:xMode val="edge"/>
          <c:yMode val="edge"/>
          <c:x val="3.6639859844647071E-2"/>
          <c:y val="0.89378061224490601"/>
          <c:w val="0.94842536305302261"/>
          <c:h val="9.5420068027211244E-2"/>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4557159743329959E-2"/>
          <c:y val="2.1711264016310006E-2"/>
          <c:w val="0.93757303275920301"/>
          <c:h val="0.73130361364405372"/>
        </c:manualLayout>
      </c:layout>
      <c:barChart>
        <c:barDir val="col"/>
        <c:grouping val="clustered"/>
        <c:ser>
          <c:idx val="0"/>
          <c:order val="0"/>
          <c:tx>
            <c:strRef>
              <c:f>'Měnové podmínky 1'!$C$5</c:f>
              <c:strCache>
                <c:ptCount val="1"/>
                <c:pt idx="0">
                  <c:v>2T repo sazba</c:v>
                </c:pt>
              </c:strCache>
            </c:strRef>
          </c:tx>
          <c:spPr>
            <a:solidFill>
              <a:schemeClr val="bg1">
                <a:lumMod val="65000"/>
              </a:schemeClr>
            </a:solidFill>
          </c:spPr>
          <c:cat>
            <c:multiLvlStrRef>
              <c:f>'Měnové podmínky 1'!$A$30:$B$80</c:f>
              <c:multiLvlStrCache>
                <c:ptCount val="51"/>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lvl>
                <c:lvl>
                  <c:pt idx="0">
                    <c:v>2014</c:v>
                  </c:pt>
                  <c:pt idx="12">
                    <c:v>2015</c:v>
                  </c:pt>
                  <c:pt idx="24">
                    <c:v>2016</c:v>
                  </c:pt>
                  <c:pt idx="36">
                    <c:v>2017</c:v>
                  </c:pt>
                  <c:pt idx="48">
                    <c:v>2018</c:v>
                  </c:pt>
                </c:lvl>
              </c:multiLvlStrCache>
            </c:multiLvlStrRef>
          </c:cat>
          <c:val>
            <c:numRef>
              <c:f>'Měnové podmínky 1'!$C$30:$C$80</c:f>
              <c:numCache>
                <c:formatCode>0.00</c:formatCode>
                <c:ptCount val="51"/>
                <c:pt idx="0">
                  <c:v>5.0000000000000031E-2</c:v>
                </c:pt>
                <c:pt idx="1">
                  <c:v>5.0000000000000031E-2</c:v>
                </c:pt>
                <c:pt idx="2">
                  <c:v>5.0000000000000031E-2</c:v>
                </c:pt>
                <c:pt idx="3">
                  <c:v>5.0000000000000031E-2</c:v>
                </c:pt>
                <c:pt idx="4">
                  <c:v>5.0000000000000031E-2</c:v>
                </c:pt>
                <c:pt idx="5">
                  <c:v>5.0000000000000031E-2</c:v>
                </c:pt>
                <c:pt idx="6">
                  <c:v>5.0000000000000031E-2</c:v>
                </c:pt>
                <c:pt idx="7">
                  <c:v>5.0000000000000031E-2</c:v>
                </c:pt>
                <c:pt idx="8">
                  <c:v>5.0000000000000031E-2</c:v>
                </c:pt>
                <c:pt idx="9">
                  <c:v>5.0000000000000031E-2</c:v>
                </c:pt>
                <c:pt idx="10">
                  <c:v>5.0000000000000031E-2</c:v>
                </c:pt>
                <c:pt idx="11">
                  <c:v>5.0000000000000031E-2</c:v>
                </c:pt>
                <c:pt idx="12">
                  <c:v>5.0000000000000031E-2</c:v>
                </c:pt>
                <c:pt idx="13">
                  <c:v>5.0000000000000031E-2</c:v>
                </c:pt>
                <c:pt idx="14">
                  <c:v>5.0000000000000031E-2</c:v>
                </c:pt>
                <c:pt idx="15">
                  <c:v>5.0000000000000031E-2</c:v>
                </c:pt>
                <c:pt idx="16">
                  <c:v>5.0000000000000031E-2</c:v>
                </c:pt>
                <c:pt idx="17">
                  <c:v>5.0000000000000031E-2</c:v>
                </c:pt>
                <c:pt idx="18">
                  <c:v>5.0000000000000031E-2</c:v>
                </c:pt>
                <c:pt idx="19">
                  <c:v>5.0000000000000031E-2</c:v>
                </c:pt>
                <c:pt idx="20">
                  <c:v>5.0000000000000031E-2</c:v>
                </c:pt>
                <c:pt idx="21">
                  <c:v>5.0000000000000031E-2</c:v>
                </c:pt>
                <c:pt idx="22">
                  <c:v>5.0000000000000031E-2</c:v>
                </c:pt>
                <c:pt idx="23">
                  <c:v>5.0000000000000031E-2</c:v>
                </c:pt>
                <c:pt idx="24" formatCode="General">
                  <c:v>5.0000000000000031E-2</c:v>
                </c:pt>
                <c:pt idx="25" formatCode="General">
                  <c:v>5.0000000000000031E-2</c:v>
                </c:pt>
                <c:pt idx="26" formatCode="General">
                  <c:v>5.0000000000000031E-2</c:v>
                </c:pt>
                <c:pt idx="27" formatCode="General">
                  <c:v>5.0000000000000031E-2</c:v>
                </c:pt>
                <c:pt idx="28" formatCode="General">
                  <c:v>5.0000000000000031E-2</c:v>
                </c:pt>
                <c:pt idx="29" formatCode="General">
                  <c:v>5.0000000000000031E-2</c:v>
                </c:pt>
                <c:pt idx="30" formatCode="General">
                  <c:v>5.0000000000000031E-2</c:v>
                </c:pt>
                <c:pt idx="31" formatCode="General">
                  <c:v>5.0000000000000031E-2</c:v>
                </c:pt>
                <c:pt idx="32" formatCode="General">
                  <c:v>5.0000000000000031E-2</c:v>
                </c:pt>
                <c:pt idx="33" formatCode="General">
                  <c:v>5.0000000000000031E-2</c:v>
                </c:pt>
                <c:pt idx="34" formatCode="General">
                  <c:v>5.0000000000000031E-2</c:v>
                </c:pt>
                <c:pt idx="35" formatCode="General">
                  <c:v>5.0000000000000031E-2</c:v>
                </c:pt>
                <c:pt idx="36" formatCode="General">
                  <c:v>5.0000000000000031E-2</c:v>
                </c:pt>
                <c:pt idx="37" formatCode="General">
                  <c:v>5.0000000000000031E-2</c:v>
                </c:pt>
                <c:pt idx="38" formatCode="General">
                  <c:v>5.0000000000000031E-2</c:v>
                </c:pt>
                <c:pt idx="39" formatCode="General">
                  <c:v>5.0000000000000031E-2</c:v>
                </c:pt>
                <c:pt idx="40" formatCode="General">
                  <c:v>5.0000000000000031E-2</c:v>
                </c:pt>
                <c:pt idx="41" formatCode="General">
                  <c:v>5.0000000000000031E-2</c:v>
                </c:pt>
                <c:pt idx="42" formatCode="General">
                  <c:v>5.0000000000000031E-2</c:v>
                </c:pt>
                <c:pt idx="43" formatCode="General">
                  <c:v>0.25</c:v>
                </c:pt>
                <c:pt idx="44" formatCode="General">
                  <c:v>0.25</c:v>
                </c:pt>
                <c:pt idx="45" formatCode="General">
                  <c:v>0.25</c:v>
                </c:pt>
                <c:pt idx="46" formatCode="General">
                  <c:v>0.5</c:v>
                </c:pt>
                <c:pt idx="47" formatCode="General">
                  <c:v>0.5</c:v>
                </c:pt>
                <c:pt idx="48" formatCode="General">
                  <c:v>0.5</c:v>
                </c:pt>
                <c:pt idx="49" formatCode="General">
                  <c:v>0.75000000000000611</c:v>
                </c:pt>
                <c:pt idx="50" formatCode="General">
                  <c:v>0.75000000000000611</c:v>
                </c:pt>
              </c:numCache>
            </c:numRef>
          </c:val>
          <c:extLst xmlns:c16r2="http://schemas.microsoft.com/office/drawing/2015/06/chart">
            <c:ext xmlns:c16="http://schemas.microsoft.com/office/drawing/2014/chart" uri="{C3380CC4-5D6E-409C-BE32-E72D297353CC}">
              <c16:uniqueId val="{00000000-6BDA-4094-B148-BBA01B7D35B0}"/>
            </c:ext>
          </c:extLst>
        </c:ser>
        <c:gapWidth val="31"/>
        <c:axId val="158908800"/>
        <c:axId val="158910336"/>
      </c:barChart>
      <c:lineChart>
        <c:grouping val="standard"/>
        <c:ser>
          <c:idx val="3"/>
          <c:order val="1"/>
          <c:tx>
            <c:strRef>
              <c:f>'Měnové podmínky 1'!$F$5</c:f>
              <c:strCache>
                <c:ptCount val="1"/>
                <c:pt idx="0">
                  <c:v>Průměrný výnos státních dluhopisů (2Y)</c:v>
                </c:pt>
              </c:strCache>
            </c:strRef>
          </c:tx>
          <c:spPr>
            <a:ln w="19050">
              <a:solidFill>
                <a:srgbClr val="7DBB2D"/>
              </a:solidFill>
            </a:ln>
          </c:spPr>
          <c:marker>
            <c:symbol val="none"/>
          </c:marker>
          <c:cat>
            <c:multiLvlStrRef>
              <c:f>'Měnové podmínky 1'!$A$30:$B$80</c:f>
              <c:multiLvlStrCache>
                <c:ptCount val="51"/>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lvl>
                <c:lvl>
                  <c:pt idx="0">
                    <c:v>2014</c:v>
                  </c:pt>
                  <c:pt idx="12">
                    <c:v>2015</c:v>
                  </c:pt>
                  <c:pt idx="24">
                    <c:v>2016</c:v>
                  </c:pt>
                  <c:pt idx="36">
                    <c:v>2017</c:v>
                  </c:pt>
                  <c:pt idx="48">
                    <c:v>2018</c:v>
                  </c:pt>
                </c:lvl>
              </c:multiLvlStrCache>
            </c:multiLvlStrRef>
          </c:cat>
          <c:val>
            <c:numRef>
              <c:f>'Měnové podmínky 1'!$F$30:$F$80</c:f>
              <c:numCache>
                <c:formatCode>General</c:formatCode>
                <c:ptCount val="51"/>
                <c:pt idx="0">
                  <c:v>0.23</c:v>
                </c:pt>
                <c:pt idx="1">
                  <c:v>0.28000000000000008</c:v>
                </c:pt>
                <c:pt idx="2">
                  <c:v>0.26</c:v>
                </c:pt>
                <c:pt idx="3">
                  <c:v>0.23</c:v>
                </c:pt>
                <c:pt idx="4">
                  <c:v>0.21000000000000021</c:v>
                </c:pt>
                <c:pt idx="5">
                  <c:v>0.24000000000000021</c:v>
                </c:pt>
                <c:pt idx="6">
                  <c:v>0.23</c:v>
                </c:pt>
                <c:pt idx="7">
                  <c:v>0.18000000000000024</c:v>
                </c:pt>
                <c:pt idx="8">
                  <c:v>0.14000000000000001</c:v>
                </c:pt>
                <c:pt idx="9">
                  <c:v>0.1</c:v>
                </c:pt>
                <c:pt idx="10">
                  <c:v>0.12000000000000002</c:v>
                </c:pt>
                <c:pt idx="11">
                  <c:v>0.13</c:v>
                </c:pt>
                <c:pt idx="12">
                  <c:v>9.0000000000000066E-2</c:v>
                </c:pt>
                <c:pt idx="13">
                  <c:v>6.0000000000000039E-2</c:v>
                </c:pt>
                <c:pt idx="14">
                  <c:v>4.0000000000000029E-2</c:v>
                </c:pt>
                <c:pt idx="15">
                  <c:v>-3.0000000000000016E-2</c:v>
                </c:pt>
                <c:pt idx="16">
                  <c:v>4.0000000000000029E-2</c:v>
                </c:pt>
                <c:pt idx="17">
                  <c:v>0.11000000000000003</c:v>
                </c:pt>
                <c:pt idx="18">
                  <c:v>2.0000000000000014E-2</c:v>
                </c:pt>
                <c:pt idx="19">
                  <c:v>-7.0000000000000034E-2</c:v>
                </c:pt>
                <c:pt idx="20">
                  <c:v>-0.30000000000000032</c:v>
                </c:pt>
                <c:pt idx="21">
                  <c:v>-0.28000000000000008</c:v>
                </c:pt>
                <c:pt idx="22">
                  <c:v>-0.33000000000000362</c:v>
                </c:pt>
                <c:pt idx="23">
                  <c:v>-0.38000000000000322</c:v>
                </c:pt>
                <c:pt idx="24">
                  <c:v>-0.21000000000000021</c:v>
                </c:pt>
                <c:pt idx="25">
                  <c:v>-0.18000000000000024</c:v>
                </c:pt>
                <c:pt idx="26">
                  <c:v>-0.17</c:v>
                </c:pt>
                <c:pt idx="27">
                  <c:v>-8.0000000000000057E-2</c:v>
                </c:pt>
                <c:pt idx="28">
                  <c:v>-4.0000000000000029E-2</c:v>
                </c:pt>
                <c:pt idx="29">
                  <c:v>-5.0000000000000031E-2</c:v>
                </c:pt>
                <c:pt idx="30">
                  <c:v>-0.13</c:v>
                </c:pt>
                <c:pt idx="31">
                  <c:v>-0.22000000000000006</c:v>
                </c:pt>
                <c:pt idx="32">
                  <c:v>-0.5</c:v>
                </c:pt>
                <c:pt idx="33">
                  <c:v>-0.74000000000000365</c:v>
                </c:pt>
                <c:pt idx="34">
                  <c:v>-0.73000000000000065</c:v>
                </c:pt>
                <c:pt idx="35">
                  <c:v>-0.81</c:v>
                </c:pt>
                <c:pt idx="36">
                  <c:v>-0.88000000000000023</c:v>
                </c:pt>
                <c:pt idx="37">
                  <c:v>-0.53</c:v>
                </c:pt>
                <c:pt idx="38">
                  <c:v>-0.44000000000000011</c:v>
                </c:pt>
                <c:pt idx="39">
                  <c:v>-0.23</c:v>
                </c:pt>
                <c:pt idx="40">
                  <c:v>-0.24000000000000021</c:v>
                </c:pt>
                <c:pt idx="41">
                  <c:v>-0.25</c:v>
                </c:pt>
                <c:pt idx="42">
                  <c:v>-0.29000000000000031</c:v>
                </c:pt>
                <c:pt idx="43">
                  <c:v>-0.33000000000000362</c:v>
                </c:pt>
                <c:pt idx="44">
                  <c:v>-0.29000000000000031</c:v>
                </c:pt>
                <c:pt idx="45">
                  <c:v>0.12000000000000002</c:v>
                </c:pt>
                <c:pt idx="46">
                  <c:v>0.31000000000000238</c:v>
                </c:pt>
                <c:pt idx="47">
                  <c:v>0.19000000000000006</c:v>
                </c:pt>
                <c:pt idx="48">
                  <c:v>0.46</c:v>
                </c:pt>
                <c:pt idx="49">
                  <c:v>0.55000000000000004</c:v>
                </c:pt>
                <c:pt idx="50">
                  <c:v>0.62000000000000599</c:v>
                </c:pt>
              </c:numCache>
            </c:numRef>
          </c:val>
          <c:extLst xmlns:c16r2="http://schemas.microsoft.com/office/drawing/2015/06/chart">
            <c:ext xmlns:c16="http://schemas.microsoft.com/office/drawing/2014/chart" uri="{C3380CC4-5D6E-409C-BE32-E72D297353CC}">
              <c16:uniqueId val="{00000001-6BDA-4094-B148-BBA01B7D35B0}"/>
            </c:ext>
          </c:extLst>
        </c:ser>
        <c:ser>
          <c:idx val="1"/>
          <c:order val="2"/>
          <c:tx>
            <c:strRef>
              <c:f>'Měnové podmínky 1'!$D$5</c:f>
              <c:strCache>
                <c:ptCount val="1"/>
                <c:pt idx="0">
                  <c:v>PRIBOR (3M)</c:v>
                </c:pt>
              </c:strCache>
            </c:strRef>
          </c:tx>
          <c:spPr>
            <a:ln w="19050">
              <a:solidFill>
                <a:srgbClr val="0071BC"/>
              </a:solidFill>
            </a:ln>
          </c:spPr>
          <c:marker>
            <c:symbol val="none"/>
          </c:marker>
          <c:cat>
            <c:multiLvlStrRef>
              <c:f>'Měnové podmínky 1'!$A$30:$B$80</c:f>
              <c:multiLvlStrCache>
                <c:ptCount val="51"/>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lvl>
                <c:lvl>
                  <c:pt idx="0">
                    <c:v>2014</c:v>
                  </c:pt>
                  <c:pt idx="12">
                    <c:v>2015</c:v>
                  </c:pt>
                  <c:pt idx="24">
                    <c:v>2016</c:v>
                  </c:pt>
                  <c:pt idx="36">
                    <c:v>2017</c:v>
                  </c:pt>
                  <c:pt idx="48">
                    <c:v>2018</c:v>
                  </c:pt>
                </c:lvl>
              </c:multiLvlStrCache>
            </c:multiLvlStrRef>
          </c:cat>
          <c:val>
            <c:numRef>
              <c:f>'Měnové podmínky 1'!$D$30:$D$80</c:f>
              <c:numCache>
                <c:formatCode>General</c:formatCode>
                <c:ptCount val="51"/>
                <c:pt idx="0">
                  <c:v>0.37000000000000038</c:v>
                </c:pt>
                <c:pt idx="1">
                  <c:v>0.37000000000000038</c:v>
                </c:pt>
                <c:pt idx="2">
                  <c:v>0.37000000000000038</c:v>
                </c:pt>
                <c:pt idx="3">
                  <c:v>0.37000000000000038</c:v>
                </c:pt>
                <c:pt idx="4">
                  <c:v>0.37000000000000038</c:v>
                </c:pt>
                <c:pt idx="5">
                  <c:v>0.35000000000000031</c:v>
                </c:pt>
                <c:pt idx="6">
                  <c:v>0.35000000000000031</c:v>
                </c:pt>
                <c:pt idx="7">
                  <c:v>0.35000000000000031</c:v>
                </c:pt>
                <c:pt idx="8">
                  <c:v>0.35000000000000031</c:v>
                </c:pt>
                <c:pt idx="9">
                  <c:v>0.35000000000000031</c:v>
                </c:pt>
                <c:pt idx="10">
                  <c:v>0.3400000000000003</c:v>
                </c:pt>
                <c:pt idx="11">
                  <c:v>0.3400000000000003</c:v>
                </c:pt>
                <c:pt idx="12">
                  <c:v>0.33000000000000362</c:v>
                </c:pt>
                <c:pt idx="13">
                  <c:v>0.33000000000000362</c:v>
                </c:pt>
                <c:pt idx="14">
                  <c:v>0.32000000000000339</c:v>
                </c:pt>
                <c:pt idx="15">
                  <c:v>0.31000000000000238</c:v>
                </c:pt>
                <c:pt idx="16">
                  <c:v>0.31000000000000238</c:v>
                </c:pt>
                <c:pt idx="17">
                  <c:v>0.31000000000000238</c:v>
                </c:pt>
                <c:pt idx="18">
                  <c:v>0.31000000000000238</c:v>
                </c:pt>
                <c:pt idx="19">
                  <c:v>0.31000000000000238</c:v>
                </c:pt>
                <c:pt idx="20">
                  <c:v>0.30000000000000032</c:v>
                </c:pt>
                <c:pt idx="21">
                  <c:v>0.29000000000000031</c:v>
                </c:pt>
                <c:pt idx="22">
                  <c:v>0.29000000000000031</c:v>
                </c:pt>
                <c:pt idx="23">
                  <c:v>0.29000000000000031</c:v>
                </c:pt>
                <c:pt idx="24">
                  <c:v>0.29000000000000031</c:v>
                </c:pt>
                <c:pt idx="25">
                  <c:v>0.28000000000000008</c:v>
                </c:pt>
                <c:pt idx="26">
                  <c:v>0.29000000000000031</c:v>
                </c:pt>
                <c:pt idx="27">
                  <c:v>0.29000000000000031</c:v>
                </c:pt>
                <c:pt idx="28">
                  <c:v>0.29000000000000031</c:v>
                </c:pt>
                <c:pt idx="29">
                  <c:v>0.29000000000000031</c:v>
                </c:pt>
                <c:pt idx="30">
                  <c:v>0.29000000000000031</c:v>
                </c:pt>
                <c:pt idx="31">
                  <c:v>0.29000000000000031</c:v>
                </c:pt>
                <c:pt idx="32">
                  <c:v>0.29000000000000031</c:v>
                </c:pt>
                <c:pt idx="33">
                  <c:v>0.29000000000000031</c:v>
                </c:pt>
                <c:pt idx="34">
                  <c:v>0.29000000000000031</c:v>
                </c:pt>
                <c:pt idx="35">
                  <c:v>0.29000000000000031</c:v>
                </c:pt>
                <c:pt idx="36">
                  <c:v>0.28000000000000008</c:v>
                </c:pt>
                <c:pt idx="37">
                  <c:v>0.28000000000000008</c:v>
                </c:pt>
                <c:pt idx="38">
                  <c:v>0.28000000000000008</c:v>
                </c:pt>
                <c:pt idx="39">
                  <c:v>0.29000000000000031</c:v>
                </c:pt>
                <c:pt idx="40">
                  <c:v>0.30000000000000032</c:v>
                </c:pt>
                <c:pt idx="41">
                  <c:v>0.30000000000000032</c:v>
                </c:pt>
                <c:pt idx="42">
                  <c:v>0.30000000000000032</c:v>
                </c:pt>
                <c:pt idx="43">
                  <c:v>0.43000000000000038</c:v>
                </c:pt>
                <c:pt idx="44">
                  <c:v>0.46</c:v>
                </c:pt>
                <c:pt idx="45">
                  <c:v>0.51</c:v>
                </c:pt>
                <c:pt idx="46">
                  <c:v>0.71000000000000063</c:v>
                </c:pt>
                <c:pt idx="47">
                  <c:v>0.75000000000000611</c:v>
                </c:pt>
                <c:pt idx="48">
                  <c:v>0.77000000000000646</c:v>
                </c:pt>
                <c:pt idx="49">
                  <c:v>0.9</c:v>
                </c:pt>
                <c:pt idx="50">
                  <c:v>0.9</c:v>
                </c:pt>
              </c:numCache>
            </c:numRef>
          </c:val>
          <c:extLst xmlns:c16r2="http://schemas.microsoft.com/office/drawing/2015/06/chart">
            <c:ext xmlns:c16="http://schemas.microsoft.com/office/drawing/2014/chart" uri="{C3380CC4-5D6E-409C-BE32-E72D297353CC}">
              <c16:uniqueId val="{00000002-6BDA-4094-B148-BBA01B7D35B0}"/>
            </c:ext>
          </c:extLst>
        </c:ser>
        <c:ser>
          <c:idx val="4"/>
          <c:order val="3"/>
          <c:tx>
            <c:strRef>
              <c:f>'Měnové podmínky 1'!$G$5</c:f>
              <c:strCache>
                <c:ptCount val="1"/>
                <c:pt idx="0">
                  <c:v>Průměrný výnos státních dluhopisů (5Y)</c:v>
                </c:pt>
              </c:strCache>
            </c:strRef>
          </c:tx>
          <c:spPr>
            <a:ln w="19050">
              <a:solidFill>
                <a:srgbClr val="F8A124"/>
              </a:solidFill>
            </a:ln>
          </c:spPr>
          <c:marker>
            <c:symbol val="none"/>
          </c:marker>
          <c:cat>
            <c:multiLvlStrRef>
              <c:f>'Měnové podmínky 1'!$A$30:$B$80</c:f>
              <c:multiLvlStrCache>
                <c:ptCount val="51"/>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lvl>
                <c:lvl>
                  <c:pt idx="0">
                    <c:v>2014</c:v>
                  </c:pt>
                  <c:pt idx="12">
                    <c:v>2015</c:v>
                  </c:pt>
                  <c:pt idx="24">
                    <c:v>2016</c:v>
                  </c:pt>
                  <c:pt idx="36">
                    <c:v>2017</c:v>
                  </c:pt>
                  <c:pt idx="48">
                    <c:v>2018</c:v>
                  </c:pt>
                </c:lvl>
              </c:multiLvlStrCache>
            </c:multiLvlStrRef>
          </c:cat>
          <c:val>
            <c:numRef>
              <c:f>'Měnové podmínky 1'!$G$30:$G$80</c:f>
              <c:numCache>
                <c:formatCode>General</c:formatCode>
                <c:ptCount val="51"/>
                <c:pt idx="0">
                  <c:v>1.0900000000000001</c:v>
                </c:pt>
                <c:pt idx="1">
                  <c:v>1.2</c:v>
                </c:pt>
                <c:pt idx="2">
                  <c:v>1.1399999999999866</c:v>
                </c:pt>
                <c:pt idx="3">
                  <c:v>0.99</c:v>
                </c:pt>
                <c:pt idx="4">
                  <c:v>0.8</c:v>
                </c:pt>
                <c:pt idx="5">
                  <c:v>0.6800000000000006</c:v>
                </c:pt>
                <c:pt idx="6">
                  <c:v>0.65000000000000691</c:v>
                </c:pt>
                <c:pt idx="7">
                  <c:v>0.62000000000000599</c:v>
                </c:pt>
                <c:pt idx="8">
                  <c:v>0.51</c:v>
                </c:pt>
                <c:pt idx="9">
                  <c:v>0.37000000000000038</c:v>
                </c:pt>
                <c:pt idx="10">
                  <c:v>0.24000000000000021</c:v>
                </c:pt>
                <c:pt idx="11">
                  <c:v>0.22000000000000006</c:v>
                </c:pt>
                <c:pt idx="12">
                  <c:v>0.13</c:v>
                </c:pt>
                <c:pt idx="13">
                  <c:v>0.17</c:v>
                </c:pt>
                <c:pt idx="14">
                  <c:v>0.14000000000000001</c:v>
                </c:pt>
                <c:pt idx="15">
                  <c:v>5.0000000000000031E-2</c:v>
                </c:pt>
                <c:pt idx="16">
                  <c:v>0.22000000000000006</c:v>
                </c:pt>
                <c:pt idx="17">
                  <c:v>0.43000000000000038</c:v>
                </c:pt>
                <c:pt idx="18">
                  <c:v>0.35000000000000031</c:v>
                </c:pt>
                <c:pt idx="19">
                  <c:v>0.2</c:v>
                </c:pt>
                <c:pt idx="20">
                  <c:v>6.0000000000000039E-2</c:v>
                </c:pt>
                <c:pt idx="21">
                  <c:v>-5.0000000000000031E-2</c:v>
                </c:pt>
                <c:pt idx="22">
                  <c:v>-5.0000000000000031E-2</c:v>
                </c:pt>
                <c:pt idx="23">
                  <c:v>-0.11000000000000003</c:v>
                </c:pt>
                <c:pt idx="24">
                  <c:v>4.0000000000000029E-2</c:v>
                </c:pt>
                <c:pt idx="25">
                  <c:v>-8.0000000000000057E-2</c:v>
                </c:pt>
                <c:pt idx="26">
                  <c:v>-0.1</c:v>
                </c:pt>
                <c:pt idx="27">
                  <c:v>4.0000000000000029E-2</c:v>
                </c:pt>
                <c:pt idx="28">
                  <c:v>7.0000000000000034E-2</c:v>
                </c:pt>
                <c:pt idx="29">
                  <c:v>5.0000000000000031E-2</c:v>
                </c:pt>
                <c:pt idx="30">
                  <c:v>-2.0000000000000014E-2</c:v>
                </c:pt>
                <c:pt idx="31">
                  <c:v>-9.0000000000000066E-2</c:v>
                </c:pt>
                <c:pt idx="32">
                  <c:v>-0.19000000000000006</c:v>
                </c:pt>
                <c:pt idx="33">
                  <c:v>-0.17</c:v>
                </c:pt>
                <c:pt idx="34">
                  <c:v>-0.17</c:v>
                </c:pt>
                <c:pt idx="35">
                  <c:v>-0.21000000000000021</c:v>
                </c:pt>
                <c:pt idx="36">
                  <c:v>-0.22000000000000006</c:v>
                </c:pt>
                <c:pt idx="37">
                  <c:v>9.0000000000000066E-2</c:v>
                </c:pt>
                <c:pt idx="38">
                  <c:v>0.1</c:v>
                </c:pt>
                <c:pt idx="39">
                  <c:v>0.16000000000000006</c:v>
                </c:pt>
                <c:pt idx="40">
                  <c:v>4.0000000000000029E-2</c:v>
                </c:pt>
                <c:pt idx="41">
                  <c:v>-3.0000000000000016E-2</c:v>
                </c:pt>
                <c:pt idx="42">
                  <c:v>0.14000000000000001</c:v>
                </c:pt>
                <c:pt idx="43">
                  <c:v>9.0000000000000066E-2</c:v>
                </c:pt>
                <c:pt idx="44">
                  <c:v>0.1</c:v>
                </c:pt>
                <c:pt idx="45">
                  <c:v>0.63000000000000667</c:v>
                </c:pt>
                <c:pt idx="46">
                  <c:v>0.87000000000000599</c:v>
                </c:pt>
                <c:pt idx="47">
                  <c:v>0.6800000000000006</c:v>
                </c:pt>
                <c:pt idx="48">
                  <c:v>0.99</c:v>
                </c:pt>
                <c:pt idx="49">
                  <c:v>1.07</c:v>
                </c:pt>
                <c:pt idx="50">
                  <c:v>1.0900000000000001</c:v>
                </c:pt>
              </c:numCache>
            </c:numRef>
          </c:val>
          <c:extLst xmlns:c16r2="http://schemas.microsoft.com/office/drawing/2015/06/chart">
            <c:ext xmlns:c16="http://schemas.microsoft.com/office/drawing/2014/chart" uri="{C3380CC4-5D6E-409C-BE32-E72D297353CC}">
              <c16:uniqueId val="{00000003-6BDA-4094-B148-BBA01B7D35B0}"/>
            </c:ext>
          </c:extLst>
        </c:ser>
        <c:ser>
          <c:idx val="2"/>
          <c:order val="4"/>
          <c:tx>
            <c:strRef>
              <c:f>'Měnové podmínky 1'!$E$5</c:f>
              <c:strCache>
                <c:ptCount val="1"/>
                <c:pt idx="0">
                  <c:v>PRIBOR (1Y)</c:v>
                </c:pt>
              </c:strCache>
            </c:strRef>
          </c:tx>
          <c:spPr>
            <a:ln w="19050">
              <a:solidFill>
                <a:srgbClr val="BD1B21"/>
              </a:solidFill>
            </a:ln>
          </c:spPr>
          <c:marker>
            <c:symbol val="none"/>
          </c:marker>
          <c:cat>
            <c:multiLvlStrRef>
              <c:f>'Měnové podmínky 1'!$A$30:$B$80</c:f>
              <c:multiLvlStrCache>
                <c:ptCount val="51"/>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lvl>
                <c:lvl>
                  <c:pt idx="0">
                    <c:v>2014</c:v>
                  </c:pt>
                  <c:pt idx="12">
                    <c:v>2015</c:v>
                  </c:pt>
                  <c:pt idx="24">
                    <c:v>2016</c:v>
                  </c:pt>
                  <c:pt idx="36">
                    <c:v>2017</c:v>
                  </c:pt>
                  <c:pt idx="48">
                    <c:v>2018</c:v>
                  </c:pt>
                </c:lvl>
              </c:multiLvlStrCache>
            </c:multiLvlStrRef>
          </c:cat>
          <c:val>
            <c:numRef>
              <c:f>'Měnové podmínky 1'!$E$30:$E$80</c:f>
              <c:numCache>
                <c:formatCode>General</c:formatCode>
                <c:ptCount val="51"/>
                <c:pt idx="0">
                  <c:v>0.58000000000000029</c:v>
                </c:pt>
                <c:pt idx="1">
                  <c:v>0.55000000000000004</c:v>
                </c:pt>
                <c:pt idx="2">
                  <c:v>0.55000000000000004</c:v>
                </c:pt>
                <c:pt idx="3">
                  <c:v>0.55000000000000004</c:v>
                </c:pt>
                <c:pt idx="4">
                  <c:v>0.54</c:v>
                </c:pt>
                <c:pt idx="5">
                  <c:v>0.53</c:v>
                </c:pt>
                <c:pt idx="6">
                  <c:v>0.52</c:v>
                </c:pt>
                <c:pt idx="7">
                  <c:v>0.52</c:v>
                </c:pt>
                <c:pt idx="8">
                  <c:v>0.52</c:v>
                </c:pt>
                <c:pt idx="9">
                  <c:v>0.52</c:v>
                </c:pt>
                <c:pt idx="10">
                  <c:v>0.51</c:v>
                </c:pt>
                <c:pt idx="11">
                  <c:v>0.51</c:v>
                </c:pt>
                <c:pt idx="12">
                  <c:v>0.51</c:v>
                </c:pt>
                <c:pt idx="13">
                  <c:v>0.51</c:v>
                </c:pt>
                <c:pt idx="14">
                  <c:v>0.49000000000000032</c:v>
                </c:pt>
                <c:pt idx="15">
                  <c:v>0.48000000000000032</c:v>
                </c:pt>
                <c:pt idx="16">
                  <c:v>0.48000000000000032</c:v>
                </c:pt>
                <c:pt idx="17">
                  <c:v>0.48000000000000032</c:v>
                </c:pt>
                <c:pt idx="18">
                  <c:v>0.48000000000000032</c:v>
                </c:pt>
                <c:pt idx="19">
                  <c:v>0.48000000000000032</c:v>
                </c:pt>
                <c:pt idx="20">
                  <c:v>0.47000000000000008</c:v>
                </c:pt>
                <c:pt idx="21">
                  <c:v>0.46</c:v>
                </c:pt>
                <c:pt idx="22">
                  <c:v>0.46</c:v>
                </c:pt>
                <c:pt idx="23">
                  <c:v>0.46</c:v>
                </c:pt>
                <c:pt idx="24">
                  <c:v>0.45</c:v>
                </c:pt>
                <c:pt idx="25">
                  <c:v>0.45</c:v>
                </c:pt>
                <c:pt idx="26">
                  <c:v>0.45</c:v>
                </c:pt>
                <c:pt idx="27">
                  <c:v>0.45</c:v>
                </c:pt>
                <c:pt idx="28">
                  <c:v>0.45</c:v>
                </c:pt>
                <c:pt idx="29">
                  <c:v>0.45</c:v>
                </c:pt>
                <c:pt idx="30">
                  <c:v>0.45</c:v>
                </c:pt>
                <c:pt idx="31">
                  <c:v>0.45</c:v>
                </c:pt>
                <c:pt idx="32">
                  <c:v>0.45</c:v>
                </c:pt>
                <c:pt idx="33">
                  <c:v>0.45</c:v>
                </c:pt>
                <c:pt idx="34">
                  <c:v>0.45</c:v>
                </c:pt>
                <c:pt idx="35">
                  <c:v>0.45</c:v>
                </c:pt>
                <c:pt idx="36">
                  <c:v>0.44000000000000011</c:v>
                </c:pt>
                <c:pt idx="37">
                  <c:v>0.44000000000000011</c:v>
                </c:pt>
                <c:pt idx="38">
                  <c:v>0.44000000000000011</c:v>
                </c:pt>
                <c:pt idx="39">
                  <c:v>0.45</c:v>
                </c:pt>
                <c:pt idx="40">
                  <c:v>0.46</c:v>
                </c:pt>
                <c:pt idx="41">
                  <c:v>0.46</c:v>
                </c:pt>
                <c:pt idx="42">
                  <c:v>0.47000000000000008</c:v>
                </c:pt>
                <c:pt idx="43">
                  <c:v>0.60000000000000064</c:v>
                </c:pt>
                <c:pt idx="44">
                  <c:v>0.64000000000000679</c:v>
                </c:pt>
                <c:pt idx="45">
                  <c:v>0.69000000000000061</c:v>
                </c:pt>
                <c:pt idx="46">
                  <c:v>0.91</c:v>
                </c:pt>
                <c:pt idx="47">
                  <c:v>0.96000000000000063</c:v>
                </c:pt>
                <c:pt idx="48">
                  <c:v>0.98</c:v>
                </c:pt>
                <c:pt idx="49">
                  <c:v>1.1100000000000001</c:v>
                </c:pt>
                <c:pt idx="50">
                  <c:v>1.1200000000000001</c:v>
                </c:pt>
              </c:numCache>
            </c:numRef>
          </c:val>
          <c:extLst xmlns:c16r2="http://schemas.microsoft.com/office/drawing/2015/06/chart">
            <c:ext xmlns:c16="http://schemas.microsoft.com/office/drawing/2014/chart" uri="{C3380CC4-5D6E-409C-BE32-E72D297353CC}">
              <c16:uniqueId val="{00000004-6BDA-4094-B148-BBA01B7D35B0}"/>
            </c:ext>
          </c:extLst>
        </c:ser>
        <c:ser>
          <c:idx val="5"/>
          <c:order val="5"/>
          <c:tx>
            <c:strRef>
              <c:f>'Měnové podmínky 1'!$H$5</c:f>
              <c:strCache>
                <c:ptCount val="1"/>
                <c:pt idx="0">
                  <c:v>Průměrný výnos státních dluhopisů (10Y)</c:v>
                </c:pt>
              </c:strCache>
            </c:strRef>
          </c:tx>
          <c:spPr>
            <a:ln w="19050">
              <a:solidFill>
                <a:srgbClr val="48AEE7"/>
              </a:solidFill>
            </a:ln>
          </c:spPr>
          <c:marker>
            <c:symbol val="none"/>
          </c:marker>
          <c:cat>
            <c:multiLvlStrRef>
              <c:f>'Měnové podmínky 1'!$A$30:$B$80</c:f>
              <c:multiLvlStrCache>
                <c:ptCount val="51"/>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lvl>
                <c:lvl>
                  <c:pt idx="0">
                    <c:v>2014</c:v>
                  </c:pt>
                  <c:pt idx="12">
                    <c:v>2015</c:v>
                  </c:pt>
                  <c:pt idx="24">
                    <c:v>2016</c:v>
                  </c:pt>
                  <c:pt idx="36">
                    <c:v>2017</c:v>
                  </c:pt>
                  <c:pt idx="48">
                    <c:v>2018</c:v>
                  </c:pt>
                </c:lvl>
              </c:multiLvlStrCache>
            </c:multiLvlStrRef>
          </c:cat>
          <c:val>
            <c:numRef>
              <c:f>'Měnové podmínky 1'!$H$30:$H$80</c:f>
              <c:numCache>
                <c:formatCode>General</c:formatCode>
                <c:ptCount val="51"/>
                <c:pt idx="0">
                  <c:v>2.4299999999999997</c:v>
                </c:pt>
                <c:pt idx="1">
                  <c:v>2.2799999999999998</c:v>
                </c:pt>
                <c:pt idx="2">
                  <c:v>2.2000000000000002</c:v>
                </c:pt>
                <c:pt idx="3">
                  <c:v>2</c:v>
                </c:pt>
                <c:pt idx="4">
                  <c:v>1.7300000000000004</c:v>
                </c:pt>
                <c:pt idx="5">
                  <c:v>1.55</c:v>
                </c:pt>
                <c:pt idx="6">
                  <c:v>1.49</c:v>
                </c:pt>
                <c:pt idx="7">
                  <c:v>1.3800000000000001</c:v>
                </c:pt>
                <c:pt idx="8">
                  <c:v>1.21</c:v>
                </c:pt>
                <c:pt idx="9">
                  <c:v>1.1000000000000001</c:v>
                </c:pt>
                <c:pt idx="10">
                  <c:v>0.87000000000000599</c:v>
                </c:pt>
                <c:pt idx="11">
                  <c:v>0.67000000000000781</c:v>
                </c:pt>
                <c:pt idx="12">
                  <c:v>0.35000000000000031</c:v>
                </c:pt>
                <c:pt idx="13">
                  <c:v>0.4</c:v>
                </c:pt>
                <c:pt idx="14">
                  <c:v>0.35000000000000031</c:v>
                </c:pt>
                <c:pt idx="15">
                  <c:v>0.26</c:v>
                </c:pt>
                <c:pt idx="16">
                  <c:v>0.60000000000000064</c:v>
                </c:pt>
                <c:pt idx="17">
                  <c:v>1.01</c:v>
                </c:pt>
                <c:pt idx="18">
                  <c:v>0.97000000000000064</c:v>
                </c:pt>
                <c:pt idx="19">
                  <c:v>0.74000000000000365</c:v>
                </c:pt>
                <c:pt idx="20">
                  <c:v>0.6800000000000006</c:v>
                </c:pt>
                <c:pt idx="21">
                  <c:v>0.56000000000000005</c:v>
                </c:pt>
                <c:pt idx="22">
                  <c:v>0.49000000000000032</c:v>
                </c:pt>
                <c:pt idx="23">
                  <c:v>0.49000000000000032</c:v>
                </c:pt>
                <c:pt idx="24">
                  <c:v>0.62000000000000599</c:v>
                </c:pt>
                <c:pt idx="25">
                  <c:v>0.46</c:v>
                </c:pt>
                <c:pt idx="26">
                  <c:v>0.35000000000000031</c:v>
                </c:pt>
                <c:pt idx="27">
                  <c:v>0.43000000000000038</c:v>
                </c:pt>
                <c:pt idx="28">
                  <c:v>0.46</c:v>
                </c:pt>
                <c:pt idx="29">
                  <c:v>0.45</c:v>
                </c:pt>
                <c:pt idx="30">
                  <c:v>0.37000000000000038</c:v>
                </c:pt>
                <c:pt idx="31">
                  <c:v>0.29000000000000031</c:v>
                </c:pt>
                <c:pt idx="32">
                  <c:v>0.25</c:v>
                </c:pt>
                <c:pt idx="33">
                  <c:v>0.37000000000000038</c:v>
                </c:pt>
                <c:pt idx="34">
                  <c:v>0.55000000000000004</c:v>
                </c:pt>
                <c:pt idx="35">
                  <c:v>0.53</c:v>
                </c:pt>
                <c:pt idx="36">
                  <c:v>0.47000000000000008</c:v>
                </c:pt>
                <c:pt idx="37">
                  <c:v>0.63000000000000667</c:v>
                </c:pt>
                <c:pt idx="38">
                  <c:v>0.87000000000000599</c:v>
                </c:pt>
                <c:pt idx="39">
                  <c:v>0.96000000000000063</c:v>
                </c:pt>
                <c:pt idx="40">
                  <c:v>0.74000000000000365</c:v>
                </c:pt>
                <c:pt idx="41">
                  <c:v>0.77000000000000646</c:v>
                </c:pt>
                <c:pt idx="42">
                  <c:v>0.9</c:v>
                </c:pt>
                <c:pt idx="43">
                  <c:v>0.83000000000000063</c:v>
                </c:pt>
                <c:pt idx="44">
                  <c:v>0.97000000000000064</c:v>
                </c:pt>
                <c:pt idx="45">
                  <c:v>1.45</c:v>
                </c:pt>
                <c:pt idx="46">
                  <c:v>1.6800000000000119</c:v>
                </c:pt>
                <c:pt idx="47">
                  <c:v>1.5</c:v>
                </c:pt>
                <c:pt idx="48">
                  <c:v>1.7700000000000005</c:v>
                </c:pt>
                <c:pt idx="49">
                  <c:v>1.82</c:v>
                </c:pt>
                <c:pt idx="50">
                  <c:v>1.81</c:v>
                </c:pt>
              </c:numCache>
            </c:numRef>
          </c:val>
          <c:extLst xmlns:c16r2="http://schemas.microsoft.com/office/drawing/2015/06/chart">
            <c:ext xmlns:c16="http://schemas.microsoft.com/office/drawing/2014/chart" uri="{C3380CC4-5D6E-409C-BE32-E72D297353CC}">
              <c16:uniqueId val="{00000005-6BDA-4094-B148-BBA01B7D35B0}"/>
            </c:ext>
          </c:extLst>
        </c:ser>
        <c:marker val="1"/>
        <c:axId val="158908800"/>
        <c:axId val="158910336"/>
      </c:lineChart>
      <c:catAx>
        <c:axId val="158908800"/>
        <c:scaling>
          <c:orientation val="minMax"/>
        </c:scaling>
        <c:axPos val="b"/>
        <c:numFmt formatCode="General" sourceLinked="0"/>
        <c:tickLblPos val="low"/>
        <c:spPr>
          <a:ln>
            <a:solidFill>
              <a:schemeClr val="tx1"/>
            </a:solidFill>
          </a:ln>
        </c:spPr>
        <c:crossAx val="158910336"/>
        <c:crosses val="autoZero"/>
        <c:auto val="1"/>
        <c:lblAlgn val="ctr"/>
        <c:lblOffset val="100"/>
      </c:catAx>
      <c:valAx>
        <c:axId val="158910336"/>
        <c:scaling>
          <c:orientation val="minMax"/>
          <c:min val="-1"/>
        </c:scaling>
        <c:axPos val="l"/>
        <c:majorGridlines>
          <c:spPr>
            <a:ln w="6350">
              <a:solidFill>
                <a:schemeClr val="bg1">
                  <a:lumMod val="75000"/>
                </a:schemeClr>
              </a:solidFill>
            </a:ln>
          </c:spPr>
        </c:majorGridlines>
        <c:numFmt formatCode="0" sourceLinked="0"/>
        <c:tickLblPos val="nextTo"/>
        <c:spPr>
          <a:ln>
            <a:solidFill>
              <a:schemeClr val="tx1"/>
            </a:solidFill>
          </a:ln>
        </c:spPr>
        <c:crossAx val="158908800"/>
        <c:crosses val="autoZero"/>
        <c:crossBetween val="between"/>
        <c:majorUnit val="1"/>
      </c:valAx>
      <c:spPr>
        <a:ln>
          <a:solidFill>
            <a:schemeClr val="tx1"/>
          </a:solidFill>
        </a:ln>
      </c:spPr>
    </c:plotArea>
    <c:legend>
      <c:legendPos val="b"/>
      <c:layout>
        <c:manualLayout>
          <c:xMode val="edge"/>
          <c:yMode val="edge"/>
          <c:x val="4.2139690982777013E-2"/>
          <c:y val="0.87558269120103249"/>
          <c:w val="0.93886651469098281"/>
          <c:h val="0.11015705924459968"/>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5577477727787412E-2"/>
          <c:y val="1.7107238390107422E-2"/>
          <c:w val="0.90191712370541621"/>
          <c:h val="0.80441990809425656"/>
        </c:manualLayout>
      </c:layout>
      <c:barChart>
        <c:barDir val="col"/>
        <c:grouping val="clustered"/>
        <c:ser>
          <c:idx val="2"/>
          <c:order val="4"/>
          <c:tx>
            <c:strRef>
              <c:f>'Státní rozpočet 1'!$A$57</c:f>
              <c:strCache>
                <c:ptCount val="1"/>
                <c:pt idx="0">
                  <c:v>Saldo státního rozpočtu</c:v>
                </c:pt>
              </c:strCache>
            </c:strRef>
          </c:tx>
          <c:spPr>
            <a:solidFill>
              <a:sysClr val="window" lastClr="FFFFFF">
                <a:lumMod val="75000"/>
              </a:sysClr>
            </a:solidFill>
            <a:ln>
              <a:noFill/>
            </a:ln>
          </c:spPr>
          <c:cat>
            <c:numRef>
              <c:f>'Státní rozpočet 1'!$B$52:$O$52</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'Státní rozpočet 1'!$B$57:$O$57</c:f>
              <c:numCache>
                <c:formatCode>#,##0.0</c:formatCode>
                <c:ptCount val="14"/>
                <c:pt idx="0">
                  <c:v>8.25</c:v>
                </c:pt>
                <c:pt idx="1">
                  <c:v>15.75</c:v>
                </c:pt>
                <c:pt idx="2">
                  <c:v>11.26</c:v>
                </c:pt>
                <c:pt idx="3">
                  <c:v>-13.347</c:v>
                </c:pt>
                <c:pt idx="4">
                  <c:v>-2.3459999999999988</c:v>
                </c:pt>
                <c:pt idx="5">
                  <c:v>-45.942</c:v>
                </c:pt>
                <c:pt idx="6">
                  <c:v>-25.202000000000002</c:v>
                </c:pt>
                <c:pt idx="7">
                  <c:v>-22.69</c:v>
                </c:pt>
                <c:pt idx="8">
                  <c:v>13.97</c:v>
                </c:pt>
                <c:pt idx="9">
                  <c:v>43.59</c:v>
                </c:pt>
                <c:pt idx="10">
                  <c:v>19.91</c:v>
                </c:pt>
                <c:pt idx="11">
                  <c:v>43.6</c:v>
                </c:pt>
                <c:pt idx="12">
                  <c:v>4.68</c:v>
                </c:pt>
                <c:pt idx="13">
                  <c:v>16.260000000000002</c:v>
                </c:pt>
              </c:numCache>
            </c:numRef>
          </c:val>
          <c:extLst xmlns:c16r2="http://schemas.microsoft.com/office/drawing/2015/06/chart">
            <c:ext xmlns:c16="http://schemas.microsoft.com/office/drawing/2014/chart" uri="{C3380CC4-5D6E-409C-BE32-E72D297353CC}">
              <c16:uniqueId val="{00000000-B8CF-450B-A681-D8C3DE70496E}"/>
            </c:ext>
          </c:extLst>
        </c:ser>
        <c:gapWidth val="43"/>
        <c:axId val="158970240"/>
        <c:axId val="158968448"/>
      </c:barChart>
      <c:lineChart>
        <c:grouping val="standard"/>
        <c:ser>
          <c:idx val="0"/>
          <c:order val="0"/>
          <c:tx>
            <c:strRef>
              <c:f>'Státní rozpočet 1'!$A$53</c:f>
              <c:strCache>
                <c:ptCount val="1"/>
                <c:pt idx="0">
                  <c:v>DPH</c:v>
                </c:pt>
              </c:strCache>
            </c:strRef>
          </c:tx>
          <c:spPr>
            <a:ln w="19050">
              <a:solidFill>
                <a:srgbClr val="BD1B25"/>
              </a:solidFill>
            </a:ln>
          </c:spPr>
          <c:marker>
            <c:symbol val="none"/>
          </c:marker>
          <c:cat>
            <c:numRef>
              <c:f>'Státní rozpočet 1'!$B$52:$O$52</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'Státní rozpočet 1'!$B$53:$O$53</c:f>
              <c:numCache>
                <c:formatCode>0.0</c:formatCode>
                <c:ptCount val="14"/>
                <c:pt idx="0">
                  <c:v>-5.6</c:v>
                </c:pt>
                <c:pt idx="1">
                  <c:v>27.9</c:v>
                </c:pt>
                <c:pt idx="2">
                  <c:v>4.2</c:v>
                </c:pt>
                <c:pt idx="3">
                  <c:v>4.3689320388349255</c:v>
                </c:pt>
                <c:pt idx="4">
                  <c:v>-6.4254952627045565</c:v>
                </c:pt>
                <c:pt idx="5">
                  <c:v>11.616347569955821</c:v>
                </c:pt>
                <c:pt idx="6">
                  <c:v>-6.6138875144318066</c:v>
                </c:pt>
                <c:pt idx="7">
                  <c:v>3.2144118685977063</c:v>
                </c:pt>
                <c:pt idx="8">
                  <c:v>25.496235455167689</c:v>
                </c:pt>
                <c:pt idx="9">
                  <c:v>15.121352604308711</c:v>
                </c:pt>
                <c:pt idx="10">
                  <c:v>-14.307710529432686</c:v>
                </c:pt>
                <c:pt idx="11">
                  <c:v>4.1879751209398677</c:v>
                </c:pt>
                <c:pt idx="12">
                  <c:v>8.6229769169541015</c:v>
                </c:pt>
                <c:pt idx="13">
                  <c:v>13.14118221787983</c:v>
                </c:pt>
              </c:numCache>
            </c:numRef>
          </c:val>
          <c:extLst xmlns:c16r2="http://schemas.microsoft.com/office/drawing/2015/06/chart">
            <c:ext xmlns:c16="http://schemas.microsoft.com/office/drawing/2014/chart" uri="{C3380CC4-5D6E-409C-BE32-E72D297353CC}">
              <c16:uniqueId val="{00000001-B8CF-450B-A681-D8C3DE70496E}"/>
            </c:ext>
          </c:extLst>
        </c:ser>
        <c:ser>
          <c:idx val="1"/>
          <c:order val="1"/>
          <c:tx>
            <c:strRef>
              <c:f>'Státní rozpočet 1'!$A$54</c:f>
              <c:strCache>
                <c:ptCount val="1"/>
                <c:pt idx="0">
                  <c:v>Spotřební daň</c:v>
                </c:pt>
              </c:strCache>
            </c:strRef>
          </c:tx>
          <c:spPr>
            <a:ln w="19050">
              <a:solidFill>
                <a:srgbClr val="7DBB2D"/>
              </a:solidFill>
              <a:prstDash val="solid"/>
            </a:ln>
          </c:spPr>
          <c:marker>
            <c:symbol val="none"/>
          </c:marker>
          <c:cat>
            <c:numRef>
              <c:f>'Státní rozpočet 1'!$B$52:$O$52</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'Státní rozpočet 1'!$B$54:$O$54</c:f>
              <c:numCache>
                <c:formatCode>0.0</c:formatCode>
                <c:ptCount val="14"/>
                <c:pt idx="0">
                  <c:v>19.899999999999999</c:v>
                </c:pt>
                <c:pt idx="1">
                  <c:v>5</c:v>
                </c:pt>
                <c:pt idx="2">
                  <c:v>4.3</c:v>
                </c:pt>
                <c:pt idx="3">
                  <c:v>-0.9807023093957471</c:v>
                </c:pt>
                <c:pt idx="4">
                  <c:v>-13.322683706070302</c:v>
                </c:pt>
                <c:pt idx="5">
                  <c:v>28.603022484334673</c:v>
                </c:pt>
                <c:pt idx="6">
                  <c:v>-3.6113499570077332</c:v>
                </c:pt>
                <c:pt idx="7">
                  <c:v>9.5450490633363074</c:v>
                </c:pt>
                <c:pt idx="8">
                  <c:v>9.9077090119435525</c:v>
                </c:pt>
                <c:pt idx="9">
                  <c:v>13.879970363052593</c:v>
                </c:pt>
                <c:pt idx="10">
                  <c:v>-27.998265018434193</c:v>
                </c:pt>
                <c:pt idx="11">
                  <c:v>8.1626506024097161</c:v>
                </c:pt>
                <c:pt idx="12">
                  <c:v>2.339181286549703</c:v>
                </c:pt>
                <c:pt idx="13">
                  <c:v>3.4013605442177002</c:v>
                </c:pt>
              </c:numCache>
            </c:numRef>
          </c:val>
          <c:extLst xmlns:c16r2="http://schemas.microsoft.com/office/drawing/2015/06/chart">
            <c:ext xmlns:c16="http://schemas.microsoft.com/office/drawing/2014/chart" uri="{C3380CC4-5D6E-409C-BE32-E72D297353CC}">
              <c16:uniqueId val="{00000002-B8CF-450B-A681-D8C3DE70496E}"/>
            </c:ext>
          </c:extLst>
        </c:ser>
        <c:ser>
          <c:idx val="3"/>
          <c:order val="2"/>
          <c:tx>
            <c:strRef>
              <c:f>'Státní rozpočet 1'!$A$55</c:f>
              <c:strCache>
                <c:ptCount val="1"/>
                <c:pt idx="0">
                  <c:v>Daně z příjmů FO ze závislé činnosti</c:v>
                </c:pt>
              </c:strCache>
            </c:strRef>
          </c:tx>
          <c:spPr>
            <a:ln w="19050">
              <a:solidFill>
                <a:srgbClr val="0071BC"/>
              </a:solidFill>
              <a:prstDash val="solid"/>
            </a:ln>
          </c:spPr>
          <c:marker>
            <c:symbol val="none"/>
          </c:marker>
          <c:cat>
            <c:numRef>
              <c:f>'Státní rozpočet 1'!$B$52:$O$52</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'Státní rozpočet 1'!$B$55:$O$55</c:f>
              <c:numCache>
                <c:formatCode>0.0</c:formatCode>
                <c:ptCount val="14"/>
                <c:pt idx="0">
                  <c:v>6.9</c:v>
                </c:pt>
                <c:pt idx="1">
                  <c:v>4</c:v>
                </c:pt>
                <c:pt idx="2">
                  <c:v>9.1</c:v>
                </c:pt>
                <c:pt idx="3">
                  <c:v>1.2636612021857581</c:v>
                </c:pt>
                <c:pt idx="4">
                  <c:v>-4.5531197301854665</c:v>
                </c:pt>
                <c:pt idx="5">
                  <c:v>-1.7314487632508817</c:v>
                </c:pt>
                <c:pt idx="6">
                  <c:v>3.8475368572456152</c:v>
                </c:pt>
                <c:pt idx="7">
                  <c:v>3.8781163434903192</c:v>
                </c:pt>
                <c:pt idx="8">
                  <c:v>4.5000000000000142</c:v>
                </c:pt>
                <c:pt idx="9">
                  <c:v>0.76555023923444365</c:v>
                </c:pt>
                <c:pt idx="10">
                  <c:v>1.7727128838239861</c:v>
                </c:pt>
                <c:pt idx="11">
                  <c:v>8.2426127527216249</c:v>
                </c:pt>
                <c:pt idx="12">
                  <c:v>10.287356321839098</c:v>
                </c:pt>
                <c:pt idx="13">
                  <c:v>15.398645127670662</c:v>
                </c:pt>
              </c:numCache>
            </c:numRef>
          </c:val>
          <c:extLst xmlns:c16r2="http://schemas.microsoft.com/office/drawing/2015/06/chart">
            <c:ext xmlns:c16="http://schemas.microsoft.com/office/drawing/2014/chart" uri="{C3380CC4-5D6E-409C-BE32-E72D297353CC}">
              <c16:uniqueId val="{00000003-B8CF-450B-A681-D8C3DE70496E}"/>
            </c:ext>
          </c:extLst>
        </c:ser>
        <c:ser>
          <c:idx val="4"/>
          <c:order val="3"/>
          <c:tx>
            <c:strRef>
              <c:f>'Státní rozpočet 1'!$A$56</c:f>
              <c:strCache>
                <c:ptCount val="1"/>
                <c:pt idx="0">
                  <c:v>Daně z příjmů PO</c:v>
                </c:pt>
              </c:strCache>
            </c:strRef>
          </c:tx>
          <c:spPr>
            <a:ln w="19050">
              <a:noFill/>
            </a:ln>
          </c:spPr>
          <c:marker>
            <c:symbol val="diamond"/>
            <c:size val="6"/>
            <c:spPr>
              <a:solidFill>
                <a:srgbClr val="984807"/>
              </a:solidFill>
              <a:ln>
                <a:noFill/>
              </a:ln>
            </c:spPr>
          </c:marker>
          <c:cat>
            <c:numRef>
              <c:f>'Státní rozpočet 1'!$B$52:$O$52</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'Státní rozpočet 1'!$B$56:$O$56</c:f>
              <c:numCache>
                <c:formatCode>0.0</c:formatCode>
                <c:ptCount val="14"/>
                <c:pt idx="0">
                  <c:v>17.3</c:v>
                </c:pt>
                <c:pt idx="1">
                  <c:v>18.100000000000001</c:v>
                </c:pt>
                <c:pt idx="2">
                  <c:v>2.1</c:v>
                </c:pt>
                <c:pt idx="3">
                  <c:v>18.382591750568199</c:v>
                </c:pt>
                <c:pt idx="4">
                  <c:v>-14.074074074074073</c:v>
                </c:pt>
                <c:pt idx="5">
                  <c:v>-3.1928480204342587E-2</c:v>
                </c:pt>
                <c:pt idx="6">
                  <c:v>-8.6234429894602567</c:v>
                </c:pt>
                <c:pt idx="7">
                  <c:v>-0.66410346032855405</c:v>
                </c:pt>
                <c:pt idx="8">
                  <c:v>-0.49261083743842032</c:v>
                </c:pt>
                <c:pt idx="9">
                  <c:v>2.5813295615276273</c:v>
                </c:pt>
                <c:pt idx="10">
                  <c:v>7.2388831437435712</c:v>
                </c:pt>
                <c:pt idx="11">
                  <c:v>12.600450016072022</c:v>
                </c:pt>
                <c:pt idx="12">
                  <c:v>10.248358549814297</c:v>
                </c:pt>
                <c:pt idx="13">
                  <c:v>1.1651993785603452</c:v>
                </c:pt>
              </c:numCache>
            </c:numRef>
          </c:val>
          <c:extLst xmlns:c16r2="http://schemas.microsoft.com/office/drawing/2015/06/chart">
            <c:ext xmlns:c16="http://schemas.microsoft.com/office/drawing/2014/chart" uri="{C3380CC4-5D6E-409C-BE32-E72D297353CC}">
              <c16:uniqueId val="{00000004-B8CF-450B-A681-D8C3DE70496E}"/>
            </c:ext>
          </c:extLst>
        </c:ser>
        <c:marker val="1"/>
        <c:axId val="158956544"/>
        <c:axId val="158966912"/>
      </c:lineChart>
      <c:catAx>
        <c:axId val="158956544"/>
        <c:scaling>
          <c:orientation val="minMax"/>
        </c:scaling>
        <c:axPos val="b"/>
        <c:numFmt formatCode="General" sourceLinked="1"/>
        <c:tickLblPos val="low"/>
        <c:spPr>
          <a:ln>
            <a:solidFill>
              <a:schemeClr val="tx1"/>
            </a:solidFill>
          </a:ln>
        </c:spPr>
        <c:crossAx val="158966912"/>
        <c:crosses val="autoZero"/>
        <c:auto val="1"/>
        <c:lblAlgn val="ctr"/>
        <c:lblOffset val="0"/>
      </c:catAx>
      <c:valAx>
        <c:axId val="158966912"/>
        <c:scaling>
          <c:orientation val="minMax"/>
          <c:max val="50"/>
          <c:min val="-50"/>
        </c:scaling>
        <c:axPos val="l"/>
        <c:majorGridlines>
          <c:spPr>
            <a:ln w="6350">
              <a:solidFill>
                <a:schemeClr val="bg1">
                  <a:lumMod val="75000"/>
                </a:schemeClr>
              </a:solidFill>
            </a:ln>
          </c:spPr>
        </c:majorGridlines>
        <c:numFmt formatCode="0" sourceLinked="0"/>
        <c:tickLblPos val="nextTo"/>
        <c:spPr>
          <a:ln>
            <a:solidFill>
              <a:schemeClr val="tx1"/>
            </a:solidFill>
          </a:ln>
        </c:spPr>
        <c:crossAx val="158956544"/>
        <c:crosses val="autoZero"/>
        <c:crossBetween val="between"/>
        <c:majorUnit val="5"/>
      </c:valAx>
      <c:valAx>
        <c:axId val="158968448"/>
        <c:scaling>
          <c:orientation val="minMax"/>
          <c:max val="50"/>
          <c:min val="-50"/>
        </c:scaling>
        <c:axPos val="r"/>
        <c:numFmt formatCode="#,##0" sourceLinked="0"/>
        <c:tickLblPos val="nextTo"/>
        <c:crossAx val="158970240"/>
        <c:crosses val="max"/>
        <c:crossBetween val="between"/>
        <c:majorUnit val="10"/>
      </c:valAx>
      <c:catAx>
        <c:axId val="158970240"/>
        <c:scaling>
          <c:orientation val="minMax"/>
        </c:scaling>
        <c:delete val="1"/>
        <c:axPos val="b"/>
        <c:numFmt formatCode="General" sourceLinked="1"/>
        <c:tickLblPos val="none"/>
        <c:crossAx val="158968448"/>
        <c:crosses val="autoZero"/>
        <c:auto val="1"/>
        <c:lblAlgn val="ctr"/>
        <c:lblOffset val="100"/>
      </c:catAx>
      <c:spPr>
        <a:ln>
          <a:solidFill>
            <a:schemeClr val="tx1"/>
          </a:solidFill>
        </a:ln>
      </c:spPr>
    </c:plotArea>
    <c:legend>
      <c:legendPos val="b"/>
      <c:layout>
        <c:manualLayout>
          <c:xMode val="edge"/>
          <c:yMode val="edge"/>
          <c:x val="5.1878156565656246E-2"/>
          <c:y val="0.87269019274377979"/>
          <c:w val="0.88108922558922553"/>
          <c:h val="0.12011026077097522"/>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3654503640965086E-2"/>
          <c:y val="1.7112323287741892E-2"/>
          <c:w val="0.88571919735113291"/>
          <c:h val="0.77159886555756463"/>
        </c:manualLayout>
      </c:layout>
      <c:barChart>
        <c:barDir val="col"/>
        <c:grouping val="clustered"/>
        <c:ser>
          <c:idx val="0"/>
          <c:order val="0"/>
          <c:tx>
            <c:strRef>
              <c:f>'Státní rozpočet 3'!$B$54</c:f>
              <c:strCache>
                <c:ptCount val="1"/>
                <c:pt idx="0">
                  <c:v>Běžné výdaje (pravá osa)</c:v>
                </c:pt>
              </c:strCache>
            </c:strRef>
          </c:tx>
          <c:spPr>
            <a:solidFill>
              <a:schemeClr val="bg1">
                <a:lumMod val="75000"/>
              </a:schemeClr>
            </a:solidFill>
            <a:ln>
              <a:noFill/>
            </a:ln>
          </c:spPr>
          <c:cat>
            <c:numRef>
              <c:f>'Státní rozpočet 3'!$A$55:$A$68</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'Státní rozpočet 3'!$B$55:$B$68</c:f>
              <c:numCache>
                <c:formatCode>0.0</c:formatCode>
                <c:ptCount val="14"/>
                <c:pt idx="0">
                  <c:v>192.453</c:v>
                </c:pt>
                <c:pt idx="1">
                  <c:v>210.25</c:v>
                </c:pt>
                <c:pt idx="2">
                  <c:v>220.65</c:v>
                </c:pt>
                <c:pt idx="3">
                  <c:v>251.64</c:v>
                </c:pt>
                <c:pt idx="4">
                  <c:v>242.03</c:v>
                </c:pt>
                <c:pt idx="5">
                  <c:v>262.01</c:v>
                </c:pt>
                <c:pt idx="6">
                  <c:v>252.45000000000007</c:v>
                </c:pt>
                <c:pt idx="7">
                  <c:v>258.94</c:v>
                </c:pt>
                <c:pt idx="8">
                  <c:v>261.20999999999964</c:v>
                </c:pt>
                <c:pt idx="9">
                  <c:v>265.72000000000003</c:v>
                </c:pt>
                <c:pt idx="10">
                  <c:v>274.76</c:v>
                </c:pt>
                <c:pt idx="11">
                  <c:v>278.33</c:v>
                </c:pt>
                <c:pt idx="12">
                  <c:v>296.72000000000003</c:v>
                </c:pt>
                <c:pt idx="13">
                  <c:v>317.72000000000003</c:v>
                </c:pt>
              </c:numCache>
            </c:numRef>
          </c:val>
          <c:extLst xmlns:c16r2="http://schemas.microsoft.com/office/drawing/2015/06/chart">
            <c:ext xmlns:c16="http://schemas.microsoft.com/office/drawing/2014/chart" uri="{C3380CC4-5D6E-409C-BE32-E72D297353CC}">
              <c16:uniqueId val="{00000000-8A62-4E99-9AA7-BBDACA10A35D}"/>
            </c:ext>
          </c:extLst>
        </c:ser>
        <c:gapWidth val="70"/>
        <c:axId val="159107328"/>
        <c:axId val="159105792"/>
      </c:barChart>
      <c:lineChart>
        <c:grouping val="standard"/>
        <c:ser>
          <c:idx val="1"/>
          <c:order val="1"/>
          <c:tx>
            <c:strRef>
              <c:f>'Státní rozpočet 3'!$C$54</c:f>
              <c:strCache>
                <c:ptCount val="1"/>
                <c:pt idx="0">
                  <c:v>Platy státních zaměstnanců</c:v>
                </c:pt>
              </c:strCache>
            </c:strRef>
          </c:tx>
          <c:spPr>
            <a:ln w="19050">
              <a:solidFill>
                <a:srgbClr val="984807"/>
              </a:solidFill>
            </a:ln>
          </c:spPr>
          <c:marker>
            <c:symbol val="none"/>
          </c:marker>
          <c:cat>
            <c:numRef>
              <c:f>'Státní rozpočet 3'!$A$55:$A$68</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'Státní rozpočet 3'!$C$55:$C$68</c:f>
              <c:numCache>
                <c:formatCode>0.0</c:formatCode>
                <c:ptCount val="14"/>
                <c:pt idx="0">
                  <c:v>13.224</c:v>
                </c:pt>
                <c:pt idx="1">
                  <c:v>13.83</c:v>
                </c:pt>
                <c:pt idx="2">
                  <c:v>14.850000000000026</c:v>
                </c:pt>
                <c:pt idx="3">
                  <c:v>14.73</c:v>
                </c:pt>
                <c:pt idx="4">
                  <c:v>15.14</c:v>
                </c:pt>
                <c:pt idx="5">
                  <c:v>15.42</c:v>
                </c:pt>
                <c:pt idx="6">
                  <c:v>14.05</c:v>
                </c:pt>
                <c:pt idx="7">
                  <c:v>14.350000000000026</c:v>
                </c:pt>
                <c:pt idx="8">
                  <c:v>14.46</c:v>
                </c:pt>
                <c:pt idx="9">
                  <c:v>14.8</c:v>
                </c:pt>
                <c:pt idx="10">
                  <c:v>15.8</c:v>
                </c:pt>
                <c:pt idx="11">
                  <c:v>16.75</c:v>
                </c:pt>
                <c:pt idx="12">
                  <c:v>17.75</c:v>
                </c:pt>
                <c:pt idx="13">
                  <c:v>20.36</c:v>
                </c:pt>
              </c:numCache>
            </c:numRef>
          </c:val>
          <c:extLst xmlns:c16r2="http://schemas.microsoft.com/office/drawing/2015/06/chart">
            <c:ext xmlns:c16="http://schemas.microsoft.com/office/drawing/2014/chart" uri="{C3380CC4-5D6E-409C-BE32-E72D297353CC}">
              <c16:uniqueId val="{00000001-8A62-4E99-9AA7-BBDACA10A35D}"/>
            </c:ext>
          </c:extLst>
        </c:ser>
        <c:ser>
          <c:idx val="6"/>
          <c:order val="2"/>
          <c:tx>
            <c:strRef>
              <c:f>'Státní rozpočet 3'!$D$54</c:f>
              <c:strCache>
                <c:ptCount val="1"/>
                <c:pt idx="0">
                  <c:v>Podpora v nezaměstnanosti</c:v>
                </c:pt>
              </c:strCache>
            </c:strRef>
          </c:tx>
          <c:spPr>
            <a:ln w="19050">
              <a:solidFill>
                <a:srgbClr val="11AEE7"/>
              </a:solidFill>
            </a:ln>
          </c:spPr>
          <c:marker>
            <c:symbol val="none"/>
          </c:marker>
          <c:cat>
            <c:numRef>
              <c:f>'Státní rozpočet 3'!$A$55:$A$68</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'Státní rozpočet 3'!$D$55:$D$68</c:f>
              <c:numCache>
                <c:formatCode>0.0</c:formatCode>
                <c:ptCount val="14"/>
                <c:pt idx="0">
                  <c:v>1.903</c:v>
                </c:pt>
                <c:pt idx="1">
                  <c:v>2.0099999999999998</c:v>
                </c:pt>
                <c:pt idx="2">
                  <c:v>2.0099999999999998</c:v>
                </c:pt>
                <c:pt idx="3">
                  <c:v>1.87</c:v>
                </c:pt>
                <c:pt idx="4">
                  <c:v>3.07</c:v>
                </c:pt>
                <c:pt idx="5">
                  <c:v>4.21</c:v>
                </c:pt>
                <c:pt idx="6">
                  <c:v>3.62</c:v>
                </c:pt>
                <c:pt idx="7">
                  <c:v>2.63</c:v>
                </c:pt>
                <c:pt idx="8">
                  <c:v>2.82</c:v>
                </c:pt>
                <c:pt idx="9">
                  <c:v>2.86</c:v>
                </c:pt>
                <c:pt idx="10">
                  <c:v>2.56</c:v>
                </c:pt>
                <c:pt idx="11">
                  <c:v>2.4499999999999997</c:v>
                </c:pt>
                <c:pt idx="12">
                  <c:v>2.42</c:v>
                </c:pt>
                <c:pt idx="13">
                  <c:v>2.21</c:v>
                </c:pt>
              </c:numCache>
            </c:numRef>
          </c:val>
          <c:extLst xmlns:c16r2="http://schemas.microsoft.com/office/drawing/2015/06/chart">
            <c:ext xmlns:c16="http://schemas.microsoft.com/office/drawing/2014/chart" uri="{C3380CC4-5D6E-409C-BE32-E72D297353CC}">
              <c16:uniqueId val="{00000002-8A62-4E99-9AA7-BBDACA10A35D}"/>
            </c:ext>
          </c:extLst>
        </c:ser>
        <c:ser>
          <c:idx val="2"/>
          <c:order val="3"/>
          <c:tx>
            <c:strRef>
              <c:f>'Státní rozpočet 3'!$E$54</c:f>
              <c:strCache>
                <c:ptCount val="1"/>
                <c:pt idx="0">
                  <c:v>Státní sociální podpora*</c:v>
                </c:pt>
              </c:strCache>
            </c:strRef>
          </c:tx>
          <c:spPr>
            <a:ln w="19050">
              <a:solidFill>
                <a:srgbClr val="0071BC"/>
              </a:solidFill>
            </a:ln>
          </c:spPr>
          <c:marker>
            <c:symbol val="none"/>
          </c:marker>
          <c:cat>
            <c:numRef>
              <c:f>'Státní rozpočet 3'!$A$55:$A$68</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'Státní rozpočet 3'!$E$55:$E$68</c:f>
              <c:numCache>
                <c:formatCode>General</c:formatCode>
                <c:ptCount val="14"/>
                <c:pt idx="0" formatCode="0.00">
                  <c:v>8.2420000000000009</c:v>
                </c:pt>
                <c:pt idx="1">
                  <c:v>8.39</c:v>
                </c:pt>
                <c:pt idx="2">
                  <c:v>11.18</c:v>
                </c:pt>
                <c:pt idx="3">
                  <c:v>11.07</c:v>
                </c:pt>
                <c:pt idx="4">
                  <c:v>10.200000000000001</c:v>
                </c:pt>
                <c:pt idx="5">
                  <c:v>10.3</c:v>
                </c:pt>
                <c:pt idx="6">
                  <c:v>9.3800000000000008</c:v>
                </c:pt>
                <c:pt idx="7">
                  <c:v>8.89</c:v>
                </c:pt>
                <c:pt idx="8">
                  <c:v>9.2200000000000024</c:v>
                </c:pt>
                <c:pt idx="9">
                  <c:v>9.3700000000000028</c:v>
                </c:pt>
                <c:pt idx="10">
                  <c:v>9.33</c:v>
                </c:pt>
                <c:pt idx="11">
                  <c:v>9.3800000000000008</c:v>
                </c:pt>
                <c:pt idx="12">
                  <c:v>9.2900000000000009</c:v>
                </c:pt>
                <c:pt idx="13">
                  <c:v>9.5300000000000011</c:v>
                </c:pt>
              </c:numCache>
            </c:numRef>
          </c:val>
          <c:extLst xmlns:c16r2="http://schemas.microsoft.com/office/drawing/2015/06/chart">
            <c:ext xmlns:c16="http://schemas.microsoft.com/office/drawing/2014/chart" uri="{C3380CC4-5D6E-409C-BE32-E72D297353CC}">
              <c16:uniqueId val="{00000003-8A62-4E99-9AA7-BBDACA10A35D}"/>
            </c:ext>
          </c:extLst>
        </c:ser>
        <c:ser>
          <c:idx val="3"/>
          <c:order val="4"/>
          <c:tx>
            <c:strRef>
              <c:f>'Státní rozpočet 3'!$F$54</c:f>
              <c:strCache>
                <c:ptCount val="1"/>
                <c:pt idx="0">
                  <c:v>Dávky nemocenského pojištění</c:v>
                </c:pt>
              </c:strCache>
            </c:strRef>
          </c:tx>
          <c:spPr>
            <a:ln w="19050">
              <a:solidFill>
                <a:srgbClr val="7030A0"/>
              </a:solidFill>
            </a:ln>
          </c:spPr>
          <c:marker>
            <c:symbol val="none"/>
          </c:marker>
          <c:cat>
            <c:numRef>
              <c:f>'Státní rozpočet 3'!$A$55:$A$68</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'Státní rozpočet 3'!$F$55:$F$68</c:f>
              <c:numCache>
                <c:formatCode>0.00</c:formatCode>
                <c:ptCount val="14"/>
                <c:pt idx="0">
                  <c:v>8.9</c:v>
                </c:pt>
                <c:pt idx="1">
                  <c:v>9.6</c:v>
                </c:pt>
                <c:pt idx="2">
                  <c:v>9.6080000000000005</c:v>
                </c:pt>
                <c:pt idx="3">
                  <c:v>9.09</c:v>
                </c:pt>
                <c:pt idx="4">
                  <c:v>7.2700000000000014</c:v>
                </c:pt>
                <c:pt idx="5">
                  <c:v>6.07</c:v>
                </c:pt>
                <c:pt idx="6">
                  <c:v>6.07</c:v>
                </c:pt>
                <c:pt idx="7">
                  <c:v>5.21</c:v>
                </c:pt>
                <c:pt idx="8">
                  <c:v>5.3</c:v>
                </c:pt>
                <c:pt idx="9">
                  <c:v>5.4700000000000024</c:v>
                </c:pt>
                <c:pt idx="10">
                  <c:v>6.21</c:v>
                </c:pt>
                <c:pt idx="11">
                  <c:v>6.67</c:v>
                </c:pt>
                <c:pt idx="12">
                  <c:v>7.4700000000000024</c:v>
                </c:pt>
                <c:pt idx="13">
                  <c:v>8.2900000000000009</c:v>
                </c:pt>
              </c:numCache>
            </c:numRef>
          </c:val>
          <c:extLst xmlns:c16r2="http://schemas.microsoft.com/office/drawing/2015/06/chart">
            <c:ext xmlns:c16="http://schemas.microsoft.com/office/drawing/2014/chart" uri="{C3380CC4-5D6E-409C-BE32-E72D297353CC}">
              <c16:uniqueId val="{00000004-8A62-4E99-9AA7-BBDACA10A35D}"/>
            </c:ext>
          </c:extLst>
        </c:ser>
        <c:ser>
          <c:idx val="4"/>
          <c:order val="5"/>
          <c:tx>
            <c:strRef>
              <c:f>'Státní rozpočet 3'!$G$54</c:f>
              <c:strCache>
                <c:ptCount val="1"/>
                <c:pt idx="0">
                  <c:v>Dávky sociální péče**</c:v>
                </c:pt>
              </c:strCache>
            </c:strRef>
          </c:tx>
          <c:spPr>
            <a:ln w="19050">
              <a:solidFill>
                <a:srgbClr val="7DBB2D"/>
              </a:solidFill>
            </a:ln>
          </c:spPr>
          <c:marker>
            <c:symbol val="none"/>
          </c:marker>
          <c:cat>
            <c:numRef>
              <c:f>'Státní rozpočet 3'!$A$55:$A$68</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'Státní rozpočet 3'!$G$55:$G$68</c:f>
              <c:numCache>
                <c:formatCode>General</c:formatCode>
                <c:ptCount val="14"/>
                <c:pt idx="2" formatCode="0.00">
                  <c:v>8.8000000000000007</c:v>
                </c:pt>
                <c:pt idx="3" formatCode="0.00">
                  <c:v>7.8000000000000007</c:v>
                </c:pt>
                <c:pt idx="4" formatCode="0.00">
                  <c:v>7.1</c:v>
                </c:pt>
                <c:pt idx="5" formatCode="0.00">
                  <c:v>7.1999999999999975</c:v>
                </c:pt>
                <c:pt idx="6" formatCode="0.00">
                  <c:v>6.68</c:v>
                </c:pt>
                <c:pt idx="7" formatCode="0.00">
                  <c:v>6.37</c:v>
                </c:pt>
                <c:pt idx="8" formatCode="0.00">
                  <c:v>7.64</c:v>
                </c:pt>
                <c:pt idx="9" formatCode="0.00">
                  <c:v>8.2100000000000009</c:v>
                </c:pt>
                <c:pt idx="10" formatCode="0.00">
                  <c:v>8.44</c:v>
                </c:pt>
                <c:pt idx="11" formatCode="0.00">
                  <c:v>8.34</c:v>
                </c:pt>
                <c:pt idx="12" formatCode="0.00">
                  <c:v>8.8500000000000068</c:v>
                </c:pt>
                <c:pt idx="13" formatCode="0.00">
                  <c:v>8.48</c:v>
                </c:pt>
              </c:numCache>
            </c:numRef>
          </c:val>
          <c:extLst xmlns:c16r2="http://schemas.microsoft.com/office/drawing/2015/06/chart">
            <c:ext xmlns:c16="http://schemas.microsoft.com/office/drawing/2014/chart" uri="{C3380CC4-5D6E-409C-BE32-E72D297353CC}">
              <c16:uniqueId val="{00000005-8A62-4E99-9AA7-BBDACA10A35D}"/>
            </c:ext>
          </c:extLst>
        </c:ser>
        <c:ser>
          <c:idx val="5"/>
          <c:order val="6"/>
          <c:tx>
            <c:strRef>
              <c:f>'Státní rozpočet 3'!$H$54</c:f>
              <c:strCache>
                <c:ptCount val="1"/>
                <c:pt idx="0">
                  <c:v>Státní dluh (čisté výdaje)***</c:v>
                </c:pt>
              </c:strCache>
            </c:strRef>
          </c:tx>
          <c:spPr>
            <a:ln w="19050">
              <a:solidFill>
                <a:srgbClr val="F8A124"/>
              </a:solidFill>
            </a:ln>
          </c:spPr>
          <c:marker>
            <c:symbol val="none"/>
          </c:marker>
          <c:cat>
            <c:numRef>
              <c:f>'Státní rozpočet 3'!$A$55:$A$68</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'Státní rozpočet 3'!$H$55:$H$68</c:f>
              <c:numCache>
                <c:formatCode>0.0</c:formatCode>
                <c:ptCount val="14"/>
                <c:pt idx="0">
                  <c:v>9.4450000000000003</c:v>
                </c:pt>
                <c:pt idx="1">
                  <c:v>9.64</c:v>
                </c:pt>
                <c:pt idx="2">
                  <c:v>8.620000000000001</c:v>
                </c:pt>
                <c:pt idx="3">
                  <c:v>6.4700000000000024</c:v>
                </c:pt>
                <c:pt idx="4">
                  <c:v>7.31</c:v>
                </c:pt>
                <c:pt idx="5">
                  <c:v>2.6399999999999997</c:v>
                </c:pt>
                <c:pt idx="6">
                  <c:v>3.4000000000000004</c:v>
                </c:pt>
                <c:pt idx="7">
                  <c:v>1.54</c:v>
                </c:pt>
                <c:pt idx="8">
                  <c:v>2.2599999999999998</c:v>
                </c:pt>
                <c:pt idx="9">
                  <c:v>2.13</c:v>
                </c:pt>
                <c:pt idx="10">
                  <c:v>0.96999999999999975</c:v>
                </c:pt>
                <c:pt idx="11">
                  <c:v>3.13</c:v>
                </c:pt>
                <c:pt idx="12">
                  <c:v>-0.31000000000000238</c:v>
                </c:pt>
                <c:pt idx="13">
                  <c:v>2.06</c:v>
                </c:pt>
              </c:numCache>
            </c:numRef>
          </c:val>
          <c:extLst xmlns:c16r2="http://schemas.microsoft.com/office/drawing/2015/06/chart">
            <c:ext xmlns:c16="http://schemas.microsoft.com/office/drawing/2014/chart" uri="{C3380CC4-5D6E-409C-BE32-E72D297353CC}">
              <c16:uniqueId val="{00000006-8A62-4E99-9AA7-BBDACA10A35D}"/>
            </c:ext>
          </c:extLst>
        </c:ser>
        <c:ser>
          <c:idx val="8"/>
          <c:order val="7"/>
          <c:tx>
            <c:strRef>
              <c:f>'Státní rozpočet 3'!$I$54</c:f>
              <c:strCache>
                <c:ptCount val="1"/>
                <c:pt idx="0">
                  <c:v>Kapitálové výdaje</c:v>
                </c:pt>
              </c:strCache>
            </c:strRef>
          </c:tx>
          <c:spPr>
            <a:ln w="19050">
              <a:solidFill>
                <a:schemeClr val="tx1">
                  <a:lumMod val="95000"/>
                  <a:lumOff val="5000"/>
                </a:schemeClr>
              </a:solidFill>
              <a:prstDash val="sysDash"/>
            </a:ln>
          </c:spPr>
          <c:marker>
            <c:symbol val="none"/>
          </c:marker>
          <c:cat>
            <c:numRef>
              <c:f>'Státní rozpočet 3'!$A$55:$A$68</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'Státní rozpočet 3'!$I$55:$I$68</c:f>
              <c:numCache>
                <c:formatCode>0.0</c:formatCode>
                <c:ptCount val="14"/>
                <c:pt idx="0">
                  <c:v>6.1209999999999845</c:v>
                </c:pt>
                <c:pt idx="1">
                  <c:v>9.93</c:v>
                </c:pt>
                <c:pt idx="2">
                  <c:v>10.07</c:v>
                </c:pt>
                <c:pt idx="3">
                  <c:v>31.85</c:v>
                </c:pt>
                <c:pt idx="4">
                  <c:v>31.88</c:v>
                </c:pt>
                <c:pt idx="5">
                  <c:v>33.1</c:v>
                </c:pt>
                <c:pt idx="6">
                  <c:v>26.12</c:v>
                </c:pt>
                <c:pt idx="7">
                  <c:v>22.19</c:v>
                </c:pt>
                <c:pt idx="8">
                  <c:v>17.690000000000001</c:v>
                </c:pt>
                <c:pt idx="9">
                  <c:v>14.93</c:v>
                </c:pt>
                <c:pt idx="10">
                  <c:v>19.779999999999987</c:v>
                </c:pt>
                <c:pt idx="11">
                  <c:v>20.02</c:v>
                </c:pt>
                <c:pt idx="12">
                  <c:v>6.2700000000000014</c:v>
                </c:pt>
                <c:pt idx="13">
                  <c:v>11.72</c:v>
                </c:pt>
              </c:numCache>
            </c:numRef>
          </c:val>
          <c:extLst xmlns:c16r2="http://schemas.microsoft.com/office/drawing/2015/06/chart">
            <c:ext xmlns:c16="http://schemas.microsoft.com/office/drawing/2014/chart" uri="{C3380CC4-5D6E-409C-BE32-E72D297353CC}">
              <c16:uniqueId val="{00000007-8A62-4E99-9AA7-BBDACA10A35D}"/>
            </c:ext>
          </c:extLst>
        </c:ser>
        <c:marker val="1"/>
        <c:axId val="159090176"/>
        <c:axId val="159091712"/>
      </c:lineChart>
      <c:catAx>
        <c:axId val="159090176"/>
        <c:scaling>
          <c:orientation val="minMax"/>
        </c:scaling>
        <c:axPos val="b"/>
        <c:numFmt formatCode="General" sourceLinked="1"/>
        <c:tickLblPos val="low"/>
        <c:spPr>
          <a:ln>
            <a:solidFill>
              <a:schemeClr val="bg1">
                <a:lumMod val="50000"/>
              </a:schemeClr>
            </a:solidFill>
          </a:ln>
        </c:spPr>
        <c:crossAx val="159091712"/>
        <c:crosses val="autoZero"/>
        <c:auto val="1"/>
        <c:lblAlgn val="ctr"/>
        <c:lblOffset val="20"/>
      </c:catAx>
      <c:valAx>
        <c:axId val="159091712"/>
        <c:scaling>
          <c:orientation val="minMax"/>
          <c:max val="33"/>
          <c:min val="0"/>
        </c:scaling>
        <c:axPos val="l"/>
        <c:majorGridlines>
          <c:spPr>
            <a:ln w="6350">
              <a:solidFill>
                <a:schemeClr val="bg1">
                  <a:lumMod val="75000"/>
                </a:schemeClr>
              </a:solidFill>
            </a:ln>
          </c:spPr>
        </c:majorGridlines>
        <c:numFmt formatCode="0" sourceLinked="0"/>
        <c:tickLblPos val="nextTo"/>
        <c:spPr>
          <a:ln>
            <a:solidFill>
              <a:schemeClr val="tx1"/>
            </a:solidFill>
          </a:ln>
        </c:spPr>
        <c:crossAx val="159090176"/>
        <c:crosses val="autoZero"/>
        <c:crossBetween val="between"/>
        <c:majorUnit val="3"/>
      </c:valAx>
      <c:valAx>
        <c:axId val="159105792"/>
        <c:scaling>
          <c:orientation val="minMax"/>
          <c:max val="330"/>
          <c:min val="0"/>
        </c:scaling>
        <c:axPos val="r"/>
        <c:numFmt formatCode="0" sourceLinked="0"/>
        <c:tickLblPos val="nextTo"/>
        <c:spPr>
          <a:ln>
            <a:solidFill>
              <a:schemeClr val="tx1"/>
            </a:solidFill>
          </a:ln>
        </c:spPr>
        <c:crossAx val="159107328"/>
        <c:crosses val="max"/>
        <c:crossBetween val="between"/>
        <c:majorUnit val="30"/>
      </c:valAx>
      <c:catAx>
        <c:axId val="159107328"/>
        <c:scaling>
          <c:orientation val="minMax"/>
        </c:scaling>
        <c:delete val="1"/>
        <c:axPos val="b"/>
        <c:numFmt formatCode="General" sourceLinked="1"/>
        <c:tickLblPos val="none"/>
        <c:crossAx val="159105792"/>
        <c:crosses val="autoZero"/>
        <c:auto val="1"/>
        <c:lblAlgn val="ctr"/>
        <c:lblOffset val="100"/>
      </c:catAx>
      <c:spPr>
        <a:ln>
          <a:solidFill>
            <a:schemeClr val="tx1"/>
          </a:solidFill>
        </a:ln>
      </c:spPr>
    </c:plotArea>
    <c:legend>
      <c:legendPos val="b"/>
      <c:layout>
        <c:manualLayout>
          <c:xMode val="edge"/>
          <c:yMode val="edge"/>
          <c:x val="5.5741128971108313E-2"/>
          <c:y val="0.84499966462057863"/>
          <c:w val="0.87022442515825205"/>
          <c:h val="0.14606204347549737"/>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6.3724701079031984E-2"/>
          <c:y val="2.6970778117567804E-2"/>
          <c:w val="0.87770649039241622"/>
          <c:h val="0.76009512552065761"/>
        </c:manualLayout>
      </c:layout>
      <c:barChart>
        <c:barDir val="col"/>
        <c:grouping val="clustered"/>
        <c:ser>
          <c:idx val="0"/>
          <c:order val="0"/>
          <c:tx>
            <c:strRef>
              <c:f>'souhrnná výkonnost 2'!$C$5</c:f>
              <c:strCache>
                <c:ptCount val="1"/>
                <c:pt idx="0">
                  <c:v>HDP (pravá osa)</c:v>
                </c:pt>
              </c:strCache>
            </c:strRef>
          </c:tx>
          <c:spPr>
            <a:solidFill>
              <a:srgbClr val="A6A6A6"/>
            </a:solidFill>
            <a:ln>
              <a:noFill/>
            </a:ln>
          </c:spPr>
          <c:val>
            <c:numRef>
              <c:f>'souhrnná výkonnost 2'!$C$18:$C$80</c:f>
              <c:numCache>
                <c:formatCode>0.0</c:formatCode>
                <c:ptCount val="63"/>
                <c:pt idx="0">
                  <c:v>-1.8</c:v>
                </c:pt>
                <c:pt idx="1">
                  <c:v>-1.8</c:v>
                </c:pt>
                <c:pt idx="2">
                  <c:v>-1.8</c:v>
                </c:pt>
                <c:pt idx="3">
                  <c:v>-1.1000000000000001</c:v>
                </c:pt>
                <c:pt idx="4">
                  <c:v>-1.1000000000000001</c:v>
                </c:pt>
                <c:pt idx="5">
                  <c:v>-1.1000000000000001</c:v>
                </c:pt>
                <c:pt idx="6">
                  <c:v>-0.4</c:v>
                </c:pt>
                <c:pt idx="7">
                  <c:v>-0.4</c:v>
                </c:pt>
                <c:pt idx="8">
                  <c:v>-0.4</c:v>
                </c:pt>
                <c:pt idx="9">
                  <c:v>1.3</c:v>
                </c:pt>
                <c:pt idx="10">
                  <c:v>1.3</c:v>
                </c:pt>
                <c:pt idx="11">
                  <c:v>1.3</c:v>
                </c:pt>
                <c:pt idx="12">
                  <c:v>1.6</c:v>
                </c:pt>
                <c:pt idx="13">
                  <c:v>1.6</c:v>
                </c:pt>
                <c:pt idx="14">
                  <c:v>1.6</c:v>
                </c:pt>
                <c:pt idx="15">
                  <c:v>2.4</c:v>
                </c:pt>
                <c:pt idx="16">
                  <c:v>2.4</c:v>
                </c:pt>
                <c:pt idx="17">
                  <c:v>2.4</c:v>
                </c:pt>
                <c:pt idx="18">
                  <c:v>3.4</c:v>
                </c:pt>
                <c:pt idx="19">
                  <c:v>3.4</c:v>
                </c:pt>
                <c:pt idx="20">
                  <c:v>3.4</c:v>
                </c:pt>
                <c:pt idx="21">
                  <c:v>3.4</c:v>
                </c:pt>
                <c:pt idx="22">
                  <c:v>3.4</c:v>
                </c:pt>
                <c:pt idx="23">
                  <c:v>3.4</c:v>
                </c:pt>
                <c:pt idx="24">
                  <c:v>5.2</c:v>
                </c:pt>
                <c:pt idx="25">
                  <c:v>5.2</c:v>
                </c:pt>
                <c:pt idx="26">
                  <c:v>5.2</c:v>
                </c:pt>
                <c:pt idx="27">
                  <c:v>5.8</c:v>
                </c:pt>
                <c:pt idx="28">
                  <c:v>5.8</c:v>
                </c:pt>
                <c:pt idx="29">
                  <c:v>5.8</c:v>
                </c:pt>
                <c:pt idx="30">
                  <c:v>5.7</c:v>
                </c:pt>
                <c:pt idx="31">
                  <c:v>5.7</c:v>
                </c:pt>
                <c:pt idx="32">
                  <c:v>5.7</c:v>
                </c:pt>
                <c:pt idx="33">
                  <c:v>4.9000000000000004</c:v>
                </c:pt>
                <c:pt idx="34">
                  <c:v>4.9000000000000004</c:v>
                </c:pt>
                <c:pt idx="35">
                  <c:v>4.9000000000000004</c:v>
                </c:pt>
                <c:pt idx="36">
                  <c:v>3.5</c:v>
                </c:pt>
                <c:pt idx="37">
                  <c:v>3.5</c:v>
                </c:pt>
                <c:pt idx="38">
                  <c:v>3.5</c:v>
                </c:pt>
                <c:pt idx="39">
                  <c:v>2.8</c:v>
                </c:pt>
                <c:pt idx="40">
                  <c:v>2.8</c:v>
                </c:pt>
                <c:pt idx="41" formatCode="General">
                  <c:v>2.8</c:v>
                </c:pt>
                <c:pt idx="42" formatCode="General">
                  <c:v>1.8</c:v>
                </c:pt>
                <c:pt idx="43" formatCode="General">
                  <c:v>1.8</c:v>
                </c:pt>
                <c:pt idx="44" formatCode="General">
                  <c:v>1.8</c:v>
                </c:pt>
                <c:pt idx="45" formatCode="General">
                  <c:v>1.8</c:v>
                </c:pt>
                <c:pt idx="46" formatCode="General">
                  <c:v>1.8</c:v>
                </c:pt>
                <c:pt idx="47" formatCode="General">
                  <c:v>1.8</c:v>
                </c:pt>
                <c:pt idx="48" formatCode="General">
                  <c:v>3</c:v>
                </c:pt>
                <c:pt idx="49" formatCode="General">
                  <c:v>3</c:v>
                </c:pt>
                <c:pt idx="50" formatCode="General">
                  <c:v>3</c:v>
                </c:pt>
                <c:pt idx="51" formatCode="General">
                  <c:v>4.5999999999999996</c:v>
                </c:pt>
                <c:pt idx="52" formatCode="General">
                  <c:v>4.5999999999999996</c:v>
                </c:pt>
                <c:pt idx="53" formatCode="General">
                  <c:v>4.5999999999999996</c:v>
                </c:pt>
                <c:pt idx="54" formatCode="General">
                  <c:v>5.2</c:v>
                </c:pt>
                <c:pt idx="55" formatCode="General">
                  <c:v>5.2</c:v>
                </c:pt>
                <c:pt idx="56" formatCode="General">
                  <c:v>5.2</c:v>
                </c:pt>
                <c:pt idx="57" formatCode="General">
                  <c:v>5.5</c:v>
                </c:pt>
                <c:pt idx="58" formatCode="General">
                  <c:v>5.5</c:v>
                </c:pt>
                <c:pt idx="59" formatCode="General">
                  <c:v>5.5</c:v>
                </c:pt>
                <c:pt idx="60" formatCode="General">
                  <c:v>4.4000000000000004</c:v>
                </c:pt>
                <c:pt idx="61" formatCode="General">
                  <c:v>4.4000000000000004</c:v>
                </c:pt>
                <c:pt idx="62" formatCode="General">
                  <c:v>4.4000000000000004</c:v>
                </c:pt>
              </c:numCache>
            </c:numRef>
          </c:val>
          <c:extLst xmlns:c16r2="http://schemas.microsoft.com/office/drawing/2015/06/chart">
            <c:ext xmlns:c16="http://schemas.microsoft.com/office/drawing/2014/chart" uri="{C3380CC4-5D6E-409C-BE32-E72D297353CC}">
              <c16:uniqueId val="{00000000-2864-4479-85CF-8E87F911FD9C}"/>
            </c:ext>
          </c:extLst>
        </c:ser>
        <c:gapWidth val="30"/>
        <c:axId val="150250624"/>
        <c:axId val="150236544"/>
      </c:barChart>
      <c:lineChart>
        <c:grouping val="standard"/>
        <c:ser>
          <c:idx val="3"/>
          <c:order val="1"/>
          <c:tx>
            <c:strRef>
              <c:f>'souhrnná výkonnost 2'!$D$5</c:f>
              <c:strCache>
                <c:ptCount val="1"/>
                <c:pt idx="0">
                  <c:v>Důvěra podnikatelů</c:v>
                </c:pt>
              </c:strCache>
            </c:strRef>
          </c:tx>
          <c:spPr>
            <a:ln w="19050">
              <a:solidFill>
                <a:srgbClr val="0071BC"/>
              </a:solidFill>
            </a:ln>
          </c:spPr>
          <c:marker>
            <c:symbol val="none"/>
          </c:marker>
          <c:cat>
            <c:multiLvlStrRef>
              <c:f>'souhrnná výkonnost 2'!$A$18:$B$80</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2013</c:v>
                  </c:pt>
                  <c:pt idx="12">
                    <c:v>2014</c:v>
                  </c:pt>
                  <c:pt idx="24">
                    <c:v>2015</c:v>
                  </c:pt>
                  <c:pt idx="36">
                    <c:v>2016</c:v>
                  </c:pt>
                  <c:pt idx="48">
                    <c:v>2017</c:v>
                  </c:pt>
                  <c:pt idx="60">
                    <c:v>2018</c:v>
                  </c:pt>
                </c:lvl>
              </c:multiLvlStrCache>
            </c:multiLvlStrRef>
          </c:cat>
          <c:val>
            <c:numRef>
              <c:f>'souhrnná výkonnost 2'!$D$18:$D$80</c:f>
              <c:numCache>
                <c:formatCode>###,###,##0.0</c:formatCode>
                <c:ptCount val="63"/>
                <c:pt idx="0">
                  <c:v>84.6</c:v>
                </c:pt>
                <c:pt idx="1">
                  <c:v>85.2</c:v>
                </c:pt>
                <c:pt idx="2" formatCode="###,###,##0">
                  <c:v>85</c:v>
                </c:pt>
                <c:pt idx="3">
                  <c:v>82.7</c:v>
                </c:pt>
                <c:pt idx="4">
                  <c:v>83.6</c:v>
                </c:pt>
                <c:pt idx="5" formatCode="###,###,##0">
                  <c:v>84</c:v>
                </c:pt>
                <c:pt idx="6" formatCode="###,###,##0">
                  <c:v>84</c:v>
                </c:pt>
                <c:pt idx="7">
                  <c:v>84.8</c:v>
                </c:pt>
                <c:pt idx="8">
                  <c:v>87.5</c:v>
                </c:pt>
                <c:pt idx="9" formatCode="###,###,##0">
                  <c:v>89</c:v>
                </c:pt>
                <c:pt idx="10">
                  <c:v>89.9</c:v>
                </c:pt>
                <c:pt idx="11">
                  <c:v>90.9</c:v>
                </c:pt>
                <c:pt idx="12">
                  <c:v>90.1</c:v>
                </c:pt>
                <c:pt idx="13">
                  <c:v>90.9</c:v>
                </c:pt>
                <c:pt idx="14">
                  <c:v>91.6</c:v>
                </c:pt>
                <c:pt idx="15">
                  <c:v>91.5</c:v>
                </c:pt>
                <c:pt idx="16">
                  <c:v>91.5</c:v>
                </c:pt>
                <c:pt idx="17">
                  <c:v>92.5</c:v>
                </c:pt>
                <c:pt idx="18">
                  <c:v>91.6</c:v>
                </c:pt>
                <c:pt idx="19">
                  <c:v>92.5</c:v>
                </c:pt>
                <c:pt idx="20">
                  <c:v>93.2</c:v>
                </c:pt>
                <c:pt idx="21">
                  <c:v>92.8</c:v>
                </c:pt>
                <c:pt idx="22">
                  <c:v>93.5</c:v>
                </c:pt>
                <c:pt idx="23">
                  <c:v>94.8</c:v>
                </c:pt>
                <c:pt idx="24">
                  <c:v>94.3</c:v>
                </c:pt>
                <c:pt idx="25">
                  <c:v>93.4</c:v>
                </c:pt>
                <c:pt idx="26">
                  <c:v>92.9</c:v>
                </c:pt>
                <c:pt idx="27">
                  <c:v>93.2</c:v>
                </c:pt>
                <c:pt idx="28">
                  <c:v>93.8</c:v>
                </c:pt>
                <c:pt idx="29">
                  <c:v>95.5</c:v>
                </c:pt>
                <c:pt idx="30">
                  <c:v>94.6</c:v>
                </c:pt>
                <c:pt idx="31">
                  <c:v>94.2</c:v>
                </c:pt>
                <c:pt idx="32">
                  <c:v>94.4</c:v>
                </c:pt>
                <c:pt idx="33">
                  <c:v>93.2</c:v>
                </c:pt>
                <c:pt idx="34">
                  <c:v>94.2</c:v>
                </c:pt>
                <c:pt idx="35">
                  <c:v>94.3</c:v>
                </c:pt>
                <c:pt idx="36" formatCode="0.0">
                  <c:v>96</c:v>
                </c:pt>
                <c:pt idx="37" formatCode="0.0">
                  <c:v>95.3</c:v>
                </c:pt>
                <c:pt idx="38" formatCode="0.0">
                  <c:v>95.1</c:v>
                </c:pt>
                <c:pt idx="39" formatCode="0.0">
                  <c:v>93.8</c:v>
                </c:pt>
                <c:pt idx="40" formatCode="0.0">
                  <c:v>94.3</c:v>
                </c:pt>
                <c:pt idx="41" formatCode="0.0">
                  <c:v>93.5</c:v>
                </c:pt>
                <c:pt idx="42" formatCode="0.0">
                  <c:v>94</c:v>
                </c:pt>
                <c:pt idx="43" formatCode="0.0">
                  <c:v>95.3</c:v>
                </c:pt>
                <c:pt idx="44" formatCode="0.0">
                  <c:v>95.2</c:v>
                </c:pt>
                <c:pt idx="45" formatCode="0.0">
                  <c:v>95.2</c:v>
                </c:pt>
                <c:pt idx="46" formatCode="0.0">
                  <c:v>97.5</c:v>
                </c:pt>
                <c:pt idx="47" formatCode="0.0">
                  <c:v>97.1</c:v>
                </c:pt>
                <c:pt idx="48" formatCode="0.0">
                  <c:v>97</c:v>
                </c:pt>
                <c:pt idx="49" formatCode="0.0">
                  <c:v>95.9</c:v>
                </c:pt>
                <c:pt idx="50" formatCode="0.0">
                  <c:v>94.1</c:v>
                </c:pt>
                <c:pt idx="51" formatCode="0.0">
                  <c:v>95.1</c:v>
                </c:pt>
                <c:pt idx="52" formatCode="0.0">
                  <c:v>94.9</c:v>
                </c:pt>
                <c:pt idx="53" formatCode="0.0">
                  <c:v>95.2</c:v>
                </c:pt>
                <c:pt idx="54" formatCode="0.0">
                  <c:v>96.1</c:v>
                </c:pt>
                <c:pt idx="55" formatCode="0.0">
                  <c:v>96.8</c:v>
                </c:pt>
                <c:pt idx="56" formatCode="0.0">
                  <c:v>97</c:v>
                </c:pt>
                <c:pt idx="57" formatCode="0.0">
                  <c:v>97.4</c:v>
                </c:pt>
                <c:pt idx="58" formatCode="0.0">
                  <c:v>96.7</c:v>
                </c:pt>
                <c:pt idx="59" formatCode="0.0">
                  <c:v>97.5</c:v>
                </c:pt>
                <c:pt idx="60" formatCode="0.0">
                  <c:v>96.9</c:v>
                </c:pt>
                <c:pt idx="61" formatCode="0.0">
                  <c:v>97.5</c:v>
                </c:pt>
                <c:pt idx="62" formatCode="0.0">
                  <c:v>97</c:v>
                </c:pt>
              </c:numCache>
            </c:numRef>
          </c:val>
          <c:extLst xmlns:c16r2="http://schemas.microsoft.com/office/drawing/2015/06/chart">
            <c:ext xmlns:c16="http://schemas.microsoft.com/office/drawing/2014/chart" uri="{C3380CC4-5D6E-409C-BE32-E72D297353CC}">
              <c16:uniqueId val="{00000001-2864-4479-85CF-8E87F911FD9C}"/>
            </c:ext>
          </c:extLst>
        </c:ser>
        <c:ser>
          <c:idx val="2"/>
          <c:order val="2"/>
          <c:tx>
            <c:strRef>
              <c:f>'souhrnná výkonnost 2'!$E$5</c:f>
              <c:strCache>
                <c:ptCount val="1"/>
                <c:pt idx="0">
                  <c:v>Důvěra spotřebitelů</c:v>
                </c:pt>
              </c:strCache>
            </c:strRef>
          </c:tx>
          <c:spPr>
            <a:ln w="19050">
              <a:solidFill>
                <a:srgbClr val="BD1B21"/>
              </a:solidFill>
            </a:ln>
          </c:spPr>
          <c:marker>
            <c:symbol val="none"/>
          </c:marker>
          <c:cat>
            <c:multiLvlStrRef>
              <c:f>'souhrnná výkonnost 2'!$A$18:$B$80</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2013</c:v>
                  </c:pt>
                  <c:pt idx="12">
                    <c:v>2014</c:v>
                  </c:pt>
                  <c:pt idx="24">
                    <c:v>2015</c:v>
                  </c:pt>
                  <c:pt idx="36">
                    <c:v>2016</c:v>
                  </c:pt>
                  <c:pt idx="48">
                    <c:v>2017</c:v>
                  </c:pt>
                  <c:pt idx="60">
                    <c:v>2018</c:v>
                  </c:pt>
                </c:lvl>
              </c:multiLvlStrCache>
            </c:multiLvlStrRef>
          </c:cat>
          <c:val>
            <c:numRef>
              <c:f>'souhrnná výkonnost 2'!$E$18:$E$80</c:f>
              <c:numCache>
                <c:formatCode>###,###,##0.0</c:formatCode>
                <c:ptCount val="63"/>
                <c:pt idx="0">
                  <c:v>73.8</c:v>
                </c:pt>
                <c:pt idx="1">
                  <c:v>79.5</c:v>
                </c:pt>
                <c:pt idx="2" formatCode="###,###,##0">
                  <c:v>81</c:v>
                </c:pt>
                <c:pt idx="3">
                  <c:v>77.900000000000006</c:v>
                </c:pt>
                <c:pt idx="4" formatCode="###,###,##0">
                  <c:v>82</c:v>
                </c:pt>
                <c:pt idx="5">
                  <c:v>82.8</c:v>
                </c:pt>
                <c:pt idx="6">
                  <c:v>81.3</c:v>
                </c:pt>
                <c:pt idx="7">
                  <c:v>84.9</c:v>
                </c:pt>
                <c:pt idx="8">
                  <c:v>87.7</c:v>
                </c:pt>
                <c:pt idx="9">
                  <c:v>88.5</c:v>
                </c:pt>
                <c:pt idx="10">
                  <c:v>92.8</c:v>
                </c:pt>
                <c:pt idx="11">
                  <c:v>92.6</c:v>
                </c:pt>
                <c:pt idx="12">
                  <c:v>96.9</c:v>
                </c:pt>
                <c:pt idx="13">
                  <c:v>93.1</c:v>
                </c:pt>
                <c:pt idx="14">
                  <c:v>96.7</c:v>
                </c:pt>
                <c:pt idx="15">
                  <c:v>98.4</c:v>
                </c:pt>
                <c:pt idx="16">
                  <c:v>98.2</c:v>
                </c:pt>
                <c:pt idx="17">
                  <c:v>99.4</c:v>
                </c:pt>
                <c:pt idx="18">
                  <c:v>99.9</c:v>
                </c:pt>
                <c:pt idx="19">
                  <c:v>97.9</c:v>
                </c:pt>
                <c:pt idx="20">
                  <c:v>96.3</c:v>
                </c:pt>
                <c:pt idx="21">
                  <c:v>100.2</c:v>
                </c:pt>
                <c:pt idx="22">
                  <c:v>103.6</c:v>
                </c:pt>
                <c:pt idx="23">
                  <c:v>105.1</c:v>
                </c:pt>
                <c:pt idx="24">
                  <c:v>106.7</c:v>
                </c:pt>
                <c:pt idx="25">
                  <c:v>105.7</c:v>
                </c:pt>
                <c:pt idx="26">
                  <c:v>105.7</c:v>
                </c:pt>
                <c:pt idx="27">
                  <c:v>104.3</c:v>
                </c:pt>
                <c:pt idx="28">
                  <c:v>103.6</c:v>
                </c:pt>
                <c:pt idx="29">
                  <c:v>104.3</c:v>
                </c:pt>
                <c:pt idx="30">
                  <c:v>103.6</c:v>
                </c:pt>
                <c:pt idx="31">
                  <c:v>103.6</c:v>
                </c:pt>
                <c:pt idx="32">
                  <c:v>103.3</c:v>
                </c:pt>
                <c:pt idx="33">
                  <c:v>104.8</c:v>
                </c:pt>
                <c:pt idx="34">
                  <c:v>105.3</c:v>
                </c:pt>
                <c:pt idx="35">
                  <c:v>107.4</c:v>
                </c:pt>
                <c:pt idx="36" formatCode="0.0">
                  <c:v>110</c:v>
                </c:pt>
                <c:pt idx="37" formatCode="0.0">
                  <c:v>106.2</c:v>
                </c:pt>
                <c:pt idx="38" formatCode="0.0">
                  <c:v>104.8</c:v>
                </c:pt>
                <c:pt idx="39" formatCode="0.0">
                  <c:v>104.3</c:v>
                </c:pt>
                <c:pt idx="40" formatCode="0.0">
                  <c:v>104.3</c:v>
                </c:pt>
                <c:pt idx="41" formatCode="0.0">
                  <c:v>103.8</c:v>
                </c:pt>
                <c:pt idx="42" formatCode="0.0">
                  <c:v>102.3</c:v>
                </c:pt>
                <c:pt idx="43" formatCode="0.0">
                  <c:v>104.3</c:v>
                </c:pt>
                <c:pt idx="44" formatCode="0.0">
                  <c:v>106.4</c:v>
                </c:pt>
                <c:pt idx="45" formatCode="0.0">
                  <c:v>108.9</c:v>
                </c:pt>
                <c:pt idx="46" formatCode="0.0">
                  <c:v>107.9</c:v>
                </c:pt>
                <c:pt idx="47" formatCode="0.0">
                  <c:v>108.7</c:v>
                </c:pt>
                <c:pt idx="48" formatCode="0.0">
                  <c:v>110</c:v>
                </c:pt>
                <c:pt idx="49" formatCode="0.0">
                  <c:v>108.2</c:v>
                </c:pt>
                <c:pt idx="50" formatCode="0.0">
                  <c:v>108.7</c:v>
                </c:pt>
                <c:pt idx="51" formatCode="0.0">
                  <c:v>108.4</c:v>
                </c:pt>
                <c:pt idx="52" formatCode="0.0">
                  <c:v>108.4</c:v>
                </c:pt>
                <c:pt idx="53" formatCode="0.0">
                  <c:v>106.2</c:v>
                </c:pt>
                <c:pt idx="54" formatCode="0.0">
                  <c:v>105.7</c:v>
                </c:pt>
                <c:pt idx="55" formatCode="0.0">
                  <c:v>107.9</c:v>
                </c:pt>
                <c:pt idx="56" formatCode="0.0">
                  <c:v>109.2</c:v>
                </c:pt>
                <c:pt idx="57" formatCode="0.0">
                  <c:v>108.7</c:v>
                </c:pt>
                <c:pt idx="58" formatCode="0.0">
                  <c:v>110.3</c:v>
                </c:pt>
                <c:pt idx="59" formatCode="0.0">
                  <c:v>110</c:v>
                </c:pt>
                <c:pt idx="60" formatCode="0.0">
                  <c:v>112.3</c:v>
                </c:pt>
                <c:pt idx="61" formatCode="0.0">
                  <c:v>112</c:v>
                </c:pt>
                <c:pt idx="62" formatCode="0.0">
                  <c:v>112.8</c:v>
                </c:pt>
              </c:numCache>
            </c:numRef>
          </c:val>
          <c:extLst xmlns:c16r2="http://schemas.microsoft.com/office/drawing/2015/06/chart">
            <c:ext xmlns:c16="http://schemas.microsoft.com/office/drawing/2014/chart" uri="{C3380CC4-5D6E-409C-BE32-E72D297353CC}">
              <c16:uniqueId val="{00000002-2864-4479-85CF-8E87F911FD9C}"/>
            </c:ext>
          </c:extLst>
        </c:ser>
        <c:ser>
          <c:idx val="1"/>
          <c:order val="3"/>
          <c:tx>
            <c:strRef>
              <c:f>'souhrnná výkonnost 2'!$F$5</c:f>
              <c:strCache>
                <c:ptCount val="1"/>
                <c:pt idx="0">
                  <c:v>Souhrnný indikátor</c:v>
                </c:pt>
              </c:strCache>
            </c:strRef>
          </c:tx>
          <c:spPr>
            <a:ln w="19050">
              <a:solidFill>
                <a:schemeClr val="tx1"/>
              </a:solidFill>
            </a:ln>
          </c:spPr>
          <c:marker>
            <c:symbol val="none"/>
          </c:marker>
          <c:cat>
            <c:multiLvlStrRef>
              <c:f>'souhrnná výkonnost 2'!$A$18:$B$80</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2013</c:v>
                  </c:pt>
                  <c:pt idx="12">
                    <c:v>2014</c:v>
                  </c:pt>
                  <c:pt idx="24">
                    <c:v>2015</c:v>
                  </c:pt>
                  <c:pt idx="36">
                    <c:v>2016</c:v>
                  </c:pt>
                  <c:pt idx="48">
                    <c:v>2017</c:v>
                  </c:pt>
                  <c:pt idx="60">
                    <c:v>2018</c:v>
                  </c:pt>
                </c:lvl>
              </c:multiLvlStrCache>
            </c:multiLvlStrRef>
          </c:cat>
          <c:val>
            <c:numRef>
              <c:f>'souhrnná výkonnost 2'!$F$18:$F$80</c:f>
              <c:numCache>
                <c:formatCode>###,###,##0.0</c:formatCode>
                <c:ptCount val="63"/>
                <c:pt idx="0">
                  <c:v>82.8</c:v>
                </c:pt>
                <c:pt idx="1">
                  <c:v>84.2</c:v>
                </c:pt>
                <c:pt idx="2">
                  <c:v>84.4</c:v>
                </c:pt>
                <c:pt idx="3">
                  <c:v>81.900000000000006</c:v>
                </c:pt>
                <c:pt idx="4">
                  <c:v>83.3</c:v>
                </c:pt>
                <c:pt idx="5">
                  <c:v>83.8</c:v>
                </c:pt>
                <c:pt idx="6">
                  <c:v>83.6</c:v>
                </c:pt>
                <c:pt idx="7">
                  <c:v>84.8</c:v>
                </c:pt>
                <c:pt idx="8">
                  <c:v>87.5</c:v>
                </c:pt>
                <c:pt idx="9">
                  <c:v>88.9</c:v>
                </c:pt>
                <c:pt idx="10">
                  <c:v>90.4</c:v>
                </c:pt>
                <c:pt idx="11">
                  <c:v>91.2</c:v>
                </c:pt>
                <c:pt idx="12">
                  <c:v>91.3</c:v>
                </c:pt>
                <c:pt idx="13">
                  <c:v>91.2</c:v>
                </c:pt>
                <c:pt idx="14">
                  <c:v>92.4</c:v>
                </c:pt>
                <c:pt idx="15">
                  <c:v>92.6</c:v>
                </c:pt>
                <c:pt idx="16">
                  <c:v>92.6</c:v>
                </c:pt>
                <c:pt idx="17">
                  <c:v>93.6</c:v>
                </c:pt>
                <c:pt idx="18" formatCode="###,###,##0">
                  <c:v>93</c:v>
                </c:pt>
                <c:pt idx="19">
                  <c:v>93.4</c:v>
                </c:pt>
                <c:pt idx="20">
                  <c:v>93.7</c:v>
                </c:pt>
                <c:pt idx="21">
                  <c:v>94.1</c:v>
                </c:pt>
                <c:pt idx="22">
                  <c:v>95.2</c:v>
                </c:pt>
                <c:pt idx="23">
                  <c:v>96.5</c:v>
                </c:pt>
                <c:pt idx="24">
                  <c:v>96.4</c:v>
                </c:pt>
                <c:pt idx="25">
                  <c:v>95.5</c:v>
                </c:pt>
                <c:pt idx="26">
                  <c:v>95.1</c:v>
                </c:pt>
                <c:pt idx="27">
                  <c:v>95.1</c:v>
                </c:pt>
                <c:pt idx="28">
                  <c:v>95.5</c:v>
                </c:pt>
                <c:pt idx="29" formatCode="###,###,##0">
                  <c:v>97</c:v>
                </c:pt>
                <c:pt idx="30">
                  <c:v>96.1</c:v>
                </c:pt>
                <c:pt idx="31">
                  <c:v>95.7</c:v>
                </c:pt>
                <c:pt idx="32">
                  <c:v>95.9</c:v>
                </c:pt>
                <c:pt idx="33">
                  <c:v>95.1</c:v>
                </c:pt>
                <c:pt idx="34" formatCode="###,###,##0">
                  <c:v>96</c:v>
                </c:pt>
                <c:pt idx="35">
                  <c:v>96.5</c:v>
                </c:pt>
                <c:pt idx="36" formatCode="0.0">
                  <c:v>98.4</c:v>
                </c:pt>
                <c:pt idx="37" formatCode="0.0">
                  <c:v>97.1</c:v>
                </c:pt>
                <c:pt idx="38" formatCode="0.0">
                  <c:v>96.7</c:v>
                </c:pt>
                <c:pt idx="39" formatCode="0.0">
                  <c:v>95.6</c:v>
                </c:pt>
                <c:pt idx="40" formatCode="0.0">
                  <c:v>96</c:v>
                </c:pt>
                <c:pt idx="41" formatCode="0.0">
                  <c:v>95.3</c:v>
                </c:pt>
                <c:pt idx="42" formatCode="0.0">
                  <c:v>95.4</c:v>
                </c:pt>
                <c:pt idx="43" formatCode="0.0">
                  <c:v>96.8</c:v>
                </c:pt>
                <c:pt idx="44" formatCode="0.0">
                  <c:v>97.1</c:v>
                </c:pt>
                <c:pt idx="45" formatCode="0.0">
                  <c:v>97.5</c:v>
                </c:pt>
                <c:pt idx="46" formatCode="0.0">
                  <c:v>99.3</c:v>
                </c:pt>
                <c:pt idx="47" formatCode="0.0">
                  <c:v>99.1</c:v>
                </c:pt>
                <c:pt idx="48" formatCode="0.0">
                  <c:v>99.2</c:v>
                </c:pt>
                <c:pt idx="49" formatCode="0.0">
                  <c:v>98</c:v>
                </c:pt>
                <c:pt idx="50" formatCode="0.0">
                  <c:v>96.6</c:v>
                </c:pt>
                <c:pt idx="51" formatCode="0.0">
                  <c:v>97.4</c:v>
                </c:pt>
                <c:pt idx="52" formatCode="0.0">
                  <c:v>97.2</c:v>
                </c:pt>
                <c:pt idx="53" formatCode="0.0">
                  <c:v>97.1</c:v>
                </c:pt>
                <c:pt idx="54" formatCode="0.0">
                  <c:v>97.7</c:v>
                </c:pt>
                <c:pt idx="55" formatCode="0.0">
                  <c:v>98.7</c:v>
                </c:pt>
                <c:pt idx="56" formatCode="0.0">
                  <c:v>99.1</c:v>
                </c:pt>
                <c:pt idx="57" formatCode="0.0">
                  <c:v>99.3</c:v>
                </c:pt>
                <c:pt idx="58" formatCode="0.0">
                  <c:v>99</c:v>
                </c:pt>
                <c:pt idx="59" formatCode="0.0">
                  <c:v>99.6</c:v>
                </c:pt>
                <c:pt idx="60" formatCode="0.0">
                  <c:v>99.5</c:v>
                </c:pt>
                <c:pt idx="61" formatCode="0.0">
                  <c:v>99.9</c:v>
                </c:pt>
                <c:pt idx="62" formatCode="0.0">
                  <c:v>99.7</c:v>
                </c:pt>
              </c:numCache>
            </c:numRef>
          </c:val>
          <c:extLst xmlns:c16r2="http://schemas.microsoft.com/office/drawing/2015/06/chart">
            <c:ext xmlns:c16="http://schemas.microsoft.com/office/drawing/2014/chart" uri="{C3380CC4-5D6E-409C-BE32-E72D297353CC}">
              <c16:uniqueId val="{00000003-2864-4479-85CF-8E87F911FD9C}"/>
            </c:ext>
          </c:extLst>
        </c:ser>
        <c:marker val="1"/>
        <c:axId val="150233472"/>
        <c:axId val="150235008"/>
      </c:lineChart>
      <c:catAx>
        <c:axId val="150233472"/>
        <c:scaling>
          <c:orientation val="minMax"/>
        </c:scaling>
        <c:axPos val="b"/>
        <c:numFmt formatCode="General" sourceLinked="0"/>
        <c:tickLblPos val="low"/>
        <c:spPr>
          <a:ln>
            <a:solidFill>
              <a:schemeClr val="tx1"/>
            </a:solidFill>
          </a:ln>
        </c:spPr>
        <c:crossAx val="150235008"/>
        <c:crossesAt val="100"/>
        <c:auto val="1"/>
        <c:lblAlgn val="ctr"/>
        <c:lblOffset val="100"/>
      </c:catAx>
      <c:valAx>
        <c:axId val="150235008"/>
        <c:scaling>
          <c:orientation val="minMax"/>
          <c:min val="70"/>
        </c:scaling>
        <c:axPos val="l"/>
        <c:majorGridlines>
          <c:spPr>
            <a:ln w="6350">
              <a:solidFill>
                <a:schemeClr val="bg1">
                  <a:lumMod val="75000"/>
                </a:schemeClr>
              </a:solidFill>
            </a:ln>
          </c:spPr>
        </c:majorGridlines>
        <c:numFmt formatCode="#,##0" sourceLinked="0"/>
        <c:tickLblPos val="nextTo"/>
        <c:spPr>
          <a:ln>
            <a:solidFill>
              <a:schemeClr val="tx1"/>
            </a:solidFill>
          </a:ln>
        </c:spPr>
        <c:crossAx val="150233472"/>
        <c:crosses val="autoZero"/>
        <c:crossBetween val="between"/>
        <c:majorUnit val="5"/>
      </c:valAx>
      <c:valAx>
        <c:axId val="150236544"/>
        <c:scaling>
          <c:orientation val="minMax"/>
          <c:min val="-2"/>
        </c:scaling>
        <c:axPos val="r"/>
        <c:numFmt formatCode="0" sourceLinked="0"/>
        <c:tickLblPos val="nextTo"/>
        <c:spPr>
          <a:ln>
            <a:solidFill>
              <a:schemeClr val="tx1"/>
            </a:solidFill>
          </a:ln>
        </c:spPr>
        <c:crossAx val="150250624"/>
        <c:crosses val="max"/>
        <c:crossBetween val="between"/>
        <c:majorUnit val="1"/>
      </c:valAx>
      <c:catAx>
        <c:axId val="150250624"/>
        <c:scaling>
          <c:orientation val="minMax"/>
        </c:scaling>
        <c:delete val="1"/>
        <c:axPos val="b"/>
        <c:tickLblPos val="none"/>
        <c:crossAx val="150236544"/>
        <c:crossesAt val="0"/>
        <c:auto val="1"/>
        <c:lblAlgn val="ctr"/>
        <c:lblOffset val="100"/>
      </c:catAx>
      <c:spPr>
        <a:ln>
          <a:solidFill>
            <a:schemeClr val="tx1"/>
          </a:solidFill>
        </a:ln>
      </c:spPr>
    </c:plotArea>
    <c:legend>
      <c:legendPos val="b"/>
      <c:layout>
        <c:manualLayout>
          <c:xMode val="edge"/>
          <c:yMode val="edge"/>
          <c:x val="6.2295583422442583E-2"/>
          <c:y val="0.90228835978834809"/>
          <c:w val="0.88075331324325201"/>
          <c:h val="8.2645784081954179E-2"/>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6.1857900718404552E-2"/>
          <c:y val="1.544165056508486E-2"/>
          <c:w val="0.86053409090909083"/>
          <c:h val="0.79972056504783351"/>
        </c:manualLayout>
      </c:layout>
      <c:barChart>
        <c:barDir val="col"/>
        <c:grouping val="clustered"/>
        <c:ser>
          <c:idx val="4"/>
          <c:order val="4"/>
          <c:tx>
            <c:strRef>
              <c:f>'Státní rozpočet 4'!$F$22</c:f>
              <c:strCache>
                <c:ptCount val="1"/>
                <c:pt idx="0">
                  <c:v>Saldo příjmů a výdajů (pravá osa)</c:v>
                </c:pt>
              </c:strCache>
            </c:strRef>
          </c:tx>
          <c:spPr>
            <a:solidFill>
              <a:srgbClr val="BFBFBF"/>
            </a:solidFill>
            <a:ln>
              <a:noFill/>
            </a:ln>
          </c:spPr>
          <c:cat>
            <c:numRef>
              <c:f>'Státní rozpočet 4'!$A$23:$A$36</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'Státní rozpočet 4'!$F$23:$F$36</c:f>
              <c:numCache>
                <c:formatCode>0.0</c:formatCode>
                <c:ptCount val="14"/>
                <c:pt idx="0">
                  <c:v>-2.9710000000000027</c:v>
                </c:pt>
                <c:pt idx="1">
                  <c:v>-6.6470000000000056</c:v>
                </c:pt>
                <c:pt idx="2">
                  <c:v>-0.47000000000000008</c:v>
                </c:pt>
                <c:pt idx="3">
                  <c:v>3.039999999999992</c:v>
                </c:pt>
                <c:pt idx="4">
                  <c:v>-1.9699999999999978</c:v>
                </c:pt>
                <c:pt idx="5">
                  <c:v>-10.360000000000024</c:v>
                </c:pt>
                <c:pt idx="6">
                  <c:v>-13.05</c:v>
                </c:pt>
                <c:pt idx="7">
                  <c:v>-13.510000000000005</c:v>
                </c:pt>
                <c:pt idx="8">
                  <c:v>-7.9300000000000104</c:v>
                </c:pt>
                <c:pt idx="9">
                  <c:v>-5.0800000000000125</c:v>
                </c:pt>
                <c:pt idx="10">
                  <c:v>-3.6500000000000057</c:v>
                </c:pt>
                <c:pt idx="11">
                  <c:v>-5.3399999999999892</c:v>
                </c:pt>
                <c:pt idx="12">
                  <c:v>-4.2399999999999984</c:v>
                </c:pt>
                <c:pt idx="13">
                  <c:v>0.23000000000000398</c:v>
                </c:pt>
              </c:numCache>
            </c:numRef>
          </c:val>
          <c:extLst xmlns:c16r2="http://schemas.microsoft.com/office/drawing/2015/06/chart">
            <c:ext xmlns:c16="http://schemas.microsoft.com/office/drawing/2014/chart" uri="{C3380CC4-5D6E-409C-BE32-E72D297353CC}">
              <c16:uniqueId val="{00000000-D3FD-442D-9869-CDD87C3A0B35}"/>
            </c:ext>
          </c:extLst>
        </c:ser>
        <c:gapWidth val="43"/>
        <c:axId val="159163136"/>
        <c:axId val="159157248"/>
      </c:barChart>
      <c:lineChart>
        <c:grouping val="standard"/>
        <c:ser>
          <c:idx val="2"/>
          <c:order val="0"/>
          <c:tx>
            <c:strRef>
              <c:f>'Státní rozpočet 4'!$B$22</c:f>
              <c:strCache>
                <c:ptCount val="1"/>
                <c:pt idx="0">
                  <c:v>Příjmy na důchody</c:v>
                </c:pt>
              </c:strCache>
            </c:strRef>
          </c:tx>
          <c:spPr>
            <a:ln w="22225">
              <a:solidFill>
                <a:srgbClr val="0071BC"/>
              </a:solidFill>
            </a:ln>
          </c:spPr>
          <c:marker>
            <c:symbol val="none"/>
          </c:marker>
          <c:cat>
            <c:numRef>
              <c:f>'Státní rozpočet 4'!$A$23:$A$36</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'Státní rozpočet 4'!$B$23:$B$36</c:f>
              <c:numCache>
                <c:formatCode>0.0</c:formatCode>
                <c:ptCount val="14"/>
                <c:pt idx="0">
                  <c:v>13.205080313784126</c:v>
                </c:pt>
                <c:pt idx="1">
                  <c:v>7.3750206236594664</c:v>
                </c:pt>
                <c:pt idx="2">
                  <c:v>9.7111247695143419</c:v>
                </c:pt>
                <c:pt idx="3">
                  <c:v>9.4677871148460557</c:v>
                </c:pt>
                <c:pt idx="4">
                  <c:v>3.1090071647901847</c:v>
                </c:pt>
                <c:pt idx="5">
                  <c:v>-5.844397567936408</c:v>
                </c:pt>
                <c:pt idx="6">
                  <c:v>3.8218239325250347</c:v>
                </c:pt>
                <c:pt idx="7">
                  <c:v>3.6938309215536833</c:v>
                </c:pt>
                <c:pt idx="8">
                  <c:v>-0.55086301872934451</c:v>
                </c:pt>
                <c:pt idx="9">
                  <c:v>1.1939931068439193</c:v>
                </c:pt>
                <c:pt idx="10">
                  <c:v>5.7535579613185766</c:v>
                </c:pt>
                <c:pt idx="11">
                  <c:v>5.5440533701403467</c:v>
                </c:pt>
                <c:pt idx="12">
                  <c:v>6.9638186573670255</c:v>
                </c:pt>
                <c:pt idx="13">
                  <c:v>9.760570555272519</c:v>
                </c:pt>
              </c:numCache>
            </c:numRef>
          </c:val>
          <c:extLst xmlns:c16r2="http://schemas.microsoft.com/office/drawing/2015/06/chart">
            <c:ext xmlns:c16="http://schemas.microsoft.com/office/drawing/2014/chart" uri="{C3380CC4-5D6E-409C-BE32-E72D297353CC}">
              <c16:uniqueId val="{00000001-D3FD-442D-9869-CDD87C3A0B35}"/>
            </c:ext>
          </c:extLst>
        </c:ser>
        <c:ser>
          <c:idx val="0"/>
          <c:order val="1"/>
          <c:tx>
            <c:strRef>
              <c:f>'Státní rozpočet 4'!$C$22</c:f>
              <c:strCache>
                <c:ptCount val="1"/>
                <c:pt idx="0">
                  <c:v>Příjemci důchodů celkem</c:v>
                </c:pt>
              </c:strCache>
            </c:strRef>
          </c:tx>
          <c:spPr>
            <a:ln w="19050">
              <a:solidFill>
                <a:srgbClr val="7DBB2D"/>
              </a:solidFill>
              <a:prstDash val="solid"/>
            </a:ln>
          </c:spPr>
          <c:marker>
            <c:symbol val="none"/>
          </c:marker>
          <c:cat>
            <c:numRef>
              <c:f>'Státní rozpočet 4'!$A$23:$A$36</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'Státní rozpočet 4'!$C$23:$C$36</c:f>
              <c:numCache>
                <c:formatCode>0.0</c:formatCode>
                <c:ptCount val="14"/>
                <c:pt idx="0">
                  <c:v>1.361891009431716</c:v>
                </c:pt>
                <c:pt idx="1">
                  <c:v>0.83226902558558113</c:v>
                </c:pt>
                <c:pt idx="2">
                  <c:v>1.3029945698195888</c:v>
                </c:pt>
                <c:pt idx="3">
                  <c:v>1.4568773673978086</c:v>
                </c:pt>
                <c:pt idx="4">
                  <c:v>1.193990994558618</c:v>
                </c:pt>
                <c:pt idx="5">
                  <c:v>1.3818377616083461</c:v>
                </c:pt>
                <c:pt idx="6">
                  <c:v>0.91653177571061673</c:v>
                </c:pt>
                <c:pt idx="7">
                  <c:v>1.6953636567439219</c:v>
                </c:pt>
                <c:pt idx="8">
                  <c:v>-0.29319651061673824</c:v>
                </c:pt>
                <c:pt idx="9">
                  <c:v>-0.14718651612241729</c:v>
                </c:pt>
                <c:pt idx="10">
                  <c:v>9.7627692544465239E-2</c:v>
                </c:pt>
                <c:pt idx="11">
                  <c:v>0.71823179321020003</c:v>
                </c:pt>
                <c:pt idx="12">
                  <c:v>0.19315347773409997</c:v>
                </c:pt>
                <c:pt idx="13">
                  <c:v>0.29673816570866385</c:v>
                </c:pt>
              </c:numCache>
            </c:numRef>
          </c:val>
          <c:extLst xmlns:c16r2="http://schemas.microsoft.com/office/drawing/2015/06/chart">
            <c:ext xmlns:c16="http://schemas.microsoft.com/office/drawing/2014/chart" uri="{C3380CC4-5D6E-409C-BE32-E72D297353CC}">
              <c16:uniqueId val="{00000002-D3FD-442D-9869-CDD87C3A0B35}"/>
            </c:ext>
          </c:extLst>
        </c:ser>
        <c:ser>
          <c:idx val="3"/>
          <c:order val="2"/>
          <c:tx>
            <c:strRef>
              <c:f>'Státní rozpočet 4'!$D$22</c:f>
              <c:strCache>
                <c:ptCount val="1"/>
                <c:pt idx="0">
                  <c:v>Výdaje na důchody</c:v>
                </c:pt>
              </c:strCache>
            </c:strRef>
          </c:tx>
          <c:spPr>
            <a:ln w="22225">
              <a:solidFill>
                <a:srgbClr val="BD1B21"/>
              </a:solidFill>
            </a:ln>
          </c:spPr>
          <c:marker>
            <c:symbol val="none"/>
          </c:marker>
          <c:cat>
            <c:numRef>
              <c:f>'Státní rozpočet 4'!$A$23:$A$36</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'Státní rozpočet 4'!$D$23:$D$36</c:f>
              <c:numCache>
                <c:formatCode>0.0</c:formatCode>
                <c:ptCount val="14"/>
                <c:pt idx="0">
                  <c:v>11.655310480472018</c:v>
                </c:pt>
                <c:pt idx="1">
                  <c:v>12.812003585976974</c:v>
                </c:pt>
                <c:pt idx="2">
                  <c:v>0.19936704448812884</c:v>
                </c:pt>
                <c:pt idx="3">
                  <c:v>4.5220537080840444</c:v>
                </c:pt>
                <c:pt idx="4">
                  <c:v>9.9041533546325979</c:v>
                </c:pt>
                <c:pt idx="5">
                  <c:v>4.4573643410852455</c:v>
                </c:pt>
                <c:pt idx="6">
                  <c:v>6.4819109461966455</c:v>
                </c:pt>
                <c:pt idx="7">
                  <c:v>3.6698246760318085</c:v>
                </c:pt>
                <c:pt idx="8">
                  <c:v>-6.3340336134453707</c:v>
                </c:pt>
                <c:pt idx="9">
                  <c:v>-2.1083323987888352</c:v>
                </c:pt>
                <c:pt idx="10">
                  <c:v>3.7805017756902575</c:v>
                </c:pt>
                <c:pt idx="11">
                  <c:v>7.1862236449939534</c:v>
                </c:pt>
                <c:pt idx="12">
                  <c:v>5.4479917610710684</c:v>
                </c:pt>
                <c:pt idx="13">
                  <c:v>4.9907217501709198</c:v>
                </c:pt>
              </c:numCache>
            </c:numRef>
          </c:val>
          <c:extLst xmlns:c16r2="http://schemas.microsoft.com/office/drawing/2015/06/chart">
            <c:ext xmlns:c16="http://schemas.microsoft.com/office/drawing/2014/chart" uri="{C3380CC4-5D6E-409C-BE32-E72D297353CC}">
              <c16:uniqueId val="{00000003-D3FD-442D-9869-CDD87C3A0B35}"/>
            </c:ext>
          </c:extLst>
        </c:ser>
        <c:ser>
          <c:idx val="1"/>
          <c:order val="3"/>
          <c:tx>
            <c:strRef>
              <c:f>'Státní rozpočet 4'!$E$22</c:f>
              <c:strCache>
                <c:ptCount val="1"/>
                <c:pt idx="0">
                  <c:v>  z toho starob. trvale krácených*</c:v>
                </c:pt>
              </c:strCache>
            </c:strRef>
          </c:tx>
          <c:spPr>
            <a:ln w="19050">
              <a:noFill/>
            </a:ln>
          </c:spPr>
          <c:marker>
            <c:symbol val="diamond"/>
            <c:size val="6"/>
            <c:spPr>
              <a:solidFill>
                <a:srgbClr val="7DBB2D"/>
              </a:solidFill>
              <a:ln>
                <a:noFill/>
              </a:ln>
            </c:spPr>
          </c:marker>
          <c:cat>
            <c:numRef>
              <c:f>'Státní rozpočet 4'!$A$23:$A$36</c:f>
              <c:numCache>
                <c:formatCode>General</c:formatCode>
                <c:ptCount val="14"/>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numCache>
            </c:numRef>
          </c:cat>
          <c:val>
            <c:numRef>
              <c:f>'Státní rozpočet 4'!$E$23:$E$36</c:f>
              <c:numCache>
                <c:formatCode>0.0</c:formatCode>
                <c:ptCount val="14"/>
                <c:pt idx="0">
                  <c:v>4.9826926232793589</c:v>
                </c:pt>
                <c:pt idx="1">
                  <c:v>5.4332692314683895</c:v>
                </c:pt>
                <c:pt idx="2">
                  <c:v>9.2825200238597034</c:v>
                </c:pt>
                <c:pt idx="3">
                  <c:v>7.5172503005196214</c:v>
                </c:pt>
                <c:pt idx="4">
                  <c:v>7.4811386918718794</c:v>
                </c:pt>
                <c:pt idx="5">
                  <c:v>11.54800680370545</c:v>
                </c:pt>
                <c:pt idx="6">
                  <c:v>7.1493606939359093</c:v>
                </c:pt>
                <c:pt idx="7">
                  <c:v>16.525499225634789</c:v>
                </c:pt>
                <c:pt idx="8">
                  <c:v>3.5838415440981919</c:v>
                </c:pt>
                <c:pt idx="9">
                  <c:v>3.8474276359988977</c:v>
                </c:pt>
                <c:pt idx="10">
                  <c:v>4.1152833334851806</c:v>
                </c:pt>
                <c:pt idx="11">
                  <c:v>3.5115356273312397</c:v>
                </c:pt>
                <c:pt idx="12">
                  <c:v>2.7339489565912913</c:v>
                </c:pt>
                <c:pt idx="13">
                  <c:v>2.5435069220981887</c:v>
                </c:pt>
              </c:numCache>
            </c:numRef>
          </c:val>
          <c:extLst xmlns:c16r2="http://schemas.microsoft.com/office/drawing/2015/06/chart">
            <c:ext xmlns:c16="http://schemas.microsoft.com/office/drawing/2014/chart" uri="{C3380CC4-5D6E-409C-BE32-E72D297353CC}">
              <c16:uniqueId val="{00000004-D3FD-442D-9869-CDD87C3A0B35}"/>
            </c:ext>
          </c:extLst>
        </c:ser>
        <c:marker val="1"/>
        <c:axId val="159141248"/>
        <c:axId val="159155712"/>
      </c:lineChart>
      <c:catAx>
        <c:axId val="159141248"/>
        <c:scaling>
          <c:orientation val="minMax"/>
        </c:scaling>
        <c:axPos val="b"/>
        <c:numFmt formatCode="General" sourceLinked="1"/>
        <c:tickLblPos val="low"/>
        <c:spPr>
          <a:ln>
            <a:solidFill>
              <a:sysClr val="window" lastClr="FFFFFF">
                <a:lumMod val="50000"/>
              </a:sysClr>
            </a:solidFill>
          </a:ln>
        </c:spPr>
        <c:crossAx val="159155712"/>
        <c:crossesAt val="0"/>
        <c:auto val="1"/>
        <c:lblAlgn val="ctr"/>
        <c:lblOffset val="0"/>
      </c:catAx>
      <c:valAx>
        <c:axId val="159155712"/>
        <c:scaling>
          <c:orientation val="minMax"/>
          <c:max val="18"/>
          <c:min val="-15"/>
        </c:scaling>
        <c:axPos val="l"/>
        <c:majorGridlines>
          <c:spPr>
            <a:ln w="6350">
              <a:solidFill>
                <a:schemeClr val="bg1">
                  <a:lumMod val="75000"/>
                </a:schemeClr>
              </a:solidFill>
            </a:ln>
          </c:spPr>
        </c:majorGridlines>
        <c:numFmt formatCode="0" sourceLinked="0"/>
        <c:tickLblPos val="nextTo"/>
        <c:spPr>
          <a:ln>
            <a:solidFill>
              <a:schemeClr val="tx1"/>
            </a:solidFill>
          </a:ln>
        </c:spPr>
        <c:crossAx val="159141248"/>
        <c:crosses val="autoZero"/>
        <c:crossBetween val="between"/>
        <c:majorUnit val="3"/>
      </c:valAx>
      <c:valAx>
        <c:axId val="159157248"/>
        <c:scaling>
          <c:orientation val="minMax"/>
          <c:max val="18"/>
          <c:min val="-15"/>
        </c:scaling>
        <c:axPos val="r"/>
        <c:numFmt formatCode="0" sourceLinked="0"/>
        <c:tickLblPos val="nextTo"/>
        <c:spPr>
          <a:ln>
            <a:solidFill>
              <a:schemeClr val="tx1"/>
            </a:solidFill>
          </a:ln>
        </c:spPr>
        <c:crossAx val="159163136"/>
        <c:crosses val="max"/>
        <c:crossBetween val="between"/>
        <c:majorUnit val="3"/>
      </c:valAx>
      <c:catAx>
        <c:axId val="159163136"/>
        <c:scaling>
          <c:orientation val="minMax"/>
        </c:scaling>
        <c:delete val="1"/>
        <c:axPos val="b"/>
        <c:numFmt formatCode="General" sourceLinked="1"/>
        <c:tickLblPos val="none"/>
        <c:crossAx val="159157248"/>
        <c:crosses val="autoZero"/>
        <c:auto val="1"/>
        <c:lblAlgn val="ctr"/>
        <c:lblOffset val="100"/>
      </c:catAx>
      <c:spPr>
        <a:ln>
          <a:solidFill>
            <a:schemeClr val="tx1"/>
          </a:solidFill>
        </a:ln>
      </c:spPr>
    </c:plotArea>
    <c:legend>
      <c:legendPos val="b"/>
      <c:layout>
        <c:manualLayout>
          <c:xMode val="edge"/>
          <c:yMode val="edge"/>
          <c:x val="6.037751435817703E-2"/>
          <c:y val="0.86875085034014943"/>
          <c:w val="0.85780583250585662"/>
          <c:h val="0.12079648526077297"/>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cs-CZ"/>
  <c:chart>
    <c:plotArea>
      <c:layout>
        <c:manualLayout>
          <c:layoutTarget val="inner"/>
          <c:xMode val="edge"/>
          <c:yMode val="edge"/>
          <c:x val="7.6118939099658112E-2"/>
          <c:y val="1.8967687074829931E-2"/>
          <c:w val="0.87842537233566564"/>
          <c:h val="0.73371428571428576"/>
        </c:manualLayout>
      </c:layout>
      <c:barChart>
        <c:barDir val="col"/>
        <c:grouping val="stacked"/>
        <c:ser>
          <c:idx val="0"/>
          <c:order val="0"/>
          <c:tx>
            <c:strRef>
              <c:f>'Státní rozpočet 5'!$B$41</c:f>
              <c:strCache>
                <c:ptCount val="1"/>
                <c:pt idx="0">
                  <c:v>Státní pokladniční poukázky</c:v>
                </c:pt>
              </c:strCache>
            </c:strRef>
          </c:tx>
          <c:spPr>
            <a:solidFill>
              <a:srgbClr val="BD1B21"/>
            </a:solidFill>
          </c:spPr>
          <c:cat>
            <c:multiLvlStrRef>
              <c:f>'Státní rozpočet 5'!$C$39:$BE$40</c:f>
              <c:multiLvlStrCache>
                <c:ptCount val="5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pt idx="46">
                    <c:v>3</c:v>
                  </c:pt>
                  <c:pt idx="47">
                    <c:v>4</c:v>
                  </c:pt>
                  <c:pt idx="48">
                    <c:v>1</c:v>
                  </c:pt>
                  <c:pt idx="49">
                    <c:v>2</c:v>
                  </c:pt>
                  <c:pt idx="50">
                    <c:v>3</c:v>
                  </c:pt>
                  <c:pt idx="51">
                    <c:v>4</c:v>
                  </c:pt>
                  <c:pt idx="52">
                    <c:v>1</c:v>
                  </c:pt>
                  <c:pt idx="53">
                    <c:v>2</c:v>
                  </c:pt>
                  <c:pt idx="54">
                    <c:v>3</c:v>
                  </c:pt>
                </c:lvl>
                <c:lvl>
                  <c:pt idx="0">
                    <c:v>2005</c:v>
                  </c:pt>
                  <c:pt idx="4">
                    <c:v>2006</c:v>
                  </c:pt>
                  <c:pt idx="8">
                    <c:v>2007</c:v>
                  </c:pt>
                  <c:pt idx="12">
                    <c:v>2008</c:v>
                  </c:pt>
                  <c:pt idx="16">
                    <c:v>2009</c:v>
                  </c:pt>
                  <c:pt idx="20">
                    <c:v>2010</c:v>
                  </c:pt>
                  <c:pt idx="24">
                    <c:v>2011</c:v>
                  </c:pt>
                  <c:pt idx="28">
                    <c:v>2012</c:v>
                  </c:pt>
                  <c:pt idx="32">
                    <c:v>2013</c:v>
                  </c:pt>
                  <c:pt idx="36">
                    <c:v>2014</c:v>
                  </c:pt>
                  <c:pt idx="40">
                    <c:v>2015</c:v>
                  </c:pt>
                  <c:pt idx="44">
                    <c:v>2016</c:v>
                  </c:pt>
                  <c:pt idx="48">
                    <c:v>2017</c:v>
                  </c:pt>
                  <c:pt idx="52">
                    <c:v>2018</c:v>
                  </c:pt>
                </c:lvl>
              </c:multiLvlStrCache>
            </c:multiLvlStrRef>
          </c:cat>
          <c:val>
            <c:numRef>
              <c:f>'Státní rozpočet 5'!$C$41:$BE$41</c:f>
              <c:numCache>
                <c:formatCode>#,##0</c:formatCode>
                <c:ptCount val="55"/>
                <c:pt idx="0">
                  <c:v>126.545</c:v>
                </c:pt>
                <c:pt idx="1">
                  <c:v>109</c:v>
                </c:pt>
                <c:pt idx="2">
                  <c:v>98.034000000000006</c:v>
                </c:pt>
                <c:pt idx="3">
                  <c:v>94.248999999999995</c:v>
                </c:pt>
                <c:pt idx="4">
                  <c:v>86.825999999999979</c:v>
                </c:pt>
                <c:pt idx="5">
                  <c:v>79.325000000000003</c:v>
                </c:pt>
                <c:pt idx="6">
                  <c:v>71.884</c:v>
                </c:pt>
                <c:pt idx="7">
                  <c:v>89.568000000000012</c:v>
                </c:pt>
                <c:pt idx="8">
                  <c:v>78.144000000000005</c:v>
                </c:pt>
                <c:pt idx="9">
                  <c:v>66.144999999999996</c:v>
                </c:pt>
                <c:pt idx="10">
                  <c:v>54.649000000000001</c:v>
                </c:pt>
                <c:pt idx="11">
                  <c:v>82.167999999999992</c:v>
                </c:pt>
                <c:pt idx="12">
                  <c:v>46.834000000000003</c:v>
                </c:pt>
                <c:pt idx="13">
                  <c:v>32.875</c:v>
                </c:pt>
                <c:pt idx="14">
                  <c:v>45.341000000000001</c:v>
                </c:pt>
                <c:pt idx="15">
                  <c:v>78.748999999999995</c:v>
                </c:pt>
                <c:pt idx="16">
                  <c:v>60.950999999999993</c:v>
                </c:pt>
                <c:pt idx="17">
                  <c:v>79.837000000000003</c:v>
                </c:pt>
                <c:pt idx="18">
                  <c:v>79.491000000000227</c:v>
                </c:pt>
                <c:pt idx="19">
                  <c:v>88.183999999999983</c:v>
                </c:pt>
                <c:pt idx="20">
                  <c:v>87.545000000000002</c:v>
                </c:pt>
                <c:pt idx="21">
                  <c:v>89.194999999999993</c:v>
                </c:pt>
                <c:pt idx="22">
                  <c:v>128.47800000000001</c:v>
                </c:pt>
                <c:pt idx="23">
                  <c:v>113.331</c:v>
                </c:pt>
                <c:pt idx="24">
                  <c:v>137.54399999999998</c:v>
                </c:pt>
                <c:pt idx="25">
                  <c:v>141.077</c:v>
                </c:pt>
                <c:pt idx="26">
                  <c:v>143.268</c:v>
                </c:pt>
                <c:pt idx="27">
                  <c:v>162.60900000000001</c:v>
                </c:pt>
                <c:pt idx="28">
                  <c:v>177.10900000000001</c:v>
                </c:pt>
                <c:pt idx="29">
                  <c:v>163.38200000000134</c:v>
                </c:pt>
                <c:pt idx="30">
                  <c:v>172.06700000000001</c:v>
                </c:pt>
                <c:pt idx="31">
                  <c:v>189.13499999999999</c:v>
                </c:pt>
                <c:pt idx="32">
                  <c:v>185.86600000000001</c:v>
                </c:pt>
                <c:pt idx="33">
                  <c:v>161.66499999999999</c:v>
                </c:pt>
                <c:pt idx="34">
                  <c:v>137.51599999999999</c:v>
                </c:pt>
                <c:pt idx="35">
                  <c:v>120.89100000000002</c:v>
                </c:pt>
                <c:pt idx="36">
                  <c:v>97.57</c:v>
                </c:pt>
                <c:pt idx="37">
                  <c:v>98.149000000000001</c:v>
                </c:pt>
                <c:pt idx="38">
                  <c:v>90.838999999999999</c:v>
                </c:pt>
                <c:pt idx="39">
                  <c:v>107.627</c:v>
                </c:pt>
                <c:pt idx="40">
                  <c:v>81.661000000000001</c:v>
                </c:pt>
                <c:pt idx="41">
                  <c:v>88.458000000000013</c:v>
                </c:pt>
                <c:pt idx="42">
                  <c:v>104.687</c:v>
                </c:pt>
                <c:pt idx="43" formatCode="#,##0.0">
                  <c:v>84.432000000000002</c:v>
                </c:pt>
                <c:pt idx="44">
                  <c:v>79.186999999999998</c:v>
                </c:pt>
                <c:pt idx="45">
                  <c:v>58</c:v>
                </c:pt>
                <c:pt idx="46">
                  <c:v>17.7</c:v>
                </c:pt>
                <c:pt idx="47">
                  <c:v>4.22</c:v>
                </c:pt>
                <c:pt idx="48">
                  <c:v>70.343999999999994</c:v>
                </c:pt>
                <c:pt idx="49">
                  <c:v>147.89800000000119</c:v>
                </c:pt>
                <c:pt idx="50" formatCode="0.0">
                  <c:v>0</c:v>
                </c:pt>
                <c:pt idx="51" formatCode="0.0">
                  <c:v>44.014000000000003</c:v>
                </c:pt>
                <c:pt idx="52" formatCode="General">
                  <c:v>180.1</c:v>
                </c:pt>
              </c:numCache>
            </c:numRef>
          </c:val>
          <c:extLst xmlns:c16r2="http://schemas.microsoft.com/office/drawing/2015/06/chart">
            <c:ext xmlns:c16="http://schemas.microsoft.com/office/drawing/2014/chart" uri="{C3380CC4-5D6E-409C-BE32-E72D297353CC}">
              <c16:uniqueId val="{00000000-A09D-4BFB-824A-C97A9106AF3D}"/>
            </c:ext>
          </c:extLst>
        </c:ser>
        <c:ser>
          <c:idx val="1"/>
          <c:order val="1"/>
          <c:tx>
            <c:strRef>
              <c:f>'Státní rozpočet 5'!$B$42</c:f>
              <c:strCache>
                <c:ptCount val="1"/>
                <c:pt idx="0">
                  <c:v>Spořící státní dluhopisy</c:v>
                </c:pt>
              </c:strCache>
            </c:strRef>
          </c:tx>
          <c:spPr>
            <a:solidFill>
              <a:srgbClr val="E8AFB2"/>
            </a:solidFill>
          </c:spPr>
          <c:cat>
            <c:multiLvlStrRef>
              <c:f>'Státní rozpočet 5'!$C$39:$BE$40</c:f>
              <c:multiLvlStrCache>
                <c:ptCount val="5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pt idx="46">
                    <c:v>3</c:v>
                  </c:pt>
                  <c:pt idx="47">
                    <c:v>4</c:v>
                  </c:pt>
                  <c:pt idx="48">
                    <c:v>1</c:v>
                  </c:pt>
                  <c:pt idx="49">
                    <c:v>2</c:v>
                  </c:pt>
                  <c:pt idx="50">
                    <c:v>3</c:v>
                  </c:pt>
                  <c:pt idx="51">
                    <c:v>4</c:v>
                  </c:pt>
                  <c:pt idx="52">
                    <c:v>1</c:v>
                  </c:pt>
                  <c:pt idx="53">
                    <c:v>2</c:v>
                  </c:pt>
                  <c:pt idx="54">
                    <c:v>3</c:v>
                  </c:pt>
                </c:lvl>
                <c:lvl>
                  <c:pt idx="0">
                    <c:v>2005</c:v>
                  </c:pt>
                  <c:pt idx="4">
                    <c:v>2006</c:v>
                  </c:pt>
                  <c:pt idx="8">
                    <c:v>2007</c:v>
                  </c:pt>
                  <c:pt idx="12">
                    <c:v>2008</c:v>
                  </c:pt>
                  <c:pt idx="16">
                    <c:v>2009</c:v>
                  </c:pt>
                  <c:pt idx="20">
                    <c:v>2010</c:v>
                  </c:pt>
                  <c:pt idx="24">
                    <c:v>2011</c:v>
                  </c:pt>
                  <c:pt idx="28">
                    <c:v>2012</c:v>
                  </c:pt>
                  <c:pt idx="32">
                    <c:v>2013</c:v>
                  </c:pt>
                  <c:pt idx="36">
                    <c:v>2014</c:v>
                  </c:pt>
                  <c:pt idx="40">
                    <c:v>2015</c:v>
                  </c:pt>
                  <c:pt idx="44">
                    <c:v>2016</c:v>
                  </c:pt>
                  <c:pt idx="48">
                    <c:v>2017</c:v>
                  </c:pt>
                  <c:pt idx="52">
                    <c:v>2018</c:v>
                  </c:pt>
                </c:lvl>
              </c:multiLvlStrCache>
            </c:multiLvlStrRef>
          </c:cat>
          <c:val>
            <c:numRef>
              <c:f>'Státní rozpočet 5'!$C$42:$BE$42</c:f>
              <c:numCache>
                <c:formatCode>#,##0</c:formatCode>
                <c:ptCount val="5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20.428999999999824</c:v>
                </c:pt>
                <c:pt idx="28">
                  <c:v>20.428999999999824</c:v>
                </c:pt>
                <c:pt idx="29">
                  <c:v>35.714000000000006</c:v>
                </c:pt>
                <c:pt idx="30">
                  <c:v>35.708000000000013</c:v>
                </c:pt>
                <c:pt idx="31">
                  <c:v>56.206000000000003</c:v>
                </c:pt>
                <c:pt idx="32">
                  <c:v>56.206000000000003</c:v>
                </c:pt>
                <c:pt idx="33">
                  <c:v>73.781999999999996</c:v>
                </c:pt>
                <c:pt idx="34">
                  <c:v>73.738</c:v>
                </c:pt>
                <c:pt idx="35">
                  <c:v>87.578999999999979</c:v>
                </c:pt>
                <c:pt idx="36">
                  <c:v>87.55</c:v>
                </c:pt>
                <c:pt idx="37">
                  <c:v>80.653999999999982</c:v>
                </c:pt>
                <c:pt idx="38">
                  <c:v>80.60899999999998</c:v>
                </c:pt>
                <c:pt idx="39">
                  <c:v>77.828999999999979</c:v>
                </c:pt>
                <c:pt idx="40">
                  <c:v>77.793000000000006</c:v>
                </c:pt>
                <c:pt idx="41">
                  <c:v>77.828999999999979</c:v>
                </c:pt>
                <c:pt idx="42">
                  <c:v>77.801000000000002</c:v>
                </c:pt>
                <c:pt idx="43" formatCode="#,##0.0">
                  <c:v>66.921999999999997</c:v>
                </c:pt>
                <c:pt idx="44">
                  <c:v>66.911000000000527</c:v>
                </c:pt>
                <c:pt idx="45">
                  <c:v>59.9</c:v>
                </c:pt>
                <c:pt idx="46">
                  <c:v>59.9</c:v>
                </c:pt>
                <c:pt idx="47">
                  <c:v>37.757373000000001</c:v>
                </c:pt>
                <c:pt idx="48">
                  <c:v>37.751000000000005</c:v>
                </c:pt>
                <c:pt idx="49">
                  <c:v>31.02</c:v>
                </c:pt>
                <c:pt idx="50" formatCode="0.0">
                  <c:v>31.018999999999988</c:v>
                </c:pt>
                <c:pt idx="51" formatCode="0.0">
                  <c:v>21.478000000000002</c:v>
                </c:pt>
                <c:pt idx="52" formatCode="0.0">
                  <c:v>21.478000000000002</c:v>
                </c:pt>
              </c:numCache>
            </c:numRef>
          </c:val>
          <c:extLst xmlns:c16r2="http://schemas.microsoft.com/office/drawing/2015/06/chart">
            <c:ext xmlns:c16="http://schemas.microsoft.com/office/drawing/2014/chart" uri="{C3380CC4-5D6E-409C-BE32-E72D297353CC}">
              <c16:uniqueId val="{00000001-A09D-4BFB-824A-C97A9106AF3D}"/>
            </c:ext>
          </c:extLst>
        </c:ser>
        <c:ser>
          <c:idx val="2"/>
          <c:order val="2"/>
          <c:tx>
            <c:strRef>
              <c:f>'Státní rozpočet 5'!$B$43</c:f>
              <c:strCache>
                <c:ptCount val="1"/>
                <c:pt idx="0">
                  <c:v>Dlouho-(středně-)dobé státní dluhopisy</c:v>
                </c:pt>
              </c:strCache>
            </c:strRef>
          </c:tx>
          <c:spPr>
            <a:solidFill>
              <a:srgbClr val="A6CDE8"/>
            </a:solidFill>
          </c:spPr>
          <c:cat>
            <c:multiLvlStrRef>
              <c:f>'Státní rozpočet 5'!$C$39:$BE$40</c:f>
              <c:multiLvlStrCache>
                <c:ptCount val="5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pt idx="46">
                    <c:v>3</c:v>
                  </c:pt>
                  <c:pt idx="47">
                    <c:v>4</c:v>
                  </c:pt>
                  <c:pt idx="48">
                    <c:v>1</c:v>
                  </c:pt>
                  <c:pt idx="49">
                    <c:v>2</c:v>
                  </c:pt>
                  <c:pt idx="50">
                    <c:v>3</c:v>
                  </c:pt>
                  <c:pt idx="51">
                    <c:v>4</c:v>
                  </c:pt>
                  <c:pt idx="52">
                    <c:v>1</c:v>
                  </c:pt>
                  <c:pt idx="53">
                    <c:v>2</c:v>
                  </c:pt>
                  <c:pt idx="54">
                    <c:v>3</c:v>
                  </c:pt>
                </c:lvl>
                <c:lvl>
                  <c:pt idx="0">
                    <c:v>2005</c:v>
                  </c:pt>
                  <c:pt idx="4">
                    <c:v>2006</c:v>
                  </c:pt>
                  <c:pt idx="8">
                    <c:v>2007</c:v>
                  </c:pt>
                  <c:pt idx="12">
                    <c:v>2008</c:v>
                  </c:pt>
                  <c:pt idx="16">
                    <c:v>2009</c:v>
                  </c:pt>
                  <c:pt idx="20">
                    <c:v>2010</c:v>
                  </c:pt>
                  <c:pt idx="24">
                    <c:v>2011</c:v>
                  </c:pt>
                  <c:pt idx="28">
                    <c:v>2012</c:v>
                  </c:pt>
                  <c:pt idx="32">
                    <c:v>2013</c:v>
                  </c:pt>
                  <c:pt idx="36">
                    <c:v>2014</c:v>
                  </c:pt>
                  <c:pt idx="40">
                    <c:v>2015</c:v>
                  </c:pt>
                  <c:pt idx="44">
                    <c:v>2016</c:v>
                  </c:pt>
                  <c:pt idx="48">
                    <c:v>2017</c:v>
                  </c:pt>
                  <c:pt idx="52">
                    <c:v>2018</c:v>
                  </c:pt>
                </c:lvl>
              </c:multiLvlStrCache>
            </c:multiLvlStrRef>
          </c:cat>
          <c:val>
            <c:numRef>
              <c:f>'Státní rozpočet 5'!$C$43:$BE$43</c:f>
              <c:numCache>
                <c:formatCode>#,##0</c:formatCode>
                <c:ptCount val="55"/>
                <c:pt idx="0">
                  <c:v>391.274</c:v>
                </c:pt>
                <c:pt idx="1">
                  <c:v>428.77099999999899</c:v>
                </c:pt>
                <c:pt idx="2">
                  <c:v>456.56</c:v>
                </c:pt>
                <c:pt idx="3">
                  <c:v>487.50299999999999</c:v>
                </c:pt>
                <c:pt idx="4">
                  <c:v>495.72099999999864</c:v>
                </c:pt>
                <c:pt idx="5">
                  <c:v>532.05399999999997</c:v>
                </c:pt>
                <c:pt idx="6">
                  <c:v>554.81699999999796</c:v>
                </c:pt>
                <c:pt idx="7">
                  <c:v>588.93499999999949</c:v>
                </c:pt>
                <c:pt idx="8">
                  <c:v>612.06099999999947</c:v>
                </c:pt>
                <c:pt idx="9">
                  <c:v>666.81999999999948</c:v>
                </c:pt>
                <c:pt idx="10">
                  <c:v>664.79500000000053</c:v>
                </c:pt>
                <c:pt idx="11">
                  <c:v>692.19400000000053</c:v>
                </c:pt>
                <c:pt idx="12">
                  <c:v>693.11500000000001</c:v>
                </c:pt>
                <c:pt idx="13">
                  <c:v>728.61800000000005</c:v>
                </c:pt>
                <c:pt idx="14">
                  <c:v>700.70399999999995</c:v>
                </c:pt>
                <c:pt idx="15">
                  <c:v>735.55099999999948</c:v>
                </c:pt>
                <c:pt idx="16">
                  <c:v>753.09699999999998</c:v>
                </c:pt>
                <c:pt idx="17">
                  <c:v>830.01</c:v>
                </c:pt>
                <c:pt idx="18">
                  <c:v>861.48699999999997</c:v>
                </c:pt>
                <c:pt idx="19">
                  <c:v>838.56699999999796</c:v>
                </c:pt>
                <c:pt idx="20">
                  <c:v>878.78000000000054</c:v>
                </c:pt>
                <c:pt idx="21">
                  <c:v>903.13300000000004</c:v>
                </c:pt>
                <c:pt idx="22">
                  <c:v>956.30699999999797</c:v>
                </c:pt>
                <c:pt idx="23">
                  <c:v>922.95099999999798</c:v>
                </c:pt>
                <c:pt idx="24">
                  <c:v>962.34499999999946</c:v>
                </c:pt>
                <c:pt idx="25">
                  <c:v>967.24099999999999</c:v>
                </c:pt>
                <c:pt idx="26">
                  <c:v>1003.614</c:v>
                </c:pt>
                <c:pt idx="27">
                  <c:v>999.13199999999949</c:v>
                </c:pt>
                <c:pt idx="28">
                  <c:v>1055.951</c:v>
                </c:pt>
                <c:pt idx="29">
                  <c:v>1063.3779999999999</c:v>
                </c:pt>
                <c:pt idx="30">
                  <c:v>1085.259</c:v>
                </c:pt>
                <c:pt idx="31">
                  <c:v>1042.0029999999999</c:v>
                </c:pt>
                <c:pt idx="32">
                  <c:v>1090.1229999999998</c:v>
                </c:pt>
                <c:pt idx="33">
                  <c:v>1060.3129999999999</c:v>
                </c:pt>
                <c:pt idx="34">
                  <c:v>1059.616</c:v>
                </c:pt>
                <c:pt idx="35">
                  <c:v>1079.675</c:v>
                </c:pt>
                <c:pt idx="36">
                  <c:v>1100.798</c:v>
                </c:pt>
                <c:pt idx="37">
                  <c:v>1150.5329999999999</c:v>
                </c:pt>
                <c:pt idx="38">
                  <c:v>1159.375</c:v>
                </c:pt>
                <c:pt idx="39">
                  <c:v>1175.655</c:v>
                </c:pt>
                <c:pt idx="40">
                  <c:v>1200.799</c:v>
                </c:pt>
                <c:pt idx="41">
                  <c:v>1189.82</c:v>
                </c:pt>
                <c:pt idx="42">
                  <c:v>1177.1919999999998</c:v>
                </c:pt>
                <c:pt idx="43" formatCode="#,##0.0">
                  <c:v>1235.1969999999999</c:v>
                </c:pt>
                <c:pt idx="44">
                  <c:v>1263.7760000000001</c:v>
                </c:pt>
                <c:pt idx="45">
                  <c:v>1288.8</c:v>
                </c:pt>
                <c:pt idx="46">
                  <c:v>1298.0999999999999</c:v>
                </c:pt>
                <c:pt idx="47">
                  <c:v>1301.5999999999999</c:v>
                </c:pt>
                <c:pt idx="48">
                  <c:v>1410.3129999999999</c:v>
                </c:pt>
                <c:pt idx="49">
                  <c:v>1347.2118500000001</c:v>
                </c:pt>
                <c:pt idx="50" formatCode="0.0">
                  <c:v>1319</c:v>
                </c:pt>
                <c:pt idx="51" formatCode="0.0">
                  <c:v>1305.3969999999999</c:v>
                </c:pt>
                <c:pt idx="52" formatCode="General">
                  <c:v>1259.4000000000001</c:v>
                </c:pt>
              </c:numCache>
            </c:numRef>
          </c:val>
          <c:extLst xmlns:c16r2="http://schemas.microsoft.com/office/drawing/2015/06/chart">
            <c:ext xmlns:c16="http://schemas.microsoft.com/office/drawing/2014/chart" uri="{C3380CC4-5D6E-409C-BE32-E72D297353CC}">
              <c16:uniqueId val="{00000002-A09D-4BFB-824A-C97A9106AF3D}"/>
            </c:ext>
          </c:extLst>
        </c:ser>
        <c:ser>
          <c:idx val="3"/>
          <c:order val="3"/>
          <c:tx>
            <c:strRef>
              <c:f>'Státní rozpočet 5'!$B$44</c:f>
              <c:strCache>
                <c:ptCount val="1"/>
                <c:pt idx="0">
                  <c:v>Krátkodobé zápůjčky a směnky</c:v>
                </c:pt>
              </c:strCache>
            </c:strRef>
          </c:tx>
          <c:spPr>
            <a:solidFill>
              <a:srgbClr val="0071BC"/>
            </a:solidFill>
          </c:spPr>
          <c:cat>
            <c:multiLvlStrRef>
              <c:f>'Státní rozpočet 5'!$C$39:$BE$40</c:f>
              <c:multiLvlStrCache>
                <c:ptCount val="5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pt idx="46">
                    <c:v>3</c:v>
                  </c:pt>
                  <c:pt idx="47">
                    <c:v>4</c:v>
                  </c:pt>
                  <c:pt idx="48">
                    <c:v>1</c:v>
                  </c:pt>
                  <c:pt idx="49">
                    <c:v>2</c:v>
                  </c:pt>
                  <c:pt idx="50">
                    <c:v>3</c:v>
                  </c:pt>
                  <c:pt idx="51">
                    <c:v>4</c:v>
                  </c:pt>
                  <c:pt idx="52">
                    <c:v>1</c:v>
                  </c:pt>
                  <c:pt idx="53">
                    <c:v>2</c:v>
                  </c:pt>
                  <c:pt idx="54">
                    <c:v>3</c:v>
                  </c:pt>
                </c:lvl>
                <c:lvl>
                  <c:pt idx="0">
                    <c:v>2005</c:v>
                  </c:pt>
                  <c:pt idx="4">
                    <c:v>2006</c:v>
                  </c:pt>
                  <c:pt idx="8">
                    <c:v>2007</c:v>
                  </c:pt>
                  <c:pt idx="12">
                    <c:v>2008</c:v>
                  </c:pt>
                  <c:pt idx="16">
                    <c:v>2009</c:v>
                  </c:pt>
                  <c:pt idx="20">
                    <c:v>2010</c:v>
                  </c:pt>
                  <c:pt idx="24">
                    <c:v>2011</c:v>
                  </c:pt>
                  <c:pt idx="28">
                    <c:v>2012</c:v>
                  </c:pt>
                  <c:pt idx="32">
                    <c:v>2013</c:v>
                  </c:pt>
                  <c:pt idx="36">
                    <c:v>2014</c:v>
                  </c:pt>
                  <c:pt idx="40">
                    <c:v>2015</c:v>
                  </c:pt>
                  <c:pt idx="44">
                    <c:v>2016</c:v>
                  </c:pt>
                  <c:pt idx="48">
                    <c:v>2017</c:v>
                  </c:pt>
                  <c:pt idx="52">
                    <c:v>2018</c:v>
                  </c:pt>
                </c:lvl>
              </c:multiLvlStrCache>
            </c:multiLvlStrRef>
          </c:cat>
          <c:val>
            <c:numRef>
              <c:f>'Státní rozpočet 5'!$C$44:$BE$44</c:f>
              <c:numCache>
                <c:formatCode>#,##0</c:formatCode>
                <c:ptCount val="55"/>
                <c:pt idx="0">
                  <c:v>0</c:v>
                </c:pt>
                <c:pt idx="1">
                  <c:v>0</c:v>
                </c:pt>
                <c:pt idx="2">
                  <c:v>0</c:v>
                </c:pt>
                <c:pt idx="3">
                  <c:v>0</c:v>
                </c:pt>
                <c:pt idx="4">
                  <c:v>0</c:v>
                </c:pt>
                <c:pt idx="5">
                  <c:v>0</c:v>
                </c:pt>
                <c:pt idx="6">
                  <c:v>0</c:v>
                </c:pt>
                <c:pt idx="7">
                  <c:v>2.4</c:v>
                </c:pt>
                <c:pt idx="8">
                  <c:v>0</c:v>
                </c:pt>
                <c:pt idx="9">
                  <c:v>0</c:v>
                </c:pt>
                <c:pt idx="10">
                  <c:v>0</c:v>
                </c:pt>
                <c:pt idx="11">
                  <c:v>3.9000000000000014E-2</c:v>
                </c:pt>
                <c:pt idx="12">
                  <c:v>1.4E-2</c:v>
                </c:pt>
                <c:pt idx="13">
                  <c:v>0.79500000000000004</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8.1</c:v>
                </c:pt>
                <c:pt idx="30">
                  <c:v>0</c:v>
                </c:pt>
                <c:pt idx="31">
                  <c:v>0</c:v>
                </c:pt>
                <c:pt idx="32">
                  <c:v>0</c:v>
                </c:pt>
                <c:pt idx="33">
                  <c:v>0</c:v>
                </c:pt>
                <c:pt idx="34">
                  <c:v>1.585</c:v>
                </c:pt>
                <c:pt idx="35">
                  <c:v>0</c:v>
                </c:pt>
                <c:pt idx="36">
                  <c:v>3.2600000000000002</c:v>
                </c:pt>
                <c:pt idx="37">
                  <c:v>11.621</c:v>
                </c:pt>
                <c:pt idx="38">
                  <c:v>12.352000000000094</c:v>
                </c:pt>
                <c:pt idx="39">
                  <c:v>2.5449999999999999</c:v>
                </c:pt>
                <c:pt idx="40">
                  <c:v>4.9930000000000003</c:v>
                </c:pt>
                <c:pt idx="41">
                  <c:v>11.764000000000001</c:v>
                </c:pt>
                <c:pt idx="42">
                  <c:v>10.553000000000004</c:v>
                </c:pt>
                <c:pt idx="43" formatCode="#,##0.0">
                  <c:v>2.8549999999999978</c:v>
                </c:pt>
                <c:pt idx="44">
                  <c:v>1.357</c:v>
                </c:pt>
                <c:pt idx="45">
                  <c:v>0</c:v>
                </c:pt>
                <c:pt idx="46">
                  <c:v>1.5</c:v>
                </c:pt>
                <c:pt idx="47">
                  <c:v>0</c:v>
                </c:pt>
                <c:pt idx="48">
                  <c:v>2.0000000000000052E-3</c:v>
                </c:pt>
                <c:pt idx="49">
                  <c:v>0</c:v>
                </c:pt>
                <c:pt idx="50" formatCode="0.0">
                  <c:v>2.9</c:v>
                </c:pt>
              </c:numCache>
            </c:numRef>
          </c:val>
          <c:extLst xmlns:c16r2="http://schemas.microsoft.com/office/drawing/2015/06/chart">
            <c:ext xmlns:c16="http://schemas.microsoft.com/office/drawing/2014/chart" uri="{C3380CC4-5D6E-409C-BE32-E72D297353CC}">
              <c16:uniqueId val="{00000003-A09D-4BFB-824A-C97A9106AF3D}"/>
            </c:ext>
          </c:extLst>
        </c:ser>
        <c:ser>
          <c:idx val="4"/>
          <c:order val="4"/>
          <c:tx>
            <c:strRef>
              <c:f>'Státní rozpočet 5'!$B$45</c:f>
              <c:strCache>
                <c:ptCount val="1"/>
                <c:pt idx="0">
                  <c:v>Zahraniční emise dluhopisů</c:v>
                </c:pt>
              </c:strCache>
            </c:strRef>
          </c:tx>
          <c:spPr>
            <a:solidFill>
              <a:srgbClr val="7DBB2D"/>
            </a:solidFill>
          </c:spPr>
          <c:cat>
            <c:multiLvlStrRef>
              <c:f>'Státní rozpočet 5'!$C$39:$BE$40</c:f>
              <c:multiLvlStrCache>
                <c:ptCount val="5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pt idx="46">
                    <c:v>3</c:v>
                  </c:pt>
                  <c:pt idx="47">
                    <c:v>4</c:v>
                  </c:pt>
                  <c:pt idx="48">
                    <c:v>1</c:v>
                  </c:pt>
                  <c:pt idx="49">
                    <c:v>2</c:v>
                  </c:pt>
                  <c:pt idx="50">
                    <c:v>3</c:v>
                  </c:pt>
                  <c:pt idx="51">
                    <c:v>4</c:v>
                  </c:pt>
                  <c:pt idx="52">
                    <c:v>1</c:v>
                  </c:pt>
                  <c:pt idx="53">
                    <c:v>2</c:v>
                  </c:pt>
                  <c:pt idx="54">
                    <c:v>3</c:v>
                  </c:pt>
                </c:lvl>
                <c:lvl>
                  <c:pt idx="0">
                    <c:v>2005</c:v>
                  </c:pt>
                  <c:pt idx="4">
                    <c:v>2006</c:v>
                  </c:pt>
                  <c:pt idx="8">
                    <c:v>2007</c:v>
                  </c:pt>
                  <c:pt idx="12">
                    <c:v>2008</c:v>
                  </c:pt>
                  <c:pt idx="16">
                    <c:v>2009</c:v>
                  </c:pt>
                  <c:pt idx="20">
                    <c:v>2010</c:v>
                  </c:pt>
                  <c:pt idx="24">
                    <c:v>2011</c:v>
                  </c:pt>
                  <c:pt idx="28">
                    <c:v>2012</c:v>
                  </c:pt>
                  <c:pt idx="32">
                    <c:v>2013</c:v>
                  </c:pt>
                  <c:pt idx="36">
                    <c:v>2014</c:v>
                  </c:pt>
                  <c:pt idx="40">
                    <c:v>2015</c:v>
                  </c:pt>
                  <c:pt idx="44">
                    <c:v>2016</c:v>
                  </c:pt>
                  <c:pt idx="48">
                    <c:v>2017</c:v>
                  </c:pt>
                  <c:pt idx="52">
                    <c:v>2018</c:v>
                  </c:pt>
                </c:lvl>
              </c:multiLvlStrCache>
            </c:multiLvlStrRef>
          </c:cat>
          <c:val>
            <c:numRef>
              <c:f>'Státní rozpočet 5'!$C$45:$BE$45</c:f>
              <c:numCache>
                <c:formatCode>#,##0</c:formatCode>
                <c:ptCount val="55"/>
                <c:pt idx="0">
                  <c:v>78.884999999999991</c:v>
                </c:pt>
                <c:pt idx="1">
                  <c:v>78.885999999999981</c:v>
                </c:pt>
                <c:pt idx="2">
                  <c:v>78.88</c:v>
                </c:pt>
                <c:pt idx="3">
                  <c:v>78.873999999999981</c:v>
                </c:pt>
                <c:pt idx="4">
                  <c:v>84.891000000000005</c:v>
                </c:pt>
                <c:pt idx="5">
                  <c:v>84.733000000000004</c:v>
                </c:pt>
                <c:pt idx="6">
                  <c:v>84.557999999999993</c:v>
                </c:pt>
                <c:pt idx="7">
                  <c:v>84.111999999999995</c:v>
                </c:pt>
                <c:pt idx="8">
                  <c:v>84.200999999999993</c:v>
                </c:pt>
                <c:pt idx="9">
                  <c:v>84.04</c:v>
                </c:pt>
                <c:pt idx="10">
                  <c:v>83.929000000000002</c:v>
                </c:pt>
                <c:pt idx="11">
                  <c:v>83.685999999999979</c:v>
                </c:pt>
                <c:pt idx="12">
                  <c:v>83.658999999999978</c:v>
                </c:pt>
                <c:pt idx="13">
                  <c:v>131.55800000000067</c:v>
                </c:pt>
                <c:pt idx="14">
                  <c:v>133.07300000000001</c:v>
                </c:pt>
                <c:pt idx="15">
                  <c:v>137.87</c:v>
                </c:pt>
                <c:pt idx="16">
                  <c:v>138.38500000000047</c:v>
                </c:pt>
                <c:pt idx="17">
                  <c:v>175.62700000000001</c:v>
                </c:pt>
                <c:pt idx="18">
                  <c:v>173.05600000000001</c:v>
                </c:pt>
                <c:pt idx="19">
                  <c:v>193.018</c:v>
                </c:pt>
                <c:pt idx="20">
                  <c:v>189.80800000000067</c:v>
                </c:pt>
                <c:pt idx="21">
                  <c:v>192.506</c:v>
                </c:pt>
                <c:pt idx="22">
                  <c:v>237.06300000000002</c:v>
                </c:pt>
                <c:pt idx="23">
                  <c:v>240.29599999999999</c:v>
                </c:pt>
                <c:pt idx="24">
                  <c:v>237.41399999999999</c:v>
                </c:pt>
                <c:pt idx="25">
                  <c:v>237.08600000000001</c:v>
                </c:pt>
                <c:pt idx="26">
                  <c:v>240.11599999999999</c:v>
                </c:pt>
                <c:pt idx="27">
                  <c:v>245.74599999999998</c:v>
                </c:pt>
                <c:pt idx="28">
                  <c:v>288.46499999999969</c:v>
                </c:pt>
                <c:pt idx="29">
                  <c:v>295.37599999999969</c:v>
                </c:pt>
                <c:pt idx="30">
                  <c:v>290.82499999999999</c:v>
                </c:pt>
                <c:pt idx="31">
                  <c:v>310.28599999999869</c:v>
                </c:pt>
                <c:pt idx="32">
                  <c:v>313.73399999999685</c:v>
                </c:pt>
                <c:pt idx="33">
                  <c:v>314.565</c:v>
                </c:pt>
                <c:pt idx="34">
                  <c:v>313.14100000000002</c:v>
                </c:pt>
                <c:pt idx="35">
                  <c:v>323.68200000000002</c:v>
                </c:pt>
                <c:pt idx="36">
                  <c:v>323.94499999999999</c:v>
                </c:pt>
                <c:pt idx="37">
                  <c:v>275.38900000000001</c:v>
                </c:pt>
                <c:pt idx="38">
                  <c:v>275.81900000000002</c:v>
                </c:pt>
                <c:pt idx="39">
                  <c:v>239.57599999999999</c:v>
                </c:pt>
                <c:pt idx="40">
                  <c:v>238.19399999999999</c:v>
                </c:pt>
                <c:pt idx="41">
                  <c:v>235.67399999999998</c:v>
                </c:pt>
                <c:pt idx="42">
                  <c:v>234.67299999999997</c:v>
                </c:pt>
                <c:pt idx="43" formatCode="#,##0.0">
                  <c:v>225.61899999999997</c:v>
                </c:pt>
                <c:pt idx="44">
                  <c:v>225.89400000000001</c:v>
                </c:pt>
                <c:pt idx="45">
                  <c:v>227.3</c:v>
                </c:pt>
                <c:pt idx="46">
                  <c:v>226.5</c:v>
                </c:pt>
                <c:pt idx="47">
                  <c:v>213.524</c:v>
                </c:pt>
                <c:pt idx="48">
                  <c:v>213.786</c:v>
                </c:pt>
                <c:pt idx="49" formatCode="0">
                  <c:v>207.51715000000002</c:v>
                </c:pt>
                <c:pt idx="50" formatCode="0.0">
                  <c:v>205.7</c:v>
                </c:pt>
                <c:pt idx="51" formatCode="0.0">
                  <c:v>202.61979999999932</c:v>
                </c:pt>
                <c:pt idx="52" formatCode="0.0">
                  <c:v>202.01859999999999</c:v>
                </c:pt>
              </c:numCache>
            </c:numRef>
          </c:val>
          <c:extLst xmlns:c16r2="http://schemas.microsoft.com/office/drawing/2015/06/chart">
            <c:ext xmlns:c16="http://schemas.microsoft.com/office/drawing/2014/chart" uri="{C3380CC4-5D6E-409C-BE32-E72D297353CC}">
              <c16:uniqueId val="{00000004-A09D-4BFB-824A-C97A9106AF3D}"/>
            </c:ext>
          </c:extLst>
        </c:ser>
        <c:ser>
          <c:idx val="5"/>
          <c:order val="5"/>
          <c:tx>
            <c:strRef>
              <c:f>'Státní rozpočet 5'!$B$46</c:f>
              <c:strCache>
                <c:ptCount val="1"/>
                <c:pt idx="0">
                  <c:v>Úvěry od EIB</c:v>
                </c:pt>
              </c:strCache>
            </c:strRef>
          </c:tx>
          <c:spPr>
            <a:solidFill>
              <a:srgbClr val="D2E7B6"/>
            </a:solidFill>
          </c:spPr>
          <c:cat>
            <c:multiLvlStrRef>
              <c:f>'Státní rozpočet 5'!$C$39:$BE$40</c:f>
              <c:multiLvlStrCache>
                <c:ptCount val="5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pt idx="46">
                    <c:v>3</c:v>
                  </c:pt>
                  <c:pt idx="47">
                    <c:v>4</c:v>
                  </c:pt>
                  <c:pt idx="48">
                    <c:v>1</c:v>
                  </c:pt>
                  <c:pt idx="49">
                    <c:v>2</c:v>
                  </c:pt>
                  <c:pt idx="50">
                    <c:v>3</c:v>
                  </c:pt>
                  <c:pt idx="51">
                    <c:v>4</c:v>
                  </c:pt>
                  <c:pt idx="52">
                    <c:v>1</c:v>
                  </c:pt>
                  <c:pt idx="53">
                    <c:v>2</c:v>
                  </c:pt>
                  <c:pt idx="54">
                    <c:v>3</c:v>
                  </c:pt>
                </c:lvl>
                <c:lvl>
                  <c:pt idx="0">
                    <c:v>2005</c:v>
                  </c:pt>
                  <c:pt idx="4">
                    <c:v>2006</c:v>
                  </c:pt>
                  <c:pt idx="8">
                    <c:v>2007</c:v>
                  </c:pt>
                  <c:pt idx="12">
                    <c:v>2008</c:v>
                  </c:pt>
                  <c:pt idx="16">
                    <c:v>2009</c:v>
                  </c:pt>
                  <c:pt idx="20">
                    <c:v>2010</c:v>
                  </c:pt>
                  <c:pt idx="24">
                    <c:v>2011</c:v>
                  </c:pt>
                  <c:pt idx="28">
                    <c:v>2012</c:v>
                  </c:pt>
                  <c:pt idx="32">
                    <c:v>2013</c:v>
                  </c:pt>
                  <c:pt idx="36">
                    <c:v>2014</c:v>
                  </c:pt>
                  <c:pt idx="40">
                    <c:v>2015</c:v>
                  </c:pt>
                  <c:pt idx="44">
                    <c:v>2016</c:v>
                  </c:pt>
                  <c:pt idx="48">
                    <c:v>2017</c:v>
                  </c:pt>
                  <c:pt idx="52">
                    <c:v>2018</c:v>
                  </c:pt>
                </c:lvl>
              </c:multiLvlStrCache>
            </c:multiLvlStrRef>
          </c:cat>
          <c:val>
            <c:numRef>
              <c:f>'Státní rozpočet 5'!$C$46:$BE$46</c:f>
              <c:numCache>
                <c:formatCode>#,##0</c:formatCode>
                <c:ptCount val="55"/>
                <c:pt idx="0">
                  <c:v>20.655000000000001</c:v>
                </c:pt>
                <c:pt idx="1">
                  <c:v>26.164000000000001</c:v>
                </c:pt>
                <c:pt idx="2">
                  <c:v>28.332000000000001</c:v>
                </c:pt>
                <c:pt idx="3">
                  <c:v>29.731999999999999</c:v>
                </c:pt>
                <c:pt idx="4">
                  <c:v>29.901999999999987</c:v>
                </c:pt>
                <c:pt idx="5">
                  <c:v>32.028000000000013</c:v>
                </c:pt>
                <c:pt idx="6">
                  <c:v>34.298000000000329</c:v>
                </c:pt>
                <c:pt idx="7">
                  <c:v>36.704000000000001</c:v>
                </c:pt>
                <c:pt idx="8">
                  <c:v>36.704000000000001</c:v>
                </c:pt>
                <c:pt idx="9">
                  <c:v>38.434000000000005</c:v>
                </c:pt>
                <c:pt idx="10">
                  <c:v>38.743000000000002</c:v>
                </c:pt>
                <c:pt idx="11">
                  <c:v>38.743000000000002</c:v>
                </c:pt>
                <c:pt idx="12">
                  <c:v>35.907000000000004</c:v>
                </c:pt>
                <c:pt idx="13">
                  <c:v>38.914000000000001</c:v>
                </c:pt>
                <c:pt idx="14">
                  <c:v>45.838000000000001</c:v>
                </c:pt>
                <c:pt idx="15">
                  <c:v>46.811999999999998</c:v>
                </c:pt>
                <c:pt idx="16">
                  <c:v>47.237000000000002</c:v>
                </c:pt>
                <c:pt idx="17">
                  <c:v>51.226000000000013</c:v>
                </c:pt>
                <c:pt idx="18">
                  <c:v>53.134</c:v>
                </c:pt>
                <c:pt idx="19">
                  <c:v>57.911999999999999</c:v>
                </c:pt>
                <c:pt idx="20">
                  <c:v>60.057000000000002</c:v>
                </c:pt>
                <c:pt idx="21">
                  <c:v>60.694000000000003</c:v>
                </c:pt>
                <c:pt idx="22">
                  <c:v>62.394000000000005</c:v>
                </c:pt>
                <c:pt idx="23">
                  <c:v>67.185000000000002</c:v>
                </c:pt>
                <c:pt idx="24">
                  <c:v>66.826999999999998</c:v>
                </c:pt>
                <c:pt idx="25">
                  <c:v>67.218000000000004</c:v>
                </c:pt>
                <c:pt idx="26">
                  <c:v>69.516000000000005</c:v>
                </c:pt>
                <c:pt idx="27">
                  <c:v>71.322999999999979</c:v>
                </c:pt>
                <c:pt idx="28">
                  <c:v>70.965000000000003</c:v>
                </c:pt>
                <c:pt idx="29">
                  <c:v>69.756</c:v>
                </c:pt>
                <c:pt idx="30">
                  <c:v>68.459000000000003</c:v>
                </c:pt>
                <c:pt idx="31">
                  <c:v>70.003</c:v>
                </c:pt>
                <c:pt idx="32">
                  <c:v>69.644999999999996</c:v>
                </c:pt>
                <c:pt idx="33">
                  <c:v>67.778999999999982</c:v>
                </c:pt>
                <c:pt idx="34">
                  <c:v>67.870999999999981</c:v>
                </c:pt>
                <c:pt idx="35">
                  <c:v>71.512</c:v>
                </c:pt>
                <c:pt idx="36">
                  <c:v>70.260999999999996</c:v>
                </c:pt>
                <c:pt idx="37">
                  <c:v>66.956999999999994</c:v>
                </c:pt>
                <c:pt idx="38">
                  <c:v>64.012</c:v>
                </c:pt>
                <c:pt idx="39">
                  <c:v>60.432000000000002</c:v>
                </c:pt>
                <c:pt idx="40">
                  <c:v>59.674000000000007</c:v>
                </c:pt>
                <c:pt idx="41">
                  <c:v>59.491</c:v>
                </c:pt>
                <c:pt idx="42">
                  <c:v>58.134</c:v>
                </c:pt>
                <c:pt idx="43" formatCode="#,##0.0">
                  <c:v>57.950999999999993</c:v>
                </c:pt>
                <c:pt idx="44">
                  <c:v>57.593000000000011</c:v>
                </c:pt>
                <c:pt idx="45">
                  <c:v>57.4</c:v>
                </c:pt>
                <c:pt idx="46">
                  <c:v>56.5</c:v>
                </c:pt>
                <c:pt idx="47">
                  <c:v>56.3</c:v>
                </c:pt>
                <c:pt idx="48">
                  <c:v>55.911999999999999</c:v>
                </c:pt>
                <c:pt idx="49">
                  <c:v>55.2</c:v>
                </c:pt>
                <c:pt idx="50" formatCode="0.0">
                  <c:v>51.4</c:v>
                </c:pt>
                <c:pt idx="51" formatCode="0.0">
                  <c:v>51.191000000000003</c:v>
                </c:pt>
                <c:pt idx="52" formatCode="General">
                  <c:v>49.1</c:v>
                </c:pt>
              </c:numCache>
            </c:numRef>
          </c:val>
          <c:extLst xmlns:c16r2="http://schemas.microsoft.com/office/drawing/2015/06/chart">
            <c:ext xmlns:c16="http://schemas.microsoft.com/office/drawing/2014/chart" uri="{C3380CC4-5D6E-409C-BE32-E72D297353CC}">
              <c16:uniqueId val="{00000005-A09D-4BFB-824A-C97A9106AF3D}"/>
            </c:ext>
          </c:extLst>
        </c:ser>
        <c:gapWidth val="38"/>
        <c:overlap val="100"/>
        <c:axId val="159347456"/>
        <c:axId val="159348992"/>
      </c:barChart>
      <c:lineChart>
        <c:grouping val="standard"/>
        <c:ser>
          <c:idx val="6"/>
          <c:order val="6"/>
          <c:tx>
            <c:strRef>
              <c:f>'Státní rozpočet 5'!$B$47</c:f>
              <c:strCache>
                <c:ptCount val="1"/>
                <c:pt idx="0">
                  <c:v>% korun. dluhopisů v držbě nerezidentů</c:v>
                </c:pt>
              </c:strCache>
            </c:strRef>
          </c:tx>
          <c:spPr>
            <a:ln w="19050">
              <a:solidFill>
                <a:schemeClr val="tx1"/>
              </a:solidFill>
            </a:ln>
          </c:spPr>
          <c:marker>
            <c:symbol val="none"/>
          </c:marker>
          <c:cat>
            <c:multiLvlStrRef>
              <c:f>'Státní rozpočet 5'!$C$39:$BE$40</c:f>
              <c:multiLvlStrCache>
                <c:ptCount val="5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pt idx="39">
                    <c:v>4</c:v>
                  </c:pt>
                  <c:pt idx="40">
                    <c:v>1</c:v>
                  </c:pt>
                  <c:pt idx="41">
                    <c:v>2</c:v>
                  </c:pt>
                  <c:pt idx="42">
                    <c:v>3</c:v>
                  </c:pt>
                  <c:pt idx="43">
                    <c:v>4</c:v>
                  </c:pt>
                  <c:pt idx="44">
                    <c:v>1</c:v>
                  </c:pt>
                  <c:pt idx="45">
                    <c:v>2</c:v>
                  </c:pt>
                  <c:pt idx="46">
                    <c:v>3</c:v>
                  </c:pt>
                  <c:pt idx="47">
                    <c:v>4</c:v>
                  </c:pt>
                  <c:pt idx="48">
                    <c:v>1</c:v>
                  </c:pt>
                  <c:pt idx="49">
                    <c:v>2</c:v>
                  </c:pt>
                  <c:pt idx="50">
                    <c:v>3</c:v>
                  </c:pt>
                  <c:pt idx="51">
                    <c:v>4</c:v>
                  </c:pt>
                  <c:pt idx="52">
                    <c:v>1</c:v>
                  </c:pt>
                  <c:pt idx="53">
                    <c:v>2</c:v>
                  </c:pt>
                  <c:pt idx="54">
                    <c:v>3</c:v>
                  </c:pt>
                </c:lvl>
                <c:lvl>
                  <c:pt idx="0">
                    <c:v>2005</c:v>
                  </c:pt>
                  <c:pt idx="4">
                    <c:v>2006</c:v>
                  </c:pt>
                  <c:pt idx="8">
                    <c:v>2007</c:v>
                  </c:pt>
                  <c:pt idx="12">
                    <c:v>2008</c:v>
                  </c:pt>
                  <c:pt idx="16">
                    <c:v>2009</c:v>
                  </c:pt>
                  <c:pt idx="20">
                    <c:v>2010</c:v>
                  </c:pt>
                  <c:pt idx="24">
                    <c:v>2011</c:v>
                  </c:pt>
                  <c:pt idx="28">
                    <c:v>2012</c:v>
                  </c:pt>
                  <c:pt idx="32">
                    <c:v>2013</c:v>
                  </c:pt>
                  <c:pt idx="36">
                    <c:v>2014</c:v>
                  </c:pt>
                  <c:pt idx="40">
                    <c:v>2015</c:v>
                  </c:pt>
                  <c:pt idx="44">
                    <c:v>2016</c:v>
                  </c:pt>
                  <c:pt idx="48">
                    <c:v>2017</c:v>
                  </c:pt>
                  <c:pt idx="52">
                    <c:v>2018</c:v>
                  </c:pt>
                </c:lvl>
              </c:multiLvlStrCache>
            </c:multiLvlStrRef>
          </c:cat>
          <c:val>
            <c:numRef>
              <c:f>'Státní rozpočet 5'!$C$47:$BE$47</c:f>
              <c:numCache>
                <c:formatCode>0.0</c:formatCode>
                <c:ptCount val="55"/>
                <c:pt idx="0">
                  <c:v>10.265992704390317</c:v>
                </c:pt>
                <c:pt idx="1">
                  <c:v>10.923088048331014</c:v>
                </c:pt>
                <c:pt idx="2">
                  <c:v>13.145252386172798</c:v>
                </c:pt>
                <c:pt idx="3">
                  <c:v>13.001503685169766</c:v>
                </c:pt>
                <c:pt idx="4">
                  <c:v>13.304825460196447</c:v>
                </c:pt>
                <c:pt idx="5">
                  <c:v>13.130686728399851</c:v>
                </c:pt>
                <c:pt idx="6">
                  <c:v>12.754669045605075</c:v>
                </c:pt>
                <c:pt idx="7">
                  <c:v>14.023012638423276</c:v>
                </c:pt>
                <c:pt idx="8">
                  <c:v>14.540668674784499</c:v>
                </c:pt>
                <c:pt idx="9">
                  <c:v>16.017485639628635</c:v>
                </c:pt>
                <c:pt idx="10">
                  <c:v>14.915904603224822</c:v>
                </c:pt>
                <c:pt idx="11">
                  <c:v>15.636328283334722</c:v>
                </c:pt>
                <c:pt idx="12">
                  <c:v>18.071642557457089</c:v>
                </c:pt>
                <c:pt idx="13">
                  <c:v>17.908165316315252</c:v>
                </c:pt>
                <c:pt idx="14">
                  <c:v>16.786365018341076</c:v>
                </c:pt>
                <c:pt idx="15">
                  <c:v>11.3672591269615</c:v>
                </c:pt>
                <c:pt idx="16">
                  <c:v>9.6178712100545489</c:v>
                </c:pt>
                <c:pt idx="17">
                  <c:v>9.4410888328706157</c:v>
                </c:pt>
                <c:pt idx="18">
                  <c:v>10.794621127622998</c:v>
                </c:pt>
                <c:pt idx="19">
                  <c:v>10.410776619638726</c:v>
                </c:pt>
                <c:pt idx="20">
                  <c:v>11.225493284964054</c:v>
                </c:pt>
                <c:pt idx="21">
                  <c:v>11.79232663254435</c:v>
                </c:pt>
                <c:pt idx="22">
                  <c:v>12.641224199198495</c:v>
                </c:pt>
                <c:pt idx="23">
                  <c:v>12.83741347982785</c:v>
                </c:pt>
                <c:pt idx="24">
                  <c:v>13.318501834003582</c:v>
                </c:pt>
                <c:pt idx="25">
                  <c:v>14.830507060003551</c:v>
                </c:pt>
                <c:pt idx="26">
                  <c:v>14.66050980041847</c:v>
                </c:pt>
                <c:pt idx="27">
                  <c:v>14.171926415445183</c:v>
                </c:pt>
                <c:pt idx="28">
                  <c:v>12.926745930684422</c:v>
                </c:pt>
                <c:pt idx="29">
                  <c:v>12.792771834252662</c:v>
                </c:pt>
                <c:pt idx="30">
                  <c:v>12.77686883709845</c:v>
                </c:pt>
                <c:pt idx="31">
                  <c:v>12.215676084031044</c:v>
                </c:pt>
                <c:pt idx="32">
                  <c:v>13.255297631418404</c:v>
                </c:pt>
                <c:pt idx="33">
                  <c:v>13.350273439240414</c:v>
                </c:pt>
                <c:pt idx="34">
                  <c:v>13.057915258672836</c:v>
                </c:pt>
                <c:pt idx="35">
                  <c:v>14.997789266625341</c:v>
                </c:pt>
                <c:pt idx="36">
                  <c:v>14.974431008283176</c:v>
                </c:pt>
                <c:pt idx="37">
                  <c:v>14.162303131717232</c:v>
                </c:pt>
                <c:pt idx="38">
                  <c:v>14.499025313524356</c:v>
                </c:pt>
                <c:pt idx="39">
                  <c:v>14.49378333679272</c:v>
                </c:pt>
                <c:pt idx="40">
                  <c:v>17.111328570972969</c:v>
                </c:pt>
                <c:pt idx="41">
                  <c:v>17.385520699212726</c:v>
                </c:pt>
                <c:pt idx="42">
                  <c:v>18.843809422995431</c:v>
                </c:pt>
                <c:pt idx="43">
                  <c:v>21.274294138798233</c:v>
                </c:pt>
                <c:pt idx="44">
                  <c:v>24.684449907952953</c:v>
                </c:pt>
                <c:pt idx="45">
                  <c:v>26.121406197883733</c:v>
                </c:pt>
                <c:pt idx="46">
                  <c:v>28.36</c:v>
                </c:pt>
                <c:pt idx="47">
                  <c:v>31.557426806363452</c:v>
                </c:pt>
                <c:pt idx="48">
                  <c:v>47.262759844202463</c:v>
                </c:pt>
                <c:pt idx="49">
                  <c:v>47.618125585631624</c:v>
                </c:pt>
                <c:pt idx="50">
                  <c:v>51.35</c:v>
                </c:pt>
                <c:pt idx="51">
                  <c:v>41.64</c:v>
                </c:pt>
                <c:pt idx="52">
                  <c:v>35.466956324142593</c:v>
                </c:pt>
              </c:numCache>
            </c:numRef>
          </c:val>
          <c:extLst xmlns:c16r2="http://schemas.microsoft.com/office/drawing/2015/06/chart">
            <c:ext xmlns:c16="http://schemas.microsoft.com/office/drawing/2014/chart" uri="{C3380CC4-5D6E-409C-BE32-E72D297353CC}">
              <c16:uniqueId val="{00000006-A09D-4BFB-824A-C97A9106AF3D}"/>
            </c:ext>
          </c:extLst>
        </c:ser>
        <c:marker val="1"/>
        <c:axId val="159372800"/>
        <c:axId val="159371264"/>
      </c:lineChart>
      <c:catAx>
        <c:axId val="159347456"/>
        <c:scaling>
          <c:orientation val="minMax"/>
        </c:scaling>
        <c:axPos val="b"/>
        <c:numFmt formatCode="General" sourceLinked="0"/>
        <c:tickLblPos val="nextTo"/>
        <c:spPr>
          <a:ln>
            <a:solidFill>
              <a:schemeClr val="tx1"/>
            </a:solidFill>
          </a:ln>
        </c:spPr>
        <c:crossAx val="159348992"/>
        <c:crosses val="autoZero"/>
        <c:auto val="1"/>
        <c:lblAlgn val="ctr"/>
        <c:lblOffset val="10"/>
      </c:catAx>
      <c:valAx>
        <c:axId val="159348992"/>
        <c:scaling>
          <c:orientation val="minMax"/>
          <c:max val="1800"/>
        </c:scaling>
        <c:axPos val="l"/>
        <c:majorGridlines>
          <c:spPr>
            <a:ln w="6350">
              <a:solidFill>
                <a:schemeClr val="bg1">
                  <a:lumMod val="75000"/>
                </a:schemeClr>
              </a:solidFill>
            </a:ln>
          </c:spPr>
        </c:majorGridlines>
        <c:numFmt formatCode="#,##0" sourceLinked="1"/>
        <c:tickLblPos val="nextTo"/>
        <c:spPr>
          <a:ln>
            <a:solidFill>
              <a:schemeClr val="tx1"/>
            </a:solidFill>
          </a:ln>
        </c:spPr>
        <c:crossAx val="159347456"/>
        <c:crosses val="autoZero"/>
        <c:crossBetween val="between"/>
      </c:valAx>
      <c:valAx>
        <c:axId val="159371264"/>
        <c:scaling>
          <c:orientation val="minMax"/>
          <c:max val="60"/>
        </c:scaling>
        <c:axPos val="r"/>
        <c:numFmt formatCode="0" sourceLinked="0"/>
        <c:tickLblPos val="nextTo"/>
        <c:spPr>
          <a:ln>
            <a:solidFill>
              <a:schemeClr val="tx1"/>
            </a:solidFill>
          </a:ln>
        </c:spPr>
        <c:crossAx val="159372800"/>
        <c:crosses val="max"/>
        <c:crossBetween val="between"/>
        <c:majorUnit val="5"/>
      </c:valAx>
      <c:catAx>
        <c:axId val="159372800"/>
        <c:scaling>
          <c:orientation val="minMax"/>
        </c:scaling>
        <c:delete val="1"/>
        <c:axPos val="b"/>
        <c:numFmt formatCode="General" sourceLinked="1"/>
        <c:tickLblPos val="none"/>
        <c:crossAx val="159371264"/>
        <c:crosses val="autoZero"/>
        <c:auto val="1"/>
        <c:lblAlgn val="ctr"/>
        <c:lblOffset val="100"/>
      </c:catAx>
      <c:spPr>
        <a:ln w="9525">
          <a:solidFill>
            <a:schemeClr val="tx1"/>
          </a:solidFill>
        </a:ln>
      </c:spPr>
    </c:plotArea>
    <c:legend>
      <c:legendPos val="b"/>
      <c:layout>
        <c:manualLayout>
          <c:xMode val="edge"/>
          <c:yMode val="edge"/>
          <c:x val="7.1917809656383364E-2"/>
          <c:y val="0.85316553287982799"/>
          <c:w val="0.8853057659932525"/>
          <c:h val="0.12993917070585131"/>
        </c:manualLayout>
      </c:layout>
      <c:spPr>
        <a:ln w="6350">
          <a:solidFill>
            <a:schemeClr val="tx1"/>
          </a:solidFill>
        </a:ln>
      </c:spPr>
    </c:legend>
    <c:plotVisOnly val="1"/>
    <c:dispBlanksAs val="gap"/>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4.6948352704928246E-2"/>
          <c:y val="2.8458510079622041E-2"/>
          <c:w val="0.93956464282120356"/>
          <c:h val="0.6497469886299676"/>
        </c:manualLayout>
      </c:layout>
      <c:barChart>
        <c:barDir val="col"/>
        <c:grouping val="stacked"/>
        <c:ser>
          <c:idx val="5"/>
          <c:order val="1"/>
          <c:tx>
            <c:strRef>
              <c:f>'souhrnná výkonnost 3'!$D$5</c:f>
              <c:strCache>
                <c:ptCount val="1"/>
                <c:pt idx="0">
                  <c:v>Výdaje na konečnou spotřebu domácností (vč. nezisk. inst.)</c:v>
                </c:pt>
              </c:strCache>
            </c:strRef>
          </c:tx>
          <c:spPr>
            <a:solidFill>
              <a:srgbClr val="0071BC"/>
            </a:solidFill>
            <a:ln>
              <a:noFill/>
            </a:ln>
          </c:spPr>
          <c:val>
            <c:numRef>
              <c:f>'souhrnná výkonnost 3'!$D$10:$D$30</c:f>
              <c:numCache>
                <c:formatCode>#,##0.0</c:formatCode>
                <c:ptCount val="21"/>
                <c:pt idx="0">
                  <c:v>0.40597446298277345</c:v>
                </c:pt>
                <c:pt idx="1">
                  <c:v>0.39628462481418036</c:v>
                </c:pt>
                <c:pt idx="2">
                  <c:v>0.10072438430113238</c:v>
                </c:pt>
                <c:pt idx="3">
                  <c:v>-0.14406158457489443</c:v>
                </c:pt>
                <c:pt idx="4">
                  <c:v>-0.34191572959569688</c:v>
                </c:pt>
                <c:pt idx="5">
                  <c:v>9.7087013192332962E-3</c:v>
                </c:pt>
                <c:pt idx="6">
                  <c:v>0.64253427254961071</c:v>
                </c:pt>
                <c:pt idx="7">
                  <c:v>1.1251586350776599</c:v>
                </c:pt>
                <c:pt idx="8">
                  <c:v>0.95997122154132164</c:v>
                </c:pt>
                <c:pt idx="9">
                  <c:v>0.88408623556808263</c:v>
                </c:pt>
                <c:pt idx="10">
                  <c:v>0.95575812400738969</c:v>
                </c:pt>
                <c:pt idx="11">
                  <c:v>1.1865803170343918</c:v>
                </c:pt>
                <c:pt idx="12">
                  <c:v>1.1220156341618586</c:v>
                </c:pt>
                <c:pt idx="13">
                  <c:v>1.2237539528953938</c:v>
                </c:pt>
                <c:pt idx="14">
                  <c:v>1.3569499033616681</c:v>
                </c:pt>
                <c:pt idx="15">
                  <c:v>1.1074362042969432</c:v>
                </c:pt>
                <c:pt idx="16">
                  <c:v>1.202533750017116</c:v>
                </c:pt>
                <c:pt idx="17">
                  <c:v>1.5198615730404292</c:v>
                </c:pt>
                <c:pt idx="18">
                  <c:v>1.4537431895750188</c:v>
                </c:pt>
                <c:pt idx="19">
                  <c:v>1.3474590682802263</c:v>
                </c:pt>
                <c:pt idx="20">
                  <c:v>1.4337729260640026</c:v>
                </c:pt>
              </c:numCache>
            </c:numRef>
          </c:val>
          <c:extLst xmlns:c16r2="http://schemas.microsoft.com/office/drawing/2015/06/chart">
            <c:ext xmlns:c16="http://schemas.microsoft.com/office/drawing/2014/chart" uri="{C3380CC4-5D6E-409C-BE32-E72D297353CC}">
              <c16:uniqueId val="{00000000-B1DB-4F7E-881E-3B7EAE5146C6}"/>
            </c:ext>
          </c:extLst>
        </c:ser>
        <c:ser>
          <c:idx val="4"/>
          <c:order val="2"/>
          <c:tx>
            <c:strRef>
              <c:f>'souhrnná výkonnost 3'!$E$5</c:f>
              <c:strCache>
                <c:ptCount val="1"/>
                <c:pt idx="0">
                  <c:v>Výdaje na konečnou spotřebu vládních institucí</c:v>
                </c:pt>
              </c:strCache>
            </c:strRef>
          </c:tx>
          <c:spPr>
            <a:solidFill>
              <a:srgbClr val="A6CDE8"/>
            </a:solidFill>
            <a:ln>
              <a:noFill/>
            </a:ln>
          </c:spPr>
          <c:val>
            <c:numRef>
              <c:f>'souhrnná výkonnost 3'!$E$10:$E$30</c:f>
              <c:numCache>
                <c:formatCode>#,##0.0</c:formatCode>
                <c:ptCount val="21"/>
                <c:pt idx="0">
                  <c:v>0.29182349651824424</c:v>
                </c:pt>
                <c:pt idx="1">
                  <c:v>0.39883827436685693</c:v>
                </c:pt>
                <c:pt idx="2">
                  <c:v>0.61835595894915063</c:v>
                </c:pt>
                <c:pt idx="3">
                  <c:v>0.49997414143888658</c:v>
                </c:pt>
                <c:pt idx="4">
                  <c:v>0.24721977925322491</c:v>
                </c:pt>
                <c:pt idx="5">
                  <c:v>0.35050574751400482</c:v>
                </c:pt>
                <c:pt idx="6">
                  <c:v>8.4527746237017268E-2</c:v>
                </c:pt>
                <c:pt idx="7">
                  <c:v>0.28017531603180978</c:v>
                </c:pt>
                <c:pt idx="8">
                  <c:v>0.38357064060773188</c:v>
                </c:pt>
                <c:pt idx="9">
                  <c:v>0.38665927191985833</c:v>
                </c:pt>
                <c:pt idx="10">
                  <c:v>0.60627283851832314</c:v>
                </c:pt>
                <c:pt idx="11">
                  <c:v>0.56397068952036067</c:v>
                </c:pt>
                <c:pt idx="12">
                  <c:v>0.33602244816001214</c:v>
                </c:pt>
                <c:pt idx="13">
                  <c:v>0.41149308080534752</c:v>
                </c:pt>
                <c:pt idx="14">
                  <c:v>0.34012884179959235</c:v>
                </c:pt>
                <c:pt idx="15">
                  <c:v>0.38625993829935457</c:v>
                </c:pt>
                <c:pt idx="16">
                  <c:v>0.36781951994511464</c:v>
                </c:pt>
                <c:pt idx="17">
                  <c:v>0.25715463163388091</c:v>
                </c:pt>
                <c:pt idx="18">
                  <c:v>0.15191857060630101</c:v>
                </c:pt>
                <c:pt idx="19">
                  <c:v>0.33292001531964421</c:v>
                </c:pt>
                <c:pt idx="20">
                  <c:v>0.67317929344939631</c:v>
                </c:pt>
              </c:numCache>
            </c:numRef>
          </c:val>
          <c:extLst xmlns:c16r2="http://schemas.microsoft.com/office/drawing/2015/06/chart">
            <c:ext xmlns:c16="http://schemas.microsoft.com/office/drawing/2014/chart" uri="{C3380CC4-5D6E-409C-BE32-E72D297353CC}">
              <c16:uniqueId val="{00000001-B1DB-4F7E-881E-3B7EAE5146C6}"/>
            </c:ext>
          </c:extLst>
        </c:ser>
        <c:ser>
          <c:idx val="3"/>
          <c:order val="3"/>
          <c:tx>
            <c:strRef>
              <c:f>'souhrnná výkonnost 3'!$J$5</c:f>
              <c:strCache>
                <c:ptCount val="1"/>
                <c:pt idx="0">
                  <c:v>Tvorba hrubého kapitálu</c:v>
                </c:pt>
              </c:strCache>
            </c:strRef>
          </c:tx>
          <c:spPr>
            <a:solidFill>
              <a:srgbClr val="BD1B21"/>
            </a:solidFill>
            <a:ln>
              <a:noFill/>
            </a:ln>
          </c:spPr>
          <c:val>
            <c:numRef>
              <c:f>'souhrnná výkonnost 3'!$J$10:$J$30</c:f>
              <c:numCache>
                <c:formatCode>#,##0.0</c:formatCode>
                <c:ptCount val="21"/>
                <c:pt idx="0">
                  <c:v>-1.3565544302682291</c:v>
                </c:pt>
                <c:pt idx="1">
                  <c:v>-2.8562021180192438</c:v>
                </c:pt>
                <c:pt idx="2">
                  <c:v>-8.4137958812873268E-2</c:v>
                </c:pt>
                <c:pt idx="3">
                  <c:v>0.37641310849768234</c:v>
                </c:pt>
                <c:pt idx="4">
                  <c:v>-6.4170550848270419E-2</c:v>
                </c:pt>
                <c:pt idx="5">
                  <c:v>1.7430618188600775</c:v>
                </c:pt>
                <c:pt idx="6">
                  <c:v>1.1896585270876041</c:v>
                </c:pt>
                <c:pt idx="7">
                  <c:v>0.47136437602729003</c:v>
                </c:pt>
                <c:pt idx="8">
                  <c:v>2.9955795503812261</c:v>
                </c:pt>
                <c:pt idx="9">
                  <c:v>3.9933821348839977</c:v>
                </c:pt>
                <c:pt idx="10">
                  <c:v>2.7509879948883791</c:v>
                </c:pt>
                <c:pt idx="11">
                  <c:v>1.0081351317911882</c:v>
                </c:pt>
                <c:pt idx="12">
                  <c:v>1.0272325419063315</c:v>
                </c:pt>
                <c:pt idx="13">
                  <c:v>-0.96970178006982677</c:v>
                </c:pt>
                <c:pt idx="14">
                  <c:v>-0.51361070113589125</c:v>
                </c:pt>
                <c:pt idx="15">
                  <c:v>-0.2192983597515972</c:v>
                </c:pt>
                <c:pt idx="16">
                  <c:v>-0.71064964555404408</c:v>
                </c:pt>
                <c:pt idx="17">
                  <c:v>0.67569756300960826</c:v>
                </c:pt>
                <c:pt idx="18">
                  <c:v>1.855941888973228</c:v>
                </c:pt>
                <c:pt idx="19">
                  <c:v>2.6777508125446454</c:v>
                </c:pt>
                <c:pt idx="20">
                  <c:v>2.7944596445408467</c:v>
                </c:pt>
              </c:numCache>
            </c:numRef>
          </c:val>
          <c:extLst xmlns:c16r2="http://schemas.microsoft.com/office/drawing/2015/06/chart">
            <c:ext xmlns:c16="http://schemas.microsoft.com/office/drawing/2014/chart" uri="{C3380CC4-5D6E-409C-BE32-E72D297353CC}">
              <c16:uniqueId val="{00000002-B1DB-4F7E-881E-3B7EAE5146C6}"/>
            </c:ext>
          </c:extLst>
        </c:ser>
        <c:ser>
          <c:idx val="1"/>
          <c:order val="4"/>
          <c:tx>
            <c:strRef>
              <c:f>'souhrnná výkonnost 3'!$H$5</c:f>
              <c:strCache>
                <c:ptCount val="1"/>
                <c:pt idx="0">
                  <c:v>Bilance zahraničního obchodu</c:v>
                </c:pt>
              </c:strCache>
            </c:strRef>
          </c:tx>
          <c:spPr>
            <a:solidFill>
              <a:srgbClr val="7DBB2D"/>
            </a:solidFill>
            <a:ln>
              <a:noFill/>
            </a:ln>
          </c:spPr>
          <c:val>
            <c:numRef>
              <c:f>'souhrnná výkonnost 3'!$H$10:$H$30</c:f>
              <c:numCache>
                <c:formatCode>#,##0.0</c:formatCode>
                <c:ptCount val="21"/>
                <c:pt idx="0">
                  <c:v>-1.1212550998305821</c:v>
                </c:pt>
                <c:pt idx="1">
                  <c:v>0.9252348796539569</c:v>
                </c:pt>
                <c:pt idx="2">
                  <c:v>-1.0354508778144438</c:v>
                </c:pt>
                <c:pt idx="3">
                  <c:v>0.55721121063308776</c:v>
                </c:pt>
                <c:pt idx="4">
                  <c:v>1.8103959293542566</c:v>
                </c:pt>
                <c:pt idx="5">
                  <c:v>0.25488320151706284</c:v>
                </c:pt>
                <c:pt idx="6">
                  <c:v>1.4703836206344318</c:v>
                </c:pt>
                <c:pt idx="7">
                  <c:v>1.4755173751571298</c:v>
                </c:pt>
                <c:pt idx="8">
                  <c:v>0.87272638799769453</c:v>
                </c:pt>
                <c:pt idx="9">
                  <c:v>0.5694904689740552</c:v>
                </c:pt>
                <c:pt idx="10">
                  <c:v>1.4129769441296798</c:v>
                </c:pt>
                <c:pt idx="11">
                  <c:v>2.1454473232097362</c:v>
                </c:pt>
                <c:pt idx="12">
                  <c:v>1.0557081561567809</c:v>
                </c:pt>
                <c:pt idx="13">
                  <c:v>2.1497156642817226</c:v>
                </c:pt>
                <c:pt idx="14">
                  <c:v>0.65091766010359731</c:v>
                </c:pt>
                <c:pt idx="15">
                  <c:v>0.49410742924883838</c:v>
                </c:pt>
                <c:pt idx="16">
                  <c:v>2.120781544719708</c:v>
                </c:pt>
                <c:pt idx="17">
                  <c:v>2.157700500987719</c:v>
                </c:pt>
                <c:pt idx="18">
                  <c:v>1.6906129693926204</c:v>
                </c:pt>
                <c:pt idx="19">
                  <c:v>1.1648945365453223</c:v>
                </c:pt>
                <c:pt idx="20">
                  <c:v>-0.59780185322869961</c:v>
                </c:pt>
              </c:numCache>
            </c:numRef>
          </c:val>
          <c:extLst xmlns:c16r2="http://schemas.microsoft.com/office/drawing/2015/06/chart">
            <c:ext xmlns:c16="http://schemas.microsoft.com/office/drawing/2014/chart" uri="{C3380CC4-5D6E-409C-BE32-E72D297353CC}">
              <c16:uniqueId val="{00000003-B1DB-4F7E-881E-3B7EAE5146C6}"/>
            </c:ext>
          </c:extLst>
        </c:ser>
        <c:gapWidth val="40"/>
        <c:overlap val="100"/>
        <c:axId val="150499328"/>
        <c:axId val="150500864"/>
      </c:barChart>
      <c:lineChart>
        <c:grouping val="standard"/>
        <c:ser>
          <c:idx val="0"/>
          <c:order val="0"/>
          <c:tx>
            <c:strRef>
              <c:f>'souhrnná výkonnost 3'!$C$5</c:f>
              <c:strCache>
                <c:ptCount val="1"/>
                <c:pt idx="0">
                  <c:v>HDP</c:v>
                </c:pt>
              </c:strCache>
            </c:strRef>
          </c:tx>
          <c:spPr>
            <a:ln>
              <a:solidFill>
                <a:prstClr val="black"/>
              </a:solidFill>
            </a:ln>
          </c:spPr>
          <c:marker>
            <c:symbol val="none"/>
          </c:marker>
          <c:cat>
            <c:multiLvlStrRef>
              <c:f>'souhrnná výkonnost 3'!$A$10:$B$30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2013</c:v>
                  </c:pt>
                  <c:pt idx="4">
                    <c:v>2014</c:v>
                  </c:pt>
                  <c:pt idx="8">
                    <c:v>2015</c:v>
                  </c:pt>
                  <c:pt idx="12">
                    <c:v>2016</c:v>
                  </c:pt>
                  <c:pt idx="16">
                    <c:v>2017</c:v>
                  </c:pt>
                  <c:pt idx="20">
                    <c:v>2018</c:v>
                  </c:pt>
                </c:lvl>
              </c:multiLvlStrCache>
            </c:multiLvlStrRef>
          </c:cat>
          <c:val>
            <c:numRef>
              <c:f>'souhrnná výkonnost 3'!$C$10:$C$30</c:f>
              <c:numCache>
                <c:formatCode>#,##0.0</c:formatCode>
                <c:ptCount val="21"/>
                <c:pt idx="0">
                  <c:v>-1.7511683134985219</c:v>
                </c:pt>
                <c:pt idx="1">
                  <c:v>-1.1225511599608677</c:v>
                </c:pt>
                <c:pt idx="2">
                  <c:v>-0.3518733567189688</c:v>
                </c:pt>
                <c:pt idx="3">
                  <c:v>1.3064560933108733</c:v>
                </c:pt>
                <c:pt idx="4">
                  <c:v>1.6429599808675188</c:v>
                </c:pt>
                <c:pt idx="5">
                  <c:v>2.3799805658291784</c:v>
                </c:pt>
                <c:pt idx="6">
                  <c:v>3.4230245978215157</c:v>
                </c:pt>
                <c:pt idx="7">
                  <c:v>3.3995906259397533</c:v>
                </c:pt>
                <c:pt idx="8">
                  <c:v>5.1925064933037408</c:v>
                </c:pt>
                <c:pt idx="9">
                  <c:v>5.7975635091598674</c:v>
                </c:pt>
                <c:pt idx="10">
                  <c:v>5.6880631454161934</c:v>
                </c:pt>
                <c:pt idx="11">
                  <c:v>4.8805659438942506</c:v>
                </c:pt>
                <c:pt idx="12">
                  <c:v>3.5407072168947602</c:v>
                </c:pt>
                <c:pt idx="13">
                  <c:v>2.8476334361616584</c:v>
                </c:pt>
                <c:pt idx="14">
                  <c:v>1.84383048147855</c:v>
                </c:pt>
                <c:pt idx="15">
                  <c:v>1.7657540045284734</c:v>
                </c:pt>
                <c:pt idx="16">
                  <c:v>3.0212086796601767</c:v>
                </c:pt>
                <c:pt idx="17">
                  <c:v>4.6357209710506995</c:v>
                </c:pt>
                <c:pt idx="18">
                  <c:v>5.1854722523414045</c:v>
                </c:pt>
                <c:pt idx="19">
                  <c:v>5.5424958733431176</c:v>
                </c:pt>
                <c:pt idx="20">
                  <c:v>4.3580475997234274</c:v>
                </c:pt>
              </c:numCache>
            </c:numRef>
          </c:val>
          <c:extLst xmlns:c16r2="http://schemas.microsoft.com/office/drawing/2015/06/chart">
            <c:ext xmlns:c16="http://schemas.microsoft.com/office/drawing/2014/chart" uri="{C3380CC4-5D6E-409C-BE32-E72D297353CC}">
              <c16:uniqueId val="{00000004-B1DB-4F7E-881E-3B7EAE5146C6}"/>
            </c:ext>
          </c:extLst>
        </c:ser>
        <c:marker val="1"/>
        <c:axId val="150499328"/>
        <c:axId val="150500864"/>
      </c:lineChart>
      <c:catAx>
        <c:axId val="150499328"/>
        <c:scaling>
          <c:orientation val="minMax"/>
        </c:scaling>
        <c:axPos val="b"/>
        <c:tickLblPos val="low"/>
        <c:spPr>
          <a:ln>
            <a:solidFill>
              <a:schemeClr val="tx1"/>
            </a:solidFill>
          </a:ln>
        </c:spPr>
        <c:txPr>
          <a:bodyPr rot="0" vert="horz"/>
          <a:lstStyle/>
          <a:p>
            <a:pPr>
              <a:defRPr/>
            </a:pPr>
            <a:endParaRPr lang="cs-CZ"/>
          </a:p>
        </c:txPr>
        <c:crossAx val="150500864"/>
        <c:crosses val="autoZero"/>
        <c:auto val="1"/>
        <c:lblAlgn val="ctr"/>
        <c:lblOffset val="100"/>
      </c:catAx>
      <c:valAx>
        <c:axId val="150500864"/>
        <c:scaling>
          <c:orientation val="minMax"/>
          <c:max val="6"/>
          <c:min val="-4"/>
        </c:scaling>
        <c:axPos val="l"/>
        <c:majorGridlines>
          <c:spPr>
            <a:ln w="6350">
              <a:solidFill>
                <a:schemeClr val="bg1">
                  <a:lumMod val="75000"/>
                </a:schemeClr>
              </a:solidFill>
            </a:ln>
          </c:spPr>
        </c:majorGridlines>
        <c:numFmt formatCode="#,##0" sourceLinked="0"/>
        <c:tickLblPos val="nextTo"/>
        <c:spPr>
          <a:ln>
            <a:solidFill>
              <a:schemeClr val="tx1"/>
            </a:solidFill>
          </a:ln>
        </c:spPr>
        <c:crossAx val="150499328"/>
        <c:crosses val="autoZero"/>
        <c:crossBetween val="between"/>
        <c:majorUnit val="1"/>
      </c:valAx>
      <c:spPr>
        <a:ln>
          <a:solidFill>
            <a:schemeClr val="tx1"/>
          </a:solidFill>
        </a:ln>
      </c:spPr>
    </c:plotArea>
    <c:legend>
      <c:legendPos val="b"/>
      <c:layout>
        <c:manualLayout>
          <c:xMode val="edge"/>
          <c:yMode val="edge"/>
          <c:x val="4.4891184424094004E-2"/>
          <c:y val="0.79301446583361457"/>
          <c:w val="0.94049666651103803"/>
          <c:h val="0.19014325115388939"/>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cs-CZ"/>
  <c:chart>
    <c:plotArea>
      <c:layout>
        <c:manualLayout>
          <c:layoutTarget val="inner"/>
          <c:xMode val="edge"/>
          <c:yMode val="edge"/>
          <c:x val="4.4404035346809034E-2"/>
          <c:y val="3.7154479717354444E-2"/>
          <c:w val="0.93674937195830565"/>
          <c:h val="0.63445260610154264"/>
        </c:manualLayout>
      </c:layout>
      <c:barChart>
        <c:barDir val="col"/>
        <c:grouping val="stacked"/>
        <c:ser>
          <c:idx val="4"/>
          <c:order val="0"/>
          <c:tx>
            <c:strRef>
              <c:f>'souhrnná výkonnost 4'!$C$5</c:f>
              <c:strCache>
                <c:ptCount val="1"/>
                <c:pt idx="0">
                  <c:v>Zemědělství, lesnictví a rybářství</c:v>
                </c:pt>
              </c:strCache>
            </c:strRef>
          </c:tx>
          <c:spPr>
            <a:solidFill>
              <a:srgbClr val="0071BC"/>
            </a:solidFill>
            <a:ln>
              <a:noFill/>
            </a:ln>
          </c:spPr>
          <c:val>
            <c:numRef>
              <c:f>'souhrnná výkonnost 4'!$C$10:$C$30</c:f>
              <c:numCache>
                <c:formatCode>#,##0.0</c:formatCode>
                <c:ptCount val="21"/>
                <c:pt idx="0">
                  <c:v>-4.4699648816173963E-2</c:v>
                </c:pt>
                <c:pt idx="1">
                  <c:v>-0.11466415714156022</c:v>
                </c:pt>
                <c:pt idx="2">
                  <c:v>-8.9941431175314654E-2</c:v>
                </c:pt>
                <c:pt idx="3">
                  <c:v>-6.1245633202245504E-3</c:v>
                </c:pt>
                <c:pt idx="4">
                  <c:v>9.4292717552419927E-2</c:v>
                </c:pt>
                <c:pt idx="5">
                  <c:v>0.23066713743345141</c:v>
                </c:pt>
                <c:pt idx="6">
                  <c:v>0.28225153901065836</c:v>
                </c:pt>
                <c:pt idx="7">
                  <c:v>0.25865050341724682</c:v>
                </c:pt>
                <c:pt idx="8">
                  <c:v>0.23212940732551363</c:v>
                </c:pt>
                <c:pt idx="9">
                  <c:v>0.1520317256375732</c:v>
                </c:pt>
                <c:pt idx="10">
                  <c:v>0.12105185814488691</c:v>
                </c:pt>
                <c:pt idx="11">
                  <c:v>0.10040192706674</c:v>
                </c:pt>
                <c:pt idx="12">
                  <c:v>0.13948598928958914</c:v>
                </c:pt>
                <c:pt idx="13">
                  <c:v>0.21123863898894896</c:v>
                </c:pt>
                <c:pt idx="14">
                  <c:v>0.25388757271339668</c:v>
                </c:pt>
                <c:pt idx="15">
                  <c:v>0.31895578114069639</c:v>
                </c:pt>
                <c:pt idx="16">
                  <c:v>0.22480499381572999</c:v>
                </c:pt>
                <c:pt idx="17">
                  <c:v>0.15032927996511797</c:v>
                </c:pt>
                <c:pt idx="18">
                  <c:v>7.3800428420055311E-2</c:v>
                </c:pt>
                <c:pt idx="19">
                  <c:v>1.9111338123833803E-2</c:v>
                </c:pt>
                <c:pt idx="20">
                  <c:v>5.7382758839592561E-2</c:v>
                </c:pt>
              </c:numCache>
            </c:numRef>
          </c:val>
          <c:extLst xmlns:c16r2="http://schemas.microsoft.com/office/drawing/2015/06/chart">
            <c:ext xmlns:c16="http://schemas.microsoft.com/office/drawing/2014/chart" uri="{C3380CC4-5D6E-409C-BE32-E72D297353CC}">
              <c16:uniqueId val="{00000000-C618-4399-B545-1DD501F04BF6}"/>
            </c:ext>
          </c:extLst>
        </c:ser>
        <c:ser>
          <c:idx val="3"/>
          <c:order val="1"/>
          <c:tx>
            <c:strRef>
              <c:f>'souhrnná výkonnost 4'!$D$5</c:f>
              <c:strCache>
                <c:ptCount val="1"/>
                <c:pt idx="0">
                  <c:v>Zpracovatelský průmysl (CZ-NACE C)</c:v>
                </c:pt>
              </c:strCache>
            </c:strRef>
          </c:tx>
          <c:spPr>
            <a:solidFill>
              <a:srgbClr val="A6CDE8"/>
            </a:solidFill>
            <a:ln>
              <a:noFill/>
            </a:ln>
          </c:spPr>
          <c:val>
            <c:numRef>
              <c:f>'souhrnná výkonnost 4'!$D$10:$D$30</c:f>
              <c:numCache>
                <c:formatCode>#,##0.0</c:formatCode>
                <c:ptCount val="21"/>
                <c:pt idx="0">
                  <c:v>-0.80190174195229758</c:v>
                </c:pt>
                <c:pt idx="1">
                  <c:v>-0.63316913532183261</c:v>
                </c:pt>
                <c:pt idx="2">
                  <c:v>-0.6579997176202137</c:v>
                </c:pt>
                <c:pt idx="3">
                  <c:v>-0.58767125058761094</c:v>
                </c:pt>
                <c:pt idx="4">
                  <c:v>0.42644472608070588</c:v>
                </c:pt>
                <c:pt idx="5">
                  <c:v>1.178448005927454</c:v>
                </c:pt>
                <c:pt idx="6">
                  <c:v>1.964797196756225</c:v>
                </c:pt>
                <c:pt idx="7">
                  <c:v>2.5537051626784919</c:v>
                </c:pt>
                <c:pt idx="8">
                  <c:v>2.1475915738728975</c:v>
                </c:pt>
                <c:pt idx="9">
                  <c:v>1.6168176401101699</c:v>
                </c:pt>
                <c:pt idx="10">
                  <c:v>1.4273430373181208</c:v>
                </c:pt>
                <c:pt idx="11">
                  <c:v>0.65919178057128824</c:v>
                </c:pt>
                <c:pt idx="12">
                  <c:v>1.173280211476434</c:v>
                </c:pt>
                <c:pt idx="13">
                  <c:v>1.8410958326095357</c:v>
                </c:pt>
                <c:pt idx="14">
                  <c:v>1.8947926754069069</c:v>
                </c:pt>
                <c:pt idx="15">
                  <c:v>2.2492756428608232</c:v>
                </c:pt>
                <c:pt idx="16">
                  <c:v>1.8731184553130455</c:v>
                </c:pt>
                <c:pt idx="17">
                  <c:v>2.1218663399409237</c:v>
                </c:pt>
                <c:pt idx="18">
                  <c:v>2.1679386523195152</c:v>
                </c:pt>
                <c:pt idx="19">
                  <c:v>2.0393058810686737</c:v>
                </c:pt>
                <c:pt idx="20">
                  <c:v>1.6224354632213422</c:v>
                </c:pt>
              </c:numCache>
            </c:numRef>
          </c:val>
          <c:extLst xmlns:c16r2="http://schemas.microsoft.com/office/drawing/2015/06/chart">
            <c:ext xmlns:c16="http://schemas.microsoft.com/office/drawing/2014/chart" uri="{C3380CC4-5D6E-409C-BE32-E72D297353CC}">
              <c16:uniqueId val="{00000001-C618-4399-B545-1DD501F04BF6}"/>
            </c:ext>
          </c:extLst>
        </c:ser>
        <c:ser>
          <c:idx val="2"/>
          <c:order val="2"/>
          <c:tx>
            <c:strRef>
              <c:f>'souhrnná výkonnost 4'!$E$5</c:f>
              <c:strCache>
                <c:ptCount val="1"/>
                <c:pt idx="0">
                  <c:v>Ostatní průmyslová odvětví (CZ-NACE B,D,E)</c:v>
                </c:pt>
              </c:strCache>
            </c:strRef>
          </c:tx>
          <c:spPr>
            <a:solidFill>
              <a:srgbClr val="BD1B21"/>
            </a:solidFill>
            <a:ln>
              <a:noFill/>
            </a:ln>
          </c:spPr>
          <c:val>
            <c:numRef>
              <c:f>'souhrnná výkonnost 4'!$E$10:$E$30</c:f>
              <c:numCache>
                <c:formatCode>0.0</c:formatCode>
                <c:ptCount val="21"/>
                <c:pt idx="0">
                  <c:v>-0.99676396653493249</c:v>
                </c:pt>
                <c:pt idx="1">
                  <c:v>-0.99862189727618988</c:v>
                </c:pt>
                <c:pt idx="2">
                  <c:v>-0.64102712488527125</c:v>
                </c:pt>
                <c:pt idx="3">
                  <c:v>-0.2376831237571034</c:v>
                </c:pt>
                <c:pt idx="4">
                  <c:v>0.34089568870210385</c:v>
                </c:pt>
                <c:pt idx="5">
                  <c:v>0.10915930557606092</c:v>
                </c:pt>
                <c:pt idx="6">
                  <c:v>-0.12310821189090349</c:v>
                </c:pt>
                <c:pt idx="7">
                  <c:v>-0.11583871117071265</c:v>
                </c:pt>
                <c:pt idx="8">
                  <c:v>-0.13631186616609783</c:v>
                </c:pt>
                <c:pt idx="9">
                  <c:v>2.6986016001622651E-2</c:v>
                </c:pt>
                <c:pt idx="10">
                  <c:v>-2.469676577923785E-2</c:v>
                </c:pt>
                <c:pt idx="11">
                  <c:v>-8.1237409427957444E-2</c:v>
                </c:pt>
                <c:pt idx="12">
                  <c:v>-0.25543575466846813</c:v>
                </c:pt>
                <c:pt idx="13">
                  <c:v>-0.25618357658836155</c:v>
                </c:pt>
                <c:pt idx="14">
                  <c:v>-0.25707513578312424</c:v>
                </c:pt>
                <c:pt idx="15">
                  <c:v>-0.26736597442422327</c:v>
                </c:pt>
                <c:pt idx="16">
                  <c:v>7.1114806790133281E-2</c:v>
                </c:pt>
                <c:pt idx="17">
                  <c:v>-8.9414399954721044E-2</c:v>
                </c:pt>
                <c:pt idx="18" formatCode="General">
                  <c:v>0.2445756873839984</c:v>
                </c:pt>
                <c:pt idx="19" formatCode="General">
                  <c:v>0.35085138814887817</c:v>
                </c:pt>
                <c:pt idx="20" formatCode="General">
                  <c:v>-0.14367877844321617</c:v>
                </c:pt>
              </c:numCache>
            </c:numRef>
          </c:val>
          <c:extLst xmlns:c16r2="http://schemas.microsoft.com/office/drawing/2015/06/chart">
            <c:ext xmlns:c16="http://schemas.microsoft.com/office/drawing/2014/chart" uri="{C3380CC4-5D6E-409C-BE32-E72D297353CC}">
              <c16:uniqueId val="{00000002-C618-4399-B545-1DD501F04BF6}"/>
            </c:ext>
          </c:extLst>
        </c:ser>
        <c:ser>
          <c:idx val="1"/>
          <c:order val="3"/>
          <c:tx>
            <c:strRef>
              <c:f>'souhrnná výkonnost 4'!$F$5</c:f>
              <c:strCache>
                <c:ptCount val="1"/>
                <c:pt idx="0">
                  <c:v>Stavebnictví</c:v>
                </c:pt>
              </c:strCache>
            </c:strRef>
          </c:tx>
          <c:spPr>
            <a:solidFill>
              <a:srgbClr val="E8AFB2"/>
            </a:solidFill>
            <a:ln>
              <a:noFill/>
            </a:ln>
          </c:spPr>
          <c:val>
            <c:numRef>
              <c:f>'souhrnná výkonnost 4'!$F$10:$F$30</c:f>
              <c:numCache>
                <c:formatCode>#,##0.0</c:formatCode>
                <c:ptCount val="21"/>
                <c:pt idx="0">
                  <c:v>-9.7833498488409248E-2</c:v>
                </c:pt>
                <c:pt idx="1">
                  <c:v>7.0101451917918875E-2</c:v>
                </c:pt>
                <c:pt idx="2">
                  <c:v>0.14066955556231289</c:v>
                </c:pt>
                <c:pt idx="3">
                  <c:v>0.16590826997768471</c:v>
                </c:pt>
                <c:pt idx="4">
                  <c:v>0.20401681407681421</c:v>
                </c:pt>
                <c:pt idx="5">
                  <c:v>7.7185854346891888E-2</c:v>
                </c:pt>
                <c:pt idx="6">
                  <c:v>3.6125085054265732E-2</c:v>
                </c:pt>
                <c:pt idx="7">
                  <c:v>0.13872358455010056</c:v>
                </c:pt>
                <c:pt idx="8">
                  <c:v>0.10033671365598852</c:v>
                </c:pt>
                <c:pt idx="9">
                  <c:v>0.26600436828219337</c:v>
                </c:pt>
                <c:pt idx="10">
                  <c:v>0.35558902490715072</c:v>
                </c:pt>
                <c:pt idx="11">
                  <c:v>0.16488753180314036</c:v>
                </c:pt>
                <c:pt idx="12">
                  <c:v>6.0176497533420532E-2</c:v>
                </c:pt>
                <c:pt idx="13">
                  <c:v>-0.13864156629986937</c:v>
                </c:pt>
                <c:pt idx="14">
                  <c:v>-0.25239605520873226</c:v>
                </c:pt>
                <c:pt idx="15">
                  <c:v>-0.22672782261956767</c:v>
                </c:pt>
                <c:pt idx="16">
                  <c:v>-7.2181536944487104E-2</c:v>
                </c:pt>
                <c:pt idx="17">
                  <c:v>0.14727279306236707</c:v>
                </c:pt>
                <c:pt idx="18">
                  <c:v>0.11325064259512754</c:v>
                </c:pt>
                <c:pt idx="19">
                  <c:v>0.11141711297772618</c:v>
                </c:pt>
                <c:pt idx="20" formatCode="General">
                  <c:v>0.40692274397236039</c:v>
                </c:pt>
              </c:numCache>
            </c:numRef>
          </c:val>
          <c:extLst xmlns:c16r2="http://schemas.microsoft.com/office/drawing/2015/06/chart">
            <c:ext xmlns:c16="http://schemas.microsoft.com/office/drawing/2014/chart" uri="{C3380CC4-5D6E-409C-BE32-E72D297353CC}">
              <c16:uniqueId val="{00000003-C618-4399-B545-1DD501F04BF6}"/>
            </c:ext>
          </c:extLst>
        </c:ser>
        <c:ser>
          <c:idx val="0"/>
          <c:order val="4"/>
          <c:tx>
            <c:strRef>
              <c:f>'souhrnná výkonnost 4'!$G$5</c:f>
              <c:strCache>
                <c:ptCount val="1"/>
                <c:pt idx="0">
                  <c:v>Služby (CZ-NACE G až U)</c:v>
                </c:pt>
              </c:strCache>
            </c:strRef>
          </c:tx>
          <c:spPr>
            <a:solidFill>
              <a:srgbClr val="7DBB2D"/>
            </a:solidFill>
            <a:ln>
              <a:noFill/>
            </a:ln>
          </c:spPr>
          <c:val>
            <c:numRef>
              <c:f>'souhrnná výkonnost 4'!$G$10:$G$30</c:f>
              <c:numCache>
                <c:formatCode>0.0</c:formatCode>
                <c:ptCount val="21"/>
                <c:pt idx="0">
                  <c:v>0.37644839519995277</c:v>
                </c:pt>
                <c:pt idx="1">
                  <c:v>0.81261671036245109</c:v>
                </c:pt>
                <c:pt idx="2">
                  <c:v>1.0166947027297839</c:v>
                </c:pt>
                <c:pt idx="3">
                  <c:v>1.3689952261875691</c:v>
                </c:pt>
                <c:pt idx="4">
                  <c:v>1.2582169093611641</c:v>
                </c:pt>
                <c:pt idx="5">
                  <c:v>1.3857455215255305</c:v>
                </c:pt>
                <c:pt idx="6">
                  <c:v>1.6254642826485828</c:v>
                </c:pt>
                <c:pt idx="7">
                  <c:v>1.6643666513514095</c:v>
                </c:pt>
                <c:pt idx="8">
                  <c:v>2.2626524466446134</c:v>
                </c:pt>
                <c:pt idx="9">
                  <c:v>2.9695520859332567</c:v>
                </c:pt>
                <c:pt idx="10">
                  <c:v>3.3864742367214982</c:v>
                </c:pt>
                <c:pt idx="11">
                  <c:v>3.5047481459883287</c:v>
                </c:pt>
                <c:pt idx="12">
                  <c:v>2.2394913496067899</c:v>
                </c:pt>
                <c:pt idx="13">
                  <c:v>1.1310341892102695</c:v>
                </c:pt>
                <c:pt idx="14">
                  <c:v>0.12905200392453417</c:v>
                </c:pt>
                <c:pt idx="15">
                  <c:v>-0.27535434109673096</c:v>
                </c:pt>
                <c:pt idx="16">
                  <c:v>0.79186885101381665</c:v>
                </c:pt>
                <c:pt idx="17">
                  <c:v>2.1568970854754004</c:v>
                </c:pt>
                <c:pt idx="18" formatCode="General">
                  <c:v>2.524885537875031</c:v>
                </c:pt>
                <c:pt idx="19" formatCode="General">
                  <c:v>2.9268181107059767</c:v>
                </c:pt>
                <c:pt idx="20" formatCode="General">
                  <c:v>2.5221385854600351</c:v>
                </c:pt>
              </c:numCache>
            </c:numRef>
          </c:val>
          <c:extLst xmlns:c16r2="http://schemas.microsoft.com/office/drawing/2015/06/chart">
            <c:ext xmlns:c16="http://schemas.microsoft.com/office/drawing/2014/chart" uri="{C3380CC4-5D6E-409C-BE32-E72D297353CC}">
              <c16:uniqueId val="{00000004-C618-4399-B545-1DD501F04BF6}"/>
            </c:ext>
          </c:extLst>
        </c:ser>
        <c:gapWidth val="70"/>
        <c:overlap val="100"/>
        <c:axId val="151486464"/>
        <c:axId val="151488000"/>
      </c:barChart>
      <c:lineChart>
        <c:grouping val="standard"/>
        <c:ser>
          <c:idx val="5"/>
          <c:order val="5"/>
          <c:tx>
            <c:strRef>
              <c:f>'souhrnná výkonnost 4'!$H$5</c:f>
              <c:strCache>
                <c:ptCount val="1"/>
                <c:pt idx="0">
                  <c:v>Hrubá přidaná hodnota celkem</c:v>
                </c:pt>
              </c:strCache>
            </c:strRef>
          </c:tx>
          <c:spPr>
            <a:ln w="19050">
              <a:solidFill>
                <a:prstClr val="black"/>
              </a:solidFill>
            </a:ln>
          </c:spPr>
          <c:marker>
            <c:symbol val="none"/>
          </c:marker>
          <c:cat>
            <c:multiLvlStrRef>
              <c:f>'souhrnná výkonnost 4'!$A$10:$B$30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2013</c:v>
                  </c:pt>
                  <c:pt idx="4">
                    <c:v>2014</c:v>
                  </c:pt>
                  <c:pt idx="8">
                    <c:v>2015</c:v>
                  </c:pt>
                  <c:pt idx="12">
                    <c:v>2016</c:v>
                  </c:pt>
                  <c:pt idx="16">
                    <c:v>2017</c:v>
                  </c:pt>
                  <c:pt idx="20">
                    <c:v>2018</c:v>
                  </c:pt>
                </c:lvl>
              </c:multiLvlStrCache>
            </c:multiLvlStrRef>
          </c:cat>
          <c:val>
            <c:numRef>
              <c:f>'souhrnná výkonnost 4'!$H$10:$H$30</c:f>
              <c:numCache>
                <c:formatCode>#,##0.0</c:formatCode>
                <c:ptCount val="21"/>
                <c:pt idx="0">
                  <c:v>-1.5564064599066569</c:v>
                </c:pt>
                <c:pt idx="1">
                  <c:v>-0.85476160118254663</c:v>
                </c:pt>
                <c:pt idx="2">
                  <c:v>-0.23921578851919781</c:v>
                </c:pt>
                <c:pt idx="3">
                  <c:v>0.69357314385265456</c:v>
                </c:pt>
                <c:pt idx="4">
                  <c:v>2.3418012321475152</c:v>
                </c:pt>
                <c:pt idx="5">
                  <c:v>2.9853086286284984</c:v>
                </c:pt>
                <c:pt idx="6">
                  <c:v>3.7746698915647761</c:v>
                </c:pt>
                <c:pt idx="7">
                  <c:v>4.4886070887742289</c:v>
                </c:pt>
                <c:pt idx="8">
                  <c:v>4.6030731320356892</c:v>
                </c:pt>
                <c:pt idx="9">
                  <c:v>5.0290504572936339</c:v>
                </c:pt>
                <c:pt idx="10">
                  <c:v>5.2623135438621622</c:v>
                </c:pt>
                <c:pt idx="11">
                  <c:v>4.3568805309538545</c:v>
                </c:pt>
                <c:pt idx="12">
                  <c:v>3.3616708754478668</c:v>
                </c:pt>
                <c:pt idx="13">
                  <c:v>2.7921205009893542</c:v>
                </c:pt>
                <c:pt idx="14">
                  <c:v>1.7670326582893872</c:v>
                </c:pt>
                <c:pt idx="15">
                  <c:v>1.7919231256427608</c:v>
                </c:pt>
                <c:pt idx="16">
                  <c:v>2.9304329396493367</c:v>
                </c:pt>
                <c:pt idx="17">
                  <c:v>4.4974478196402465</c:v>
                </c:pt>
                <c:pt idx="18">
                  <c:v>5.1121212028346479</c:v>
                </c:pt>
                <c:pt idx="19">
                  <c:v>5.4082133534170564</c:v>
                </c:pt>
                <c:pt idx="20">
                  <c:v>4.4885693246302134</c:v>
                </c:pt>
              </c:numCache>
            </c:numRef>
          </c:val>
          <c:extLst xmlns:c16r2="http://schemas.microsoft.com/office/drawing/2015/06/chart">
            <c:ext xmlns:c16="http://schemas.microsoft.com/office/drawing/2014/chart" uri="{C3380CC4-5D6E-409C-BE32-E72D297353CC}">
              <c16:uniqueId val="{00000005-C618-4399-B545-1DD501F04BF6}"/>
            </c:ext>
          </c:extLst>
        </c:ser>
        <c:marker val="1"/>
        <c:axId val="151486464"/>
        <c:axId val="151488000"/>
      </c:lineChart>
      <c:catAx>
        <c:axId val="151486464"/>
        <c:scaling>
          <c:orientation val="minMax"/>
        </c:scaling>
        <c:axPos val="b"/>
        <c:tickLblPos val="low"/>
        <c:spPr>
          <a:ln>
            <a:solidFill>
              <a:schemeClr val="tx1"/>
            </a:solidFill>
          </a:ln>
        </c:spPr>
        <c:txPr>
          <a:bodyPr rot="0" vert="horz"/>
          <a:lstStyle/>
          <a:p>
            <a:pPr>
              <a:defRPr/>
            </a:pPr>
            <a:endParaRPr lang="cs-CZ"/>
          </a:p>
        </c:txPr>
        <c:crossAx val="151488000"/>
        <c:crosses val="autoZero"/>
        <c:auto val="1"/>
        <c:lblAlgn val="ctr"/>
        <c:lblOffset val="100"/>
      </c:catAx>
      <c:valAx>
        <c:axId val="151488000"/>
        <c:scaling>
          <c:orientation val="minMax"/>
          <c:max val="6"/>
          <c:min val="-3"/>
        </c:scaling>
        <c:axPos val="l"/>
        <c:majorGridlines>
          <c:spPr>
            <a:ln w="6350">
              <a:solidFill>
                <a:schemeClr val="bg1">
                  <a:lumMod val="75000"/>
                </a:schemeClr>
              </a:solidFill>
            </a:ln>
          </c:spPr>
        </c:majorGridlines>
        <c:numFmt formatCode="0" sourceLinked="0"/>
        <c:tickLblPos val="nextTo"/>
        <c:spPr>
          <a:ln>
            <a:solidFill>
              <a:schemeClr val="tx1"/>
            </a:solidFill>
          </a:ln>
        </c:spPr>
        <c:crossAx val="151486464"/>
        <c:crosses val="autoZero"/>
        <c:crossBetween val="between"/>
        <c:majorUnit val="1"/>
      </c:valAx>
      <c:spPr>
        <a:ln>
          <a:solidFill>
            <a:schemeClr val="tx1"/>
          </a:solidFill>
        </a:ln>
      </c:spPr>
    </c:plotArea>
    <c:legend>
      <c:legendPos val="b"/>
      <c:layout>
        <c:manualLayout>
          <c:xMode val="edge"/>
          <c:yMode val="edge"/>
          <c:x val="4.8782884397989404E-2"/>
          <c:y val="0.79016604750647301"/>
          <c:w val="0.92922619274506457"/>
          <c:h val="0.19462484520994855"/>
        </c:manualLayout>
      </c:layout>
      <c:spPr>
        <a:ln w="6350">
          <a:solidFill>
            <a:schemeClr val="tx1"/>
          </a:solidFill>
        </a:ln>
      </c:spPr>
    </c:legend>
    <c:plotVisOnly val="1"/>
    <c:dispBlanksAs val="gap"/>
  </c:chart>
  <c:spPr>
    <a:ln>
      <a:noFill/>
    </a:ln>
  </c:spPr>
  <c:txPr>
    <a:bodyPr/>
    <a:lstStyle/>
    <a:p>
      <a:pPr>
        <a:defRPr sz="800" baseline="0">
          <a:latin typeface="Arial" pitchFamily="34" charset="0"/>
        </a:defRPr>
      </a:pPr>
      <a:endParaRPr lang="cs-CZ"/>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6.2040029038385493E-2"/>
          <c:y val="1.9513175616352834E-2"/>
          <c:w val="0.92433548575002566"/>
          <c:h val="0.76155690645052365"/>
        </c:manualLayout>
      </c:layout>
      <c:barChart>
        <c:barDir val="col"/>
        <c:grouping val="clustered"/>
        <c:ser>
          <c:idx val="0"/>
          <c:order val="0"/>
          <c:tx>
            <c:strRef>
              <c:f>'výkonnost odvětví 1'!$B$30</c:f>
              <c:strCache>
                <c:ptCount val="1"/>
                <c:pt idx="0">
                  <c:v>Průmysl celkem (B+C+D)</c:v>
                </c:pt>
              </c:strCache>
            </c:strRef>
          </c:tx>
          <c:spPr>
            <a:solidFill>
              <a:schemeClr val="bg1">
                <a:lumMod val="65000"/>
              </a:schemeClr>
            </a:solidFill>
            <a:ln w="12700">
              <a:noFill/>
              <a:prstDash val="solid"/>
            </a:ln>
          </c:spPr>
          <c:cat>
            <c:multiLvlStrRef>
              <c:f>'výkonnost odvětví 1'!$C$28:$AE$29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2011</c:v>
                  </c:pt>
                  <c:pt idx="4">
                    <c:v>2012</c:v>
                  </c:pt>
                  <c:pt idx="8">
                    <c:v>2013</c:v>
                  </c:pt>
                  <c:pt idx="12">
                    <c:v>2014</c:v>
                  </c:pt>
                  <c:pt idx="16">
                    <c:v>2015</c:v>
                  </c:pt>
                  <c:pt idx="20">
                    <c:v>2016</c:v>
                  </c:pt>
                  <c:pt idx="24">
                    <c:v>2017</c:v>
                  </c:pt>
                  <c:pt idx="28">
                    <c:v>2018</c:v>
                  </c:pt>
                </c:lvl>
              </c:multiLvlStrCache>
            </c:multiLvlStrRef>
          </c:cat>
          <c:val>
            <c:numRef>
              <c:f>'výkonnost odvětví 1'!$C$30:$AE$30</c:f>
              <c:numCache>
                <c:formatCode>#,##0.0</c:formatCode>
                <c:ptCount val="29"/>
                <c:pt idx="0">
                  <c:v>10</c:v>
                </c:pt>
                <c:pt idx="1">
                  <c:v>8.2000000000000011</c:v>
                </c:pt>
                <c:pt idx="2">
                  <c:v>2.2999999999999998</c:v>
                </c:pt>
                <c:pt idx="3">
                  <c:v>3.4</c:v>
                </c:pt>
                <c:pt idx="4">
                  <c:v>1.4</c:v>
                </c:pt>
                <c:pt idx="5">
                  <c:v>0.9</c:v>
                </c:pt>
                <c:pt idx="6">
                  <c:v>0.1</c:v>
                </c:pt>
                <c:pt idx="7">
                  <c:v>-5.2</c:v>
                </c:pt>
                <c:pt idx="8">
                  <c:v>-3.7</c:v>
                </c:pt>
                <c:pt idx="9">
                  <c:v>-2.8</c:v>
                </c:pt>
                <c:pt idx="10">
                  <c:v>0.8</c:v>
                </c:pt>
                <c:pt idx="11">
                  <c:v>6</c:v>
                </c:pt>
                <c:pt idx="12">
                  <c:v>6.9</c:v>
                </c:pt>
                <c:pt idx="13">
                  <c:v>6.1</c:v>
                </c:pt>
                <c:pt idx="14">
                  <c:v>2.8</c:v>
                </c:pt>
                <c:pt idx="15">
                  <c:v>4.0999999999999996</c:v>
                </c:pt>
                <c:pt idx="16">
                  <c:v>4.9000000000000004</c:v>
                </c:pt>
                <c:pt idx="17">
                  <c:v>5.2</c:v>
                </c:pt>
                <c:pt idx="18">
                  <c:v>6</c:v>
                </c:pt>
                <c:pt idx="19">
                  <c:v>2.2999999999999998</c:v>
                </c:pt>
                <c:pt idx="20">
                  <c:v>4.0999999999999996</c:v>
                </c:pt>
                <c:pt idx="21">
                  <c:v>2.2000000000000002</c:v>
                </c:pt>
                <c:pt idx="22">
                  <c:v>1.8</c:v>
                </c:pt>
                <c:pt idx="23">
                  <c:v>3.4</c:v>
                </c:pt>
                <c:pt idx="24">
                  <c:v>4.8</c:v>
                </c:pt>
                <c:pt idx="25">
                  <c:v>8.5</c:v>
                </c:pt>
                <c:pt idx="26">
                  <c:v>6.7</c:v>
                </c:pt>
                <c:pt idx="27">
                  <c:v>7.6</c:v>
                </c:pt>
                <c:pt idx="28">
                  <c:v>4</c:v>
                </c:pt>
              </c:numCache>
            </c:numRef>
          </c:val>
          <c:extLst xmlns:c16r2="http://schemas.microsoft.com/office/drawing/2015/06/chart">
            <c:ext xmlns:c16="http://schemas.microsoft.com/office/drawing/2014/chart" uri="{C3380CC4-5D6E-409C-BE32-E72D297353CC}">
              <c16:uniqueId val="{00000000-6C2A-446F-85E3-39BD13179191}"/>
            </c:ext>
          </c:extLst>
        </c:ser>
        <c:gapWidth val="30"/>
        <c:axId val="158061312"/>
        <c:axId val="158063232"/>
      </c:barChart>
      <c:lineChart>
        <c:grouping val="standard"/>
        <c:ser>
          <c:idx val="3"/>
          <c:order val="1"/>
          <c:tx>
            <c:strRef>
              <c:f>'výkonnost odvětví 1'!$B$31</c:f>
              <c:strCache>
                <c:ptCount val="1"/>
                <c:pt idx="0">
                  <c:v>Strojírenství</c:v>
                </c:pt>
              </c:strCache>
            </c:strRef>
          </c:tx>
          <c:spPr>
            <a:ln w="19050">
              <a:solidFill>
                <a:srgbClr val="00B050"/>
              </a:solidFill>
              <a:prstDash val="solid"/>
            </a:ln>
          </c:spPr>
          <c:marker>
            <c:symbol val="none"/>
          </c:marker>
          <c:cat>
            <c:multiLvlStrRef>
              <c:f>'výkonnost odvětví 1'!$C$28:$AE$29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2011</c:v>
                  </c:pt>
                  <c:pt idx="4">
                    <c:v>2012</c:v>
                  </c:pt>
                  <c:pt idx="8">
                    <c:v>2013</c:v>
                  </c:pt>
                  <c:pt idx="12">
                    <c:v>2014</c:v>
                  </c:pt>
                  <c:pt idx="16">
                    <c:v>2015</c:v>
                  </c:pt>
                  <c:pt idx="20">
                    <c:v>2016</c:v>
                  </c:pt>
                  <c:pt idx="24">
                    <c:v>2017</c:v>
                  </c:pt>
                  <c:pt idx="28">
                    <c:v>2018</c:v>
                  </c:pt>
                </c:lvl>
              </c:multiLvlStrCache>
            </c:multiLvlStrRef>
          </c:cat>
          <c:val>
            <c:numRef>
              <c:f>'výkonnost odvětví 1'!$C$31:$AE$31</c:f>
              <c:numCache>
                <c:formatCode>#,##0.0</c:formatCode>
                <c:ptCount val="29"/>
                <c:pt idx="0">
                  <c:v>16.7</c:v>
                </c:pt>
                <c:pt idx="1">
                  <c:v>15.7</c:v>
                </c:pt>
                <c:pt idx="2">
                  <c:v>3.8</c:v>
                </c:pt>
                <c:pt idx="3">
                  <c:v>8.3000000000000007</c:v>
                </c:pt>
                <c:pt idx="4">
                  <c:v>6.4</c:v>
                </c:pt>
                <c:pt idx="5">
                  <c:v>3</c:v>
                </c:pt>
                <c:pt idx="6">
                  <c:v>2.7</c:v>
                </c:pt>
                <c:pt idx="7">
                  <c:v>-1.5</c:v>
                </c:pt>
                <c:pt idx="8">
                  <c:v>0.9</c:v>
                </c:pt>
                <c:pt idx="9">
                  <c:v>2.4</c:v>
                </c:pt>
                <c:pt idx="10">
                  <c:v>-0.2</c:v>
                </c:pt>
                <c:pt idx="11">
                  <c:v>7.3</c:v>
                </c:pt>
                <c:pt idx="12">
                  <c:v>2.6</c:v>
                </c:pt>
                <c:pt idx="13">
                  <c:v>4.5</c:v>
                </c:pt>
                <c:pt idx="14">
                  <c:v>2.5</c:v>
                </c:pt>
                <c:pt idx="15">
                  <c:v>3.7</c:v>
                </c:pt>
                <c:pt idx="16">
                  <c:v>3.5</c:v>
                </c:pt>
                <c:pt idx="17">
                  <c:v>3.3</c:v>
                </c:pt>
                <c:pt idx="18">
                  <c:v>4.5</c:v>
                </c:pt>
                <c:pt idx="19">
                  <c:v>0.2</c:v>
                </c:pt>
                <c:pt idx="20">
                  <c:v>4.5999999999999996</c:v>
                </c:pt>
                <c:pt idx="21">
                  <c:v>-0.8</c:v>
                </c:pt>
                <c:pt idx="22">
                  <c:v>2.4</c:v>
                </c:pt>
                <c:pt idx="23">
                  <c:v>3.7</c:v>
                </c:pt>
                <c:pt idx="24">
                  <c:v>4.5999999999999996</c:v>
                </c:pt>
                <c:pt idx="25">
                  <c:v>12.7</c:v>
                </c:pt>
                <c:pt idx="26">
                  <c:v>10.200000000000001</c:v>
                </c:pt>
                <c:pt idx="27">
                  <c:v>9.3000000000000007</c:v>
                </c:pt>
                <c:pt idx="28">
                  <c:v>7.6</c:v>
                </c:pt>
              </c:numCache>
            </c:numRef>
          </c:val>
          <c:extLst xmlns:c16r2="http://schemas.microsoft.com/office/drawing/2015/06/chart">
            <c:ext xmlns:c16="http://schemas.microsoft.com/office/drawing/2014/chart" uri="{C3380CC4-5D6E-409C-BE32-E72D297353CC}">
              <c16:uniqueId val="{00000001-6C2A-446F-85E3-39BD13179191}"/>
            </c:ext>
          </c:extLst>
        </c:ser>
        <c:ser>
          <c:idx val="1"/>
          <c:order val="2"/>
          <c:tx>
            <c:strRef>
              <c:f>'výkonnost odvětví 1'!$B$32</c:f>
              <c:strCache>
                <c:ptCount val="1"/>
                <c:pt idx="0">
                  <c:v>Chemický průmysl</c:v>
                </c:pt>
              </c:strCache>
            </c:strRef>
          </c:tx>
          <c:spPr>
            <a:ln w="19050">
              <a:solidFill>
                <a:srgbClr val="F8A124"/>
              </a:solidFill>
            </a:ln>
          </c:spPr>
          <c:marker>
            <c:symbol val="none"/>
          </c:marker>
          <c:cat>
            <c:multiLvlStrRef>
              <c:f>'výkonnost odvětví 1'!$C$28:$AE$29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2011</c:v>
                  </c:pt>
                  <c:pt idx="4">
                    <c:v>2012</c:v>
                  </c:pt>
                  <c:pt idx="8">
                    <c:v>2013</c:v>
                  </c:pt>
                  <c:pt idx="12">
                    <c:v>2014</c:v>
                  </c:pt>
                  <c:pt idx="16">
                    <c:v>2015</c:v>
                  </c:pt>
                  <c:pt idx="20">
                    <c:v>2016</c:v>
                  </c:pt>
                  <c:pt idx="24">
                    <c:v>2017</c:v>
                  </c:pt>
                  <c:pt idx="28">
                    <c:v>2018</c:v>
                  </c:pt>
                </c:lvl>
              </c:multiLvlStrCache>
            </c:multiLvlStrRef>
          </c:cat>
          <c:val>
            <c:numRef>
              <c:f>'výkonnost odvětví 1'!$C$32:$AE$32</c:f>
              <c:numCache>
                <c:formatCode>#,##0.0</c:formatCode>
                <c:ptCount val="29"/>
                <c:pt idx="0">
                  <c:v>2.7</c:v>
                </c:pt>
                <c:pt idx="1">
                  <c:v>-4.7</c:v>
                </c:pt>
                <c:pt idx="2">
                  <c:v>-8.7000000000000011</c:v>
                </c:pt>
                <c:pt idx="3">
                  <c:v>-7.8</c:v>
                </c:pt>
                <c:pt idx="4">
                  <c:v>3.2</c:v>
                </c:pt>
                <c:pt idx="5">
                  <c:v>0.4</c:v>
                </c:pt>
                <c:pt idx="6">
                  <c:v>10.1</c:v>
                </c:pt>
                <c:pt idx="7">
                  <c:v>7</c:v>
                </c:pt>
                <c:pt idx="8">
                  <c:v>-5.3</c:v>
                </c:pt>
                <c:pt idx="9">
                  <c:v>-0.60000000000000064</c:v>
                </c:pt>
                <c:pt idx="10">
                  <c:v>-10</c:v>
                </c:pt>
                <c:pt idx="11">
                  <c:v>3.8</c:v>
                </c:pt>
                <c:pt idx="12">
                  <c:v>8.8000000000000007</c:v>
                </c:pt>
                <c:pt idx="13">
                  <c:v>9.7000000000000011</c:v>
                </c:pt>
                <c:pt idx="14">
                  <c:v>16.100000000000001</c:v>
                </c:pt>
                <c:pt idx="15">
                  <c:v>4.2</c:v>
                </c:pt>
                <c:pt idx="16">
                  <c:v>2.8</c:v>
                </c:pt>
                <c:pt idx="17">
                  <c:v>3.4</c:v>
                </c:pt>
                <c:pt idx="18">
                  <c:v>-7.8</c:v>
                </c:pt>
                <c:pt idx="19">
                  <c:v>-16.3</c:v>
                </c:pt>
                <c:pt idx="20">
                  <c:v>-13.3</c:v>
                </c:pt>
                <c:pt idx="21">
                  <c:v>-16.899999999999999</c:v>
                </c:pt>
                <c:pt idx="22">
                  <c:v>-5.8</c:v>
                </c:pt>
                <c:pt idx="23">
                  <c:v>11.1</c:v>
                </c:pt>
                <c:pt idx="24">
                  <c:v>16.399999999999999</c:v>
                </c:pt>
                <c:pt idx="25">
                  <c:v>24.5</c:v>
                </c:pt>
                <c:pt idx="26">
                  <c:v>19.399999999999999</c:v>
                </c:pt>
                <c:pt idx="27">
                  <c:v>17.3</c:v>
                </c:pt>
                <c:pt idx="28">
                  <c:v>6.6</c:v>
                </c:pt>
              </c:numCache>
            </c:numRef>
          </c:val>
          <c:extLst xmlns:c16r2="http://schemas.microsoft.com/office/drawing/2015/06/chart">
            <c:ext xmlns:c16="http://schemas.microsoft.com/office/drawing/2014/chart" uri="{C3380CC4-5D6E-409C-BE32-E72D297353CC}">
              <c16:uniqueId val="{00000002-6C2A-446F-85E3-39BD13179191}"/>
            </c:ext>
          </c:extLst>
        </c:ser>
        <c:ser>
          <c:idx val="7"/>
          <c:order val="3"/>
          <c:tx>
            <c:strRef>
              <c:f>'výkonnost odvětví 1'!$B$33</c:f>
              <c:strCache>
                <c:ptCount val="1"/>
                <c:pt idx="0">
                  <c:v>Výroba PC, elektronic. a optic. přístrojů</c:v>
                </c:pt>
              </c:strCache>
            </c:strRef>
          </c:tx>
          <c:spPr>
            <a:ln w="19050">
              <a:solidFill>
                <a:srgbClr val="48AEE7"/>
              </a:solidFill>
            </a:ln>
          </c:spPr>
          <c:marker>
            <c:symbol val="none"/>
          </c:marker>
          <c:cat>
            <c:multiLvlStrRef>
              <c:f>'výkonnost odvětví 1'!$C$28:$AE$29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2011</c:v>
                  </c:pt>
                  <c:pt idx="4">
                    <c:v>2012</c:v>
                  </c:pt>
                  <c:pt idx="8">
                    <c:v>2013</c:v>
                  </c:pt>
                  <c:pt idx="12">
                    <c:v>2014</c:v>
                  </c:pt>
                  <c:pt idx="16">
                    <c:v>2015</c:v>
                  </c:pt>
                  <c:pt idx="20">
                    <c:v>2016</c:v>
                  </c:pt>
                  <c:pt idx="24">
                    <c:v>2017</c:v>
                  </c:pt>
                  <c:pt idx="28">
                    <c:v>2018</c:v>
                  </c:pt>
                </c:lvl>
              </c:multiLvlStrCache>
            </c:multiLvlStrRef>
          </c:cat>
          <c:val>
            <c:numRef>
              <c:f>'výkonnost odvětví 1'!$C$33:$AE$33</c:f>
              <c:numCache>
                <c:formatCode>#,##0.0</c:formatCode>
                <c:ptCount val="29"/>
                <c:pt idx="0">
                  <c:v>12.5</c:v>
                </c:pt>
                <c:pt idx="1">
                  <c:v>6</c:v>
                </c:pt>
                <c:pt idx="2">
                  <c:v>-6</c:v>
                </c:pt>
                <c:pt idx="3">
                  <c:v>-18.399999999999999</c:v>
                </c:pt>
                <c:pt idx="4">
                  <c:v>-18.899999999999999</c:v>
                </c:pt>
                <c:pt idx="5">
                  <c:v>-22.7</c:v>
                </c:pt>
                <c:pt idx="6">
                  <c:v>-19.100000000000001</c:v>
                </c:pt>
                <c:pt idx="7">
                  <c:v>-13.7</c:v>
                </c:pt>
                <c:pt idx="8">
                  <c:v>10.8</c:v>
                </c:pt>
                <c:pt idx="9">
                  <c:v>13.4</c:v>
                </c:pt>
                <c:pt idx="10">
                  <c:v>17.399999999999999</c:v>
                </c:pt>
                <c:pt idx="11">
                  <c:v>22.3</c:v>
                </c:pt>
                <c:pt idx="12">
                  <c:v>17.8</c:v>
                </c:pt>
                <c:pt idx="13">
                  <c:v>20</c:v>
                </c:pt>
                <c:pt idx="14">
                  <c:v>13.1</c:v>
                </c:pt>
                <c:pt idx="15">
                  <c:v>22.4</c:v>
                </c:pt>
                <c:pt idx="16">
                  <c:v>4.9000000000000004</c:v>
                </c:pt>
                <c:pt idx="17">
                  <c:v>0.70000000000000062</c:v>
                </c:pt>
                <c:pt idx="18">
                  <c:v>2.1</c:v>
                </c:pt>
                <c:pt idx="19">
                  <c:v>-3.3</c:v>
                </c:pt>
                <c:pt idx="20">
                  <c:v>-0.1</c:v>
                </c:pt>
                <c:pt idx="21">
                  <c:v>2.6</c:v>
                </c:pt>
                <c:pt idx="22">
                  <c:v>2.6</c:v>
                </c:pt>
                <c:pt idx="23">
                  <c:v>7.4</c:v>
                </c:pt>
                <c:pt idx="24">
                  <c:v>6.3</c:v>
                </c:pt>
                <c:pt idx="25">
                  <c:v>19.100000000000001</c:v>
                </c:pt>
                <c:pt idx="26">
                  <c:v>11.3</c:v>
                </c:pt>
                <c:pt idx="27">
                  <c:v>10.5</c:v>
                </c:pt>
                <c:pt idx="28">
                  <c:v>15.5</c:v>
                </c:pt>
              </c:numCache>
            </c:numRef>
          </c:val>
          <c:extLst xmlns:c16r2="http://schemas.microsoft.com/office/drawing/2015/06/chart">
            <c:ext xmlns:c16="http://schemas.microsoft.com/office/drawing/2014/chart" uri="{C3380CC4-5D6E-409C-BE32-E72D297353CC}">
              <c16:uniqueId val="{00000003-6C2A-446F-85E3-39BD13179191}"/>
            </c:ext>
          </c:extLst>
        </c:ser>
        <c:ser>
          <c:idx val="2"/>
          <c:order val="4"/>
          <c:tx>
            <c:strRef>
              <c:f>'výkonnost odvětví 1'!$B$34</c:f>
              <c:strCache>
                <c:ptCount val="1"/>
                <c:pt idx="0">
                  <c:v>Výroba motorových vozidel</c:v>
                </c:pt>
              </c:strCache>
            </c:strRef>
          </c:tx>
          <c:spPr>
            <a:ln w="19050">
              <a:solidFill>
                <a:srgbClr val="BD1B21"/>
              </a:solidFill>
              <a:prstDash val="solid"/>
            </a:ln>
          </c:spPr>
          <c:marker>
            <c:symbol val="none"/>
          </c:marker>
          <c:cat>
            <c:multiLvlStrRef>
              <c:f>'výkonnost odvětví 1'!$C$28:$AE$29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2011</c:v>
                  </c:pt>
                  <c:pt idx="4">
                    <c:v>2012</c:v>
                  </c:pt>
                  <c:pt idx="8">
                    <c:v>2013</c:v>
                  </c:pt>
                  <c:pt idx="12">
                    <c:v>2014</c:v>
                  </c:pt>
                  <c:pt idx="16">
                    <c:v>2015</c:v>
                  </c:pt>
                  <c:pt idx="20">
                    <c:v>2016</c:v>
                  </c:pt>
                  <c:pt idx="24">
                    <c:v>2017</c:v>
                  </c:pt>
                  <c:pt idx="28">
                    <c:v>2018</c:v>
                  </c:pt>
                </c:lvl>
              </c:multiLvlStrCache>
            </c:multiLvlStrRef>
          </c:cat>
          <c:val>
            <c:numRef>
              <c:f>'výkonnost odvětví 1'!$C$34:$AE$34</c:f>
              <c:numCache>
                <c:formatCode>#,##0.0</c:formatCode>
                <c:ptCount val="29"/>
                <c:pt idx="0">
                  <c:v>26.9</c:v>
                </c:pt>
                <c:pt idx="1">
                  <c:v>22</c:v>
                </c:pt>
                <c:pt idx="2">
                  <c:v>20.8</c:v>
                </c:pt>
                <c:pt idx="3">
                  <c:v>15.9</c:v>
                </c:pt>
                <c:pt idx="4">
                  <c:v>9.7000000000000011</c:v>
                </c:pt>
                <c:pt idx="5">
                  <c:v>4</c:v>
                </c:pt>
                <c:pt idx="6">
                  <c:v>-3.2</c:v>
                </c:pt>
                <c:pt idx="7">
                  <c:v>-6.7</c:v>
                </c:pt>
                <c:pt idx="8">
                  <c:v>-14.2</c:v>
                </c:pt>
                <c:pt idx="9">
                  <c:v>-7.7</c:v>
                </c:pt>
                <c:pt idx="10">
                  <c:v>4.5</c:v>
                </c:pt>
                <c:pt idx="11">
                  <c:v>8.1</c:v>
                </c:pt>
                <c:pt idx="12">
                  <c:v>19.5</c:v>
                </c:pt>
                <c:pt idx="13">
                  <c:v>14.8</c:v>
                </c:pt>
                <c:pt idx="14">
                  <c:v>10.8</c:v>
                </c:pt>
                <c:pt idx="15">
                  <c:v>8.8000000000000007</c:v>
                </c:pt>
                <c:pt idx="16">
                  <c:v>7.6</c:v>
                </c:pt>
                <c:pt idx="17">
                  <c:v>12.2</c:v>
                </c:pt>
                <c:pt idx="18">
                  <c:v>13.8</c:v>
                </c:pt>
                <c:pt idx="19">
                  <c:v>16.3</c:v>
                </c:pt>
                <c:pt idx="20">
                  <c:v>17.7</c:v>
                </c:pt>
                <c:pt idx="21">
                  <c:v>14.3</c:v>
                </c:pt>
                <c:pt idx="22">
                  <c:v>6.3</c:v>
                </c:pt>
                <c:pt idx="23">
                  <c:v>7</c:v>
                </c:pt>
                <c:pt idx="24">
                  <c:v>9.9</c:v>
                </c:pt>
                <c:pt idx="25">
                  <c:v>10.4</c:v>
                </c:pt>
                <c:pt idx="26">
                  <c:v>9.4</c:v>
                </c:pt>
                <c:pt idx="27">
                  <c:v>9.4</c:v>
                </c:pt>
                <c:pt idx="28">
                  <c:v>2.9</c:v>
                </c:pt>
              </c:numCache>
            </c:numRef>
          </c:val>
          <c:extLst xmlns:c16r2="http://schemas.microsoft.com/office/drawing/2015/06/chart">
            <c:ext xmlns:c16="http://schemas.microsoft.com/office/drawing/2014/chart" uri="{C3380CC4-5D6E-409C-BE32-E72D297353CC}">
              <c16:uniqueId val="{00000004-6C2A-446F-85E3-39BD13179191}"/>
            </c:ext>
          </c:extLst>
        </c:ser>
        <c:ser>
          <c:idx val="5"/>
          <c:order val="5"/>
          <c:tx>
            <c:strRef>
              <c:f>'výkonnost odvětví 1'!$B$35</c:f>
              <c:strCache>
                <c:ptCount val="1"/>
                <c:pt idx="0">
                  <c:v>Energetika</c:v>
                </c:pt>
              </c:strCache>
            </c:strRef>
          </c:tx>
          <c:spPr>
            <a:ln w="19050">
              <a:noFill/>
            </a:ln>
          </c:spPr>
          <c:marker>
            <c:symbol val="diamond"/>
            <c:size val="5"/>
            <c:spPr>
              <a:solidFill>
                <a:schemeClr val="tx1">
                  <a:lumMod val="95000"/>
                  <a:lumOff val="5000"/>
                </a:schemeClr>
              </a:solidFill>
              <a:ln>
                <a:noFill/>
              </a:ln>
            </c:spPr>
          </c:marker>
          <c:cat>
            <c:multiLvlStrRef>
              <c:f>'výkonnost odvětví 1'!$C$28:$AE$29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2011</c:v>
                  </c:pt>
                  <c:pt idx="4">
                    <c:v>2012</c:v>
                  </c:pt>
                  <c:pt idx="8">
                    <c:v>2013</c:v>
                  </c:pt>
                  <c:pt idx="12">
                    <c:v>2014</c:v>
                  </c:pt>
                  <c:pt idx="16">
                    <c:v>2015</c:v>
                  </c:pt>
                  <c:pt idx="20">
                    <c:v>2016</c:v>
                  </c:pt>
                  <c:pt idx="24">
                    <c:v>2017</c:v>
                  </c:pt>
                  <c:pt idx="28">
                    <c:v>2018</c:v>
                  </c:pt>
                </c:lvl>
              </c:multiLvlStrCache>
            </c:multiLvlStrRef>
          </c:cat>
          <c:val>
            <c:numRef>
              <c:f>'výkonnost odvětví 1'!$C$35:$AE$35</c:f>
              <c:numCache>
                <c:formatCode>#,##0.0</c:formatCode>
                <c:ptCount val="29"/>
                <c:pt idx="0">
                  <c:v>-3.9</c:v>
                </c:pt>
                <c:pt idx="1">
                  <c:v>0.4</c:v>
                </c:pt>
                <c:pt idx="2">
                  <c:v>-5</c:v>
                </c:pt>
                <c:pt idx="3">
                  <c:v>2.4</c:v>
                </c:pt>
                <c:pt idx="4">
                  <c:v>1.8</c:v>
                </c:pt>
                <c:pt idx="5">
                  <c:v>4.4000000000000004</c:v>
                </c:pt>
                <c:pt idx="6">
                  <c:v>1</c:v>
                </c:pt>
                <c:pt idx="7">
                  <c:v>-7.8</c:v>
                </c:pt>
                <c:pt idx="8">
                  <c:v>-3.4</c:v>
                </c:pt>
                <c:pt idx="9">
                  <c:v>-4.0999999999999996</c:v>
                </c:pt>
                <c:pt idx="10">
                  <c:v>-3.1</c:v>
                </c:pt>
                <c:pt idx="11">
                  <c:v>4.0999999999999996</c:v>
                </c:pt>
                <c:pt idx="12">
                  <c:v>-3.7</c:v>
                </c:pt>
                <c:pt idx="13">
                  <c:v>-2.2999999999999998</c:v>
                </c:pt>
                <c:pt idx="14">
                  <c:v>-1.5</c:v>
                </c:pt>
                <c:pt idx="15">
                  <c:v>-4.0999999999999996</c:v>
                </c:pt>
                <c:pt idx="16">
                  <c:v>2.6</c:v>
                </c:pt>
                <c:pt idx="17">
                  <c:v>-1.5</c:v>
                </c:pt>
                <c:pt idx="18">
                  <c:v>-4.5999999999999996</c:v>
                </c:pt>
                <c:pt idx="19">
                  <c:v>-7.9</c:v>
                </c:pt>
                <c:pt idx="20">
                  <c:v>-4.2</c:v>
                </c:pt>
                <c:pt idx="21">
                  <c:v>3.6</c:v>
                </c:pt>
                <c:pt idx="22">
                  <c:v>-2.2000000000000002</c:v>
                </c:pt>
                <c:pt idx="23">
                  <c:v>7.2</c:v>
                </c:pt>
                <c:pt idx="24">
                  <c:v>5.2</c:v>
                </c:pt>
                <c:pt idx="25">
                  <c:v>-0.60000000000000064</c:v>
                </c:pt>
                <c:pt idx="26">
                  <c:v>8.8000000000000007</c:v>
                </c:pt>
                <c:pt idx="27">
                  <c:v>5.7</c:v>
                </c:pt>
                <c:pt idx="28">
                  <c:v>-3.5</c:v>
                </c:pt>
              </c:numCache>
            </c:numRef>
          </c:val>
          <c:extLst xmlns:c16r2="http://schemas.microsoft.com/office/drawing/2015/06/chart">
            <c:ext xmlns:c16="http://schemas.microsoft.com/office/drawing/2014/chart" uri="{C3380CC4-5D6E-409C-BE32-E72D297353CC}">
              <c16:uniqueId val="{00000005-6C2A-446F-85E3-39BD13179191}"/>
            </c:ext>
          </c:extLst>
        </c:ser>
        <c:marker val="1"/>
        <c:axId val="158061312"/>
        <c:axId val="158063232"/>
      </c:lineChart>
      <c:catAx>
        <c:axId val="158061312"/>
        <c:scaling>
          <c:orientation val="minMax"/>
        </c:scaling>
        <c:axPos val="b"/>
        <c:numFmt formatCode="General" sourceLinked="1"/>
        <c:tickLblPos val="low"/>
        <c:spPr>
          <a:ln w="9525">
            <a:solidFill>
              <a:schemeClr val="tx1"/>
            </a:solidFill>
            <a:prstDash val="solid"/>
          </a:ln>
        </c:spPr>
        <c:txPr>
          <a:bodyPr rot="0" vert="horz"/>
          <a:lstStyle/>
          <a:p>
            <a:pPr>
              <a:defRPr/>
            </a:pPr>
            <a:endParaRPr lang="cs-CZ"/>
          </a:p>
        </c:txPr>
        <c:crossAx val="158063232"/>
        <c:crossesAt val="0"/>
        <c:lblAlgn val="ctr"/>
        <c:lblOffset val="0"/>
        <c:tickLblSkip val="1"/>
        <c:tickMarkSkip val="4"/>
      </c:catAx>
      <c:valAx>
        <c:axId val="158063232"/>
        <c:scaling>
          <c:orientation val="minMax"/>
          <c:max val="40"/>
          <c:min val="-25"/>
        </c:scaling>
        <c:axPos val="l"/>
        <c:majorGridlines>
          <c:spPr>
            <a:ln w="6350">
              <a:solidFill>
                <a:schemeClr val="bg1">
                  <a:lumMod val="75000"/>
                </a:schemeClr>
              </a:solidFill>
            </a:ln>
          </c:spPr>
        </c:majorGridlines>
        <c:numFmt formatCode="0" sourceLinked="0"/>
        <c:tickLblPos val="nextTo"/>
        <c:spPr>
          <a:ln w="9525">
            <a:solidFill>
              <a:schemeClr val="tx1"/>
            </a:solidFill>
            <a:prstDash val="solid"/>
          </a:ln>
        </c:spPr>
        <c:txPr>
          <a:bodyPr rot="0" vert="horz"/>
          <a:lstStyle/>
          <a:p>
            <a:pPr>
              <a:defRPr/>
            </a:pPr>
            <a:endParaRPr lang="cs-CZ"/>
          </a:p>
        </c:txPr>
        <c:crossAx val="158061312"/>
        <c:crosses val="autoZero"/>
        <c:crossBetween val="between"/>
        <c:majorUnit val="5"/>
      </c:valAx>
      <c:spPr>
        <a:noFill/>
        <a:ln w="9525">
          <a:solidFill>
            <a:schemeClr val="tx1"/>
          </a:solidFill>
        </a:ln>
      </c:spPr>
    </c:plotArea>
    <c:legend>
      <c:legendPos val="b"/>
      <c:layout>
        <c:manualLayout>
          <c:xMode val="edge"/>
          <c:yMode val="edge"/>
          <c:x val="6.0825149028219005E-2"/>
          <c:y val="0.87928740290442464"/>
          <c:w val="0.92525548742930164"/>
          <c:h val="0.11713835415963074"/>
        </c:manualLayout>
      </c:layout>
      <c:spPr>
        <a:noFill/>
        <a:ln w="6350">
          <a:solidFill>
            <a:schemeClr val="tx1"/>
          </a:solidFill>
        </a:ln>
      </c:spPr>
    </c:legend>
    <c:plotVisOnly val="1"/>
    <c:dispBlanksAs val="gap"/>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2277854581154255E-2"/>
          <c:y val="1.9008475080329195E-2"/>
          <c:w val="0.92988062751698064"/>
          <c:h val="0.74907069683665461"/>
        </c:manualLayout>
      </c:layout>
      <c:barChart>
        <c:barDir val="col"/>
        <c:grouping val="clustered"/>
        <c:ser>
          <c:idx val="0"/>
          <c:order val="0"/>
          <c:tx>
            <c:strRef>
              <c:f>'výkonnost odvětví 2'!$B$31</c:f>
              <c:strCache>
                <c:ptCount val="1"/>
                <c:pt idx="0">
                  <c:v>Průmyslové zakázky celkem</c:v>
                </c:pt>
              </c:strCache>
            </c:strRef>
          </c:tx>
          <c:spPr>
            <a:solidFill>
              <a:schemeClr val="bg1">
                <a:lumMod val="65000"/>
              </a:schemeClr>
            </a:solidFill>
            <a:ln w="12700">
              <a:noFill/>
              <a:prstDash val="solid"/>
            </a:ln>
          </c:spPr>
          <c:cat>
            <c:multiLvlStrRef>
              <c:f>'výkonnost odvětví 2'!$C$29:$AE$30</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2011</c:v>
                  </c:pt>
                  <c:pt idx="4">
                    <c:v>2012</c:v>
                  </c:pt>
                  <c:pt idx="8">
                    <c:v>2013</c:v>
                  </c:pt>
                  <c:pt idx="12">
                    <c:v>2014</c:v>
                  </c:pt>
                  <c:pt idx="16">
                    <c:v>2015</c:v>
                  </c:pt>
                  <c:pt idx="20">
                    <c:v>2016</c:v>
                  </c:pt>
                  <c:pt idx="24">
                    <c:v>2017</c:v>
                  </c:pt>
                  <c:pt idx="28">
                    <c:v>2018</c:v>
                  </c:pt>
                </c:lvl>
              </c:multiLvlStrCache>
            </c:multiLvlStrRef>
          </c:cat>
          <c:val>
            <c:numRef>
              <c:f>'výkonnost odvětví 2'!$C$31:$AE$31</c:f>
              <c:numCache>
                <c:formatCode>#,##0.0__</c:formatCode>
                <c:ptCount val="29"/>
                <c:pt idx="0">
                  <c:v>12.043107093421796</c:v>
                </c:pt>
                <c:pt idx="1">
                  <c:v>5.3292904020963094</c:v>
                </c:pt>
                <c:pt idx="2">
                  <c:v>-1.503823629327437</c:v>
                </c:pt>
                <c:pt idx="3">
                  <c:v>0.49985199872995401</c:v>
                </c:pt>
                <c:pt idx="4">
                  <c:v>7.8919882289544265</c:v>
                </c:pt>
                <c:pt idx="5">
                  <c:v>0.24363263911027391</c:v>
                </c:pt>
                <c:pt idx="6">
                  <c:v>2.6780600325356119</c:v>
                </c:pt>
                <c:pt idx="7">
                  <c:v>-2.2927798243121345</c:v>
                </c:pt>
                <c:pt idx="8">
                  <c:v>-6.7566875441004868</c:v>
                </c:pt>
                <c:pt idx="9">
                  <c:v>-0.77743908810788365</c:v>
                </c:pt>
                <c:pt idx="10">
                  <c:v>12.110592029586039</c:v>
                </c:pt>
                <c:pt idx="11">
                  <c:v>12.611542535334834</c:v>
                </c:pt>
                <c:pt idx="12">
                  <c:v>18.45457625725863</c:v>
                </c:pt>
                <c:pt idx="13">
                  <c:v>13.812603337719374</c:v>
                </c:pt>
                <c:pt idx="14">
                  <c:v>11.164927309703883</c:v>
                </c:pt>
                <c:pt idx="15">
                  <c:v>7.3250322249586759</c:v>
                </c:pt>
                <c:pt idx="16">
                  <c:v>8.5397251010390089</c:v>
                </c:pt>
                <c:pt idx="17">
                  <c:v>6.48948340315685</c:v>
                </c:pt>
                <c:pt idx="18">
                  <c:v>4.1045761314248068</c:v>
                </c:pt>
                <c:pt idx="19">
                  <c:v>6.0151063810169205</c:v>
                </c:pt>
                <c:pt idx="20">
                  <c:v>1.3550678522953064</c:v>
                </c:pt>
                <c:pt idx="21">
                  <c:v>10.856046878525524</c:v>
                </c:pt>
                <c:pt idx="22">
                  <c:v>1.6431282237439291</c:v>
                </c:pt>
                <c:pt idx="23">
                  <c:v>6.7220844736941086</c:v>
                </c:pt>
                <c:pt idx="24">
                  <c:v>10.841479121555905</c:v>
                </c:pt>
                <c:pt idx="25">
                  <c:v>4.5315942367003705</c:v>
                </c:pt>
                <c:pt idx="26">
                  <c:v>6.9082617878945998</c:v>
                </c:pt>
                <c:pt idx="27">
                  <c:v>7.5112613571588724</c:v>
                </c:pt>
                <c:pt idx="28">
                  <c:v>1.9174044931699488</c:v>
                </c:pt>
              </c:numCache>
            </c:numRef>
          </c:val>
        </c:ser>
        <c:gapWidth val="34"/>
        <c:overlap val="28"/>
        <c:axId val="158206208"/>
        <c:axId val="158224768"/>
      </c:barChart>
      <c:lineChart>
        <c:grouping val="standard"/>
        <c:ser>
          <c:idx val="2"/>
          <c:order val="1"/>
          <c:tx>
            <c:strRef>
              <c:f>'výkonnost odvětví 2'!$B$32</c:f>
              <c:strCache>
                <c:ptCount val="1"/>
                <c:pt idx="0">
                  <c:v>Průmyslové zakázky z tuzemska</c:v>
                </c:pt>
              </c:strCache>
            </c:strRef>
          </c:tx>
          <c:spPr>
            <a:ln w="19050">
              <a:solidFill>
                <a:srgbClr val="0071BC"/>
              </a:solidFill>
              <a:prstDash val="solid"/>
            </a:ln>
          </c:spPr>
          <c:marker>
            <c:symbol val="none"/>
          </c:marker>
          <c:cat>
            <c:multiLvlStrRef>
              <c:f>'výkonnost odvětví 2'!$C$29:$AE$30</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2011</c:v>
                  </c:pt>
                  <c:pt idx="4">
                    <c:v>2012</c:v>
                  </c:pt>
                  <c:pt idx="8">
                    <c:v>2013</c:v>
                  </c:pt>
                  <c:pt idx="12">
                    <c:v>2014</c:v>
                  </c:pt>
                  <c:pt idx="16">
                    <c:v>2015</c:v>
                  </c:pt>
                  <c:pt idx="20">
                    <c:v>2016</c:v>
                  </c:pt>
                  <c:pt idx="24">
                    <c:v>2017</c:v>
                  </c:pt>
                  <c:pt idx="28">
                    <c:v>2018</c:v>
                  </c:pt>
                </c:lvl>
              </c:multiLvlStrCache>
            </c:multiLvlStrRef>
          </c:cat>
          <c:val>
            <c:numRef>
              <c:f>'výkonnost odvětví 2'!$C$32:$AE$32</c:f>
              <c:numCache>
                <c:formatCode>#,##0.0__</c:formatCode>
                <c:ptCount val="29"/>
                <c:pt idx="0">
                  <c:v>2.8145814762462464</c:v>
                </c:pt>
                <c:pt idx="1">
                  <c:v>-0.65160361804250466</c:v>
                </c:pt>
                <c:pt idx="2">
                  <c:v>-11.671782921579478</c:v>
                </c:pt>
                <c:pt idx="3">
                  <c:v>-10.696553890943122</c:v>
                </c:pt>
                <c:pt idx="4">
                  <c:v>2.6214056871317126</c:v>
                </c:pt>
                <c:pt idx="5">
                  <c:v>-9.2467743432498679</c:v>
                </c:pt>
                <c:pt idx="6">
                  <c:v>-2.8571545096936277</c:v>
                </c:pt>
                <c:pt idx="7">
                  <c:v>-4.0487324448534139</c:v>
                </c:pt>
                <c:pt idx="8">
                  <c:v>-7.112663177047466</c:v>
                </c:pt>
                <c:pt idx="9">
                  <c:v>-0.59561460542927591</c:v>
                </c:pt>
                <c:pt idx="10">
                  <c:v>9.3847374388735147</c:v>
                </c:pt>
                <c:pt idx="11">
                  <c:v>7.0782158358476011</c:v>
                </c:pt>
                <c:pt idx="12">
                  <c:v>14.183839645941402</c:v>
                </c:pt>
                <c:pt idx="13">
                  <c:v>7.7929541685001915</c:v>
                </c:pt>
                <c:pt idx="14">
                  <c:v>16.845115352064926</c:v>
                </c:pt>
                <c:pt idx="15">
                  <c:v>9.6787104542652713</c:v>
                </c:pt>
                <c:pt idx="16">
                  <c:v>4.3419613010107314</c:v>
                </c:pt>
                <c:pt idx="17">
                  <c:v>10.024449168168022</c:v>
                </c:pt>
                <c:pt idx="18">
                  <c:v>-4.7604240586837046</c:v>
                </c:pt>
                <c:pt idx="19">
                  <c:v>0.56107209694786753</c:v>
                </c:pt>
                <c:pt idx="20">
                  <c:v>0.20304376106223357</c:v>
                </c:pt>
                <c:pt idx="21">
                  <c:v>4.9376200007964304</c:v>
                </c:pt>
                <c:pt idx="22">
                  <c:v>-0.65834656713856565</c:v>
                </c:pt>
                <c:pt idx="23">
                  <c:v>2.8730898893806995</c:v>
                </c:pt>
                <c:pt idx="24">
                  <c:v>16.722989365311626</c:v>
                </c:pt>
                <c:pt idx="25">
                  <c:v>11.567742610098026</c:v>
                </c:pt>
                <c:pt idx="26">
                  <c:v>14.702871802754668</c:v>
                </c:pt>
                <c:pt idx="27">
                  <c:v>15.641374658030248</c:v>
                </c:pt>
                <c:pt idx="28">
                  <c:v>-0.60650382327463603</c:v>
                </c:pt>
              </c:numCache>
            </c:numRef>
          </c:val>
        </c:ser>
        <c:ser>
          <c:idx val="5"/>
          <c:order val="2"/>
          <c:tx>
            <c:strRef>
              <c:f>'výkonnost odvětví 2'!$B$33</c:f>
              <c:strCache>
                <c:ptCount val="1"/>
                <c:pt idx="0">
                  <c:v>Průmyslové zakázky ze zahraničí</c:v>
                </c:pt>
              </c:strCache>
            </c:strRef>
          </c:tx>
          <c:spPr>
            <a:ln w="19050">
              <a:solidFill>
                <a:srgbClr val="BD1B21"/>
              </a:solidFill>
              <a:prstDash val="solid"/>
            </a:ln>
          </c:spPr>
          <c:marker>
            <c:symbol val="none"/>
          </c:marker>
          <c:cat>
            <c:multiLvlStrRef>
              <c:f>'výkonnost odvětví 2'!$C$29:$AE$30</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2011</c:v>
                  </c:pt>
                  <c:pt idx="4">
                    <c:v>2012</c:v>
                  </c:pt>
                  <c:pt idx="8">
                    <c:v>2013</c:v>
                  </c:pt>
                  <c:pt idx="12">
                    <c:v>2014</c:v>
                  </c:pt>
                  <c:pt idx="16">
                    <c:v>2015</c:v>
                  </c:pt>
                  <c:pt idx="20">
                    <c:v>2016</c:v>
                  </c:pt>
                  <c:pt idx="24">
                    <c:v>2017</c:v>
                  </c:pt>
                  <c:pt idx="28">
                    <c:v>2018</c:v>
                  </c:pt>
                </c:lvl>
              </c:multiLvlStrCache>
            </c:multiLvlStrRef>
          </c:cat>
          <c:val>
            <c:numRef>
              <c:f>'výkonnost odvětví 2'!$C$33:$AE$33</c:f>
              <c:numCache>
                <c:formatCode>#,##0.0__</c:formatCode>
                <c:ptCount val="29"/>
                <c:pt idx="0">
                  <c:v>18.348366232181952</c:v>
                </c:pt>
                <c:pt idx="1">
                  <c:v>9.5205491734487566</c:v>
                </c:pt>
                <c:pt idx="2">
                  <c:v>5.6720014781022305</c:v>
                </c:pt>
                <c:pt idx="3">
                  <c:v>8.6383031975398179</c:v>
                </c:pt>
                <c:pt idx="4">
                  <c:v>11.020383939537369</c:v>
                </c:pt>
                <c:pt idx="5">
                  <c:v>6.2765650038583534</c:v>
                </c:pt>
                <c:pt idx="6">
                  <c:v>5.9432769293397172</c:v>
                </c:pt>
                <c:pt idx="7">
                  <c:v>-1.2435728368122061</c:v>
                </c:pt>
                <c:pt idx="8">
                  <c:v>-6.561380185987848</c:v>
                </c:pt>
                <c:pt idx="9">
                  <c:v>-0.8761398590468904</c:v>
                </c:pt>
                <c:pt idx="10">
                  <c:v>13.585000036266157</c:v>
                </c:pt>
                <c:pt idx="11">
                  <c:v>15.823871636824705</c:v>
                </c:pt>
                <c:pt idx="12">
                  <c:v>20.558652721652535</c:v>
                </c:pt>
                <c:pt idx="13">
                  <c:v>16.687921882537509</c:v>
                </c:pt>
                <c:pt idx="14">
                  <c:v>8.5531225813094967</c:v>
                </c:pt>
                <c:pt idx="15">
                  <c:v>6.3161284689543784</c:v>
                </c:pt>
                <c:pt idx="16">
                  <c:v>10.348522192193441</c:v>
                </c:pt>
                <c:pt idx="17">
                  <c:v>5.0066840085656965</c:v>
                </c:pt>
                <c:pt idx="18">
                  <c:v>8.2506299270615511</c:v>
                </c:pt>
                <c:pt idx="19">
                  <c:v>8.5340301032502452</c:v>
                </c:pt>
                <c:pt idx="20">
                  <c:v>1.8244492596639788</c:v>
                </c:pt>
                <c:pt idx="21">
                  <c:v>13.457258781079091</c:v>
                </c:pt>
                <c:pt idx="22">
                  <c:v>2.5901270212493452</c:v>
                </c:pt>
                <c:pt idx="23">
                  <c:v>8.3691406681191598</c:v>
                </c:pt>
                <c:pt idx="24">
                  <c:v>8.483271558879153</c:v>
                </c:pt>
                <c:pt idx="25">
                  <c:v>1.6713484154001037</c:v>
                </c:pt>
                <c:pt idx="26">
                  <c:v>3.8025338260982608</c:v>
                </c:pt>
                <c:pt idx="27">
                  <c:v>4.2086773810061491</c:v>
                </c:pt>
                <c:pt idx="28">
                  <c:v>3.0062352307807028</c:v>
                </c:pt>
              </c:numCache>
            </c:numRef>
          </c:val>
        </c:ser>
        <c:ser>
          <c:idx val="3"/>
          <c:order val="3"/>
          <c:tx>
            <c:strRef>
              <c:f>'výkonnost odvětví 2'!$B$34</c:f>
              <c:strCache>
                <c:ptCount val="1"/>
                <c:pt idx="0">
                  <c:v>Celkové zakázky ve výrobě motor. voz.</c:v>
                </c:pt>
              </c:strCache>
            </c:strRef>
          </c:tx>
          <c:spPr>
            <a:ln w="19050">
              <a:noFill/>
              <a:prstDash val="sysDash"/>
            </a:ln>
          </c:spPr>
          <c:marker>
            <c:symbol val="diamond"/>
            <c:size val="5"/>
            <c:spPr>
              <a:solidFill>
                <a:srgbClr val="FFFF00"/>
              </a:solidFill>
              <a:ln>
                <a:solidFill>
                  <a:prstClr val="black">
                    <a:lumMod val="95000"/>
                    <a:lumOff val="5000"/>
                  </a:prstClr>
                </a:solidFill>
              </a:ln>
            </c:spPr>
          </c:marker>
          <c:cat>
            <c:multiLvlStrRef>
              <c:f>'výkonnost odvětví 2'!$C$29:$AE$30</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2011</c:v>
                  </c:pt>
                  <c:pt idx="4">
                    <c:v>2012</c:v>
                  </c:pt>
                  <c:pt idx="8">
                    <c:v>2013</c:v>
                  </c:pt>
                  <c:pt idx="12">
                    <c:v>2014</c:v>
                  </c:pt>
                  <c:pt idx="16">
                    <c:v>2015</c:v>
                  </c:pt>
                  <c:pt idx="20">
                    <c:v>2016</c:v>
                  </c:pt>
                  <c:pt idx="24">
                    <c:v>2017</c:v>
                  </c:pt>
                  <c:pt idx="28">
                    <c:v>2018</c:v>
                  </c:pt>
                </c:lvl>
              </c:multiLvlStrCache>
            </c:multiLvlStrRef>
          </c:cat>
          <c:val>
            <c:numRef>
              <c:f>'výkonnost odvětví 2'!$C$34:$AE$34</c:f>
              <c:numCache>
                <c:formatCode>#,##0.0__</c:formatCode>
                <c:ptCount val="29"/>
                <c:pt idx="0">
                  <c:v>11.429400379513879</c:v>
                </c:pt>
                <c:pt idx="1">
                  <c:v>9.2048286805520476</c:v>
                </c:pt>
                <c:pt idx="2">
                  <c:v>4.4139955552265207</c:v>
                </c:pt>
                <c:pt idx="3">
                  <c:v>5.3718735076924125</c:v>
                </c:pt>
                <c:pt idx="4">
                  <c:v>19.54636851917148</c:v>
                </c:pt>
                <c:pt idx="5">
                  <c:v>4.6887564118292016</c:v>
                </c:pt>
                <c:pt idx="6">
                  <c:v>1.3322326875189248</c:v>
                </c:pt>
                <c:pt idx="7">
                  <c:v>-2.0219087809167182</c:v>
                </c:pt>
                <c:pt idx="8">
                  <c:v>-15.423726227988524</c:v>
                </c:pt>
                <c:pt idx="9">
                  <c:v>-3.0233686336023182</c:v>
                </c:pt>
                <c:pt idx="10">
                  <c:v>24.654149056071926</c:v>
                </c:pt>
                <c:pt idx="11">
                  <c:v>18.470996489023321</c:v>
                </c:pt>
                <c:pt idx="12">
                  <c:v>33.791068906341536</c:v>
                </c:pt>
                <c:pt idx="13">
                  <c:v>22.392943648551302</c:v>
                </c:pt>
                <c:pt idx="14">
                  <c:v>16.969041222835056</c:v>
                </c:pt>
                <c:pt idx="15">
                  <c:v>12.211301534151092</c:v>
                </c:pt>
                <c:pt idx="16">
                  <c:v>15.316352438277956</c:v>
                </c:pt>
                <c:pt idx="17">
                  <c:v>5.5843434565174555</c:v>
                </c:pt>
                <c:pt idx="18">
                  <c:v>13.898535777390734</c:v>
                </c:pt>
                <c:pt idx="19">
                  <c:v>18.975191723154538</c:v>
                </c:pt>
                <c:pt idx="20">
                  <c:v>11.460497347422486</c:v>
                </c:pt>
                <c:pt idx="21">
                  <c:v>33.0851310312921</c:v>
                </c:pt>
                <c:pt idx="22">
                  <c:v>5.912380139380474</c:v>
                </c:pt>
                <c:pt idx="23">
                  <c:v>12.001000805244416</c:v>
                </c:pt>
                <c:pt idx="24">
                  <c:v>7.9804719471503214</c:v>
                </c:pt>
                <c:pt idx="25">
                  <c:v>-1.759261247336487</c:v>
                </c:pt>
                <c:pt idx="26">
                  <c:v>3.8626497182263222</c:v>
                </c:pt>
                <c:pt idx="27">
                  <c:v>0.3737671056841238</c:v>
                </c:pt>
                <c:pt idx="28">
                  <c:v>0.16803199459185691</c:v>
                </c:pt>
              </c:numCache>
            </c:numRef>
          </c:val>
        </c:ser>
        <c:marker val="1"/>
        <c:axId val="158206208"/>
        <c:axId val="158224768"/>
      </c:lineChart>
      <c:lineChart>
        <c:grouping val="standard"/>
        <c:ser>
          <c:idx val="4"/>
          <c:order val="4"/>
          <c:tx>
            <c:strRef>
              <c:f>'výkonnost odvětví 2'!$B$35</c:f>
              <c:strCache>
                <c:ptCount val="1"/>
                <c:pt idx="0">
                  <c:v>Saldo souhr. indikát. důvěry v průmyslu</c:v>
                </c:pt>
              </c:strCache>
            </c:strRef>
          </c:tx>
          <c:spPr>
            <a:ln w="19050">
              <a:noFill/>
            </a:ln>
          </c:spPr>
          <c:marker>
            <c:symbol val="dash"/>
            <c:size val="9"/>
            <c:spPr>
              <a:solidFill>
                <a:srgbClr val="984807"/>
              </a:solidFill>
              <a:ln>
                <a:noFill/>
              </a:ln>
            </c:spPr>
          </c:marker>
          <c:cat>
            <c:multiLvlStrRef>
              <c:f>'výkonnost odvětví 2'!$C$29:$AE$30</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2011</c:v>
                  </c:pt>
                  <c:pt idx="4">
                    <c:v>2012</c:v>
                  </c:pt>
                  <c:pt idx="8">
                    <c:v>2013</c:v>
                  </c:pt>
                  <c:pt idx="12">
                    <c:v>2014</c:v>
                  </c:pt>
                  <c:pt idx="16">
                    <c:v>2015</c:v>
                  </c:pt>
                  <c:pt idx="20">
                    <c:v>2016</c:v>
                  </c:pt>
                  <c:pt idx="24">
                    <c:v>2017</c:v>
                  </c:pt>
                  <c:pt idx="28">
                    <c:v>2018</c:v>
                  </c:pt>
                </c:lvl>
              </c:multiLvlStrCache>
            </c:multiLvlStrRef>
          </c:cat>
          <c:val>
            <c:numRef>
              <c:f>'výkonnost odvětví 2'!$C$35:$AE$35</c:f>
              <c:numCache>
                <c:formatCode>0.0</c:formatCode>
                <c:ptCount val="29"/>
                <c:pt idx="0">
                  <c:v>12.200000000000001</c:v>
                </c:pt>
                <c:pt idx="1">
                  <c:v>5.8999999999999995</c:v>
                </c:pt>
                <c:pt idx="2">
                  <c:v>2.4333333333333331</c:v>
                </c:pt>
                <c:pt idx="3">
                  <c:v>1.8</c:v>
                </c:pt>
                <c:pt idx="4">
                  <c:v>1.5666666666666667</c:v>
                </c:pt>
                <c:pt idx="5">
                  <c:v>-2.5666666666666669</c:v>
                </c:pt>
                <c:pt idx="6">
                  <c:v>-8.9</c:v>
                </c:pt>
                <c:pt idx="7">
                  <c:v>-10.200000000000001</c:v>
                </c:pt>
                <c:pt idx="8">
                  <c:v>-8.9</c:v>
                </c:pt>
                <c:pt idx="9">
                  <c:v>-10</c:v>
                </c:pt>
                <c:pt idx="10">
                  <c:v>-6.2333333333333583</c:v>
                </c:pt>
                <c:pt idx="11">
                  <c:v>1.7000000000000002</c:v>
                </c:pt>
                <c:pt idx="12">
                  <c:v>2.3333333333333335</c:v>
                </c:pt>
                <c:pt idx="13">
                  <c:v>3.6333333333333342</c:v>
                </c:pt>
                <c:pt idx="14">
                  <c:v>2.5333333333333332</c:v>
                </c:pt>
                <c:pt idx="15">
                  <c:v>2.6666666666666665</c:v>
                </c:pt>
                <c:pt idx="16">
                  <c:v>3</c:v>
                </c:pt>
                <c:pt idx="17">
                  <c:v>3.7666666666666671</c:v>
                </c:pt>
                <c:pt idx="18">
                  <c:v>3.7666666666666671</c:v>
                </c:pt>
                <c:pt idx="19">
                  <c:v>0.76666666666666661</c:v>
                </c:pt>
                <c:pt idx="20">
                  <c:v>3.5666666666666664</c:v>
                </c:pt>
                <c:pt idx="21">
                  <c:v>1.9000000000000001</c:v>
                </c:pt>
                <c:pt idx="22">
                  <c:v>3.7666666666666671</c:v>
                </c:pt>
                <c:pt idx="23">
                  <c:v>5.3333333333333526</c:v>
                </c:pt>
                <c:pt idx="24">
                  <c:v>3.3333333333333335</c:v>
                </c:pt>
                <c:pt idx="25">
                  <c:v>0.8333333333333337</c:v>
                </c:pt>
                <c:pt idx="26">
                  <c:v>3.8666666666666667</c:v>
                </c:pt>
                <c:pt idx="27">
                  <c:v>5.8</c:v>
                </c:pt>
                <c:pt idx="28">
                  <c:v>3.9</c:v>
                </c:pt>
              </c:numCache>
            </c:numRef>
          </c:val>
        </c:ser>
        <c:marker val="1"/>
        <c:axId val="158226304"/>
        <c:axId val="158227840"/>
      </c:lineChart>
      <c:catAx>
        <c:axId val="158206208"/>
        <c:scaling>
          <c:orientation val="minMax"/>
        </c:scaling>
        <c:axPos val="b"/>
        <c:numFmt formatCode="General" sourceLinked="1"/>
        <c:tickLblPos val="low"/>
        <c:spPr>
          <a:ln w="9525">
            <a:solidFill>
              <a:schemeClr val="tx1"/>
            </a:solidFill>
            <a:prstDash val="solid"/>
          </a:ln>
        </c:spPr>
        <c:txPr>
          <a:bodyPr rot="0" vert="horz"/>
          <a:lstStyle/>
          <a:p>
            <a:pPr>
              <a:defRPr/>
            </a:pPr>
            <a:endParaRPr lang="cs-CZ"/>
          </a:p>
        </c:txPr>
        <c:crossAx val="158224768"/>
        <c:crossesAt val="0"/>
        <c:lblAlgn val="ctr"/>
        <c:lblOffset val="0"/>
        <c:tickLblSkip val="1"/>
        <c:tickMarkSkip val="4"/>
      </c:catAx>
      <c:valAx>
        <c:axId val="158224768"/>
        <c:scaling>
          <c:orientation val="minMax"/>
          <c:max val="35"/>
          <c:min val="-15"/>
        </c:scaling>
        <c:axPos val="l"/>
        <c:majorGridlines>
          <c:spPr>
            <a:ln w="6350">
              <a:solidFill>
                <a:schemeClr val="bg1">
                  <a:lumMod val="75000"/>
                </a:schemeClr>
              </a:solidFill>
            </a:ln>
          </c:spPr>
        </c:majorGridlines>
        <c:numFmt formatCode="0" sourceLinked="0"/>
        <c:tickLblPos val="nextTo"/>
        <c:spPr>
          <a:ln w="9525">
            <a:solidFill>
              <a:schemeClr val="tx1"/>
            </a:solidFill>
            <a:prstDash val="solid"/>
          </a:ln>
        </c:spPr>
        <c:txPr>
          <a:bodyPr rot="0" vert="horz"/>
          <a:lstStyle/>
          <a:p>
            <a:pPr>
              <a:defRPr/>
            </a:pPr>
            <a:endParaRPr lang="cs-CZ"/>
          </a:p>
        </c:txPr>
        <c:crossAx val="158206208"/>
        <c:crosses val="autoZero"/>
        <c:crossBetween val="between"/>
        <c:majorUnit val="5"/>
      </c:valAx>
      <c:catAx>
        <c:axId val="158226304"/>
        <c:scaling>
          <c:orientation val="minMax"/>
        </c:scaling>
        <c:delete val="1"/>
        <c:axPos val="b"/>
        <c:numFmt formatCode="General" sourceLinked="1"/>
        <c:tickLblPos val="none"/>
        <c:crossAx val="158227840"/>
        <c:crosses val="autoZero"/>
        <c:auto val="1"/>
        <c:lblAlgn val="ctr"/>
        <c:lblOffset val="100"/>
      </c:catAx>
      <c:valAx>
        <c:axId val="158227840"/>
        <c:scaling>
          <c:orientation val="minMax"/>
          <c:max val="40"/>
          <c:min val="-30"/>
        </c:scaling>
        <c:delete val="1"/>
        <c:axPos val="r"/>
        <c:numFmt formatCode="0" sourceLinked="0"/>
        <c:majorTickMark val="in"/>
        <c:tickLblPos val="none"/>
        <c:crossAx val="158226304"/>
        <c:crosses val="max"/>
        <c:crossBetween val="between"/>
        <c:majorUnit val="10"/>
      </c:valAx>
      <c:spPr>
        <a:solidFill>
          <a:srgbClr val="FFFFFF"/>
        </a:solidFill>
        <a:ln w="9525">
          <a:solidFill>
            <a:schemeClr val="tx1"/>
          </a:solidFill>
        </a:ln>
      </c:spPr>
    </c:plotArea>
    <c:legend>
      <c:legendPos val="b"/>
      <c:layout>
        <c:manualLayout>
          <c:xMode val="edge"/>
          <c:yMode val="edge"/>
          <c:x val="5.2455780139263733E-2"/>
          <c:y val="0.86823820781267591"/>
          <c:w val="0.93069499440685288"/>
          <c:h val="0.11760244286840112"/>
        </c:manualLayout>
      </c:layout>
      <c:spPr>
        <a:noFill/>
        <a:ln w="6350">
          <a:solidFill>
            <a:schemeClr val="tx1"/>
          </a:solidFill>
        </a:ln>
      </c:spPr>
    </c:legend>
    <c:plotVisOnly val="1"/>
    <c:dispBlanksAs val="gap"/>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cs-CZ"/>
  <c:chart>
    <c:plotArea>
      <c:layout>
        <c:manualLayout>
          <c:layoutTarget val="inner"/>
          <c:xMode val="edge"/>
          <c:yMode val="edge"/>
          <c:x val="6.15040945877997E-2"/>
          <c:y val="1.6563187842952874E-2"/>
          <c:w val="0.92847707700101312"/>
          <c:h val="0.74964447062340134"/>
        </c:manualLayout>
      </c:layout>
      <c:barChart>
        <c:barDir val="col"/>
        <c:grouping val="clustered"/>
        <c:ser>
          <c:idx val="0"/>
          <c:order val="0"/>
          <c:tx>
            <c:strRef>
              <c:f>'výkonnost odvětví 3'!$C$10</c:f>
              <c:strCache>
                <c:ptCount val="1"/>
                <c:pt idx="0">
                  <c:v>Index stavební produkce (ISP)*</c:v>
                </c:pt>
              </c:strCache>
            </c:strRef>
          </c:tx>
          <c:spPr>
            <a:solidFill>
              <a:schemeClr val="bg1">
                <a:lumMod val="65000"/>
              </a:schemeClr>
            </a:solidFill>
            <a:ln w="12700">
              <a:noFill/>
              <a:prstDash val="solid"/>
            </a:ln>
          </c:spPr>
          <c:cat>
            <c:multiLvlStrRef>
              <c:f>'výkonnost odvětví 3'!$A$15:$B$43</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2011</c:v>
                  </c:pt>
                  <c:pt idx="4">
                    <c:v>2012</c:v>
                  </c:pt>
                  <c:pt idx="8">
                    <c:v>2013</c:v>
                  </c:pt>
                  <c:pt idx="12">
                    <c:v>2014</c:v>
                  </c:pt>
                  <c:pt idx="16">
                    <c:v>2015</c:v>
                  </c:pt>
                  <c:pt idx="20">
                    <c:v>2016</c:v>
                  </c:pt>
                  <c:pt idx="24">
                    <c:v>2017</c:v>
                  </c:pt>
                  <c:pt idx="28">
                    <c:v>2018</c:v>
                  </c:pt>
                </c:lvl>
              </c:multiLvlStrCache>
            </c:multiLvlStrRef>
          </c:cat>
          <c:val>
            <c:numRef>
              <c:f>'výkonnost odvětví 3'!$C$15:$C$43</c:f>
              <c:numCache>
                <c:formatCode>0.0</c:formatCode>
                <c:ptCount val="29"/>
                <c:pt idx="0">
                  <c:v>5.4596052773082695</c:v>
                </c:pt>
                <c:pt idx="1">
                  <c:v>-5.1725099169168045</c:v>
                </c:pt>
                <c:pt idx="2">
                  <c:v>-9.056024965615137</c:v>
                </c:pt>
                <c:pt idx="3">
                  <c:v>-0.49622841935930229</c:v>
                </c:pt>
                <c:pt idx="4">
                  <c:v>-9.8167248076787228</c:v>
                </c:pt>
                <c:pt idx="5">
                  <c:v>-4.9511940274919475</c:v>
                </c:pt>
                <c:pt idx="6">
                  <c:v>-5.6576149045176685</c:v>
                </c:pt>
                <c:pt idx="7">
                  <c:v>-9.4930365259197895</c:v>
                </c:pt>
                <c:pt idx="8">
                  <c:v>-10.579985101579666</c:v>
                </c:pt>
                <c:pt idx="9">
                  <c:v>-11.628918921578711</c:v>
                </c:pt>
                <c:pt idx="10">
                  <c:v>-4.9237663186691973</c:v>
                </c:pt>
                <c:pt idx="11">
                  <c:v>-2.6275726790972151</c:v>
                </c:pt>
                <c:pt idx="12">
                  <c:v>13.064642370593624</c:v>
                </c:pt>
                <c:pt idx="13">
                  <c:v>5.5572191373919795</c:v>
                </c:pt>
                <c:pt idx="14">
                  <c:v>2.4517173400312657</c:v>
                </c:pt>
                <c:pt idx="15">
                  <c:v>1.1137243930616472</c:v>
                </c:pt>
                <c:pt idx="16">
                  <c:v>9.1987395281880247</c:v>
                </c:pt>
                <c:pt idx="17">
                  <c:v>11.979336726667766</c:v>
                </c:pt>
                <c:pt idx="18">
                  <c:v>7.8411013804493424</c:v>
                </c:pt>
                <c:pt idx="19">
                  <c:v>0.94017865463843731</c:v>
                </c:pt>
                <c:pt idx="20">
                  <c:v>-6.2732052534967409</c:v>
                </c:pt>
                <c:pt idx="21">
                  <c:v>-10.213672846140483</c:v>
                </c:pt>
                <c:pt idx="22">
                  <c:v>-5.9139912192620443</c:v>
                </c:pt>
                <c:pt idx="23">
                  <c:v>-1.6486395317867437</c:v>
                </c:pt>
                <c:pt idx="24">
                  <c:v>-0.82697591254952507</c:v>
                </c:pt>
                <c:pt idx="25">
                  <c:v>8.9779732640206618</c:v>
                </c:pt>
                <c:pt idx="26">
                  <c:v>2.051787882398898</c:v>
                </c:pt>
                <c:pt idx="27">
                  <c:v>2.9393638121204049</c:v>
                </c:pt>
                <c:pt idx="28">
                  <c:v>13.17677420649372</c:v>
                </c:pt>
              </c:numCache>
            </c:numRef>
          </c:val>
          <c:extLst xmlns:c16r2="http://schemas.microsoft.com/office/drawing/2015/06/chart">
            <c:ext xmlns:c16="http://schemas.microsoft.com/office/drawing/2014/chart" uri="{C3380CC4-5D6E-409C-BE32-E72D297353CC}">
              <c16:uniqueId val="{00000000-DAE3-45C7-9C33-851951A8267E}"/>
            </c:ext>
          </c:extLst>
        </c:ser>
        <c:gapWidth val="31"/>
        <c:axId val="158474240"/>
        <c:axId val="158476160"/>
      </c:barChart>
      <c:lineChart>
        <c:grouping val="standard"/>
        <c:ser>
          <c:idx val="1"/>
          <c:order val="1"/>
          <c:tx>
            <c:strRef>
              <c:f>'výkonnost odvětví 3'!$D$10</c:f>
              <c:strCache>
                <c:ptCount val="1"/>
                <c:pt idx="0">
                  <c:v>ISP v pozemním stavitelství*</c:v>
                </c:pt>
              </c:strCache>
            </c:strRef>
          </c:tx>
          <c:spPr>
            <a:ln w="19050">
              <a:solidFill>
                <a:srgbClr val="0071BC"/>
              </a:solidFill>
              <a:prstDash val="solid"/>
            </a:ln>
          </c:spPr>
          <c:marker>
            <c:symbol val="none"/>
          </c:marker>
          <c:cat>
            <c:multiLvlStrRef>
              <c:f>'výkonnost odvětví 3'!$A$15:$B$43</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2011</c:v>
                  </c:pt>
                  <c:pt idx="4">
                    <c:v>2012</c:v>
                  </c:pt>
                  <c:pt idx="8">
                    <c:v>2013</c:v>
                  </c:pt>
                  <c:pt idx="12">
                    <c:v>2014</c:v>
                  </c:pt>
                  <c:pt idx="16">
                    <c:v>2015</c:v>
                  </c:pt>
                  <c:pt idx="20">
                    <c:v>2016</c:v>
                  </c:pt>
                  <c:pt idx="24">
                    <c:v>2017</c:v>
                  </c:pt>
                  <c:pt idx="28">
                    <c:v>2018</c:v>
                  </c:pt>
                </c:lvl>
              </c:multiLvlStrCache>
            </c:multiLvlStrRef>
          </c:cat>
          <c:val>
            <c:numRef>
              <c:f>'výkonnost odvětví 3'!$D$15:$D$43</c:f>
              <c:numCache>
                <c:formatCode>0.0</c:formatCode>
                <c:ptCount val="29"/>
                <c:pt idx="0">
                  <c:v>8.6492672138408189</c:v>
                </c:pt>
                <c:pt idx="1">
                  <c:v>-1.7620115700543266</c:v>
                </c:pt>
                <c:pt idx="2">
                  <c:v>-6.4088120079111519</c:v>
                </c:pt>
                <c:pt idx="3">
                  <c:v>2.1064254516502103</c:v>
                </c:pt>
                <c:pt idx="4">
                  <c:v>-7.1542194990161789</c:v>
                </c:pt>
                <c:pt idx="5">
                  <c:v>-2.3626507923474236</c:v>
                </c:pt>
                <c:pt idx="6">
                  <c:v>-5.1567403985182381</c:v>
                </c:pt>
                <c:pt idx="7">
                  <c:v>-9.6669759899024239</c:v>
                </c:pt>
                <c:pt idx="8">
                  <c:v>-9.8078578456930217</c:v>
                </c:pt>
                <c:pt idx="9">
                  <c:v>-11.079990428437823</c:v>
                </c:pt>
                <c:pt idx="10">
                  <c:v>-1.5338789437126366</c:v>
                </c:pt>
                <c:pt idx="11">
                  <c:v>-2.8886999825897988</c:v>
                </c:pt>
                <c:pt idx="12">
                  <c:v>16.320018725523113</c:v>
                </c:pt>
                <c:pt idx="13">
                  <c:v>5.2634241031378926</c:v>
                </c:pt>
                <c:pt idx="14">
                  <c:v>-0.62956039478268222</c:v>
                </c:pt>
                <c:pt idx="15">
                  <c:v>-0.53693098113168958</c:v>
                </c:pt>
                <c:pt idx="16">
                  <c:v>7.7286077233729324</c:v>
                </c:pt>
                <c:pt idx="17">
                  <c:v>7.3256587939582829</c:v>
                </c:pt>
                <c:pt idx="18">
                  <c:v>1.1908577538680964</c:v>
                </c:pt>
                <c:pt idx="19">
                  <c:v>-2.6402315192555652</c:v>
                </c:pt>
                <c:pt idx="20">
                  <c:v>-6.4672920527126934</c:v>
                </c:pt>
                <c:pt idx="21">
                  <c:v>-7.5248931792203075</c:v>
                </c:pt>
                <c:pt idx="22">
                  <c:v>1.2288371997588861</c:v>
                </c:pt>
                <c:pt idx="23">
                  <c:v>6.1459393546128895</c:v>
                </c:pt>
                <c:pt idx="24">
                  <c:v>3.0387468158440627</c:v>
                </c:pt>
                <c:pt idx="25">
                  <c:v>14.556511910264804</c:v>
                </c:pt>
                <c:pt idx="26">
                  <c:v>4.9927185999182768</c:v>
                </c:pt>
                <c:pt idx="27">
                  <c:v>3.8236043688937684</c:v>
                </c:pt>
                <c:pt idx="28">
                  <c:v>14.684118271305692</c:v>
                </c:pt>
              </c:numCache>
            </c:numRef>
          </c:val>
          <c:extLst xmlns:c16r2="http://schemas.microsoft.com/office/drawing/2015/06/chart">
            <c:ext xmlns:c16="http://schemas.microsoft.com/office/drawing/2014/chart" uri="{C3380CC4-5D6E-409C-BE32-E72D297353CC}">
              <c16:uniqueId val="{00000001-DAE3-45C7-9C33-851951A8267E}"/>
            </c:ext>
          </c:extLst>
        </c:ser>
        <c:ser>
          <c:idx val="2"/>
          <c:order val="2"/>
          <c:tx>
            <c:strRef>
              <c:f>'výkonnost odvětví 3'!$E$10</c:f>
              <c:strCache>
                <c:ptCount val="1"/>
                <c:pt idx="0">
                  <c:v>ISP v inženýrském stavitelství*</c:v>
                </c:pt>
              </c:strCache>
            </c:strRef>
          </c:tx>
          <c:spPr>
            <a:ln w="19050">
              <a:solidFill>
                <a:srgbClr val="BD1B21"/>
              </a:solidFill>
              <a:prstDash val="solid"/>
            </a:ln>
          </c:spPr>
          <c:marker>
            <c:symbol val="none"/>
          </c:marker>
          <c:cat>
            <c:multiLvlStrRef>
              <c:f>'výkonnost odvětví 3'!$A$15:$B$43</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2011</c:v>
                  </c:pt>
                  <c:pt idx="4">
                    <c:v>2012</c:v>
                  </c:pt>
                  <c:pt idx="8">
                    <c:v>2013</c:v>
                  </c:pt>
                  <c:pt idx="12">
                    <c:v>2014</c:v>
                  </c:pt>
                  <c:pt idx="16">
                    <c:v>2015</c:v>
                  </c:pt>
                  <c:pt idx="20">
                    <c:v>2016</c:v>
                  </c:pt>
                  <c:pt idx="24">
                    <c:v>2017</c:v>
                  </c:pt>
                  <c:pt idx="28">
                    <c:v>2018</c:v>
                  </c:pt>
                </c:lvl>
              </c:multiLvlStrCache>
            </c:multiLvlStrRef>
          </c:cat>
          <c:val>
            <c:numRef>
              <c:f>'výkonnost odvětví 3'!$E$15:$E$43</c:f>
              <c:numCache>
                <c:formatCode>0.0</c:formatCode>
                <c:ptCount val="29"/>
                <c:pt idx="0">
                  <c:v>-2.7863843380136402</c:v>
                </c:pt>
                <c:pt idx="1">
                  <c:v>-11.786961852434748</c:v>
                </c:pt>
                <c:pt idx="2">
                  <c:v>-14.375413423730407</c:v>
                </c:pt>
                <c:pt idx="3">
                  <c:v>-5.9124970494737568</c:v>
                </c:pt>
                <c:pt idx="4">
                  <c:v>-17.509593427006834</c:v>
                </c:pt>
                <c:pt idx="5">
                  <c:v>-10.542047702555818</c:v>
                </c:pt>
                <c:pt idx="6">
                  <c:v>-6.7577302588503665</c:v>
                </c:pt>
                <c:pt idx="7">
                  <c:v>-9.1002079808449281</c:v>
                </c:pt>
                <c:pt idx="8">
                  <c:v>-13.090977764181368</c:v>
                </c:pt>
                <c:pt idx="9">
                  <c:v>-12.922922580027702</c:v>
                </c:pt>
                <c:pt idx="10">
                  <c:v>-12.497119375478396</c:v>
                </c:pt>
                <c:pt idx="11">
                  <c:v>-2.0415143337140047</c:v>
                </c:pt>
                <c:pt idx="12">
                  <c:v>2.0780856249105137</c:v>
                </c:pt>
                <c:pt idx="13">
                  <c:v>6.2644477739066957</c:v>
                </c:pt>
                <c:pt idx="14">
                  <c:v>10.198087734213914</c:v>
                </c:pt>
                <c:pt idx="15">
                  <c:v>4.7863164110472525</c:v>
                </c:pt>
                <c:pt idx="16">
                  <c:v>14.852515794955023</c:v>
                </c:pt>
                <c:pt idx="17">
                  <c:v>23.076225002218237</c:v>
                </c:pt>
                <c:pt idx="18">
                  <c:v>22.917170563500974</c:v>
                </c:pt>
                <c:pt idx="19">
                  <c:v>8.5016505137207368</c:v>
                </c:pt>
                <c:pt idx="20">
                  <c:v>-5.5730910675308714</c:v>
                </c:pt>
                <c:pt idx="21">
                  <c:v>-15.804672957809691</c:v>
                </c:pt>
                <c:pt idx="22">
                  <c:v>-19.244585370681289</c:v>
                </c:pt>
                <c:pt idx="23">
                  <c:v>-16.419622666335727</c:v>
                </c:pt>
                <c:pt idx="24">
                  <c:v>-14.639444879529327</c:v>
                </c:pt>
                <c:pt idx="25">
                  <c:v>-3.7626767321292931</c:v>
                </c:pt>
                <c:pt idx="26">
                  <c:v>-4.8283426689212225</c:v>
                </c:pt>
                <c:pt idx="27">
                  <c:v>0.81129222521938971</c:v>
                </c:pt>
                <c:pt idx="28">
                  <c:v>6.6759411616152278</c:v>
                </c:pt>
              </c:numCache>
            </c:numRef>
          </c:val>
          <c:extLst xmlns:c16r2="http://schemas.microsoft.com/office/drawing/2015/06/chart">
            <c:ext xmlns:c16="http://schemas.microsoft.com/office/drawing/2014/chart" uri="{C3380CC4-5D6E-409C-BE32-E72D297353CC}">
              <c16:uniqueId val="{00000002-DAE3-45C7-9C33-851951A8267E}"/>
            </c:ext>
          </c:extLst>
        </c:ser>
        <c:ser>
          <c:idx val="3"/>
          <c:order val="3"/>
          <c:tx>
            <c:strRef>
              <c:f>'výkonnost odvětví 3'!$F$10</c:f>
              <c:strCache>
                <c:ptCount val="1"/>
                <c:pt idx="0">
                  <c:v>Nové zakázky ve stavebnictví celkem</c:v>
                </c:pt>
              </c:strCache>
            </c:strRef>
          </c:tx>
          <c:spPr>
            <a:ln w="19050">
              <a:solidFill>
                <a:srgbClr val="7DBB2D"/>
              </a:solidFill>
              <a:prstDash val="sysDash"/>
            </a:ln>
          </c:spPr>
          <c:marker>
            <c:symbol val="none"/>
          </c:marker>
          <c:cat>
            <c:multiLvlStrRef>
              <c:f>'výkonnost odvětví 3'!$A$15:$B$43</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2011</c:v>
                  </c:pt>
                  <c:pt idx="4">
                    <c:v>2012</c:v>
                  </c:pt>
                  <c:pt idx="8">
                    <c:v>2013</c:v>
                  </c:pt>
                  <c:pt idx="12">
                    <c:v>2014</c:v>
                  </c:pt>
                  <c:pt idx="16">
                    <c:v>2015</c:v>
                  </c:pt>
                  <c:pt idx="20">
                    <c:v>2016</c:v>
                  </c:pt>
                  <c:pt idx="24">
                    <c:v>2017</c:v>
                  </c:pt>
                  <c:pt idx="28">
                    <c:v>2018</c:v>
                  </c:pt>
                </c:lvl>
              </c:multiLvlStrCache>
            </c:multiLvlStrRef>
          </c:cat>
          <c:val>
            <c:numRef>
              <c:f>'výkonnost odvětví 3'!$F$15:$F$43</c:f>
              <c:numCache>
                <c:formatCode>0.0</c:formatCode>
                <c:ptCount val="29"/>
                <c:pt idx="0">
                  <c:v>37.7954057180634</c:v>
                </c:pt>
                <c:pt idx="1">
                  <c:v>-23.565672566980968</c:v>
                </c:pt>
                <c:pt idx="2">
                  <c:v>-23.360716461156017</c:v>
                </c:pt>
                <c:pt idx="3">
                  <c:v>-9.1653963414634205</c:v>
                </c:pt>
                <c:pt idx="4">
                  <c:v>-46.322059646598063</c:v>
                </c:pt>
                <c:pt idx="5">
                  <c:v>-13.714800630772698</c:v>
                </c:pt>
                <c:pt idx="6">
                  <c:v>-7.6729748888363645</c:v>
                </c:pt>
                <c:pt idx="7">
                  <c:v>7.5624082232011753</c:v>
                </c:pt>
                <c:pt idx="8">
                  <c:v>-17.695687793252535</c:v>
                </c:pt>
                <c:pt idx="9">
                  <c:v>-1.584773641063137</c:v>
                </c:pt>
                <c:pt idx="10">
                  <c:v>-1.3308205951467045</c:v>
                </c:pt>
                <c:pt idx="11">
                  <c:v>16.153096050706978</c:v>
                </c:pt>
                <c:pt idx="12">
                  <c:v>67.509727626458513</c:v>
                </c:pt>
                <c:pt idx="13">
                  <c:v>18.978644382543855</c:v>
                </c:pt>
                <c:pt idx="14">
                  <c:v>34.050931384107542</c:v>
                </c:pt>
                <c:pt idx="15">
                  <c:v>-1</c:v>
                </c:pt>
                <c:pt idx="16">
                  <c:v>-3.1547956675580053</c:v>
                </c:pt>
                <c:pt idx="17">
                  <c:v>9.7504961091664093</c:v>
                </c:pt>
                <c:pt idx="18">
                  <c:v>-1.0976060227612561</c:v>
                </c:pt>
                <c:pt idx="19">
                  <c:v>-2.3987783410040464</c:v>
                </c:pt>
                <c:pt idx="20">
                  <c:v>-6.6406358945753805</c:v>
                </c:pt>
                <c:pt idx="21">
                  <c:v>-0.49977652269311085</c:v>
                </c:pt>
                <c:pt idx="22">
                  <c:v>-7.0322087253454839</c:v>
                </c:pt>
                <c:pt idx="23">
                  <c:v>10.122126124559955</c:v>
                </c:pt>
                <c:pt idx="24">
                  <c:v>16.177217458847601</c:v>
                </c:pt>
                <c:pt idx="25">
                  <c:v>9.5350878984013878</c:v>
                </c:pt>
                <c:pt idx="26">
                  <c:v>-1.2817324431350698</c:v>
                </c:pt>
                <c:pt idx="27">
                  <c:v>15.620806693503823</c:v>
                </c:pt>
                <c:pt idx="28">
                  <c:v>28.623225673729589</c:v>
                </c:pt>
              </c:numCache>
            </c:numRef>
          </c:val>
          <c:extLst xmlns:c16r2="http://schemas.microsoft.com/office/drawing/2015/06/chart">
            <c:ext xmlns:c16="http://schemas.microsoft.com/office/drawing/2014/chart" uri="{C3380CC4-5D6E-409C-BE32-E72D297353CC}">
              <c16:uniqueId val="{00000003-DAE3-45C7-9C33-851951A8267E}"/>
            </c:ext>
          </c:extLst>
        </c:ser>
        <c:ser>
          <c:idx val="4"/>
          <c:order val="4"/>
          <c:tx>
            <c:strRef>
              <c:f>'výkonnost odvětví 3'!$G$10</c:f>
              <c:strCache>
                <c:ptCount val="1"/>
                <c:pt idx="0">
                  <c:v>Saldo indik. důvěry ve stavebnictví</c:v>
                </c:pt>
              </c:strCache>
            </c:strRef>
          </c:tx>
          <c:spPr>
            <a:ln w="19050">
              <a:noFill/>
              <a:prstDash val="solid"/>
            </a:ln>
          </c:spPr>
          <c:marker>
            <c:symbol val="dash"/>
            <c:size val="9"/>
            <c:spPr>
              <a:solidFill>
                <a:srgbClr val="984807"/>
              </a:solidFill>
              <a:ln>
                <a:noFill/>
              </a:ln>
            </c:spPr>
          </c:marker>
          <c:cat>
            <c:multiLvlStrRef>
              <c:f>'výkonnost odvětví 3'!$A$15:$B$43</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2011</c:v>
                  </c:pt>
                  <c:pt idx="4">
                    <c:v>2012</c:v>
                  </c:pt>
                  <c:pt idx="8">
                    <c:v>2013</c:v>
                  </c:pt>
                  <c:pt idx="12">
                    <c:v>2014</c:v>
                  </c:pt>
                  <c:pt idx="16">
                    <c:v>2015</c:v>
                  </c:pt>
                  <c:pt idx="20">
                    <c:v>2016</c:v>
                  </c:pt>
                  <c:pt idx="24">
                    <c:v>2017</c:v>
                  </c:pt>
                  <c:pt idx="28">
                    <c:v>2018</c:v>
                  </c:pt>
                </c:lvl>
              </c:multiLvlStrCache>
            </c:multiLvlStrRef>
          </c:cat>
          <c:val>
            <c:numRef>
              <c:f>'výkonnost odvětví 3'!$G$15:$G$43</c:f>
              <c:numCache>
                <c:formatCode>0.0</c:formatCode>
                <c:ptCount val="29"/>
                <c:pt idx="0">
                  <c:v>-40</c:v>
                </c:pt>
                <c:pt idx="1">
                  <c:v>-40.333333333333336</c:v>
                </c:pt>
                <c:pt idx="2">
                  <c:v>-39.166666666666202</c:v>
                </c:pt>
                <c:pt idx="3">
                  <c:v>-39.333333333333336</c:v>
                </c:pt>
                <c:pt idx="4">
                  <c:v>-46</c:v>
                </c:pt>
                <c:pt idx="5">
                  <c:v>-45.333333333333336</c:v>
                </c:pt>
                <c:pt idx="6">
                  <c:v>-43.5</c:v>
                </c:pt>
                <c:pt idx="7">
                  <c:v>-44.666666666666202</c:v>
                </c:pt>
                <c:pt idx="8">
                  <c:v>-46</c:v>
                </c:pt>
                <c:pt idx="9">
                  <c:v>-53.333333333333336</c:v>
                </c:pt>
                <c:pt idx="10">
                  <c:v>-49.5</c:v>
                </c:pt>
                <c:pt idx="11">
                  <c:v>-50.833333333333336</c:v>
                </c:pt>
                <c:pt idx="12">
                  <c:v>-45.166666666666202</c:v>
                </c:pt>
                <c:pt idx="13">
                  <c:v>-38.333333333333336</c:v>
                </c:pt>
                <c:pt idx="14">
                  <c:v>-32</c:v>
                </c:pt>
                <c:pt idx="15">
                  <c:v>-25.166666666666668</c:v>
                </c:pt>
                <c:pt idx="16">
                  <c:v>-20.833333333333115</c:v>
                </c:pt>
                <c:pt idx="17">
                  <c:v>-16.333333333333115</c:v>
                </c:pt>
                <c:pt idx="18">
                  <c:v>-18.666666666666668</c:v>
                </c:pt>
                <c:pt idx="19">
                  <c:v>-15.666666666666726</c:v>
                </c:pt>
                <c:pt idx="20">
                  <c:v>-17.166666666666668</c:v>
                </c:pt>
                <c:pt idx="21">
                  <c:v>-24</c:v>
                </c:pt>
                <c:pt idx="22">
                  <c:v>-26.666666666666668</c:v>
                </c:pt>
                <c:pt idx="23">
                  <c:v>-25.833333333333115</c:v>
                </c:pt>
                <c:pt idx="24">
                  <c:v>-24.5</c:v>
                </c:pt>
                <c:pt idx="25">
                  <c:v>-22.666666666666668</c:v>
                </c:pt>
                <c:pt idx="26">
                  <c:v>-19.833333333333115</c:v>
                </c:pt>
                <c:pt idx="27">
                  <c:v>-15.166666666666726</c:v>
                </c:pt>
                <c:pt idx="28">
                  <c:v>-9.6666666666666767</c:v>
                </c:pt>
              </c:numCache>
            </c:numRef>
          </c:val>
          <c:extLst xmlns:c16r2="http://schemas.microsoft.com/office/drawing/2015/06/chart">
            <c:ext xmlns:c16="http://schemas.microsoft.com/office/drawing/2014/chart" uri="{C3380CC4-5D6E-409C-BE32-E72D297353CC}">
              <c16:uniqueId val="{00000004-DAE3-45C7-9C33-851951A8267E}"/>
            </c:ext>
          </c:extLst>
        </c:ser>
        <c:marker val="1"/>
        <c:axId val="158474240"/>
        <c:axId val="158476160"/>
      </c:lineChart>
      <c:catAx>
        <c:axId val="158474240"/>
        <c:scaling>
          <c:orientation val="minMax"/>
        </c:scaling>
        <c:axPos val="b"/>
        <c:numFmt formatCode="General" sourceLinked="1"/>
        <c:tickLblPos val="low"/>
        <c:spPr>
          <a:ln w="9525">
            <a:solidFill>
              <a:schemeClr val="tx1"/>
            </a:solidFill>
            <a:prstDash val="solid"/>
          </a:ln>
        </c:spPr>
        <c:txPr>
          <a:bodyPr rot="0" vert="horz"/>
          <a:lstStyle/>
          <a:p>
            <a:pPr>
              <a:defRPr/>
            </a:pPr>
            <a:endParaRPr lang="cs-CZ"/>
          </a:p>
        </c:txPr>
        <c:crossAx val="158476160"/>
        <c:crossesAt val="0"/>
        <c:lblAlgn val="ctr"/>
        <c:lblOffset val="0"/>
        <c:tickLblSkip val="1"/>
        <c:tickMarkSkip val="4"/>
      </c:catAx>
      <c:valAx>
        <c:axId val="158476160"/>
        <c:scaling>
          <c:orientation val="minMax"/>
          <c:max val="50"/>
          <c:min val="-60"/>
        </c:scaling>
        <c:axPos val="l"/>
        <c:majorGridlines>
          <c:spPr>
            <a:ln w="6350">
              <a:solidFill>
                <a:schemeClr val="bg1">
                  <a:lumMod val="75000"/>
                </a:schemeClr>
              </a:solidFill>
            </a:ln>
          </c:spPr>
        </c:majorGridlines>
        <c:numFmt formatCode="0" sourceLinked="0"/>
        <c:tickLblPos val="nextTo"/>
        <c:spPr>
          <a:ln w="9525">
            <a:solidFill>
              <a:schemeClr val="tx1"/>
            </a:solidFill>
            <a:prstDash val="solid"/>
          </a:ln>
        </c:spPr>
        <c:txPr>
          <a:bodyPr rot="0" vert="horz"/>
          <a:lstStyle/>
          <a:p>
            <a:pPr>
              <a:defRPr/>
            </a:pPr>
            <a:endParaRPr lang="cs-CZ"/>
          </a:p>
        </c:txPr>
        <c:crossAx val="158474240"/>
        <c:crosses val="autoZero"/>
        <c:crossBetween val="between"/>
        <c:majorUnit val="10"/>
      </c:valAx>
      <c:spPr>
        <a:solidFill>
          <a:srgbClr val="FFFFFF"/>
        </a:solidFill>
        <a:ln w="9525">
          <a:solidFill>
            <a:schemeClr val="tx1"/>
          </a:solidFill>
        </a:ln>
      </c:spPr>
    </c:plotArea>
    <c:legend>
      <c:legendPos val="b"/>
      <c:layout>
        <c:manualLayout>
          <c:xMode val="edge"/>
          <c:yMode val="edge"/>
          <c:x val="6.0104910389042733E-2"/>
          <c:y val="0.86645961507569136"/>
          <c:w val="0.92533178247433878"/>
          <c:h val="0.12638188617986998"/>
        </c:manualLayout>
      </c:layout>
      <c:spPr>
        <a:noFill/>
        <a:ln w="6350">
          <a:solidFill>
            <a:schemeClr val="tx1"/>
          </a:solidFill>
        </a:ln>
      </c:spPr>
    </c:legend>
    <c:plotVisOnly val="1"/>
    <c:dispBlanksAs val="gap"/>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lang val="cs-CZ"/>
  <c:chart>
    <c:plotArea>
      <c:layout>
        <c:manualLayout>
          <c:layoutTarget val="inner"/>
          <c:xMode val="edge"/>
          <c:yMode val="edge"/>
          <c:x val="4.3337294494629933E-2"/>
          <c:y val="2.5454073336495381E-2"/>
          <c:w val="0.91372590696101663"/>
          <c:h val="0.71108559326978582"/>
        </c:manualLayout>
      </c:layout>
      <c:barChart>
        <c:barDir val="col"/>
        <c:grouping val="clustered"/>
        <c:ser>
          <c:idx val="0"/>
          <c:order val="0"/>
          <c:tx>
            <c:strRef>
              <c:f>'výkonnost odvětví 5'!$C$10</c:f>
              <c:strCache>
                <c:ptCount val="1"/>
                <c:pt idx="0">
                  <c:v>Maloobchod, prodej a opravy motor.voz.</c:v>
                </c:pt>
              </c:strCache>
            </c:strRef>
          </c:tx>
          <c:spPr>
            <a:solidFill>
              <a:schemeClr val="bg1">
                <a:lumMod val="65000"/>
              </a:schemeClr>
            </a:solidFill>
            <a:ln w="12700">
              <a:noFill/>
              <a:prstDash val="solid"/>
            </a:ln>
          </c:spPr>
          <c:cat>
            <c:multiLvlStrRef>
              <c:f>'výkonnost odvětví 5'!$A$11:$B$39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2011</c:v>
                  </c:pt>
                  <c:pt idx="4">
                    <c:v>2012</c:v>
                  </c:pt>
                  <c:pt idx="8">
                    <c:v>2013</c:v>
                  </c:pt>
                  <c:pt idx="12">
                    <c:v>2014</c:v>
                  </c:pt>
                  <c:pt idx="16">
                    <c:v>2015</c:v>
                  </c:pt>
                  <c:pt idx="20">
                    <c:v>2016</c:v>
                  </c:pt>
                  <c:pt idx="24">
                    <c:v>2017</c:v>
                  </c:pt>
                  <c:pt idx="28">
                    <c:v>2018</c:v>
                  </c:pt>
                </c:lvl>
              </c:multiLvlStrCache>
            </c:multiLvlStrRef>
          </c:cat>
          <c:val>
            <c:numRef>
              <c:f>'výkonnost odvětví 5'!$C$11:$C$39</c:f>
              <c:numCache>
                <c:formatCode>0.0</c:formatCode>
                <c:ptCount val="29"/>
                <c:pt idx="0">
                  <c:v>4.7022153355423324</c:v>
                </c:pt>
                <c:pt idx="1">
                  <c:v>1.1056630638353084</c:v>
                </c:pt>
                <c:pt idx="2">
                  <c:v>0.29046692792931961</c:v>
                </c:pt>
                <c:pt idx="3">
                  <c:v>1.2385223519792699</c:v>
                </c:pt>
                <c:pt idx="4">
                  <c:v>-0.32381494317593662</c:v>
                </c:pt>
                <c:pt idx="5">
                  <c:v>-1.1174633516449075</c:v>
                </c:pt>
                <c:pt idx="6">
                  <c:v>-0.50575432014908062</c:v>
                </c:pt>
                <c:pt idx="7">
                  <c:v>-2.0391145898496181</c:v>
                </c:pt>
                <c:pt idx="8">
                  <c:v>-0.84510191531828605</c:v>
                </c:pt>
                <c:pt idx="9">
                  <c:v>0.3587181546879778</c:v>
                </c:pt>
                <c:pt idx="10">
                  <c:v>1.1858793521040274</c:v>
                </c:pt>
                <c:pt idx="11">
                  <c:v>4.3551040934599365</c:v>
                </c:pt>
                <c:pt idx="12">
                  <c:v>4.8018367688911212</c:v>
                </c:pt>
                <c:pt idx="13">
                  <c:v>4.1758728299948995</c:v>
                </c:pt>
                <c:pt idx="14">
                  <c:v>5.7018700310224091</c:v>
                </c:pt>
                <c:pt idx="15">
                  <c:v>6.989184737591529</c:v>
                </c:pt>
                <c:pt idx="16">
                  <c:v>7.7785155536963755</c:v>
                </c:pt>
                <c:pt idx="17">
                  <c:v>8.2376231037556735</c:v>
                </c:pt>
                <c:pt idx="18">
                  <c:v>7.1096927713950322</c:v>
                </c:pt>
                <c:pt idx="19">
                  <c:v>7.9141358266162163</c:v>
                </c:pt>
                <c:pt idx="20">
                  <c:v>6.6658477514514658</c:v>
                </c:pt>
                <c:pt idx="21">
                  <c:v>6.3702236328661623</c:v>
                </c:pt>
                <c:pt idx="22">
                  <c:v>5.2972437106441843</c:v>
                </c:pt>
                <c:pt idx="23">
                  <c:v>4.2948037535117294</c:v>
                </c:pt>
                <c:pt idx="24">
                  <c:v>6.0190383552186404</c:v>
                </c:pt>
                <c:pt idx="25">
                  <c:v>5.7252425723442304</c:v>
                </c:pt>
                <c:pt idx="26">
                  <c:v>3.897812718589293</c:v>
                </c:pt>
                <c:pt idx="27">
                  <c:v>4.6769451516960743</c:v>
                </c:pt>
                <c:pt idx="28">
                  <c:v>3.8958252440739187</c:v>
                </c:pt>
              </c:numCache>
            </c:numRef>
          </c:val>
          <c:extLst xmlns:c16r2="http://schemas.microsoft.com/office/drawing/2015/06/chart">
            <c:ext xmlns:c16="http://schemas.microsoft.com/office/drawing/2014/chart" uri="{C3380CC4-5D6E-409C-BE32-E72D297353CC}">
              <c16:uniqueId val="{00000000-5BAF-40E6-8008-22234CC6A5B8}"/>
            </c:ext>
          </c:extLst>
        </c:ser>
        <c:gapWidth val="31"/>
        <c:axId val="158540544"/>
        <c:axId val="158542464"/>
      </c:barChart>
      <c:lineChart>
        <c:grouping val="standard"/>
        <c:ser>
          <c:idx val="1"/>
          <c:order val="1"/>
          <c:tx>
            <c:strRef>
              <c:f>'výkonnost odvětví 5'!$D$10</c:f>
              <c:strCache>
                <c:ptCount val="1"/>
                <c:pt idx="0">
                  <c:v>Maloobchod s potravinami celkem </c:v>
                </c:pt>
              </c:strCache>
            </c:strRef>
          </c:tx>
          <c:spPr>
            <a:ln w="19050">
              <a:solidFill>
                <a:srgbClr val="0071BC"/>
              </a:solidFill>
              <a:prstDash val="solid"/>
            </a:ln>
          </c:spPr>
          <c:marker>
            <c:symbol val="none"/>
          </c:marker>
          <c:cat>
            <c:multiLvlStrRef>
              <c:f>'výkonnost odvětví 5'!$A$11:$B$39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2011</c:v>
                  </c:pt>
                  <c:pt idx="4">
                    <c:v>2012</c:v>
                  </c:pt>
                  <c:pt idx="8">
                    <c:v>2013</c:v>
                  </c:pt>
                  <c:pt idx="12">
                    <c:v>2014</c:v>
                  </c:pt>
                  <c:pt idx="16">
                    <c:v>2015</c:v>
                  </c:pt>
                  <c:pt idx="20">
                    <c:v>2016</c:v>
                  </c:pt>
                  <c:pt idx="24">
                    <c:v>2017</c:v>
                  </c:pt>
                  <c:pt idx="28">
                    <c:v>2018</c:v>
                  </c:pt>
                </c:lvl>
              </c:multiLvlStrCache>
            </c:multiLvlStrRef>
          </c:cat>
          <c:val>
            <c:numRef>
              <c:f>'výkonnost odvětví 5'!$D$11:$D$39</c:f>
              <c:numCache>
                <c:formatCode>0.0</c:formatCode>
                <c:ptCount val="29"/>
                <c:pt idx="0">
                  <c:v>1.0200203375139836</c:v>
                </c:pt>
                <c:pt idx="1">
                  <c:v>-0.7724589559569065</c:v>
                </c:pt>
                <c:pt idx="2">
                  <c:v>-2.2030263753006252</c:v>
                </c:pt>
                <c:pt idx="3">
                  <c:v>-2.6122663750040367</c:v>
                </c:pt>
                <c:pt idx="4">
                  <c:v>-4.1792292162947184</c:v>
                </c:pt>
                <c:pt idx="5">
                  <c:v>-2.5411879684037202</c:v>
                </c:pt>
                <c:pt idx="6">
                  <c:v>-1.698954555357574</c:v>
                </c:pt>
                <c:pt idx="7">
                  <c:v>-2.0584542915595705</c:v>
                </c:pt>
                <c:pt idx="8">
                  <c:v>-1.084543735889014</c:v>
                </c:pt>
                <c:pt idx="9">
                  <c:v>-1.9839890105004938</c:v>
                </c:pt>
                <c:pt idx="10">
                  <c:v>-0.64564084818386769</c:v>
                </c:pt>
                <c:pt idx="11">
                  <c:v>-0.21671648568852403</c:v>
                </c:pt>
                <c:pt idx="12">
                  <c:v>-0.64931062615796953</c:v>
                </c:pt>
                <c:pt idx="13">
                  <c:v>2.5968329021734387</c:v>
                </c:pt>
                <c:pt idx="14">
                  <c:v>-0.28362848379679156</c:v>
                </c:pt>
                <c:pt idx="15">
                  <c:v>2.8999737524551676</c:v>
                </c:pt>
                <c:pt idx="16">
                  <c:v>4.6183141080858787</c:v>
                </c:pt>
                <c:pt idx="17">
                  <c:v>3.0246216394567398</c:v>
                </c:pt>
                <c:pt idx="18">
                  <c:v>4.9291779174117485</c:v>
                </c:pt>
                <c:pt idx="19">
                  <c:v>3.947651102616561</c:v>
                </c:pt>
                <c:pt idx="20">
                  <c:v>4.6571808537335455</c:v>
                </c:pt>
                <c:pt idx="21">
                  <c:v>3.8281360962325612</c:v>
                </c:pt>
                <c:pt idx="22">
                  <c:v>2.651406853531995</c:v>
                </c:pt>
                <c:pt idx="23">
                  <c:v>-0.29933130456753076</c:v>
                </c:pt>
                <c:pt idx="24">
                  <c:v>1.815714966146118</c:v>
                </c:pt>
                <c:pt idx="25">
                  <c:v>3.7406563097748027</c:v>
                </c:pt>
                <c:pt idx="26">
                  <c:v>3.0188970334996577</c:v>
                </c:pt>
                <c:pt idx="27">
                  <c:v>2.6504872356364402</c:v>
                </c:pt>
                <c:pt idx="28">
                  <c:v>3.3738463913620187</c:v>
                </c:pt>
              </c:numCache>
            </c:numRef>
          </c:val>
          <c:extLst xmlns:c16r2="http://schemas.microsoft.com/office/drawing/2015/06/chart">
            <c:ext xmlns:c16="http://schemas.microsoft.com/office/drawing/2014/chart" uri="{C3380CC4-5D6E-409C-BE32-E72D297353CC}">
              <c16:uniqueId val="{00000001-5BAF-40E6-8008-22234CC6A5B8}"/>
            </c:ext>
          </c:extLst>
        </c:ser>
        <c:ser>
          <c:idx val="2"/>
          <c:order val="2"/>
          <c:tx>
            <c:strRef>
              <c:f>'výkonnost odvětví 5'!$E$10</c:f>
              <c:strCache>
                <c:ptCount val="1"/>
                <c:pt idx="0">
                  <c:v>Maloobchod s nepotravinářs. zbožím</c:v>
                </c:pt>
              </c:strCache>
            </c:strRef>
          </c:tx>
          <c:spPr>
            <a:ln w="19050">
              <a:solidFill>
                <a:srgbClr val="48AEE7"/>
              </a:solidFill>
              <a:prstDash val="solid"/>
            </a:ln>
          </c:spPr>
          <c:marker>
            <c:symbol val="none"/>
          </c:marker>
          <c:cat>
            <c:multiLvlStrRef>
              <c:f>'výkonnost odvětví 5'!$A$11:$B$39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2011</c:v>
                  </c:pt>
                  <c:pt idx="4">
                    <c:v>2012</c:v>
                  </c:pt>
                  <c:pt idx="8">
                    <c:v>2013</c:v>
                  </c:pt>
                  <c:pt idx="12">
                    <c:v>2014</c:v>
                  </c:pt>
                  <c:pt idx="16">
                    <c:v>2015</c:v>
                  </c:pt>
                  <c:pt idx="20">
                    <c:v>2016</c:v>
                  </c:pt>
                  <c:pt idx="24">
                    <c:v>2017</c:v>
                  </c:pt>
                  <c:pt idx="28">
                    <c:v>2018</c:v>
                  </c:pt>
                </c:lvl>
              </c:multiLvlStrCache>
            </c:multiLvlStrRef>
          </c:cat>
          <c:val>
            <c:numRef>
              <c:f>'výkonnost odvětví 5'!$E$11:$E$39</c:f>
              <c:numCache>
                <c:formatCode>0.0</c:formatCode>
                <c:ptCount val="29"/>
                <c:pt idx="0">
                  <c:v>4.4885846457250045</c:v>
                </c:pt>
                <c:pt idx="1">
                  <c:v>3.1795216152877832</c:v>
                </c:pt>
                <c:pt idx="2">
                  <c:v>0.28880471655723738</c:v>
                </c:pt>
                <c:pt idx="3">
                  <c:v>2.5197824716540964</c:v>
                </c:pt>
                <c:pt idx="4">
                  <c:v>1.4765577532708249</c:v>
                </c:pt>
                <c:pt idx="5">
                  <c:v>0.88006052955506253</c:v>
                </c:pt>
                <c:pt idx="6">
                  <c:v>1.3147204071872518</c:v>
                </c:pt>
                <c:pt idx="7">
                  <c:v>9.787283569551164E-2</c:v>
                </c:pt>
                <c:pt idx="8">
                  <c:v>1.5419364851771915</c:v>
                </c:pt>
                <c:pt idx="9">
                  <c:v>0.72034669659809336</c:v>
                </c:pt>
                <c:pt idx="10">
                  <c:v>0.8053416734824802</c:v>
                </c:pt>
                <c:pt idx="11">
                  <c:v>2.9834553375963395</c:v>
                </c:pt>
                <c:pt idx="12">
                  <c:v>2.8974454014388553</c:v>
                </c:pt>
                <c:pt idx="13">
                  <c:v>2.2398901527698172</c:v>
                </c:pt>
                <c:pt idx="14">
                  <c:v>4.29890389821783</c:v>
                </c:pt>
                <c:pt idx="15">
                  <c:v>7.5937472454821524</c:v>
                </c:pt>
                <c:pt idx="16">
                  <c:v>7.2486276029958532</c:v>
                </c:pt>
                <c:pt idx="17">
                  <c:v>8.3737481518946897</c:v>
                </c:pt>
                <c:pt idx="18">
                  <c:v>5.8312031653845917</c:v>
                </c:pt>
                <c:pt idx="19">
                  <c:v>7.2083201349640431</c:v>
                </c:pt>
                <c:pt idx="20">
                  <c:v>5.7307041273306112</c:v>
                </c:pt>
                <c:pt idx="21">
                  <c:v>5.6062752588154598</c:v>
                </c:pt>
                <c:pt idx="22">
                  <c:v>6.9055706841157871</c:v>
                </c:pt>
                <c:pt idx="23">
                  <c:v>7.0177001190490476</c:v>
                </c:pt>
                <c:pt idx="24">
                  <c:v>9.0067622713224047</c:v>
                </c:pt>
                <c:pt idx="25">
                  <c:v>8.983500124692867</c:v>
                </c:pt>
                <c:pt idx="26">
                  <c:v>8.5562382567194124</c:v>
                </c:pt>
                <c:pt idx="27">
                  <c:v>8.8612479774923258</c:v>
                </c:pt>
                <c:pt idx="28">
                  <c:v>8.6608828128901223</c:v>
                </c:pt>
              </c:numCache>
            </c:numRef>
          </c:val>
          <c:extLst xmlns:c16r2="http://schemas.microsoft.com/office/drawing/2015/06/chart">
            <c:ext xmlns:c16="http://schemas.microsoft.com/office/drawing/2014/chart" uri="{C3380CC4-5D6E-409C-BE32-E72D297353CC}">
              <c16:uniqueId val="{00000002-5BAF-40E6-8008-22234CC6A5B8}"/>
            </c:ext>
          </c:extLst>
        </c:ser>
        <c:ser>
          <c:idx val="3"/>
          <c:order val="3"/>
          <c:tx>
            <c:strRef>
              <c:f>'výkonnost odvětví 5'!$F$10</c:f>
              <c:strCache>
                <c:ptCount val="1"/>
                <c:pt idx="0">
                  <c:v>Maloobchodní prodej PHM</c:v>
                </c:pt>
              </c:strCache>
            </c:strRef>
          </c:tx>
          <c:spPr>
            <a:ln w="19050">
              <a:solidFill>
                <a:srgbClr val="BD1B21"/>
              </a:solidFill>
            </a:ln>
          </c:spPr>
          <c:marker>
            <c:symbol val="none"/>
          </c:marker>
          <c:cat>
            <c:multiLvlStrRef>
              <c:f>'výkonnost odvětví 5'!$A$11:$B$39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2011</c:v>
                  </c:pt>
                  <c:pt idx="4">
                    <c:v>2012</c:v>
                  </c:pt>
                  <c:pt idx="8">
                    <c:v>2013</c:v>
                  </c:pt>
                  <c:pt idx="12">
                    <c:v>2014</c:v>
                  </c:pt>
                  <c:pt idx="16">
                    <c:v>2015</c:v>
                  </c:pt>
                  <c:pt idx="20">
                    <c:v>2016</c:v>
                  </c:pt>
                  <c:pt idx="24">
                    <c:v>2017</c:v>
                  </c:pt>
                  <c:pt idx="28">
                    <c:v>2018</c:v>
                  </c:pt>
                </c:lvl>
              </c:multiLvlStrCache>
            </c:multiLvlStrRef>
          </c:cat>
          <c:val>
            <c:numRef>
              <c:f>'výkonnost odvětví 5'!$F$11:$F$39</c:f>
              <c:numCache>
                <c:formatCode>0.0</c:formatCode>
                <c:ptCount val="29"/>
                <c:pt idx="0">
                  <c:v>-4.6311337782417885</c:v>
                </c:pt>
                <c:pt idx="1">
                  <c:v>-3.8994040729543542</c:v>
                </c:pt>
                <c:pt idx="2">
                  <c:v>-2.1621003614161252</c:v>
                </c:pt>
                <c:pt idx="3">
                  <c:v>-2.9915509903207167</c:v>
                </c:pt>
                <c:pt idx="4">
                  <c:v>-1.8958521156336881</c:v>
                </c:pt>
                <c:pt idx="5">
                  <c:v>-3.4936345716293484</c:v>
                </c:pt>
                <c:pt idx="6">
                  <c:v>0.78230350159505158</c:v>
                </c:pt>
                <c:pt idx="7">
                  <c:v>-2.0730044463246315</c:v>
                </c:pt>
                <c:pt idx="8">
                  <c:v>0.43687421362008988</c:v>
                </c:pt>
                <c:pt idx="9">
                  <c:v>-0.52059668296715156</c:v>
                </c:pt>
                <c:pt idx="10">
                  <c:v>-5.278103449483166</c:v>
                </c:pt>
                <c:pt idx="11">
                  <c:v>-0.8650699651451107</c:v>
                </c:pt>
                <c:pt idx="12">
                  <c:v>0.48207386900958554</c:v>
                </c:pt>
                <c:pt idx="13">
                  <c:v>3.8856542329753642E-2</c:v>
                </c:pt>
                <c:pt idx="14">
                  <c:v>2.5788957529001806</c:v>
                </c:pt>
                <c:pt idx="15">
                  <c:v>3.5103721426392687</c:v>
                </c:pt>
                <c:pt idx="16">
                  <c:v>6.1539270145262295</c:v>
                </c:pt>
                <c:pt idx="17">
                  <c:v>4.5607008805763343</c:v>
                </c:pt>
                <c:pt idx="18">
                  <c:v>6.1265662165444255</c:v>
                </c:pt>
                <c:pt idx="19">
                  <c:v>8.9586655181201866</c:v>
                </c:pt>
                <c:pt idx="20">
                  <c:v>4.9193940895193924</c:v>
                </c:pt>
                <c:pt idx="21">
                  <c:v>5.3582796892122024</c:v>
                </c:pt>
                <c:pt idx="22">
                  <c:v>4.59912429887342</c:v>
                </c:pt>
                <c:pt idx="23">
                  <c:v>5.1789206144347872</c:v>
                </c:pt>
                <c:pt idx="24">
                  <c:v>3.9494825023488267</c:v>
                </c:pt>
                <c:pt idx="25">
                  <c:v>5.9204356861612695</c:v>
                </c:pt>
                <c:pt idx="26">
                  <c:v>6.2879927076099715</c:v>
                </c:pt>
                <c:pt idx="27">
                  <c:v>6.3298702483117655</c:v>
                </c:pt>
                <c:pt idx="28">
                  <c:v>5.7106866919111514</c:v>
                </c:pt>
              </c:numCache>
            </c:numRef>
          </c:val>
          <c:extLst xmlns:c16r2="http://schemas.microsoft.com/office/drawing/2015/06/chart">
            <c:ext xmlns:c16="http://schemas.microsoft.com/office/drawing/2014/chart" uri="{C3380CC4-5D6E-409C-BE32-E72D297353CC}">
              <c16:uniqueId val="{00000003-5BAF-40E6-8008-22234CC6A5B8}"/>
            </c:ext>
          </c:extLst>
        </c:ser>
        <c:ser>
          <c:idx val="4"/>
          <c:order val="4"/>
          <c:tx>
            <c:strRef>
              <c:f>'výkonnost odvětví 5'!$G$10</c:f>
              <c:strCache>
                <c:ptCount val="1"/>
                <c:pt idx="0">
                  <c:v>Obchod a opravy motorových voz.</c:v>
                </c:pt>
              </c:strCache>
            </c:strRef>
          </c:tx>
          <c:spPr>
            <a:ln w="19050">
              <a:solidFill>
                <a:srgbClr val="7DBB2D"/>
              </a:solidFill>
            </a:ln>
          </c:spPr>
          <c:marker>
            <c:symbol val="none"/>
          </c:marker>
          <c:cat>
            <c:multiLvlStrRef>
              <c:f>'výkonnost odvětví 5'!$A$11:$B$39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2011</c:v>
                  </c:pt>
                  <c:pt idx="4">
                    <c:v>2012</c:v>
                  </c:pt>
                  <c:pt idx="8">
                    <c:v>2013</c:v>
                  </c:pt>
                  <c:pt idx="12">
                    <c:v>2014</c:v>
                  </c:pt>
                  <c:pt idx="16">
                    <c:v>2015</c:v>
                  </c:pt>
                  <c:pt idx="20">
                    <c:v>2016</c:v>
                  </c:pt>
                  <c:pt idx="24">
                    <c:v>2017</c:v>
                  </c:pt>
                  <c:pt idx="28">
                    <c:v>2018</c:v>
                  </c:pt>
                </c:lvl>
              </c:multiLvlStrCache>
            </c:multiLvlStrRef>
          </c:cat>
          <c:val>
            <c:numRef>
              <c:f>'výkonnost odvětví 5'!$G$11:$G$39</c:f>
              <c:numCache>
                <c:formatCode>0.0</c:formatCode>
                <c:ptCount val="29"/>
                <c:pt idx="0">
                  <c:v>12.399114090561516</c:v>
                </c:pt>
                <c:pt idx="1">
                  <c:v>1.5393113442264619</c:v>
                </c:pt>
                <c:pt idx="2">
                  <c:v>4.1676015834745783</c:v>
                </c:pt>
                <c:pt idx="3">
                  <c:v>4.841714017351876</c:v>
                </c:pt>
                <c:pt idx="4">
                  <c:v>2.6476463845960438</c:v>
                </c:pt>
                <c:pt idx="5">
                  <c:v>-0.83083598645413781</c:v>
                </c:pt>
                <c:pt idx="6">
                  <c:v>-1.0054999920916619</c:v>
                </c:pt>
                <c:pt idx="7">
                  <c:v>-5.3031820422840354</c:v>
                </c:pt>
                <c:pt idx="8">
                  <c:v>-6.0597265863421512</c:v>
                </c:pt>
                <c:pt idx="9">
                  <c:v>4.0744346643276685</c:v>
                </c:pt>
                <c:pt idx="10">
                  <c:v>5.5422103336460085</c:v>
                </c:pt>
                <c:pt idx="11">
                  <c:v>12.840168793619448</c:v>
                </c:pt>
                <c:pt idx="12">
                  <c:v>14.893046849703552</c:v>
                </c:pt>
                <c:pt idx="13">
                  <c:v>7.0031831992789506</c:v>
                </c:pt>
                <c:pt idx="14">
                  <c:v>12.995196321494532</c:v>
                </c:pt>
                <c:pt idx="15">
                  <c:v>12.528076578934169</c:v>
                </c:pt>
                <c:pt idx="16">
                  <c:v>11.675877956637521</c:v>
                </c:pt>
                <c:pt idx="17">
                  <c:v>14.129424016355006</c:v>
                </c:pt>
                <c:pt idx="18">
                  <c:v>10.8130146419153</c:v>
                </c:pt>
                <c:pt idx="19">
                  <c:v>12.285366424438561</c:v>
                </c:pt>
                <c:pt idx="20">
                  <c:v>10.012458360654946</c:v>
                </c:pt>
                <c:pt idx="21">
                  <c:v>9.2274670133142678</c:v>
                </c:pt>
                <c:pt idx="22">
                  <c:v>6.6565459159951805</c:v>
                </c:pt>
                <c:pt idx="23">
                  <c:v>4.788218563120779</c:v>
                </c:pt>
                <c:pt idx="24">
                  <c:v>6.211518972562871</c:v>
                </c:pt>
                <c:pt idx="25">
                  <c:v>4.4712743618132524</c:v>
                </c:pt>
                <c:pt idx="26">
                  <c:v>-0.12037371835359069</c:v>
                </c:pt>
                <c:pt idx="27">
                  <c:v>1.4641196087035411</c:v>
                </c:pt>
                <c:pt idx="28">
                  <c:v>-1.2564316964341624</c:v>
                </c:pt>
              </c:numCache>
            </c:numRef>
          </c:val>
          <c:extLst xmlns:c16r2="http://schemas.microsoft.com/office/drawing/2015/06/chart">
            <c:ext xmlns:c16="http://schemas.microsoft.com/office/drawing/2014/chart" uri="{C3380CC4-5D6E-409C-BE32-E72D297353CC}">
              <c16:uniqueId val="{00000004-5BAF-40E6-8008-22234CC6A5B8}"/>
            </c:ext>
          </c:extLst>
        </c:ser>
        <c:marker val="1"/>
        <c:axId val="158540544"/>
        <c:axId val="158542464"/>
      </c:lineChart>
      <c:lineChart>
        <c:grouping val="standard"/>
        <c:ser>
          <c:idx val="6"/>
          <c:order val="5"/>
          <c:tx>
            <c:strRef>
              <c:f>'výkonnost odvětví 5'!$H$10</c:f>
              <c:strCache>
                <c:ptCount val="1"/>
                <c:pt idx="0">
                  <c:v>Saldo souhr.indik.důvěry spotřebitelů</c:v>
                </c:pt>
              </c:strCache>
            </c:strRef>
          </c:tx>
          <c:spPr>
            <a:ln w="19050">
              <a:noFill/>
            </a:ln>
          </c:spPr>
          <c:marker>
            <c:symbol val="dash"/>
            <c:size val="9"/>
            <c:spPr>
              <a:solidFill>
                <a:srgbClr val="984807"/>
              </a:solidFill>
              <a:ln>
                <a:noFill/>
              </a:ln>
            </c:spPr>
          </c:marker>
          <c:cat>
            <c:multiLvlStrRef>
              <c:f>'výkonnost odvětví 5'!$A$11:$B$39</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2011</c:v>
                  </c:pt>
                  <c:pt idx="4">
                    <c:v>2012</c:v>
                  </c:pt>
                  <c:pt idx="8">
                    <c:v>2013</c:v>
                  </c:pt>
                  <c:pt idx="12">
                    <c:v>2014</c:v>
                  </c:pt>
                  <c:pt idx="16">
                    <c:v>2015</c:v>
                  </c:pt>
                  <c:pt idx="20">
                    <c:v>2016</c:v>
                  </c:pt>
                  <c:pt idx="24">
                    <c:v>2017</c:v>
                  </c:pt>
                  <c:pt idx="28">
                    <c:v>2018</c:v>
                  </c:pt>
                </c:lvl>
              </c:multiLvlStrCache>
            </c:multiLvlStrRef>
          </c:cat>
          <c:val>
            <c:numRef>
              <c:f>'výkonnost odvětví 5'!$H$11:$H$39</c:f>
              <c:numCache>
                <c:formatCode>0.0</c:formatCode>
                <c:ptCount val="29"/>
                <c:pt idx="0">
                  <c:v>-13.433333333333332</c:v>
                </c:pt>
                <c:pt idx="1">
                  <c:v>-20.099999999999987</c:v>
                </c:pt>
                <c:pt idx="2">
                  <c:v>-22.433333333333074</c:v>
                </c:pt>
                <c:pt idx="3">
                  <c:v>-26.7</c:v>
                </c:pt>
                <c:pt idx="4">
                  <c:v>-26.766666666666666</c:v>
                </c:pt>
                <c:pt idx="5">
                  <c:v>-29.866666666666664</c:v>
                </c:pt>
                <c:pt idx="6">
                  <c:v>-28.466666666666669</c:v>
                </c:pt>
                <c:pt idx="7">
                  <c:v>-26.433333333333074</c:v>
                </c:pt>
                <c:pt idx="8">
                  <c:v>-23.633333333333169</c:v>
                </c:pt>
                <c:pt idx="9">
                  <c:v>-20.866666666666667</c:v>
                </c:pt>
                <c:pt idx="10">
                  <c:v>-17.266666666666666</c:v>
                </c:pt>
                <c:pt idx="11">
                  <c:v>-10.766666666666676</c:v>
                </c:pt>
                <c:pt idx="12">
                  <c:v>-6.6000000000000005</c:v>
                </c:pt>
                <c:pt idx="13">
                  <c:v>-3.5333333333333332</c:v>
                </c:pt>
                <c:pt idx="14">
                  <c:v>-4.1333333333333524</c:v>
                </c:pt>
                <c:pt idx="15">
                  <c:v>0.69999999999999984</c:v>
                </c:pt>
                <c:pt idx="16">
                  <c:v>3.6333333333333342</c:v>
                </c:pt>
                <c:pt idx="17">
                  <c:v>1.7666666666666666</c:v>
                </c:pt>
                <c:pt idx="18">
                  <c:v>1.2</c:v>
                </c:pt>
                <c:pt idx="19">
                  <c:v>3.5</c:v>
                </c:pt>
                <c:pt idx="20">
                  <c:v>4.6000000000000005</c:v>
                </c:pt>
                <c:pt idx="21">
                  <c:v>1.8333333333333333</c:v>
                </c:pt>
                <c:pt idx="22">
                  <c:v>2</c:v>
                </c:pt>
                <c:pt idx="23">
                  <c:v>6.1000000000000005</c:v>
                </c:pt>
                <c:pt idx="24">
                  <c:v>6.5333333333333741</c:v>
                </c:pt>
                <c:pt idx="25">
                  <c:v>5.2666666666666684</c:v>
                </c:pt>
                <c:pt idx="26">
                  <c:v>5.2</c:v>
                </c:pt>
                <c:pt idx="27">
                  <c:v>7.2</c:v>
                </c:pt>
                <c:pt idx="28">
                  <c:v>9.866666666666756</c:v>
                </c:pt>
              </c:numCache>
            </c:numRef>
          </c:val>
          <c:extLst xmlns:c16r2="http://schemas.microsoft.com/office/drawing/2015/06/chart">
            <c:ext xmlns:c16="http://schemas.microsoft.com/office/drawing/2014/chart" uri="{C3380CC4-5D6E-409C-BE32-E72D297353CC}">
              <c16:uniqueId val="{00000005-5BAF-40E6-8008-22234CC6A5B8}"/>
            </c:ext>
          </c:extLst>
        </c:ser>
        <c:marker val="1"/>
        <c:axId val="158562176"/>
        <c:axId val="158560640"/>
      </c:lineChart>
      <c:catAx>
        <c:axId val="158540544"/>
        <c:scaling>
          <c:orientation val="minMax"/>
        </c:scaling>
        <c:axPos val="b"/>
        <c:numFmt formatCode="General" sourceLinked="1"/>
        <c:tickLblPos val="low"/>
        <c:spPr>
          <a:ln w="9525">
            <a:solidFill>
              <a:schemeClr val="tx1"/>
            </a:solidFill>
            <a:prstDash val="solid"/>
          </a:ln>
        </c:spPr>
        <c:txPr>
          <a:bodyPr rot="0" vert="horz"/>
          <a:lstStyle/>
          <a:p>
            <a:pPr>
              <a:defRPr/>
            </a:pPr>
            <a:endParaRPr lang="cs-CZ"/>
          </a:p>
        </c:txPr>
        <c:crossAx val="158542464"/>
        <c:crosses val="autoZero"/>
        <c:lblAlgn val="ctr"/>
        <c:lblOffset val="0"/>
        <c:tickLblSkip val="1"/>
        <c:tickMarkSkip val="4"/>
      </c:catAx>
      <c:valAx>
        <c:axId val="158542464"/>
        <c:scaling>
          <c:orientation val="minMax"/>
          <c:max val="15"/>
          <c:min val="-15"/>
        </c:scaling>
        <c:axPos val="l"/>
        <c:majorGridlines>
          <c:spPr>
            <a:ln w="6350">
              <a:solidFill>
                <a:schemeClr val="bg1">
                  <a:lumMod val="75000"/>
                </a:schemeClr>
              </a:solidFill>
            </a:ln>
          </c:spPr>
        </c:majorGridlines>
        <c:numFmt formatCode="0" sourceLinked="0"/>
        <c:tickLblPos val="nextTo"/>
        <c:spPr>
          <a:ln w="9525">
            <a:solidFill>
              <a:schemeClr val="tx1"/>
            </a:solidFill>
            <a:prstDash val="solid"/>
          </a:ln>
        </c:spPr>
        <c:txPr>
          <a:bodyPr rot="0" vert="horz"/>
          <a:lstStyle/>
          <a:p>
            <a:pPr>
              <a:defRPr/>
            </a:pPr>
            <a:endParaRPr lang="cs-CZ"/>
          </a:p>
        </c:txPr>
        <c:crossAx val="158540544"/>
        <c:crosses val="autoZero"/>
        <c:crossBetween val="between"/>
        <c:majorUnit val="5"/>
      </c:valAx>
      <c:valAx>
        <c:axId val="158560640"/>
        <c:scaling>
          <c:orientation val="minMax"/>
          <c:max val="30"/>
          <c:min val="-30"/>
        </c:scaling>
        <c:axPos val="r"/>
        <c:numFmt formatCode="0" sourceLinked="0"/>
        <c:tickLblPos val="nextTo"/>
        <c:spPr>
          <a:ln w="9525">
            <a:solidFill>
              <a:schemeClr val="tx1"/>
            </a:solidFill>
          </a:ln>
        </c:spPr>
        <c:crossAx val="158562176"/>
        <c:crosses val="max"/>
        <c:crossBetween val="between"/>
      </c:valAx>
      <c:catAx>
        <c:axId val="158562176"/>
        <c:scaling>
          <c:orientation val="minMax"/>
        </c:scaling>
        <c:delete val="1"/>
        <c:axPos val="b"/>
        <c:numFmt formatCode="General" sourceLinked="1"/>
        <c:tickLblPos val="none"/>
        <c:crossAx val="158560640"/>
        <c:crosses val="autoZero"/>
        <c:auto val="1"/>
        <c:lblAlgn val="ctr"/>
        <c:lblOffset val="100"/>
      </c:catAx>
      <c:spPr>
        <a:solidFill>
          <a:srgbClr val="FFFFFF"/>
        </a:solidFill>
        <a:ln w="9525">
          <a:solidFill>
            <a:schemeClr val="tx1"/>
          </a:solidFill>
        </a:ln>
      </c:spPr>
    </c:plotArea>
    <c:legend>
      <c:legendPos val="b"/>
      <c:layout>
        <c:manualLayout>
          <c:xMode val="edge"/>
          <c:yMode val="edge"/>
          <c:x val="3.7108284954159708E-2"/>
          <c:y val="0.84801642578021519"/>
          <c:w val="0.92858091581759838"/>
          <c:h val="0.13389587922459187"/>
        </c:manualLayout>
      </c:layout>
      <c:spPr>
        <a:noFill/>
        <a:ln w="6350">
          <a:solidFill>
            <a:schemeClr val="tx1"/>
          </a:solidFill>
        </a:ln>
      </c:spPr>
    </c:legend>
    <c:plotVisOnly val="1"/>
    <c:dispBlanksAs val="gap"/>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5.8656266097578916E-2"/>
          <c:y val="2.3304908251716772E-2"/>
          <c:w val="0.92389825103639056"/>
          <c:h val="0.58623184734886868"/>
        </c:manualLayout>
      </c:layout>
      <c:barChart>
        <c:barDir val="col"/>
        <c:grouping val="clustered"/>
        <c:ser>
          <c:idx val="0"/>
          <c:order val="0"/>
          <c:tx>
            <c:strRef>
              <c:f>'Vnější vztahy 2'!$A$6</c:f>
              <c:strCache>
                <c:ptCount val="1"/>
                <c:pt idx="0">
                  <c:v>2017</c:v>
                </c:pt>
              </c:strCache>
            </c:strRef>
          </c:tx>
          <c:spPr>
            <a:solidFill>
              <a:schemeClr val="tx1">
                <a:lumMod val="50000"/>
                <a:lumOff val="50000"/>
              </a:schemeClr>
            </a:solidFill>
            <a:ln>
              <a:noFill/>
            </a:ln>
          </c:spPr>
          <c:cat>
            <c:strRef>
              <c:f>'Vnější vztahy 2'!$B$5:$N$5</c:f>
              <c:strCache>
                <c:ptCount val="13"/>
                <c:pt idx="0">
                  <c:v>Ropa a zemní plyn</c:v>
                </c:pt>
                <c:pt idx="1">
                  <c:v>Potrav. výrobky</c:v>
                </c:pt>
                <c:pt idx="2">
                  <c:v>Oděvy</c:v>
                </c:pt>
                <c:pt idx="3">
                  <c:v>Koks, raf. ropné prod.</c:v>
                </c:pt>
                <c:pt idx="4">
                  <c:v>Chem. látky a přípr.</c:v>
                </c:pt>
                <c:pt idx="5">
                  <c:v>Farmac. výrobky</c:v>
                </c:pt>
                <c:pt idx="6">
                  <c:v>Ostat. nekov. minerály</c:v>
                </c:pt>
                <c:pt idx="7">
                  <c:v>Základní kovy</c:v>
                </c:pt>
                <c:pt idx="8">
                  <c:v>Kovodělné výrobky</c:v>
                </c:pt>
                <c:pt idx="9">
                  <c:v>Počítače,                                             elektron. přístr.</c:v>
                </c:pt>
                <c:pt idx="10">
                  <c:v>Elektrická zařízení</c:v>
                </c:pt>
                <c:pt idx="11">
                  <c:v>Stroje a zařízení j.n.</c:v>
                </c:pt>
                <c:pt idx="12">
                  <c:v>Motorová vozidla</c:v>
                </c:pt>
              </c:strCache>
            </c:strRef>
          </c:cat>
          <c:val>
            <c:numRef>
              <c:f>'Vnější vztahy 2'!$B$6:$N$6</c:f>
              <c:numCache>
                <c:formatCode>General</c:formatCode>
                <c:ptCount val="13"/>
                <c:pt idx="0">
                  <c:v>-30.026</c:v>
                </c:pt>
                <c:pt idx="1">
                  <c:v>-8.6670000000000016</c:v>
                </c:pt>
                <c:pt idx="2">
                  <c:v>-7.6439999999999975</c:v>
                </c:pt>
                <c:pt idx="3">
                  <c:v>-1.82</c:v>
                </c:pt>
                <c:pt idx="4">
                  <c:v>-27.630000000000031</c:v>
                </c:pt>
                <c:pt idx="5">
                  <c:v>-13.138999999999999</c:v>
                </c:pt>
                <c:pt idx="6">
                  <c:v>5.7960000000000003</c:v>
                </c:pt>
                <c:pt idx="7">
                  <c:v>-30.561</c:v>
                </c:pt>
                <c:pt idx="8">
                  <c:v>14.508000000000001</c:v>
                </c:pt>
                <c:pt idx="9">
                  <c:v>-11.439</c:v>
                </c:pt>
                <c:pt idx="10">
                  <c:v>10.482000000000006</c:v>
                </c:pt>
                <c:pt idx="11">
                  <c:v>23.736000000000001</c:v>
                </c:pt>
                <c:pt idx="12">
                  <c:v>130.23699999999999</c:v>
                </c:pt>
              </c:numCache>
            </c:numRef>
          </c:val>
          <c:extLst xmlns:c16r2="http://schemas.microsoft.com/office/drawing/2015/06/chart">
            <c:ext xmlns:c16="http://schemas.microsoft.com/office/drawing/2014/chart" uri="{C3380CC4-5D6E-409C-BE32-E72D297353CC}">
              <c16:uniqueId val="{00000000-8C77-417B-8091-3CD4C2D02EFC}"/>
            </c:ext>
          </c:extLst>
        </c:ser>
        <c:ser>
          <c:idx val="1"/>
          <c:order val="1"/>
          <c:tx>
            <c:strRef>
              <c:f>'Vnější vztahy 2'!$A$7</c:f>
              <c:strCache>
                <c:ptCount val="1"/>
                <c:pt idx="0">
                  <c:v>2018</c:v>
                </c:pt>
              </c:strCache>
            </c:strRef>
          </c:tx>
          <c:spPr>
            <a:solidFill>
              <a:schemeClr val="bg1">
                <a:lumMod val="65000"/>
              </a:schemeClr>
            </a:solidFill>
          </c:spPr>
          <c:val>
            <c:numRef>
              <c:f>'Vnější vztahy 2'!$B$7:$N$7</c:f>
              <c:numCache>
                <c:formatCode>General</c:formatCode>
                <c:ptCount val="13"/>
                <c:pt idx="0">
                  <c:v>-25.494</c:v>
                </c:pt>
                <c:pt idx="1">
                  <c:v>-8.7540000000000013</c:v>
                </c:pt>
                <c:pt idx="2">
                  <c:v>-7.1710000000000003</c:v>
                </c:pt>
                <c:pt idx="3">
                  <c:v>-5.0869999999999997</c:v>
                </c:pt>
                <c:pt idx="4">
                  <c:v>-27.437000000000001</c:v>
                </c:pt>
                <c:pt idx="5">
                  <c:v>-13.832000000000004</c:v>
                </c:pt>
                <c:pt idx="6">
                  <c:v>5.8439999999999985</c:v>
                </c:pt>
                <c:pt idx="7">
                  <c:v>-31.102</c:v>
                </c:pt>
                <c:pt idx="8">
                  <c:v>15.04</c:v>
                </c:pt>
                <c:pt idx="9">
                  <c:v>-4.0579999999999945</c:v>
                </c:pt>
                <c:pt idx="10">
                  <c:v>14.2</c:v>
                </c:pt>
                <c:pt idx="11">
                  <c:v>22.279</c:v>
                </c:pt>
                <c:pt idx="12">
                  <c:v>119.07299999999998</c:v>
                </c:pt>
              </c:numCache>
            </c:numRef>
          </c:val>
          <c:extLst xmlns:c16r2="http://schemas.microsoft.com/office/drawing/2015/06/chart">
            <c:ext xmlns:c16="http://schemas.microsoft.com/office/drawing/2014/chart" uri="{C3380CC4-5D6E-409C-BE32-E72D297353CC}">
              <c16:uniqueId val="{00000001-8C77-417B-8091-3CD4C2D02EFC}"/>
            </c:ext>
          </c:extLst>
        </c:ser>
        <c:gapWidth val="97"/>
        <c:axId val="158513792"/>
        <c:axId val="158638464"/>
      </c:barChart>
      <c:catAx>
        <c:axId val="158513792"/>
        <c:scaling>
          <c:orientation val="minMax"/>
        </c:scaling>
        <c:axPos val="b"/>
        <c:numFmt formatCode="General" sourceLinked="0"/>
        <c:tickLblPos val="low"/>
        <c:spPr>
          <a:ln>
            <a:solidFill>
              <a:schemeClr val="tx1"/>
            </a:solidFill>
          </a:ln>
        </c:spPr>
        <c:txPr>
          <a:bodyPr rot="-5400000" vert="horz"/>
          <a:lstStyle/>
          <a:p>
            <a:pPr>
              <a:defRPr/>
            </a:pPr>
            <a:endParaRPr lang="cs-CZ"/>
          </a:p>
        </c:txPr>
        <c:crossAx val="158638464"/>
        <c:crosses val="autoZero"/>
        <c:auto val="1"/>
        <c:lblAlgn val="ctr"/>
        <c:lblOffset val="100"/>
      </c:catAx>
      <c:valAx>
        <c:axId val="158638464"/>
        <c:scaling>
          <c:orientation val="minMax"/>
        </c:scaling>
        <c:axPos val="l"/>
        <c:majorGridlines>
          <c:spPr>
            <a:ln w="6350">
              <a:solidFill>
                <a:schemeClr val="bg1">
                  <a:lumMod val="75000"/>
                </a:schemeClr>
              </a:solidFill>
            </a:ln>
          </c:spPr>
        </c:majorGridlines>
        <c:numFmt formatCode="General" sourceLinked="1"/>
        <c:tickLblPos val="nextTo"/>
        <c:crossAx val="158513792"/>
        <c:crosses val="autoZero"/>
        <c:crossBetween val="between"/>
      </c:valAx>
      <c:spPr>
        <a:ln>
          <a:solidFill>
            <a:schemeClr val="tx1"/>
          </a:solidFill>
        </a:ln>
      </c:spPr>
    </c:plotArea>
    <c:legend>
      <c:legendPos val="b"/>
      <c:layout>
        <c:manualLayout>
          <c:xMode val="edge"/>
          <c:yMode val="edge"/>
          <c:x val="5.5873075264417107E-2"/>
          <c:y val="0.93271781816746591"/>
          <c:w val="0.92593890471149387"/>
          <c:h val="5.4750853511732103E-2"/>
        </c:manualLayout>
      </c:layout>
      <c:overlay val="1"/>
      <c:spPr>
        <a:ln w="6350">
          <a:solidFill>
            <a:sysClr val="windowText" lastClr="000000"/>
          </a:solidFill>
        </a:ln>
      </c:spPr>
    </c:legend>
    <c:plotVisOnly val="1"/>
    <c:dispBlanksAs val="gap"/>
  </c:chart>
  <c:spPr>
    <a:ln>
      <a:noFill/>
    </a:ln>
  </c:spPr>
  <c:txPr>
    <a:bodyPr/>
    <a:lstStyle/>
    <a:p>
      <a:pPr>
        <a:defRPr sz="800" baseline="0">
          <a:latin typeface="Arial" panose="020B0604020202020204" pitchFamily="34" charset="0"/>
          <a:cs typeface="Arial" panose="020B0604020202020204" pitchFamily="34" charset="0"/>
        </a:defRPr>
      </a:pPr>
      <a:endParaRPr lang="cs-CZ"/>
    </a:p>
  </c:txPr>
  <c:externalData r:id="rId1"/>
</c:chartSpace>
</file>

<file path=word/drawings/drawing1.xml><?xml version="1.0" encoding="utf-8"?>
<c:userShapes xmlns:c="http://schemas.openxmlformats.org/drawingml/2006/chart">
  <cdr:relSizeAnchor xmlns:cdr="http://schemas.openxmlformats.org/drawingml/2006/chartDrawing">
    <cdr:from>
      <cdr:x>0.52669</cdr:x>
      <cdr:y>0.01635</cdr:y>
    </cdr:from>
    <cdr:to>
      <cdr:x>0.57482</cdr:x>
      <cdr:y>0.05393</cdr:y>
    </cdr:to>
    <cdr:sp macro="" textlink="">
      <cdr:nvSpPr>
        <cdr:cNvPr id="2" name="Přímá spojovací šipka 1"/>
        <cdr:cNvSpPr/>
      </cdr:nvSpPr>
      <cdr:spPr>
        <a:xfrm xmlns:a="http://schemas.openxmlformats.org/drawingml/2006/main" flipH="1" flipV="1">
          <a:off x="2501335" y="57999"/>
          <a:ext cx="228578" cy="133342"/>
        </a:xfrm>
        <a:prstGeom xmlns:a="http://schemas.openxmlformats.org/drawingml/2006/main" prst="straightConnector1">
          <a:avLst/>
        </a:prstGeom>
        <a:noFill xmlns:a="http://schemas.openxmlformats.org/drawingml/2006/main"/>
        <a:ln xmlns:a="http://schemas.openxmlformats.org/drawingml/2006/main" w="6350" cap="flat" cmpd="sng" algn="ctr">
          <a:solidFill>
            <a:srgbClr val="7DBB2D"/>
          </a:solidFill>
          <a:prstDash val="solid"/>
          <a:tailEnd type="arrow"/>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cs-CZ"/>
        </a:p>
      </cdr:txBody>
    </cdr:sp>
  </cdr:relSizeAnchor>
  <cdr:relSizeAnchor xmlns:cdr="http://schemas.openxmlformats.org/drawingml/2006/chartDrawing">
    <cdr:from>
      <cdr:x>0.58285</cdr:x>
      <cdr:y>0.04016</cdr:y>
    </cdr:from>
    <cdr:to>
      <cdr:x>0.65697</cdr:x>
      <cdr:y>0.09491</cdr:y>
    </cdr:to>
    <cdr:sp macro="" textlink="">
      <cdr:nvSpPr>
        <cdr:cNvPr id="3" name="TextovéPole 2"/>
        <cdr:cNvSpPr txBox="1"/>
      </cdr:nvSpPr>
      <cdr:spPr>
        <a:xfrm xmlns:a="http://schemas.openxmlformats.org/drawingml/2006/main">
          <a:off x="2768060" y="142481"/>
          <a:ext cx="352011" cy="194266"/>
        </a:xfrm>
        <a:prstGeom xmlns:a="http://schemas.openxmlformats.org/drawingml/2006/main" prst="rect">
          <a:avLst/>
        </a:prstGeom>
      </cdr:spPr>
      <cdr:txBody>
        <a:bodyPr xmlns:a="http://schemas.openxmlformats.org/drawingml/2006/main" wrap="square" lIns="0" tIns="0" rIns="0" bIns="0"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cs-CZ" sz="800">
              <a:solidFill>
                <a:srgbClr val="7DBB2D"/>
              </a:solidFill>
              <a:latin typeface="Arial" pitchFamily="34" charset="0"/>
              <a:cs typeface="Arial" pitchFamily="34" charset="0"/>
            </a:rPr>
            <a:t>67,5</a:t>
          </a:r>
        </a:p>
      </cdr:txBody>
    </cdr:sp>
  </cdr:relSizeAnchor>
</c:userShapes>
</file>

<file path=word/drawings/drawing2.xml><?xml version="1.0" encoding="utf-8"?>
<c:userShapes xmlns:c="http://schemas.openxmlformats.org/drawingml/2006/chart">
  <cdr:relSizeAnchor xmlns:cdr="http://schemas.openxmlformats.org/drawingml/2006/chartDrawing">
    <cdr:from>
      <cdr:x>0.03882</cdr:x>
      <cdr:y>0.4281</cdr:y>
    </cdr:from>
    <cdr:to>
      <cdr:x>0.94336</cdr:x>
      <cdr:y>0.42924</cdr:y>
    </cdr:to>
    <cdr:sp macro="" textlink="">
      <cdr:nvSpPr>
        <cdr:cNvPr id="3" name="Přímá spojovací čára 2"/>
        <cdr:cNvSpPr/>
      </cdr:nvSpPr>
      <cdr:spPr bwMode="auto">
        <a:xfrm xmlns:a="http://schemas.openxmlformats.org/drawingml/2006/main">
          <a:off x="183914" y="1497514"/>
          <a:ext cx="4285716" cy="3989"/>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cs-CZ"/>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5C8F2-C577-4C8A-B0F7-8A6F4788DE22}">
  <ds:schemaRefs>
    <ds:schemaRef ds:uri="http://schemas.openxmlformats.org/officeDocument/2006/bibliography"/>
  </ds:schemaRefs>
</ds:datastoreItem>
</file>

<file path=customXml/itemProps2.xml><?xml version="1.0" encoding="utf-8"?>
<ds:datastoreItem xmlns:ds="http://schemas.openxmlformats.org/officeDocument/2006/customXml" ds:itemID="{6CFD85EA-F5E8-4757-9EAE-26EC53CDB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0</TotalTime>
  <Pages>30</Pages>
  <Words>10371</Words>
  <Characters>61191</Characters>
  <Application>Microsoft Office Word</Application>
  <DocSecurity>0</DocSecurity>
  <Lines>509</Lines>
  <Paragraphs>142</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71420</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Karolína Súkupová</dc:creator>
  <cp:lastModifiedBy>kamenicky3604</cp:lastModifiedBy>
  <cp:revision>4</cp:revision>
  <cp:lastPrinted>2014-07-17T14:07:00Z</cp:lastPrinted>
  <dcterms:created xsi:type="dcterms:W3CDTF">2018-06-20T13:20:00Z</dcterms:created>
  <dcterms:modified xsi:type="dcterms:W3CDTF">2018-06-20T13:41:00Z</dcterms:modified>
</cp:coreProperties>
</file>