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50" w:rsidRPr="00BB67A4" w:rsidRDefault="00897650" w:rsidP="00897650">
      <w:pPr>
        <w:pStyle w:val="Nadpis1"/>
      </w:pPr>
      <w:bookmarkStart w:id="0" w:name="_Toc398546273"/>
      <w:proofErr w:type="spellStart"/>
      <w:r w:rsidRPr="00BB67A4">
        <w:t>Metodické</w:t>
      </w:r>
      <w:proofErr w:type="spellEnd"/>
      <w:r w:rsidRPr="00BB67A4">
        <w:t xml:space="preserve"> </w:t>
      </w:r>
      <w:proofErr w:type="spellStart"/>
      <w:r w:rsidRPr="00BB67A4">
        <w:t>vysvětlivky</w:t>
      </w:r>
      <w:bookmarkEnd w:id="0"/>
      <w:proofErr w:type="spellEnd"/>
    </w:p>
    <w:p w:rsidR="00897650" w:rsidRDefault="00897650" w:rsidP="00897650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</w:t>
      </w:r>
    </w:p>
    <w:p w:rsidR="00897650" w:rsidRDefault="00897650" w:rsidP="00897650">
      <w:pPr>
        <w:pStyle w:val="Zkladntextodsazen"/>
        <w:ind w:firstLine="0"/>
      </w:pPr>
    </w:p>
    <w:p w:rsidR="00897650" w:rsidRDefault="00897650" w:rsidP="00897650">
      <w:pPr>
        <w:spacing w:before="120"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SZÚ obsahuje následující základní ukazatele: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Produkci zemědělského odvětví</w:t>
      </w:r>
      <w:r>
        <w:rPr>
          <w:rFonts w:ascii="Arial" w:hAnsi="Arial"/>
        </w:rPr>
        <w:t xml:space="preserve"> v hodnotovém vyjádření, která reprezentuje celkovou finální produkci odvětví zemědělství, která toto odvětví opouští.</w:t>
      </w:r>
    </w:p>
    <w:p w:rsidR="00897650" w:rsidRPr="00BB67A4" w:rsidRDefault="00897650" w:rsidP="00897650">
      <w:pPr>
        <w:pStyle w:val="Zkladntextodsazen2"/>
        <w:ind w:firstLine="0"/>
      </w:pPr>
      <w:r>
        <w:t>Struktura výrobní části zemědělského účtu je tvořena na jedné straně disponibilními zdroji sestávajícími z 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</w:rPr>
        <w:t>nerolníky</w:t>
      </w:r>
      <w:proofErr w:type="spellEnd"/>
      <w:r>
        <w:rPr>
          <w:rFonts w:ascii="Arial" w:hAnsi="Arial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 Tímto způsobem bylo postupováno také při sestavování účtu za roky 201</w:t>
      </w:r>
      <w:r w:rsidR="00A848A7">
        <w:rPr>
          <w:rFonts w:ascii="Arial" w:hAnsi="Arial"/>
        </w:rPr>
        <w:t>7</w:t>
      </w:r>
      <w:r>
        <w:rPr>
          <w:rFonts w:ascii="Arial" w:hAnsi="Arial"/>
        </w:rPr>
        <w:t xml:space="preserve"> a 201</w:t>
      </w:r>
      <w:r w:rsidR="00A848A7">
        <w:rPr>
          <w:rFonts w:ascii="Arial" w:hAnsi="Arial"/>
        </w:rPr>
        <w:t>8</w:t>
      </w:r>
      <w:bookmarkStart w:id="1" w:name="_GoBack"/>
      <w:bookmarkEnd w:id="1"/>
      <w:r>
        <w:rPr>
          <w:rFonts w:ascii="Arial" w:hAnsi="Arial"/>
        </w:rPr>
        <w:t>. Celý účet výroby je tedy sestaven v základních cenách. Obiloviny, technické a krmné plodiny jsou oceňovány průměrnými cenami za sklizňový rok, zatímco sezónní plodiny cenami za rok kalendářní.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(pracovní jednání v listopadu 2004) nejsou údaje za poslední sledovaný rok odesílány jako konečné, ale jako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>. Proto účet 201</w:t>
      </w:r>
      <w:r w:rsidR="00CC52C9">
        <w:rPr>
          <w:rFonts w:ascii="Arial" w:hAnsi="Arial"/>
        </w:rPr>
        <w:t>8</w:t>
      </w:r>
      <w:r>
        <w:rPr>
          <w:rFonts w:ascii="Arial" w:hAnsi="Arial"/>
        </w:rPr>
        <w:t xml:space="preserve"> obsahuje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 xml:space="preserve"> data.</w:t>
      </w:r>
    </w:p>
    <w:p w:rsidR="00897650" w:rsidRDefault="00897650" w:rsidP="00897650">
      <w:pPr>
        <w:pStyle w:val="Zkladntext2"/>
      </w:pPr>
      <w:r>
        <w:t>Součástí SZÚ je položka 17 „Nezemědělské vedlejší činnosti“, která má 2 podpoložky 17.1 „Zpracování zemědělských produktů“ a 17.2 „Jiné neoddělitelné vedlejší činnosti (zboží a služby)“. Jedná se o činnosti zemědělského odvětví, které jsou úzce spjaté se zemědělskou výrobou, ale nejsou účetně sledovány samostatně; nelze je tedy oddělit od hlavní zemědělské činnosti.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 </w:t>
      </w:r>
      <w:proofErr w:type="spellStart"/>
      <w:r>
        <w:rPr>
          <w:rFonts w:ascii="Arial" w:hAnsi="Arial"/>
          <w:b/>
          <w:bCs/>
        </w:rPr>
        <w:t>Mezispotřebu</w:t>
      </w:r>
      <w:proofErr w:type="spellEnd"/>
      <w:r>
        <w:rPr>
          <w:rFonts w:ascii="Arial" w:hAnsi="Arial"/>
        </w:rPr>
        <w:t>, tj. souhrn všech vstupů do zemědělských jednotek v hodnotovém vyjádření.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Část účtu týkající se mezispotřeby je členěna na vnitropodnikovou spotřebu vlastních krmiv, nákupy mezispotřeby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Produkty použité jako </w:t>
      </w:r>
      <w:proofErr w:type="spellStart"/>
      <w:r>
        <w:rPr>
          <w:rFonts w:ascii="Arial" w:hAnsi="Arial"/>
        </w:rPr>
        <w:t>mezispotřeba</w:t>
      </w:r>
      <w:proofErr w:type="spellEnd"/>
      <w:r>
        <w:rPr>
          <w:rFonts w:ascii="Arial" w:hAnsi="Arial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jako DPH.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Podle nařízení Komise evropského společenství č. 909/2006 ze dne 20. června 2006 je součástí mezispotřeby FISIM (finanční zprostředkovatelské služby nepřímo měřené). Tato položka se současně promítá i do výše nákladových a výnosových úroků, takže není ovlivněna výše podnikatelského důchodu. Položka „FISIM“ byla na základě tohoto nařízení začleněna do struktury SZÚ zpětně za celé období jeho sestavování.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Hrubou přidanou hodnotu</w:t>
      </w:r>
      <w:r>
        <w:rPr>
          <w:rFonts w:ascii="Arial" w:hAnsi="Arial"/>
        </w:rPr>
        <w:t>, která reprezentuje výsledný efekt odvětví zemědělství měřený rozdílem konečné produkce zemědělského odvětví a mezispotřeby. Hrubá přidaná hodnota se podle metodiky vyjadřuje v základních cenách.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4. Čistou přidanou </w:t>
      </w:r>
      <w:proofErr w:type="gramStart"/>
      <w:r>
        <w:rPr>
          <w:rFonts w:ascii="Arial" w:hAnsi="Arial"/>
          <w:b/>
          <w:bCs/>
        </w:rPr>
        <w:t>hodnotu</w:t>
      </w:r>
      <w:proofErr w:type="gramEnd"/>
      <w:r>
        <w:rPr>
          <w:rFonts w:ascii="Arial" w:hAnsi="Arial"/>
        </w:rPr>
        <w:t>, tj. hodnotu, která je vytvořena veškerými zemědělskými jednotkami po odečtení spotřeby fixního kapitálu.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Ostatní daně / ostatní dotace</w:t>
      </w:r>
      <w:r>
        <w:rPr>
          <w:rFonts w:ascii="Arial" w:hAnsi="Arial"/>
        </w:rPr>
        <w:t xml:space="preserve"> na výrobu se zaúčtují v rámci účtu tvorby důchodu.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6. Důchod z faktorů</w:t>
      </w:r>
      <w:r>
        <w:rPr>
          <w:rFonts w:ascii="Arial" w:hAnsi="Arial"/>
        </w:rPr>
        <w:t>, který představuje odměnu ze všech výrobních faktorů a představuje celkovou hodnotu, kterou jednotky svou výrobní činností vyprodukují.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Čistý provozní přebytek / smíšený důchod</w:t>
      </w:r>
      <w:r>
        <w:rPr>
          <w:rFonts w:ascii="Arial" w:hAnsi="Arial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Podnikatelský důchod</w:t>
      </w:r>
      <w:r>
        <w:rPr>
          <w:rFonts w:ascii="Arial" w:hAnsi="Arial"/>
        </w:rPr>
        <w:t>, který měří odměnu neplacené práce, výnos z půdy patřící jednotkám a 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</w:rPr>
        <w:t xml:space="preserve"> Součásti kapitálového účtu zachycují</w:t>
      </w:r>
      <w:r>
        <w:rPr>
          <w:rFonts w:ascii="Arial" w:hAnsi="Arial"/>
          <w:b/>
          <w:bCs/>
        </w:rPr>
        <w:t xml:space="preserve"> tvorbu hrubého fixního kapitálu</w:t>
      </w:r>
      <w:r>
        <w:rPr>
          <w:rFonts w:ascii="Arial" w:hAnsi="Arial"/>
        </w:rPr>
        <w:t xml:space="preserve"> (THFK) podle jednotlivých druhů majetku. 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(nařízení č. 138/2004 ze dne 5. prosince 2003) se nesledují jeho jednotlivé položky v tak podrobném členění jako v předchozích letech.</w:t>
      </w:r>
    </w:p>
    <w:p w:rsidR="00897650" w:rsidRDefault="00897650" w:rsidP="00897650"/>
    <w:p w:rsidR="00897650" w:rsidRDefault="00897650" w:rsidP="00897650"/>
    <w:p w:rsidR="00897650" w:rsidRPr="00E8660F" w:rsidRDefault="00897650" w:rsidP="00897650">
      <w:pPr>
        <w:pStyle w:val="Nadpis1"/>
      </w:pPr>
      <w:bookmarkStart w:id="2" w:name="_Toc398546274"/>
      <w:proofErr w:type="spellStart"/>
      <w:r w:rsidRPr="00E8660F">
        <w:t>Vstup</w:t>
      </w:r>
      <w:proofErr w:type="spellEnd"/>
      <w:r w:rsidRPr="00E8660F">
        <w:t xml:space="preserve"> </w:t>
      </w:r>
      <w:proofErr w:type="spellStart"/>
      <w:r w:rsidRPr="00E8660F">
        <w:t>pracovní</w:t>
      </w:r>
      <w:proofErr w:type="spellEnd"/>
      <w:r w:rsidRPr="00E8660F">
        <w:t xml:space="preserve"> </w:t>
      </w:r>
      <w:proofErr w:type="spellStart"/>
      <w:r w:rsidRPr="00E8660F">
        <w:t>síly</w:t>
      </w:r>
      <w:proofErr w:type="spellEnd"/>
      <w:r w:rsidRPr="00E8660F">
        <w:t xml:space="preserve"> do </w:t>
      </w:r>
      <w:proofErr w:type="spellStart"/>
      <w:r w:rsidRPr="00E8660F">
        <w:t>zemědělství</w:t>
      </w:r>
      <w:bookmarkEnd w:id="2"/>
      <w:proofErr w:type="spellEnd"/>
    </w:p>
    <w:p w:rsidR="00897650" w:rsidRDefault="00897650" w:rsidP="00897650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kategorie placených pracovních sil se řadí osoby, které na základě smlouvy pracují pro jinou veřejnou nebo soukromou rezidentní jednotku a za tuto práci dostávají odměnu v hotovosti nebo v 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kalkulace ALI je poskytnout systematický a srovnatelný přehled o rozsahu pracovních sil v zemědělském odvětví a sledovat trendy zemědělských příjmů.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2000 jsou údaje revidovány podle výsledků </w:t>
      </w:r>
      <w:proofErr w:type="spellStart"/>
      <w:r>
        <w:rPr>
          <w:rFonts w:ascii="Arial" w:hAnsi="Arial" w:cs="Arial"/>
        </w:rPr>
        <w:t>Agrocenzu</w:t>
      </w:r>
      <w:proofErr w:type="spellEnd"/>
      <w:r>
        <w:rPr>
          <w:rFonts w:ascii="Arial" w:hAnsi="Arial" w:cs="Arial"/>
        </w:rPr>
        <w:t xml:space="preserve"> 2010.</w:t>
      </w: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Pr="00E8660F" w:rsidRDefault="00897650" w:rsidP="00897650">
      <w:pPr>
        <w:pStyle w:val="Nadpis1"/>
      </w:pPr>
      <w:bookmarkStart w:id="3" w:name="_Toc398546275"/>
      <w:proofErr w:type="spellStart"/>
      <w:r w:rsidRPr="00E8660F">
        <w:t>Indikátory</w:t>
      </w:r>
      <w:proofErr w:type="spellEnd"/>
      <w:r w:rsidRPr="00E8660F">
        <w:t xml:space="preserve"> </w:t>
      </w:r>
      <w:proofErr w:type="spellStart"/>
      <w:r w:rsidRPr="00E8660F">
        <w:t>důchodu</w:t>
      </w:r>
      <w:proofErr w:type="spellEnd"/>
      <w:r w:rsidRPr="00E8660F">
        <w:t xml:space="preserve"> </w:t>
      </w:r>
      <w:proofErr w:type="spellStart"/>
      <w:r w:rsidRPr="00E8660F">
        <w:t>zemědělského</w:t>
      </w:r>
      <w:proofErr w:type="spellEnd"/>
      <w:r w:rsidRPr="00E8660F">
        <w:t xml:space="preserve"> </w:t>
      </w:r>
      <w:proofErr w:type="spellStart"/>
      <w:r w:rsidRPr="00E8660F">
        <w:t>odvětví</w:t>
      </w:r>
      <w:bookmarkEnd w:id="3"/>
      <w:proofErr w:type="spellEnd"/>
    </w:p>
    <w:p w:rsidR="00897650" w:rsidRPr="000514EC" w:rsidRDefault="00897650" w:rsidP="00897650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Měření zemědělského důchodu a jeho vývoje je jedním z hlavních cílů stanovených Souhrnným zemědělským účtem, z něhož jsou pro tento účel odvozeny tři indikátory důchodu. Popsány jsou následovně: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  <w:u w:val="single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A: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důchodu z faktorů v zemědělství na 1</w:t>
      </w:r>
      <w:r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odsazen3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Tento indikátor odpovídá reálné (</w:t>
      </w:r>
      <w:proofErr w:type="spellStart"/>
      <w:r w:rsidRPr="000514EC">
        <w:rPr>
          <w:rFonts w:ascii="Arial" w:hAnsi="Arial" w:cs="Arial"/>
          <w:sz w:val="20"/>
          <w:szCs w:val="20"/>
        </w:rPr>
        <w:t>deflované</w:t>
      </w:r>
      <w:proofErr w:type="spellEnd"/>
      <w:r w:rsidRPr="000514EC">
        <w:rPr>
          <w:rFonts w:ascii="Arial" w:hAnsi="Arial" w:cs="Arial"/>
          <w:sz w:val="20"/>
          <w:szCs w:val="20"/>
        </w:rPr>
        <w:t>) čisté přidané hodnotě v nákladech výrobních faktorů zemědělství na celkovou 1 AWU. Čistá přidaná hodnota v nákladech výrobních faktorů je vypočítána odpočtem mezispotřeby, odpisů a ostatních daní na výrobu v základn</w:t>
      </w:r>
      <w:r>
        <w:rPr>
          <w:rFonts w:ascii="Arial" w:hAnsi="Arial" w:cs="Arial"/>
          <w:sz w:val="20"/>
          <w:szCs w:val="20"/>
        </w:rPr>
        <w:t>ích cenách (např. včetně dotací na </w:t>
      </w:r>
      <w:r w:rsidRPr="000514EC">
        <w:rPr>
          <w:rFonts w:ascii="Arial" w:hAnsi="Arial" w:cs="Arial"/>
          <w:sz w:val="20"/>
          <w:szCs w:val="20"/>
        </w:rPr>
        <w:t>výrobky a odpočtem daní na výrobky) a přidáním hodnoty dalších výrobních dotací. Indikát</w:t>
      </w:r>
      <w:r>
        <w:rPr>
          <w:rFonts w:ascii="Arial" w:hAnsi="Arial" w:cs="Arial"/>
          <w:sz w:val="20"/>
          <w:szCs w:val="20"/>
        </w:rPr>
        <w:t xml:space="preserve">or A je získán </w:t>
      </w:r>
      <w:proofErr w:type="spellStart"/>
      <w:r>
        <w:rPr>
          <w:rFonts w:ascii="Arial" w:hAnsi="Arial" w:cs="Arial"/>
          <w:sz w:val="20"/>
          <w:szCs w:val="20"/>
        </w:rPr>
        <w:t>deflováním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14EC">
        <w:rPr>
          <w:rFonts w:ascii="Arial" w:hAnsi="Arial" w:cs="Arial"/>
          <w:sz w:val="20"/>
          <w:szCs w:val="20"/>
        </w:rPr>
        <w:t>tohoto důchodu z faktorů implicitním cenovým indexem hrubého domácího produktu v tržních cenách a vydělením celkovým ALI (tj. celkovým vstupem</w:t>
      </w:r>
      <w:r>
        <w:rPr>
          <w:rFonts w:ascii="Arial" w:hAnsi="Arial" w:cs="Arial"/>
          <w:sz w:val="20"/>
          <w:szCs w:val="20"/>
        </w:rPr>
        <w:t xml:space="preserve"> pracovní síly do zemědělství).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ind w:left="1260" w:hanging="126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lastRenderedPageBreak/>
        <w:t>Indikátor B</w:t>
      </w:r>
      <w:r w:rsidRPr="000514EC">
        <w:rPr>
          <w:rFonts w:ascii="Arial" w:hAnsi="Arial" w:cs="Arial"/>
          <w:i/>
          <w:iCs/>
        </w:rPr>
        <w:t>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čistého podnikatelského důchodu v</w:t>
      </w:r>
      <w:r>
        <w:rPr>
          <w:rFonts w:ascii="Arial" w:hAnsi="Arial" w:cs="Arial"/>
          <w:b/>
          <w:bCs/>
        </w:rPr>
        <w:t> </w:t>
      </w:r>
      <w:r w:rsidRPr="000514EC">
        <w:rPr>
          <w:rFonts w:ascii="Arial" w:hAnsi="Arial" w:cs="Arial"/>
          <w:b/>
          <w:bCs/>
        </w:rPr>
        <w:t>zem</w:t>
      </w:r>
      <w:r>
        <w:rPr>
          <w:rFonts w:ascii="Arial" w:hAnsi="Arial" w:cs="Arial"/>
          <w:b/>
          <w:bCs/>
        </w:rPr>
        <w:t>.</w:t>
      </w:r>
      <w:r w:rsidRPr="000514EC">
        <w:rPr>
          <w:rFonts w:ascii="Arial" w:hAnsi="Arial" w:cs="Arial"/>
          <w:b/>
          <w:bCs/>
        </w:rPr>
        <w:t xml:space="preserve"> </w:t>
      </w:r>
      <w:proofErr w:type="gramStart"/>
      <w:r w:rsidRPr="000514EC">
        <w:rPr>
          <w:rFonts w:ascii="Arial" w:hAnsi="Arial" w:cs="Arial"/>
          <w:b/>
          <w:bCs/>
        </w:rPr>
        <w:t>na</w:t>
      </w:r>
      <w:proofErr w:type="gramEnd"/>
      <w:r w:rsidRPr="000514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neplacenou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"/>
        <w:spacing w:before="120"/>
        <w:jc w:val="both"/>
        <w:rPr>
          <w:rFonts w:ascii="Arial" w:hAnsi="Arial" w:cs="Arial"/>
          <w:b/>
          <w:bCs/>
          <w:i/>
          <w:iCs/>
        </w:rPr>
      </w:pPr>
      <w:r w:rsidRPr="000514EC">
        <w:rPr>
          <w:rFonts w:ascii="Arial" w:hAnsi="Arial" w:cs="Arial"/>
        </w:rPr>
        <w:t xml:space="preserve">Tento indikátor představuje změny v čistém podnikatelském důchodu během roku na </w:t>
      </w:r>
      <w:r>
        <w:rPr>
          <w:rFonts w:ascii="Arial" w:hAnsi="Arial" w:cs="Arial"/>
        </w:rPr>
        <w:t xml:space="preserve">jednu neplacenou </w:t>
      </w:r>
      <w:r w:rsidRPr="000514EC">
        <w:rPr>
          <w:rFonts w:ascii="Arial" w:hAnsi="Arial" w:cs="Arial"/>
        </w:rPr>
        <w:t xml:space="preserve">AWU. Čistý podnikatelský důchod je získán odečtením náhrad zaměstnancům, placeného nájemného a nákladových úroků z čisté přidané hodnoty na náklady faktorů a přičtením výnosových úroků. Výslednou hodnotu </w:t>
      </w:r>
      <w:proofErr w:type="spellStart"/>
      <w:r w:rsidRPr="000514EC">
        <w:rPr>
          <w:rFonts w:ascii="Arial" w:hAnsi="Arial" w:cs="Arial"/>
        </w:rPr>
        <w:t>deflujeme</w:t>
      </w:r>
      <w:proofErr w:type="spellEnd"/>
      <w:r w:rsidRPr="000514EC">
        <w:rPr>
          <w:rFonts w:ascii="Arial" w:hAnsi="Arial" w:cs="Arial"/>
        </w:rPr>
        <w:t xml:space="preserve"> daným cenovým indexem (j</w:t>
      </w:r>
      <w:r>
        <w:rPr>
          <w:rFonts w:ascii="Arial" w:hAnsi="Arial" w:cs="Arial"/>
        </w:rPr>
        <w:t>ak je popsáno u indikátoru A) a </w:t>
      </w:r>
      <w:r w:rsidRPr="000514EC">
        <w:rPr>
          <w:rFonts w:ascii="Arial" w:hAnsi="Arial" w:cs="Arial"/>
        </w:rPr>
        <w:t>vydělíme objemem neplaceného</w:t>
      </w:r>
      <w:r w:rsidRPr="000514EC"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</w:rPr>
        <w:t>ALI</w:t>
      </w:r>
      <w:r w:rsidRPr="000514EC">
        <w:rPr>
          <w:rFonts w:ascii="Arial" w:hAnsi="Arial" w:cs="Arial"/>
          <w:i/>
          <w:iCs/>
        </w:rPr>
        <w:t>.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C: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Reálný čistý podnikatelský důchod ze zemědělství</w:t>
      </w:r>
    </w:p>
    <w:p w:rsidR="00897650" w:rsidRPr="000514EC" w:rsidRDefault="00897650" w:rsidP="00897650">
      <w:pPr>
        <w:pStyle w:val="Zkladntextodsazen2"/>
        <w:ind w:firstLine="0"/>
        <w:rPr>
          <w:rFonts w:cs="Arial"/>
          <w:szCs w:val="20"/>
        </w:rPr>
      </w:pPr>
      <w:r w:rsidRPr="000514EC">
        <w:rPr>
          <w:rFonts w:cs="Arial"/>
          <w:szCs w:val="20"/>
        </w:rPr>
        <w:t>Tento indikátor definuje změnu reálného (</w:t>
      </w:r>
      <w:proofErr w:type="spellStart"/>
      <w:r w:rsidRPr="000514EC">
        <w:rPr>
          <w:rFonts w:cs="Arial"/>
          <w:szCs w:val="20"/>
        </w:rPr>
        <w:t>deflovaného</w:t>
      </w:r>
      <w:proofErr w:type="spellEnd"/>
      <w:r w:rsidRPr="000514EC">
        <w:rPr>
          <w:rFonts w:cs="Arial"/>
          <w:szCs w:val="20"/>
        </w:rPr>
        <w:t>) čistého podnikatelského důchodu jako samostatnou hodnotu. V tom se liší od indikátoru B, který srovnává tuto změnu s vývojem neplaceného ALI. Můžeme říci, že indikátor</w:t>
      </w:r>
      <w:r>
        <w:rPr>
          <w:rFonts w:cs="Arial"/>
          <w:szCs w:val="20"/>
        </w:rPr>
        <w:t xml:space="preserve"> C je základem pro indikátor B.</w:t>
      </w:r>
    </w:p>
    <w:p w:rsidR="00897650" w:rsidRDefault="00897650" w:rsidP="00897650">
      <w:pPr>
        <w:pStyle w:val="Zkladntext2"/>
        <w:rPr>
          <w:rFonts w:cs="Arial"/>
          <w:szCs w:val="20"/>
        </w:rPr>
      </w:pPr>
    </w:p>
    <w:p w:rsidR="00897650" w:rsidRPr="000514EC" w:rsidRDefault="00897650" w:rsidP="00897650">
      <w:pPr>
        <w:pStyle w:val="Zkladntext2"/>
        <w:rPr>
          <w:rFonts w:cs="Arial"/>
          <w:szCs w:val="20"/>
        </w:rPr>
      </w:pPr>
      <w:r w:rsidRPr="000514EC">
        <w:rPr>
          <w:rFonts w:cs="Arial"/>
          <w:szCs w:val="20"/>
        </w:rPr>
        <w:t>Pro výpočet indikátorů B a C je potřeba více informací než pro výpočet indikátoru A, údaje musí obsahovat: náhrady zaměstnancům, placené nájemné, náklad</w:t>
      </w:r>
      <w:r>
        <w:rPr>
          <w:rFonts w:cs="Arial"/>
          <w:szCs w:val="20"/>
        </w:rPr>
        <w:t>ové a výnosové úroky, placené a </w:t>
      </w:r>
      <w:r w:rsidRPr="000514EC">
        <w:rPr>
          <w:rFonts w:cs="Arial"/>
          <w:szCs w:val="20"/>
        </w:rPr>
        <w:t>neplacené ALI.</w:t>
      </w: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A81C37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Použité značky v tabulkách publikace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-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Pomlčka (-) značí, že jev se nevyskytoval.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0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Nula (0) značí, že jde o číselný údaj, ale jeho hodnota je menší než jedna polovina měřicí jednotky použité v tabulce.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x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Písmeno (x) je v tabulce tehdy, jde-li o údaj, jehož číselné naplnění není logicky možné.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.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Tečka (.) znamená, že údaj není k dispozici nebo je nespolehlivý.</w:t>
            </w:r>
          </w:p>
        </w:tc>
      </w:tr>
    </w:tbl>
    <w:p w:rsidR="007F63CD" w:rsidRDefault="007F63CD"/>
    <w:sectPr w:rsidR="007F63CD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650"/>
    <w:rsid w:val="006E5014"/>
    <w:rsid w:val="007A56F4"/>
    <w:rsid w:val="007F63CD"/>
    <w:rsid w:val="00897650"/>
    <w:rsid w:val="00A848A7"/>
    <w:rsid w:val="00B1161C"/>
    <w:rsid w:val="00C04EF0"/>
    <w:rsid w:val="00CC52C9"/>
    <w:rsid w:val="00D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194"/>
  <w15:docId w15:val="{7CF395D5-413B-4126-A75D-6ECC57C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7650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7650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897650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97650"/>
    <w:pPr>
      <w:spacing w:before="120" w:after="120"/>
      <w:ind w:firstLine="426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9765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97650"/>
    <w:pPr>
      <w:overflowPunct/>
      <w:autoSpaceDE/>
      <w:autoSpaceDN/>
      <w:adjustRightInd/>
      <w:spacing w:before="120" w:after="120"/>
      <w:ind w:firstLine="284"/>
      <w:jc w:val="both"/>
      <w:textAlignment w:val="auto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97650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6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9765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6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1274</Words>
  <Characters>7521</Characters>
  <Application>Microsoft Office Word</Application>
  <DocSecurity>0</DocSecurity>
  <Lines>62</Lines>
  <Paragraphs>17</Paragraphs>
  <ScaleCrop>false</ScaleCrop>
  <Company>ČSÚ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Helena Málková</cp:lastModifiedBy>
  <cp:revision>7</cp:revision>
  <dcterms:created xsi:type="dcterms:W3CDTF">2014-09-22T10:14:00Z</dcterms:created>
  <dcterms:modified xsi:type="dcterms:W3CDTF">2019-09-25T14:15:00Z</dcterms:modified>
</cp:coreProperties>
</file>