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73380" w14:textId="273050C7" w:rsidR="00B96D74" w:rsidRDefault="00B96D74" w:rsidP="00E13995">
      <w:pPr>
        <w:pStyle w:val="Nadpis11"/>
      </w:pPr>
      <w:bookmarkStart w:id="0" w:name="_Toc532558284"/>
      <w:bookmarkStart w:id="1" w:name="_Toc26539341"/>
      <w:bookmarkStart w:id="2" w:name="_Toc11237634"/>
      <w:bookmarkStart w:id="3" w:name="_Toc66719929"/>
      <w:r w:rsidRPr="00567910">
        <w:t>3. Výkonnost odvětví</w:t>
      </w:r>
      <w:bookmarkEnd w:id="3"/>
    </w:p>
    <w:tbl>
      <w:tblPr>
        <w:tblW w:w="9664" w:type="dxa"/>
        <w:tblInd w:w="-30" w:type="dxa"/>
        <w:tblCellMar>
          <w:left w:w="0" w:type="dxa"/>
          <w:right w:w="0" w:type="dxa"/>
        </w:tblCellMar>
        <w:tblLook w:val="00A0" w:firstRow="1" w:lastRow="0" w:firstColumn="1" w:lastColumn="0" w:noHBand="0" w:noVBand="0"/>
      </w:tblPr>
      <w:tblGrid>
        <w:gridCol w:w="1780"/>
        <w:gridCol w:w="214"/>
        <w:gridCol w:w="7670"/>
      </w:tblGrid>
      <w:tr w:rsidR="00B96D74" w:rsidRPr="00071E83" w14:paraId="78F8E70B" w14:textId="77777777" w:rsidTr="0091476D">
        <w:trPr>
          <w:trHeight w:val="155"/>
        </w:trPr>
        <w:tc>
          <w:tcPr>
            <w:tcW w:w="1780" w:type="dxa"/>
            <w:shd w:val="clear" w:color="auto" w:fill="auto"/>
            <w:tcMar>
              <w:left w:w="0" w:type="dxa"/>
            </w:tcMar>
          </w:tcPr>
          <w:p w14:paraId="2D2D3506" w14:textId="77777777" w:rsidR="00B96D74" w:rsidRDefault="00B96D74" w:rsidP="0091476D">
            <w:pPr>
              <w:pStyle w:val="Marginlie"/>
            </w:pPr>
            <w:r>
              <w:t>Hrubá přidaná hodnota se loni snížila o 5,5 % a mírně tak překonala rekordní propad z krizového roku 2009.</w:t>
            </w:r>
          </w:p>
          <w:p w14:paraId="3A5804B1" w14:textId="77777777" w:rsidR="00B96D74" w:rsidRDefault="00B96D74" w:rsidP="0091476D">
            <w:pPr>
              <w:pStyle w:val="Marginlie"/>
            </w:pPr>
          </w:p>
          <w:p w14:paraId="5DB8C826" w14:textId="77777777" w:rsidR="00B96D74" w:rsidRDefault="00B96D74" w:rsidP="0091476D">
            <w:pPr>
              <w:pStyle w:val="Marginlie"/>
            </w:pPr>
          </w:p>
          <w:p w14:paraId="14E34F72" w14:textId="77777777" w:rsidR="00B96D74" w:rsidRDefault="00B96D74" w:rsidP="0091476D">
            <w:pPr>
              <w:pStyle w:val="Marginlie"/>
            </w:pPr>
          </w:p>
          <w:p w14:paraId="6F6B82A1" w14:textId="77777777" w:rsidR="00B96D74" w:rsidRDefault="00B96D74" w:rsidP="0091476D">
            <w:pPr>
              <w:pStyle w:val="Marginlie"/>
            </w:pPr>
          </w:p>
          <w:p w14:paraId="0A7F5FDD" w14:textId="77777777" w:rsidR="00B96D74" w:rsidRDefault="00B96D74" w:rsidP="0091476D">
            <w:pPr>
              <w:pStyle w:val="Marginlie"/>
            </w:pPr>
            <w:r>
              <w:t>Řada odvětví projevila během podzimních restriktivních opatření dobrou adaptační schopnost.</w:t>
            </w:r>
          </w:p>
        </w:tc>
        <w:tc>
          <w:tcPr>
            <w:tcW w:w="214" w:type="dxa"/>
            <w:shd w:val="clear" w:color="auto" w:fill="auto"/>
            <w:tcMar>
              <w:left w:w="0" w:type="dxa"/>
            </w:tcMar>
          </w:tcPr>
          <w:p w14:paraId="538D610C" w14:textId="77777777" w:rsidR="00B96D74" w:rsidRPr="003B1401" w:rsidRDefault="00B96D74" w:rsidP="0091476D">
            <w:pPr>
              <w:pStyle w:val="Textpoznpodarou"/>
              <w:jc w:val="both"/>
              <w:rPr>
                <w:spacing w:val="-4"/>
              </w:rPr>
            </w:pPr>
          </w:p>
        </w:tc>
        <w:tc>
          <w:tcPr>
            <w:tcW w:w="7670" w:type="dxa"/>
            <w:shd w:val="clear" w:color="auto" w:fill="auto"/>
            <w:tcMar>
              <w:left w:w="0" w:type="dxa"/>
            </w:tcMar>
          </w:tcPr>
          <w:p w14:paraId="71D0F94D" w14:textId="77777777" w:rsidR="00B96D74" w:rsidRPr="00071E83" w:rsidRDefault="00B96D74" w:rsidP="0091476D">
            <w:pPr>
              <w:rPr>
                <w:spacing w:val="-2"/>
              </w:rPr>
            </w:pPr>
            <w:r w:rsidRPr="00071E83">
              <w:rPr>
                <w:spacing w:val="-2"/>
              </w:rPr>
              <w:t>Jestliže restriktivní protipandemická opatření tvrdě dopadla v 1. čtvrtletí 2020 primárně na odvětví těsně navázaná na cestovní ruch, během následujícího kvartálu již dokázala na několik týdnů ochromit klíčovou část ekonomiky. Hrubá přidaná hodnota (HPH)</w:t>
            </w:r>
            <w:r w:rsidRPr="00071E83">
              <w:rPr>
                <w:rStyle w:val="Znakapoznpodarou"/>
                <w:spacing w:val="-2"/>
              </w:rPr>
              <w:footnoteReference w:id="1"/>
            </w:r>
            <w:r w:rsidRPr="00071E83">
              <w:rPr>
                <w:spacing w:val="-2"/>
              </w:rPr>
              <w:t xml:space="preserve"> tak </w:t>
            </w:r>
            <w:r w:rsidRPr="00071E83">
              <w:rPr>
                <w:spacing w:val="2"/>
              </w:rPr>
              <w:t>mezikvartálně propadla o rekordních 9,6 % a</w:t>
            </w:r>
            <w:r>
              <w:rPr>
                <w:spacing w:val="2"/>
              </w:rPr>
              <w:t> </w:t>
            </w:r>
            <w:r w:rsidRPr="00071E83">
              <w:rPr>
                <w:spacing w:val="2"/>
              </w:rPr>
              <w:t>prohloubila tak svůj pokles z 1. čtvrtletí</w:t>
            </w:r>
            <w:r>
              <w:rPr>
                <w:spacing w:val="2"/>
              </w:rPr>
              <w:t xml:space="preserve"> </w:t>
            </w:r>
            <w:r w:rsidRPr="00071E83">
              <w:rPr>
                <w:spacing w:val="-2"/>
              </w:rPr>
              <w:t>(</w:t>
            </w:r>
            <w:r>
              <w:rPr>
                <w:color w:val="000000" w:themeColor="text1"/>
                <w:spacing w:val="-2"/>
              </w:rPr>
              <w:t>–</w:t>
            </w:r>
            <w:r w:rsidRPr="00071E83">
              <w:rPr>
                <w:spacing w:val="-2"/>
              </w:rPr>
              <w:t>2,4 %). Ve 3.</w:t>
            </w:r>
            <w:r>
              <w:rPr>
                <w:spacing w:val="-2"/>
              </w:rPr>
              <w:t> čtvrtlet</w:t>
            </w:r>
            <w:r w:rsidRPr="00071E83">
              <w:rPr>
                <w:spacing w:val="-2"/>
              </w:rPr>
              <w:t xml:space="preserve">í </w:t>
            </w:r>
            <w:r>
              <w:rPr>
                <w:spacing w:val="-2"/>
              </w:rPr>
              <w:t xml:space="preserve">byla </w:t>
            </w:r>
            <w:r w:rsidRPr="00071E83">
              <w:rPr>
                <w:spacing w:val="-2"/>
              </w:rPr>
              <w:t xml:space="preserve">většina významných restriktivních opatření </w:t>
            </w:r>
            <w:r>
              <w:rPr>
                <w:spacing w:val="-2"/>
              </w:rPr>
              <w:t>zrušena</w:t>
            </w:r>
            <w:r w:rsidRPr="00071E83">
              <w:rPr>
                <w:spacing w:val="-2"/>
              </w:rPr>
              <w:t xml:space="preserve"> a</w:t>
            </w:r>
            <w:r>
              <w:rPr>
                <w:spacing w:val="-2"/>
              </w:rPr>
              <w:t> </w:t>
            </w:r>
            <w:r w:rsidRPr="00071E83">
              <w:rPr>
                <w:spacing w:val="-2"/>
              </w:rPr>
              <w:t>ekonomika se tak mohla opět nadechnout. Rychlou resuscitaci dokládá 7,5% mezičtvrtletní růst HPH, jenž rovněž neměl v téměř 25leté dostupné časové řadě obdoby. Výrazné zhoršení epidemické situace</w:t>
            </w:r>
            <w:r>
              <w:rPr>
                <w:spacing w:val="-2"/>
              </w:rPr>
              <w:t xml:space="preserve"> </w:t>
            </w:r>
            <w:r w:rsidRPr="00071E83">
              <w:rPr>
                <w:spacing w:val="-2"/>
              </w:rPr>
              <w:t xml:space="preserve">v poslední čtvrtině roku pokračující oživení hospodářství silně utlumilo, avšak nezastavilo. Jeho dopady byly oproti jarnímu období více selektivní, postihly především obory úzce navázané na spotřebu domácností. Řada oborů projevila </w:t>
            </w:r>
            <w:r>
              <w:rPr>
                <w:spacing w:val="-2"/>
              </w:rPr>
              <w:t>dobrou</w:t>
            </w:r>
            <w:r w:rsidRPr="00071E83">
              <w:rPr>
                <w:spacing w:val="-2"/>
              </w:rPr>
              <w:t xml:space="preserve"> </w:t>
            </w:r>
            <w:r>
              <w:rPr>
                <w:spacing w:val="-2"/>
              </w:rPr>
              <w:t>adaptační schopnost</w:t>
            </w:r>
            <w:r w:rsidRPr="00071E83">
              <w:rPr>
                <w:spacing w:val="-2"/>
              </w:rPr>
              <w:t>, když těžil</w:t>
            </w:r>
            <w:r>
              <w:rPr>
                <w:spacing w:val="-2"/>
              </w:rPr>
              <w:t>y</w:t>
            </w:r>
            <w:r w:rsidRPr="00071E83">
              <w:rPr>
                <w:spacing w:val="-2"/>
              </w:rPr>
              <w:t xml:space="preserve"> z příznivějšího </w:t>
            </w:r>
            <w:r>
              <w:rPr>
                <w:spacing w:val="-2"/>
              </w:rPr>
              <w:t>vývoje zahraniční poptávky i</w:t>
            </w:r>
            <w:r w:rsidRPr="00071E83">
              <w:rPr>
                <w:spacing w:val="-2"/>
              </w:rPr>
              <w:t> vyšších výdajů sektoru vládních institucí. Za celý loňský rok HPH klesla o</w:t>
            </w:r>
            <w:r>
              <w:rPr>
                <w:spacing w:val="-2"/>
              </w:rPr>
              <w:t> </w:t>
            </w:r>
            <w:r w:rsidRPr="00071E83">
              <w:rPr>
                <w:spacing w:val="-2"/>
              </w:rPr>
              <w:t>5,5</w:t>
            </w:r>
            <w:r>
              <w:rPr>
                <w:spacing w:val="-2"/>
              </w:rPr>
              <w:t> % a těsně tak předčila útlum z roku 2009, jenž byl v historii samostatné ČR dosud nejvyšší.</w:t>
            </w:r>
          </w:p>
        </w:tc>
      </w:tr>
      <w:tr w:rsidR="00B96D74" w:rsidRPr="00541253" w14:paraId="45327EE0" w14:textId="77777777" w:rsidTr="0091476D">
        <w:trPr>
          <w:trHeight w:val="155"/>
        </w:trPr>
        <w:tc>
          <w:tcPr>
            <w:tcW w:w="1780" w:type="dxa"/>
            <w:shd w:val="clear" w:color="auto" w:fill="auto"/>
            <w:tcMar>
              <w:left w:w="0" w:type="dxa"/>
            </w:tcMar>
          </w:tcPr>
          <w:p w14:paraId="7FC49CBC" w14:textId="77777777" w:rsidR="00B96D74" w:rsidRDefault="00B96D74" w:rsidP="0091476D">
            <w:pPr>
              <w:pStyle w:val="Marginlie"/>
            </w:pPr>
            <w:r w:rsidRPr="00CC3976">
              <w:rPr>
                <w:spacing w:val="-4"/>
              </w:rPr>
              <w:t>V</w:t>
            </w:r>
            <w:r>
              <w:rPr>
                <w:spacing w:val="-4"/>
              </w:rPr>
              <w:t> </w:t>
            </w:r>
            <w:r w:rsidRPr="00CC3976">
              <w:rPr>
                <w:spacing w:val="-4"/>
              </w:rPr>
              <w:t>1. i</w:t>
            </w:r>
            <w:r>
              <w:rPr>
                <w:spacing w:val="-4"/>
              </w:rPr>
              <w:t> </w:t>
            </w:r>
            <w:r w:rsidRPr="00CC3976">
              <w:rPr>
                <w:spacing w:val="-4"/>
              </w:rPr>
              <w:t>2.</w:t>
            </w:r>
            <w:r>
              <w:rPr>
                <w:spacing w:val="-4"/>
              </w:rPr>
              <w:t> čtvrtlet</w:t>
            </w:r>
            <w:r w:rsidRPr="00CC3976">
              <w:rPr>
                <w:spacing w:val="-4"/>
              </w:rPr>
              <w:t xml:space="preserve">í přispíval </w:t>
            </w:r>
            <w:r>
              <w:rPr>
                <w:spacing w:val="-4"/>
              </w:rPr>
              <w:t>k </w:t>
            </w:r>
            <w:r w:rsidRPr="00CC3976">
              <w:rPr>
                <w:spacing w:val="-4"/>
              </w:rPr>
              <w:t>poklesu výkonu ekonomiky nejvíce zpracovatelský průmysl, v dalším období uskupení obchod,</w:t>
            </w:r>
            <w:r>
              <w:rPr>
                <w:spacing w:val="-4"/>
              </w:rPr>
              <w:t xml:space="preserve"> </w:t>
            </w:r>
            <w:r w:rsidRPr="00CC3976">
              <w:rPr>
                <w:spacing w:val="-4"/>
              </w:rPr>
              <w:t>doprava, ubytování a</w:t>
            </w:r>
            <w:r>
              <w:rPr>
                <w:spacing w:val="-4"/>
              </w:rPr>
              <w:t> </w:t>
            </w:r>
            <w:r w:rsidRPr="00CC3976">
              <w:rPr>
                <w:spacing w:val="-4"/>
              </w:rPr>
              <w:t>pohostinství</w:t>
            </w:r>
            <w:r>
              <w:t>.</w:t>
            </w:r>
          </w:p>
          <w:p w14:paraId="34BDCF5C" w14:textId="77777777" w:rsidR="00B96D74" w:rsidRDefault="00B96D74" w:rsidP="0091476D">
            <w:pPr>
              <w:pStyle w:val="Marginlie"/>
            </w:pPr>
          </w:p>
          <w:p w14:paraId="70C8C806" w14:textId="77777777" w:rsidR="00B96D74" w:rsidRDefault="00B96D74" w:rsidP="0091476D">
            <w:pPr>
              <w:pStyle w:val="Marginlie"/>
            </w:pPr>
          </w:p>
          <w:p w14:paraId="61AE7295" w14:textId="77777777" w:rsidR="00B96D74" w:rsidRDefault="00B96D74" w:rsidP="0091476D">
            <w:pPr>
              <w:pStyle w:val="Marginlie"/>
            </w:pPr>
            <w:r>
              <w:t>V některých odvětvích služeb byly loňské propady HPH rekordní.</w:t>
            </w:r>
          </w:p>
          <w:p w14:paraId="7C6EA740" w14:textId="77777777" w:rsidR="00B96D74" w:rsidRDefault="00B96D74" w:rsidP="0091476D">
            <w:pPr>
              <w:pStyle w:val="Marginlie"/>
            </w:pPr>
          </w:p>
          <w:p w14:paraId="3C133C62" w14:textId="77777777" w:rsidR="00B96D74" w:rsidRDefault="00B96D74" w:rsidP="0091476D">
            <w:pPr>
              <w:pStyle w:val="Marginlie"/>
            </w:pPr>
          </w:p>
          <w:p w14:paraId="49005870" w14:textId="77777777" w:rsidR="00B96D74" w:rsidRDefault="00B96D74" w:rsidP="0091476D">
            <w:pPr>
              <w:pStyle w:val="Marginlie"/>
            </w:pPr>
          </w:p>
          <w:p w14:paraId="2D4D9C8D" w14:textId="77777777" w:rsidR="00B96D74" w:rsidRDefault="00B96D74" w:rsidP="0091476D">
            <w:pPr>
              <w:pStyle w:val="Marginlie"/>
            </w:pPr>
          </w:p>
          <w:p w14:paraId="157B9B3A" w14:textId="77777777" w:rsidR="00B96D74" w:rsidRDefault="00B96D74" w:rsidP="0091476D">
            <w:pPr>
              <w:pStyle w:val="Marginlie"/>
            </w:pPr>
            <w:r>
              <w:t>Na rozdíl od zpracovatelského průmyslu či energetiky nedošlo ve stavebnictví na konci roku k oživení.</w:t>
            </w:r>
          </w:p>
        </w:tc>
        <w:tc>
          <w:tcPr>
            <w:tcW w:w="214" w:type="dxa"/>
            <w:shd w:val="clear" w:color="auto" w:fill="auto"/>
            <w:tcMar>
              <w:left w:w="0" w:type="dxa"/>
            </w:tcMar>
          </w:tcPr>
          <w:p w14:paraId="41FEB6EB" w14:textId="77777777" w:rsidR="00B96D74" w:rsidRPr="003B1401" w:rsidRDefault="00B96D74" w:rsidP="0091476D">
            <w:pPr>
              <w:pStyle w:val="Textpoznpodarou"/>
              <w:jc w:val="both"/>
              <w:rPr>
                <w:spacing w:val="-4"/>
              </w:rPr>
            </w:pPr>
          </w:p>
        </w:tc>
        <w:tc>
          <w:tcPr>
            <w:tcW w:w="7670" w:type="dxa"/>
            <w:shd w:val="clear" w:color="auto" w:fill="auto"/>
            <w:tcMar>
              <w:left w:w="0" w:type="dxa"/>
            </w:tcMar>
          </w:tcPr>
          <w:p w14:paraId="63BC2DB6" w14:textId="77777777" w:rsidR="00B96D74" w:rsidRPr="00541253" w:rsidRDefault="00B96D74" w:rsidP="0091476D">
            <w:pPr>
              <w:rPr>
                <w:spacing w:val="-3"/>
              </w:rPr>
            </w:pPr>
            <w:r w:rsidRPr="00541253">
              <w:rPr>
                <w:spacing w:val="-2"/>
              </w:rPr>
              <w:t>Loňský útlum přidané hodnoty byl úzce svázán s poklesem počtu odpracovaných hodin (–6,0</w:t>
            </w:r>
            <w:r>
              <w:rPr>
                <w:spacing w:val="-2"/>
              </w:rPr>
              <w:t> %</w:t>
            </w:r>
            <w:r w:rsidRPr="00541253">
              <w:rPr>
                <w:spacing w:val="-2"/>
              </w:rPr>
              <w:t>),</w:t>
            </w:r>
            <w:r>
              <w:rPr>
                <w:spacing w:val="-3"/>
              </w:rPr>
              <w:t xml:space="preserve"> třikrát vyšším než</w:t>
            </w:r>
            <w:r w:rsidRPr="00541253">
              <w:rPr>
                <w:spacing w:val="-3"/>
              </w:rPr>
              <w:t xml:space="preserve"> v krizovém roce 2009. Rovněž skladba nejcitelněji zasažených odvětví nebyla identická a</w:t>
            </w:r>
            <w:r>
              <w:rPr>
                <w:spacing w:val="-3"/>
              </w:rPr>
              <w:t> </w:t>
            </w:r>
            <w:r w:rsidRPr="00541253">
              <w:rPr>
                <w:spacing w:val="-3"/>
              </w:rPr>
              <w:t>v</w:t>
            </w:r>
            <w:r>
              <w:rPr>
                <w:spacing w:val="-3"/>
              </w:rPr>
              <w:t> </w:t>
            </w:r>
            <w:r w:rsidRPr="00541253">
              <w:rPr>
                <w:spacing w:val="-3"/>
              </w:rPr>
              <w:t>průběhu loňského roku doznala podstatných změn. Zatímco ve všech předešlých obdobích recese v historii samostatné ČR hrál prim průmysl, loni se na</w:t>
            </w:r>
            <w:r>
              <w:rPr>
                <w:spacing w:val="-3"/>
              </w:rPr>
              <w:t xml:space="preserve"> </w:t>
            </w:r>
            <w:r w:rsidRPr="00541253">
              <w:rPr>
                <w:color w:val="0D0D0D" w:themeColor="text1" w:themeTint="F2"/>
                <w:spacing w:val="-3"/>
              </w:rPr>
              <w:t xml:space="preserve">poklesu výkonu ekonomiky podepsal nejvíce sektor služeb (příspěvek </w:t>
            </w:r>
            <w:r w:rsidRPr="00541253">
              <w:rPr>
                <w:spacing w:val="-3"/>
              </w:rPr>
              <w:t>–</w:t>
            </w:r>
            <w:r w:rsidRPr="00541253">
              <w:rPr>
                <w:color w:val="0D0D0D" w:themeColor="text1" w:themeTint="F2"/>
                <w:spacing w:val="-3"/>
              </w:rPr>
              <w:t>3,3</w:t>
            </w:r>
            <w:r>
              <w:rPr>
                <w:color w:val="0D0D0D" w:themeColor="text1" w:themeTint="F2"/>
                <w:spacing w:val="-3"/>
              </w:rPr>
              <w:t> p. b.</w:t>
            </w:r>
            <w:r w:rsidRPr="00541253">
              <w:rPr>
                <w:color w:val="0D0D0D" w:themeColor="text1" w:themeTint="F2"/>
                <w:spacing w:val="-3"/>
              </w:rPr>
              <w:t>), konkrétně zejména uskupení obchod, doprava, ubytování a</w:t>
            </w:r>
            <w:r>
              <w:rPr>
                <w:color w:val="0D0D0D" w:themeColor="text1" w:themeTint="F2"/>
                <w:spacing w:val="-3"/>
              </w:rPr>
              <w:t> </w:t>
            </w:r>
            <w:r w:rsidRPr="00541253">
              <w:rPr>
                <w:color w:val="0D0D0D" w:themeColor="text1" w:themeTint="F2"/>
                <w:spacing w:val="-3"/>
              </w:rPr>
              <w:t>pohostinství (</w:t>
            </w:r>
            <w:r w:rsidRPr="00541253">
              <w:rPr>
                <w:spacing w:val="-3"/>
              </w:rPr>
              <w:t>–</w:t>
            </w:r>
            <w:r w:rsidRPr="00541253">
              <w:rPr>
                <w:color w:val="0D0D0D" w:themeColor="text1" w:themeTint="F2"/>
                <w:spacing w:val="-3"/>
              </w:rPr>
              <w:t>2,2</w:t>
            </w:r>
            <w:r>
              <w:rPr>
                <w:color w:val="0D0D0D" w:themeColor="text1" w:themeTint="F2"/>
                <w:spacing w:val="-3"/>
              </w:rPr>
              <w:t> p. b.</w:t>
            </w:r>
            <w:r w:rsidRPr="00541253">
              <w:rPr>
                <w:color w:val="0D0D0D" w:themeColor="text1" w:themeTint="F2"/>
                <w:spacing w:val="-3"/>
              </w:rPr>
              <w:t>)</w:t>
            </w:r>
            <w:r>
              <w:rPr>
                <w:rStyle w:val="Znakapoznpodarou"/>
                <w:color w:val="0D0D0D" w:themeColor="text1" w:themeTint="F2"/>
                <w:spacing w:val="-3"/>
              </w:rPr>
              <w:footnoteReference w:id="2"/>
            </w:r>
            <w:r w:rsidRPr="00541253">
              <w:rPr>
                <w:color w:val="0D0D0D" w:themeColor="text1" w:themeTint="F2"/>
                <w:spacing w:val="-3"/>
              </w:rPr>
              <w:t xml:space="preserve">. </w:t>
            </w:r>
            <w:r>
              <w:rPr>
                <w:color w:val="0D0D0D" w:themeColor="text1" w:themeTint="F2"/>
                <w:spacing w:val="-3"/>
              </w:rPr>
              <w:t xml:space="preserve">HPH v tomto odvětví se za </w:t>
            </w:r>
            <w:r w:rsidRPr="0075739A">
              <w:rPr>
                <w:color w:val="0D0D0D" w:themeColor="text1" w:themeTint="F2"/>
                <w:spacing w:val="-3"/>
              </w:rPr>
              <w:t>loňský rok propadla nejvíce v novodobé historii, obdobně jako v</w:t>
            </w:r>
            <w:r w:rsidRPr="00071E83">
              <w:rPr>
                <w:spacing w:val="-2"/>
              </w:rPr>
              <w:t> </w:t>
            </w:r>
            <w:r w:rsidRPr="0075739A">
              <w:rPr>
                <w:color w:val="0D0D0D" w:themeColor="text1" w:themeTint="F2"/>
                <w:spacing w:val="-4"/>
              </w:rPr>
              <w:t>profesních, vědeckých, technických a</w:t>
            </w:r>
            <w:r>
              <w:rPr>
                <w:color w:val="0D0D0D" w:themeColor="text1" w:themeTint="F2"/>
                <w:spacing w:val="-4"/>
              </w:rPr>
              <w:t> </w:t>
            </w:r>
            <w:r w:rsidRPr="0075739A">
              <w:rPr>
                <w:color w:val="0D0D0D" w:themeColor="text1" w:themeTint="F2"/>
                <w:spacing w:val="-4"/>
              </w:rPr>
              <w:t>administrativních činnostech či v odvětví ostatní činnosti služeb</w:t>
            </w:r>
            <w:r w:rsidRPr="0075739A">
              <w:rPr>
                <w:rStyle w:val="Znakapoznpodarou"/>
                <w:color w:val="0D0D0D" w:themeColor="text1" w:themeTint="F2"/>
                <w:spacing w:val="-4"/>
              </w:rPr>
              <w:footnoteReference w:id="3"/>
            </w:r>
            <w:r>
              <w:rPr>
                <w:color w:val="0D0D0D" w:themeColor="text1" w:themeTint="F2"/>
                <w:spacing w:val="-4"/>
              </w:rPr>
              <w:t xml:space="preserve">. Příspěvek průmyslu činil loni </w:t>
            </w:r>
            <w:r w:rsidRPr="00541253">
              <w:rPr>
                <w:spacing w:val="-3"/>
              </w:rPr>
              <w:t>–</w:t>
            </w:r>
            <w:r>
              <w:rPr>
                <w:color w:val="0D0D0D" w:themeColor="text1" w:themeTint="F2"/>
                <w:spacing w:val="-4"/>
              </w:rPr>
              <w:t>2,1 p. b.</w:t>
            </w:r>
            <w:r w:rsidRPr="00AB5C8C">
              <w:rPr>
                <w:color w:val="0D0D0D" w:themeColor="text1" w:themeTint="F2"/>
                <w:spacing w:val="-4"/>
              </w:rPr>
              <w:t xml:space="preserve"> Nejvíce táhl dolů celou ekonomiku v 1.</w:t>
            </w:r>
            <w:r>
              <w:rPr>
                <w:color w:val="0D0D0D" w:themeColor="text1" w:themeTint="F2"/>
                <w:spacing w:val="-4"/>
              </w:rPr>
              <w:t> pololet</w:t>
            </w:r>
            <w:r w:rsidRPr="00AB5C8C">
              <w:rPr>
                <w:color w:val="0D0D0D" w:themeColor="text1" w:themeTint="F2"/>
                <w:spacing w:val="-4"/>
              </w:rPr>
              <w:t xml:space="preserve">í, kdy se na jeho výkonu podepsalo dubnové uzavření provozoven klíčových exportních podniků. Ve druhé půli roku naopak těžil z rychle oživující zahraniční poptávky související </w:t>
            </w:r>
            <w:r>
              <w:rPr>
                <w:color w:val="0D0D0D" w:themeColor="text1" w:themeTint="F2"/>
                <w:spacing w:val="-4"/>
              </w:rPr>
              <w:t>i </w:t>
            </w:r>
            <w:r w:rsidRPr="00AB5C8C">
              <w:rPr>
                <w:color w:val="0D0D0D" w:themeColor="text1" w:themeTint="F2"/>
                <w:spacing w:val="-4"/>
              </w:rPr>
              <w:t>s příznivým vývojem důležitých východoasijských ekonomik. Ve 4.</w:t>
            </w:r>
            <w:r>
              <w:rPr>
                <w:color w:val="0D0D0D" w:themeColor="text1" w:themeTint="F2"/>
                <w:spacing w:val="-4"/>
              </w:rPr>
              <w:t> čtvrtlet</w:t>
            </w:r>
            <w:r w:rsidRPr="00AB5C8C">
              <w:rPr>
                <w:color w:val="0D0D0D" w:themeColor="text1" w:themeTint="F2"/>
                <w:spacing w:val="-4"/>
              </w:rPr>
              <w:t xml:space="preserve">í </w:t>
            </w:r>
            <w:r>
              <w:rPr>
                <w:color w:val="0D0D0D" w:themeColor="text1" w:themeTint="F2"/>
                <w:spacing w:val="-4"/>
              </w:rPr>
              <w:t xml:space="preserve">činil </w:t>
            </w:r>
            <w:r w:rsidRPr="00AB5C8C">
              <w:rPr>
                <w:color w:val="0D0D0D" w:themeColor="text1" w:themeTint="F2"/>
                <w:spacing w:val="-4"/>
              </w:rPr>
              <w:t xml:space="preserve">příspěvek </w:t>
            </w:r>
            <w:r w:rsidRPr="00852533">
              <w:rPr>
                <w:color w:val="0D0D0D" w:themeColor="text1" w:themeTint="F2"/>
                <w:spacing w:val="-4"/>
              </w:rPr>
              <w:t xml:space="preserve">průmyslu k meziroční změně HPH v ekonomice jen </w:t>
            </w:r>
            <w:r w:rsidRPr="00852533">
              <w:rPr>
                <w:spacing w:val="-4"/>
              </w:rPr>
              <w:t>–</w:t>
            </w:r>
            <w:r w:rsidRPr="00852533">
              <w:rPr>
                <w:color w:val="0D0D0D" w:themeColor="text1" w:themeTint="F2"/>
                <w:spacing w:val="-4"/>
              </w:rPr>
              <w:t>0,4</w:t>
            </w:r>
            <w:r>
              <w:rPr>
                <w:color w:val="0D0D0D" w:themeColor="text1" w:themeTint="F2"/>
                <w:spacing w:val="-4"/>
              </w:rPr>
              <w:t> p. b.</w:t>
            </w:r>
            <w:r w:rsidRPr="00852533">
              <w:rPr>
                <w:color w:val="0D0D0D" w:themeColor="text1" w:themeTint="F2"/>
                <w:spacing w:val="-4"/>
              </w:rPr>
              <w:t xml:space="preserve"> O</w:t>
            </w:r>
            <w:r>
              <w:rPr>
                <w:color w:val="0D0D0D" w:themeColor="text1" w:themeTint="F2"/>
                <w:spacing w:val="-4"/>
              </w:rPr>
              <w:t>živení poptávky i</w:t>
            </w:r>
            <w:r w:rsidRPr="00AB5C8C">
              <w:rPr>
                <w:color w:val="0D0D0D" w:themeColor="text1" w:themeTint="F2"/>
                <w:spacing w:val="-4"/>
              </w:rPr>
              <w:t> </w:t>
            </w:r>
            <w:r w:rsidRPr="00852533">
              <w:rPr>
                <w:color w:val="0D0D0D" w:themeColor="text1" w:themeTint="F2"/>
                <w:spacing w:val="-4"/>
              </w:rPr>
              <w:t>plynulá výroba ve zpracovatelském průmyslu měly pozitivní dopad i</w:t>
            </w:r>
            <w:r>
              <w:rPr>
                <w:color w:val="0D0D0D" w:themeColor="text1" w:themeTint="F2"/>
                <w:spacing w:val="-4"/>
              </w:rPr>
              <w:t> </w:t>
            </w:r>
            <w:r w:rsidRPr="00852533">
              <w:rPr>
                <w:color w:val="0D0D0D" w:themeColor="text1" w:themeTint="F2"/>
                <w:spacing w:val="-4"/>
              </w:rPr>
              <w:t>na energetiku.</w:t>
            </w:r>
            <w:r>
              <w:rPr>
                <w:color w:val="0D0D0D" w:themeColor="text1" w:themeTint="F2"/>
                <w:spacing w:val="-5"/>
              </w:rPr>
              <w:t xml:space="preserve"> K podobnému oživení nedošlo ve stavebnictví. Díky setrvačnému charakteru produkce i</w:t>
            </w:r>
            <w:r w:rsidRPr="00AB5C8C">
              <w:rPr>
                <w:color w:val="0D0D0D" w:themeColor="text1" w:themeTint="F2"/>
                <w:spacing w:val="-4"/>
              </w:rPr>
              <w:t> </w:t>
            </w:r>
            <w:r>
              <w:rPr>
                <w:spacing w:val="-4"/>
              </w:rPr>
              <w:t>vysoké zásobě zakázek</w:t>
            </w:r>
            <w:r>
              <w:rPr>
                <w:color w:val="0D0D0D" w:themeColor="text1" w:themeTint="F2"/>
                <w:spacing w:val="-5"/>
              </w:rPr>
              <w:t xml:space="preserve"> měla protipandemická opatření v tomto odvětví zpočátku menší dopad a projevila se především omezenou disponibilitou zahraničních pracovníků. Narůstající ekonomické nejistoty podniků i domácností spolu s </w:t>
            </w:r>
            <w:r>
              <w:rPr>
                <w:spacing w:val="-4"/>
              </w:rPr>
              <w:t>vysokou administrativní náročností procesu přípravy i realizace staveb si ale postupně začaly vybírat sovu daň. HPH ve stavebnictví, jako v jednom z mála hlavních odvětví, tak na sklonku roku ve srovnání se 3. čtvrtletím 2020 poklesla (o 1,2 %).</w:t>
            </w:r>
          </w:p>
        </w:tc>
      </w:tr>
      <w:tr w:rsidR="00B96D74" w:rsidRPr="00BC341E" w14:paraId="4C504FE7" w14:textId="77777777" w:rsidTr="0091476D">
        <w:trPr>
          <w:trHeight w:val="155"/>
        </w:trPr>
        <w:tc>
          <w:tcPr>
            <w:tcW w:w="1780" w:type="dxa"/>
            <w:shd w:val="clear" w:color="auto" w:fill="auto"/>
            <w:tcMar>
              <w:left w:w="0" w:type="dxa"/>
            </w:tcMar>
          </w:tcPr>
          <w:p w14:paraId="3D3A3676" w14:textId="77777777" w:rsidR="00B96D74" w:rsidRDefault="00B96D74" w:rsidP="0091476D">
            <w:pPr>
              <w:pStyle w:val="Marginlie"/>
              <w:rPr>
                <w:spacing w:val="-4"/>
              </w:rPr>
            </w:pPr>
            <w:r>
              <w:rPr>
                <w:spacing w:val="-4"/>
              </w:rPr>
              <w:t>Pokles HPH v ekonomice byl nejvíce tlumen vyšším výkonem veřejných služeb.</w:t>
            </w:r>
          </w:p>
          <w:p w14:paraId="7D481399" w14:textId="77777777" w:rsidR="00B96D74" w:rsidRDefault="00B96D74" w:rsidP="0091476D">
            <w:pPr>
              <w:pStyle w:val="Marginlie"/>
              <w:rPr>
                <w:spacing w:val="-4"/>
              </w:rPr>
            </w:pPr>
          </w:p>
          <w:p w14:paraId="5124C067" w14:textId="77777777" w:rsidR="00B96D74" w:rsidRDefault="00B96D74" w:rsidP="0091476D">
            <w:pPr>
              <w:pStyle w:val="Marginlie"/>
              <w:rPr>
                <w:spacing w:val="-4"/>
              </w:rPr>
            </w:pPr>
          </w:p>
          <w:p w14:paraId="09F617F2" w14:textId="77777777" w:rsidR="00B96D74" w:rsidRDefault="00B96D74" w:rsidP="0091476D">
            <w:pPr>
              <w:pStyle w:val="Marginlie"/>
              <w:rPr>
                <w:spacing w:val="-4"/>
              </w:rPr>
            </w:pPr>
          </w:p>
          <w:p w14:paraId="4101614D" w14:textId="77777777" w:rsidR="00B96D74" w:rsidRDefault="00B96D74" w:rsidP="0091476D">
            <w:pPr>
              <w:pStyle w:val="Marginlie"/>
              <w:rPr>
                <w:spacing w:val="-4"/>
              </w:rPr>
            </w:pPr>
            <w:r w:rsidRPr="00BE54BF">
              <w:t>Nejvíce rostla HPH v zemědělství, lesnictví a</w:t>
            </w:r>
            <w:r>
              <w:t> </w:t>
            </w:r>
            <w:r w:rsidRPr="00BE54BF">
              <w:t>rybářství. Projevil</w:t>
            </w:r>
            <w:r>
              <w:t>y</w:t>
            </w:r>
            <w:r w:rsidRPr="00BE54BF">
              <w:t xml:space="preserve"> se </w:t>
            </w:r>
            <w:r w:rsidRPr="00BE54BF">
              <w:lastRenderedPageBreak/>
              <w:t xml:space="preserve">vliv dobré úrody, stabilizovaný stav živočišné výroby </w:t>
            </w:r>
            <w:r>
              <w:t>i </w:t>
            </w:r>
            <w:r w:rsidRPr="00BE54BF">
              <w:t>silná živelní těžba dřeva.</w:t>
            </w:r>
          </w:p>
        </w:tc>
        <w:tc>
          <w:tcPr>
            <w:tcW w:w="214" w:type="dxa"/>
            <w:shd w:val="clear" w:color="auto" w:fill="auto"/>
            <w:tcMar>
              <w:left w:w="0" w:type="dxa"/>
            </w:tcMar>
          </w:tcPr>
          <w:p w14:paraId="6CFE9E43" w14:textId="77777777" w:rsidR="00B96D74" w:rsidRPr="003B1401" w:rsidRDefault="00B96D74" w:rsidP="0091476D">
            <w:pPr>
              <w:pStyle w:val="Textpoznpodarou"/>
              <w:jc w:val="both"/>
              <w:rPr>
                <w:spacing w:val="-4"/>
              </w:rPr>
            </w:pPr>
          </w:p>
        </w:tc>
        <w:tc>
          <w:tcPr>
            <w:tcW w:w="7670" w:type="dxa"/>
            <w:shd w:val="clear" w:color="auto" w:fill="auto"/>
            <w:tcMar>
              <w:left w:w="0" w:type="dxa"/>
            </w:tcMar>
          </w:tcPr>
          <w:p w14:paraId="7F0A61A1" w14:textId="32691ED7" w:rsidR="00B96D74" w:rsidRPr="00BC341E" w:rsidRDefault="00B96D74" w:rsidP="0091476D">
            <w:pPr>
              <w:rPr>
                <w:rFonts w:cs="Arial"/>
                <w:bCs/>
                <w:color w:val="0D0D0D" w:themeColor="text1" w:themeTint="F2"/>
                <w:spacing w:val="-4"/>
                <w:szCs w:val="20"/>
              </w:rPr>
            </w:pPr>
            <w:r>
              <w:rPr>
                <w:rFonts w:cs="Arial"/>
                <w:bCs/>
                <w:color w:val="000000"/>
                <w:spacing w:val="-4"/>
                <w:szCs w:val="20"/>
              </w:rPr>
              <w:t>Proti hlubšímu poklesu HPH v ekonomice působila loni nejvíce odvětví s převahou vládních institucí, a to zejména ve 2. polovině roku (+0,3 p. b.), kdy ve vazbě na nepříznivou epidemickou situaci narostly nároky na výkon zdravotnictví</w:t>
            </w:r>
            <w:r>
              <w:rPr>
                <w:rStyle w:val="Znakapoznpodarou"/>
                <w:bCs/>
                <w:color w:val="000000"/>
                <w:spacing w:val="-4"/>
                <w:szCs w:val="20"/>
              </w:rPr>
              <w:footnoteReference w:id="4"/>
            </w:r>
            <w:r>
              <w:rPr>
                <w:rFonts w:cs="Arial"/>
                <w:bCs/>
                <w:color w:val="000000"/>
                <w:spacing w:val="-4"/>
                <w:szCs w:val="20"/>
              </w:rPr>
              <w:t>. To platilo i pro informační a</w:t>
            </w:r>
            <w:r w:rsidRPr="00AB5C8C">
              <w:rPr>
                <w:color w:val="0D0D0D" w:themeColor="text1" w:themeTint="F2"/>
                <w:spacing w:val="-4"/>
              </w:rPr>
              <w:t> </w:t>
            </w:r>
            <w:r>
              <w:rPr>
                <w:rFonts w:cs="Arial"/>
                <w:bCs/>
                <w:color w:val="000000"/>
                <w:spacing w:val="-4"/>
                <w:szCs w:val="20"/>
              </w:rPr>
              <w:t>komunikační činnosti. I tak zde HPH loni rostla nejméně za posledních osm let (+1,6 %)</w:t>
            </w:r>
            <w:r>
              <w:rPr>
                <w:rStyle w:val="Znakapoznpodarou"/>
                <w:bCs/>
                <w:color w:val="000000"/>
                <w:spacing w:val="-4"/>
                <w:szCs w:val="20"/>
              </w:rPr>
              <w:footnoteReference w:id="5"/>
            </w:r>
            <w:r>
              <w:rPr>
                <w:rFonts w:cs="Arial"/>
                <w:bCs/>
                <w:color w:val="000000"/>
                <w:spacing w:val="-4"/>
                <w:szCs w:val="20"/>
              </w:rPr>
              <w:t xml:space="preserve">. </w:t>
            </w:r>
            <w:r w:rsidRPr="00551127">
              <w:rPr>
                <w:rFonts w:cs="Arial"/>
                <w:bCs/>
                <w:color w:val="0D0D0D" w:themeColor="text1" w:themeTint="F2"/>
                <w:spacing w:val="-4"/>
                <w:szCs w:val="20"/>
              </w:rPr>
              <w:t xml:space="preserve">HPH </w:t>
            </w:r>
            <w:r w:rsidRPr="00551127">
              <w:rPr>
                <w:color w:val="0D0D0D" w:themeColor="text1" w:themeTint="F2"/>
                <w:spacing w:val="-4"/>
              </w:rPr>
              <w:t>zemědělství, lesnictví a</w:t>
            </w:r>
            <w:r>
              <w:rPr>
                <w:color w:val="0D0D0D" w:themeColor="text1" w:themeTint="F2"/>
                <w:spacing w:val="-4"/>
              </w:rPr>
              <w:t> </w:t>
            </w:r>
            <w:r w:rsidRPr="00551127">
              <w:rPr>
                <w:color w:val="0D0D0D" w:themeColor="text1" w:themeTint="F2"/>
                <w:spacing w:val="-4"/>
              </w:rPr>
              <w:t>rybářství</w:t>
            </w:r>
            <w:r>
              <w:rPr>
                <w:color w:val="0D0D0D" w:themeColor="text1" w:themeTint="F2"/>
                <w:spacing w:val="-4"/>
              </w:rPr>
              <w:t xml:space="preserve"> vzrostla loni meziročně o bezmála 5 % a stejně jako </w:t>
            </w:r>
            <w:r w:rsidRPr="00551127">
              <w:rPr>
                <w:rFonts w:cs="Arial"/>
                <w:bCs/>
                <w:color w:val="0D0D0D" w:themeColor="text1" w:themeTint="F2"/>
                <w:spacing w:val="-4"/>
                <w:szCs w:val="20"/>
              </w:rPr>
              <w:t>v roce 2019</w:t>
            </w:r>
            <w:r>
              <w:rPr>
                <w:rFonts w:cs="Arial"/>
                <w:bCs/>
                <w:color w:val="0D0D0D" w:themeColor="text1" w:themeTint="F2"/>
                <w:spacing w:val="-4"/>
                <w:szCs w:val="20"/>
              </w:rPr>
              <w:t xml:space="preserve"> to bylo jedno z nejdynamičtějších odvětví ekonomiky. </w:t>
            </w:r>
            <w:r w:rsidRPr="007D213B">
              <w:rPr>
                <w:spacing w:val="-4"/>
              </w:rPr>
              <w:t xml:space="preserve">Přispěla k tomu stabilizovaná situace v zemědělské prvovýrobě, jež nebyla </w:t>
            </w:r>
            <w:r>
              <w:rPr>
                <w:spacing w:val="-4"/>
              </w:rPr>
              <w:t>v roce 2020</w:t>
            </w:r>
            <w:r w:rsidRPr="007D213B">
              <w:rPr>
                <w:spacing w:val="-4"/>
              </w:rPr>
              <w:t xml:space="preserve"> vyjma zpřísněných hygienických opatření regulačními vlivy negativně dotčena. </w:t>
            </w:r>
            <w:r>
              <w:rPr>
                <w:spacing w:val="-4"/>
              </w:rPr>
              <w:t xml:space="preserve">Výroba masa lehce vzrostla </w:t>
            </w:r>
            <w:r>
              <w:rPr>
                <w:spacing w:val="-4"/>
              </w:rPr>
              <w:lastRenderedPageBreak/>
              <w:t xml:space="preserve">(+0,9 %), a to </w:t>
            </w:r>
            <w:r w:rsidRPr="00ED3E51">
              <w:rPr>
                <w:spacing w:val="-5"/>
              </w:rPr>
              <w:t>díky vyšší porážkové hmotnosti vykrmovaného skotu a</w:t>
            </w:r>
            <w:r>
              <w:rPr>
                <w:spacing w:val="-5"/>
              </w:rPr>
              <w:t> </w:t>
            </w:r>
            <w:r w:rsidRPr="00ED3E51">
              <w:rPr>
                <w:spacing w:val="-5"/>
              </w:rPr>
              <w:t>prasat i</w:t>
            </w:r>
            <w:r>
              <w:rPr>
                <w:spacing w:val="-5"/>
              </w:rPr>
              <w:t> </w:t>
            </w:r>
            <w:r w:rsidRPr="00ED3E51">
              <w:rPr>
                <w:spacing w:val="-5"/>
              </w:rPr>
              <w:t>dlouhodobě posilující spotřebitelské oblibě drůbežího masa. Tuzemští producenti prodali naturálně o 3,9 % mléka více. Rostlinnou produkc</w:t>
            </w:r>
            <w:r>
              <w:rPr>
                <w:spacing w:val="-5"/>
              </w:rPr>
              <w:t>i</w:t>
            </w:r>
            <w:r w:rsidRPr="00ED3E51">
              <w:rPr>
                <w:spacing w:val="-5"/>
              </w:rPr>
              <w:t xml:space="preserve"> podpořil</w:t>
            </w:r>
            <w:r>
              <w:rPr>
                <w:spacing w:val="-5"/>
              </w:rPr>
              <w:t>a</w:t>
            </w:r>
            <w:r w:rsidRPr="00ED3E51">
              <w:rPr>
                <w:spacing w:val="-5"/>
              </w:rPr>
              <w:t xml:space="preserve"> </w:t>
            </w:r>
            <w:r w:rsidR="00D260C7">
              <w:rPr>
                <w:spacing w:val="-5"/>
              </w:rPr>
              <w:t>dobrá loňská</w:t>
            </w:r>
            <w:r w:rsidRPr="00ED3E51">
              <w:rPr>
                <w:spacing w:val="-5"/>
              </w:rPr>
              <w:t xml:space="preserve"> sklizeň, zejména u</w:t>
            </w:r>
            <w:r>
              <w:rPr>
                <w:spacing w:val="-5"/>
              </w:rPr>
              <w:t> </w:t>
            </w:r>
            <w:r w:rsidRPr="00ED3E51">
              <w:rPr>
                <w:spacing w:val="-5"/>
              </w:rPr>
              <w:t>obilovin, brambor či pícnin</w:t>
            </w:r>
            <w:r w:rsidRPr="00ED3E51">
              <w:rPr>
                <w:rStyle w:val="Znakapoznpodarou"/>
                <w:spacing w:val="-5"/>
              </w:rPr>
              <w:footnoteReference w:id="6"/>
            </w:r>
            <w:r w:rsidRPr="00ED3E51">
              <w:rPr>
                <w:spacing w:val="-5"/>
              </w:rPr>
              <w:t>. Prorůstově zřejmě působila na celý primární sektor i pokračující živelní těžba dřeva.</w:t>
            </w:r>
          </w:p>
        </w:tc>
      </w:tr>
      <w:tr w:rsidR="00B96D74" w:rsidRPr="00F63577" w14:paraId="29F48783" w14:textId="77777777" w:rsidTr="0091476D">
        <w:trPr>
          <w:trHeight w:val="155"/>
        </w:trPr>
        <w:tc>
          <w:tcPr>
            <w:tcW w:w="1780" w:type="dxa"/>
            <w:shd w:val="clear" w:color="auto" w:fill="auto"/>
            <w:tcMar>
              <w:left w:w="0" w:type="dxa"/>
            </w:tcMar>
          </w:tcPr>
          <w:p w14:paraId="401638D8" w14:textId="77777777" w:rsidR="00B96D74" w:rsidRDefault="00B96D74" w:rsidP="0091476D">
            <w:pPr>
              <w:pStyle w:val="Marginlie"/>
              <w:rPr>
                <w:spacing w:val="-4"/>
              </w:rPr>
            </w:pPr>
            <w:r w:rsidRPr="00883202">
              <w:lastRenderedPageBreak/>
              <w:t xml:space="preserve">Největší meziroční útlum </w:t>
            </w:r>
            <w:r>
              <w:t>HPH postihl loni</w:t>
            </w:r>
            <w:r w:rsidRPr="00883202">
              <w:t xml:space="preserve"> státy jižního</w:t>
            </w:r>
            <w:r>
              <w:t xml:space="preserve"> křídla eurozóny. Ze středoevropských ekonomik si vedlo nejlépe Polsko.</w:t>
            </w:r>
          </w:p>
        </w:tc>
        <w:tc>
          <w:tcPr>
            <w:tcW w:w="214" w:type="dxa"/>
            <w:shd w:val="clear" w:color="auto" w:fill="auto"/>
            <w:tcMar>
              <w:left w:w="0" w:type="dxa"/>
            </w:tcMar>
          </w:tcPr>
          <w:p w14:paraId="2F8F8DD6" w14:textId="77777777" w:rsidR="00B96D74" w:rsidRPr="003B1401" w:rsidRDefault="00B96D74" w:rsidP="0091476D">
            <w:pPr>
              <w:pStyle w:val="Textpoznpodarou"/>
              <w:jc w:val="both"/>
              <w:rPr>
                <w:spacing w:val="-4"/>
              </w:rPr>
            </w:pPr>
          </w:p>
        </w:tc>
        <w:tc>
          <w:tcPr>
            <w:tcW w:w="7670" w:type="dxa"/>
            <w:shd w:val="clear" w:color="auto" w:fill="auto"/>
            <w:tcMar>
              <w:left w:w="0" w:type="dxa"/>
            </w:tcMar>
          </w:tcPr>
          <w:p w14:paraId="31411CA4" w14:textId="77777777" w:rsidR="00B96D74" w:rsidRPr="00F63577" w:rsidRDefault="00B96D74" w:rsidP="0091476D">
            <w:pPr>
              <w:rPr>
                <w:rFonts w:cs="Arial"/>
                <w:bCs/>
                <w:color w:val="000000"/>
                <w:spacing w:val="-4"/>
                <w:szCs w:val="20"/>
              </w:rPr>
            </w:pPr>
            <w:r>
              <w:rPr>
                <w:spacing w:val="-4"/>
              </w:rPr>
              <w:t>Celková přidaná hodnota klesla za loňský rok v EU o 6,1 % a v zemích eurozóny o 6,5 %, tedy více než v ČR</w:t>
            </w:r>
            <w:r>
              <w:rPr>
                <w:rStyle w:val="Znakapoznpodarou"/>
                <w:spacing w:val="-4"/>
              </w:rPr>
              <w:footnoteReference w:id="7"/>
            </w:r>
            <w:r>
              <w:rPr>
                <w:spacing w:val="-4"/>
              </w:rPr>
              <w:t>. Přesto byl tuzemský útlum mezi státy EU desátý nejvyšší. Unijní</w:t>
            </w:r>
            <w:r w:rsidRPr="00F63577">
              <w:rPr>
                <w:spacing w:val="-4"/>
              </w:rPr>
              <w:t xml:space="preserve"> výsledky byly ovlivněny propade</w:t>
            </w:r>
            <w:r>
              <w:rPr>
                <w:spacing w:val="-4"/>
              </w:rPr>
              <w:t xml:space="preserve">m výkonu </w:t>
            </w:r>
            <w:r w:rsidRPr="00F63577">
              <w:rPr>
                <w:spacing w:val="-4"/>
              </w:rPr>
              <w:t>významných ekonomik zejména na jižn</w:t>
            </w:r>
            <w:r>
              <w:rPr>
                <w:spacing w:val="-4"/>
              </w:rPr>
              <w:t>ím křídle eurozóny (Španělsko 10,8 %, Itálie 8</w:t>
            </w:r>
            <w:r w:rsidRPr="00F63577">
              <w:rPr>
                <w:spacing w:val="-4"/>
              </w:rPr>
              <w:t>,6 %, Řecko</w:t>
            </w:r>
            <w:r>
              <w:rPr>
                <w:spacing w:val="-4"/>
              </w:rPr>
              <w:t xml:space="preserve"> 8,1 %</w:t>
            </w:r>
            <w:r w:rsidRPr="00F63577">
              <w:rPr>
                <w:spacing w:val="-4"/>
              </w:rPr>
              <w:t>, Port</w:t>
            </w:r>
            <w:r>
              <w:rPr>
                <w:spacing w:val="-4"/>
              </w:rPr>
              <w:t>ugalsko 6,4 %) a také Francie (8,1 %). Ze středoevropských</w:t>
            </w:r>
            <w:r w:rsidRPr="00F63577">
              <w:rPr>
                <w:spacing w:val="-4"/>
              </w:rPr>
              <w:t xml:space="preserve"> s</w:t>
            </w:r>
            <w:r>
              <w:rPr>
                <w:spacing w:val="-4"/>
              </w:rPr>
              <w:t>tátů si nejlépe vedlo Polsko (</w:t>
            </w:r>
            <w:r w:rsidRPr="00852533">
              <w:rPr>
                <w:spacing w:val="-4"/>
              </w:rPr>
              <w:t>–</w:t>
            </w:r>
            <w:r>
              <w:rPr>
                <w:spacing w:val="-4"/>
              </w:rPr>
              <w:t xml:space="preserve">2,8 %), nejhůře Rakousko </w:t>
            </w:r>
            <w:r>
              <w:rPr>
                <w:spacing w:val="-4"/>
              </w:rPr>
              <w:br/>
              <w:t>(</w:t>
            </w:r>
            <w:r w:rsidRPr="00852533">
              <w:rPr>
                <w:spacing w:val="-4"/>
              </w:rPr>
              <w:t>–</w:t>
            </w:r>
            <w:r>
              <w:rPr>
                <w:spacing w:val="-4"/>
              </w:rPr>
              <w:t xml:space="preserve">6,4 %). Německo i Slovensko zaznamenaly srovnatelné poklesy jako ČR. Růst </w:t>
            </w:r>
            <w:r w:rsidRPr="00F63577">
              <w:rPr>
                <w:spacing w:val="-4"/>
              </w:rPr>
              <w:t>přidané hodnot</w:t>
            </w:r>
            <w:r>
              <w:rPr>
                <w:spacing w:val="-4"/>
              </w:rPr>
              <w:t>y registrovalo jen Irsko (+2,5 %</w:t>
            </w:r>
            <w:r w:rsidRPr="00F63577">
              <w:rPr>
                <w:spacing w:val="-4"/>
              </w:rPr>
              <w:t>), relativně pří</w:t>
            </w:r>
            <w:r>
              <w:rPr>
                <w:spacing w:val="-4"/>
              </w:rPr>
              <w:t>znivé výsledky hlásily i severské státy či Pobaltí. Rozdíly mezi státy</w:t>
            </w:r>
            <w:r w:rsidRPr="00F63577">
              <w:rPr>
                <w:spacing w:val="-4"/>
              </w:rPr>
              <w:t xml:space="preserve"> vypovídají primárně o náběhu koronavirové nákazy napříč EU, rychlosti a intenzitě vládních restriktivních opatření a zčásti také o odlišné odvětvové skladbě ekonomik (negativně se projevilo vyšší zastoupení odvětví s vazbou na cestovní ruch, pozitivně pak například role veřejných služeb</w:t>
            </w:r>
            <w:r>
              <w:rPr>
                <w:spacing w:val="-4"/>
              </w:rPr>
              <w:t>, ale i zpracovatelského průmyslu</w:t>
            </w:r>
            <w:r w:rsidRPr="00F63577">
              <w:rPr>
                <w:spacing w:val="-4"/>
              </w:rPr>
              <w:t>).</w:t>
            </w:r>
          </w:p>
        </w:tc>
      </w:tr>
      <w:tr w:rsidR="00B96D74" w:rsidRPr="00E87B43" w14:paraId="456AD68E" w14:textId="77777777" w:rsidTr="0091476D">
        <w:trPr>
          <w:trHeight w:val="155"/>
        </w:trPr>
        <w:tc>
          <w:tcPr>
            <w:tcW w:w="1780" w:type="dxa"/>
            <w:shd w:val="clear" w:color="auto" w:fill="auto"/>
            <w:tcMar>
              <w:left w:w="0" w:type="dxa"/>
            </w:tcMar>
          </w:tcPr>
          <w:p w14:paraId="24FF6E74" w14:textId="77777777" w:rsidR="00B96D74" w:rsidRDefault="00B96D74" w:rsidP="0091476D">
            <w:pPr>
              <w:pStyle w:val="Marginlie"/>
              <w:rPr>
                <w:spacing w:val="-4"/>
              </w:rPr>
            </w:pPr>
            <w:r w:rsidRPr="008A4CB5">
              <w:rPr>
                <w:spacing w:val="-4"/>
              </w:rPr>
              <w:t>Navzdory silnému letnímu oživení zůstávala hodnota průmyslové produkce stále po</w:t>
            </w:r>
            <w:r>
              <w:rPr>
                <w:spacing w:val="-4"/>
              </w:rPr>
              <w:t>d svým „předpandemickým“ vrcholem</w:t>
            </w:r>
            <w:r w:rsidRPr="008A4CB5">
              <w:rPr>
                <w:spacing w:val="-4"/>
              </w:rPr>
              <w:t>.</w:t>
            </w:r>
          </w:p>
          <w:p w14:paraId="763D2504" w14:textId="77777777" w:rsidR="00B96D74" w:rsidRDefault="00B96D74" w:rsidP="0091476D">
            <w:pPr>
              <w:pStyle w:val="Marginlie"/>
              <w:rPr>
                <w:spacing w:val="-4"/>
              </w:rPr>
            </w:pPr>
          </w:p>
          <w:p w14:paraId="22C1F23B" w14:textId="77777777" w:rsidR="00B96D74" w:rsidRDefault="00B96D74" w:rsidP="0091476D">
            <w:pPr>
              <w:pStyle w:val="Marginlie"/>
              <w:rPr>
                <w:spacing w:val="-4"/>
              </w:rPr>
            </w:pPr>
          </w:p>
          <w:p w14:paraId="05768AF1" w14:textId="77777777" w:rsidR="00B96D74" w:rsidRDefault="00B96D74" w:rsidP="0091476D">
            <w:pPr>
              <w:pStyle w:val="Marginlie"/>
              <w:rPr>
                <w:spacing w:val="-4"/>
              </w:rPr>
            </w:pPr>
          </w:p>
          <w:p w14:paraId="2FBCFA4C" w14:textId="77777777" w:rsidR="00B96D74" w:rsidRPr="00BE54BF" w:rsidRDefault="00B96D74" w:rsidP="0091476D">
            <w:pPr>
              <w:pStyle w:val="Marginlie"/>
            </w:pPr>
            <w:r>
              <w:rPr>
                <w:spacing w:val="-4"/>
              </w:rPr>
              <w:t>Výroba motorových vozidel stála za útlumem celého průmyslu v 1. pololetí, byla ale klíčová i pro znovuobnovení jeho růstu na konci roku.</w:t>
            </w:r>
          </w:p>
        </w:tc>
        <w:tc>
          <w:tcPr>
            <w:tcW w:w="214" w:type="dxa"/>
            <w:shd w:val="clear" w:color="auto" w:fill="auto"/>
            <w:tcMar>
              <w:left w:w="0" w:type="dxa"/>
            </w:tcMar>
          </w:tcPr>
          <w:p w14:paraId="7FDAF8AB" w14:textId="77777777" w:rsidR="00B96D74" w:rsidRPr="003B1401" w:rsidRDefault="00B96D74" w:rsidP="0091476D">
            <w:pPr>
              <w:pStyle w:val="Textpoznpodarou"/>
              <w:jc w:val="both"/>
              <w:rPr>
                <w:spacing w:val="-4"/>
              </w:rPr>
            </w:pPr>
          </w:p>
        </w:tc>
        <w:tc>
          <w:tcPr>
            <w:tcW w:w="7670" w:type="dxa"/>
            <w:shd w:val="clear" w:color="auto" w:fill="auto"/>
            <w:tcMar>
              <w:left w:w="0" w:type="dxa"/>
            </w:tcMar>
          </w:tcPr>
          <w:p w14:paraId="0E82A7C5" w14:textId="4F518DCF" w:rsidR="00B96D74" w:rsidRPr="00E87B43" w:rsidRDefault="00B96D74" w:rsidP="00862C0A">
            <w:pPr>
              <w:rPr>
                <w:spacing w:val="-4"/>
              </w:rPr>
            </w:pPr>
            <w:r>
              <w:rPr>
                <w:spacing w:val="-4"/>
              </w:rPr>
              <w:t>Také</w:t>
            </w:r>
            <w:r w:rsidRPr="00E87B43">
              <w:rPr>
                <w:spacing w:val="-4"/>
              </w:rPr>
              <w:t xml:space="preserve"> podrobnější data </w:t>
            </w:r>
            <w:r w:rsidRPr="00E87B43">
              <w:rPr>
                <w:color w:val="0D0D0D" w:themeColor="text1" w:themeTint="F2"/>
                <w:spacing w:val="-4"/>
              </w:rPr>
              <w:t xml:space="preserve">podnikových statistik </w:t>
            </w:r>
            <w:r>
              <w:rPr>
                <w:spacing w:val="-4"/>
              </w:rPr>
              <w:t>po</w:t>
            </w:r>
            <w:r w:rsidRPr="00E87B43">
              <w:rPr>
                <w:spacing w:val="-4"/>
              </w:rPr>
              <w:t>tvrzují</w:t>
            </w:r>
            <w:r>
              <w:rPr>
                <w:spacing w:val="-4"/>
              </w:rPr>
              <w:t xml:space="preserve"> to</w:t>
            </w:r>
            <w:r w:rsidRPr="00E87B43">
              <w:rPr>
                <w:spacing w:val="-4"/>
              </w:rPr>
              <w:t>, že po prudkém jarním útlumu</w:t>
            </w:r>
            <w:r w:rsidRPr="00E87B43">
              <w:rPr>
                <w:rStyle w:val="Znakapoznpodarou"/>
                <w:spacing w:val="-4"/>
              </w:rPr>
              <w:footnoteReference w:id="8"/>
            </w:r>
            <w:r w:rsidRPr="00E87B43">
              <w:rPr>
                <w:spacing w:val="-4"/>
              </w:rPr>
              <w:t xml:space="preserve"> doprovázeném několikatýdenní uzavírkou řady provozoven došlo během května i</w:t>
            </w:r>
            <w:r>
              <w:rPr>
                <w:spacing w:val="-4"/>
              </w:rPr>
              <w:t> </w:t>
            </w:r>
            <w:r w:rsidRPr="00E87B43">
              <w:rPr>
                <w:spacing w:val="-4"/>
              </w:rPr>
              <w:t xml:space="preserve">června k významnému oživení </w:t>
            </w:r>
            <w:r w:rsidRPr="00E87B43">
              <w:rPr>
                <w:color w:val="000000" w:themeColor="text1"/>
                <w:spacing w:val="-4"/>
              </w:rPr>
              <w:t>průmyslové produkce</w:t>
            </w:r>
            <w:r w:rsidRPr="00E87B43">
              <w:rPr>
                <w:color w:val="000000" w:themeColor="text1"/>
                <w:spacing w:val="-4"/>
                <w:vertAlign w:val="superscript"/>
              </w:rPr>
              <w:footnoteReference w:id="9"/>
            </w:r>
            <w:r w:rsidRPr="00E87B43">
              <w:rPr>
                <w:color w:val="000000" w:themeColor="text1"/>
                <w:spacing w:val="-4"/>
              </w:rPr>
              <w:t xml:space="preserve">. </w:t>
            </w:r>
            <w:r>
              <w:rPr>
                <w:color w:val="000000" w:themeColor="text1"/>
                <w:spacing w:val="-4"/>
              </w:rPr>
              <w:t>Pozitivně působilo rychlé znovuobnovení poptávky v klíčových exportních oborech i přetrvávající slabší kurz koruny. Důležité bylo i</w:t>
            </w:r>
            <w:r w:rsidRPr="00E87B43">
              <w:rPr>
                <w:spacing w:val="-4"/>
              </w:rPr>
              <w:t> </w:t>
            </w:r>
            <w:r w:rsidR="00862C0A">
              <w:rPr>
                <w:color w:val="000000" w:themeColor="text1"/>
                <w:spacing w:val="-4"/>
              </w:rPr>
              <w:t>to, že se nedošl</w:t>
            </w:r>
            <w:r>
              <w:rPr>
                <w:color w:val="000000" w:themeColor="text1"/>
                <w:spacing w:val="-4"/>
              </w:rPr>
              <w:t xml:space="preserve">o </w:t>
            </w:r>
            <w:r w:rsidR="00862C0A">
              <w:rPr>
                <w:color w:val="000000" w:themeColor="text1"/>
                <w:spacing w:val="-4"/>
              </w:rPr>
              <w:t xml:space="preserve">k </w:t>
            </w:r>
            <w:r>
              <w:rPr>
                <w:color w:val="000000" w:themeColor="text1"/>
                <w:spacing w:val="-4"/>
              </w:rPr>
              <w:t>větší</w:t>
            </w:r>
            <w:r w:rsidR="00862C0A">
              <w:rPr>
                <w:color w:val="000000" w:themeColor="text1"/>
                <w:spacing w:val="-4"/>
              </w:rPr>
              <w:t>mu</w:t>
            </w:r>
            <w:r>
              <w:rPr>
                <w:color w:val="000000" w:themeColor="text1"/>
                <w:spacing w:val="-4"/>
              </w:rPr>
              <w:t xml:space="preserve"> narušení globálních </w:t>
            </w:r>
            <w:r w:rsidR="00862C0A">
              <w:rPr>
                <w:color w:val="000000" w:themeColor="text1"/>
                <w:spacing w:val="-4"/>
              </w:rPr>
              <w:t xml:space="preserve">výrobních </w:t>
            </w:r>
            <w:r>
              <w:rPr>
                <w:color w:val="000000" w:themeColor="text1"/>
                <w:spacing w:val="-4"/>
              </w:rPr>
              <w:t xml:space="preserve">řetězců a propustnost hranic pro nákladní dopravu již nebyla dále narušena. </w:t>
            </w:r>
            <w:r w:rsidRPr="00E87B43">
              <w:rPr>
                <w:color w:val="000000" w:themeColor="text1"/>
                <w:spacing w:val="-4"/>
              </w:rPr>
              <w:t xml:space="preserve">Výkon průmyslu meziměsíčně rostl až do října, v posledních měsících roku produkce fakticky stagnovala. </w:t>
            </w:r>
            <w:r>
              <w:rPr>
                <w:color w:val="000000" w:themeColor="text1"/>
                <w:spacing w:val="-4"/>
              </w:rPr>
              <w:t>I</w:t>
            </w:r>
            <w:r w:rsidRPr="00E87B43">
              <w:rPr>
                <w:spacing w:val="-4"/>
              </w:rPr>
              <w:t> </w:t>
            </w:r>
            <w:r w:rsidRPr="00E87B43">
              <w:rPr>
                <w:color w:val="000000" w:themeColor="text1"/>
                <w:spacing w:val="-4"/>
              </w:rPr>
              <w:t>přesto ani prosincová úroveň produkce stále svého „předpandemického“ maxima nedosahovala</w:t>
            </w:r>
            <w:r w:rsidRPr="00E87B43">
              <w:rPr>
                <w:rStyle w:val="Znakapoznpodarou"/>
                <w:color w:val="000000" w:themeColor="text1"/>
                <w:spacing w:val="-4"/>
              </w:rPr>
              <w:footnoteReference w:id="10"/>
            </w:r>
            <w:r w:rsidRPr="00E87B43">
              <w:rPr>
                <w:color w:val="000000" w:themeColor="text1"/>
                <w:spacing w:val="-4"/>
              </w:rPr>
              <w:t>. Pozitivní ovšem bylo, že ve 4.</w:t>
            </w:r>
            <w:r>
              <w:rPr>
                <w:color w:val="000000" w:themeColor="text1"/>
                <w:spacing w:val="-4"/>
              </w:rPr>
              <w:t> čtvrtlet</w:t>
            </w:r>
            <w:r w:rsidRPr="00E87B43">
              <w:rPr>
                <w:color w:val="000000" w:themeColor="text1"/>
                <w:spacing w:val="-4"/>
              </w:rPr>
              <w:t>í se průmysl vrátil k růstu v meziročním vyjádření (+2,0</w:t>
            </w:r>
            <w:r>
              <w:rPr>
                <w:color w:val="000000" w:themeColor="text1"/>
                <w:spacing w:val="-4"/>
              </w:rPr>
              <w:t> %</w:t>
            </w:r>
            <w:r w:rsidRPr="00E87B43">
              <w:rPr>
                <w:color w:val="000000" w:themeColor="text1"/>
                <w:spacing w:val="-4"/>
              </w:rPr>
              <w:t>). Za celý rok 2020 se průmyslová produkce snížila o</w:t>
            </w:r>
            <w:r>
              <w:rPr>
                <w:color w:val="000000" w:themeColor="text1"/>
                <w:spacing w:val="-4"/>
              </w:rPr>
              <w:t> </w:t>
            </w:r>
            <w:r w:rsidRPr="00E87B43">
              <w:rPr>
                <w:color w:val="000000" w:themeColor="text1"/>
                <w:spacing w:val="-4"/>
              </w:rPr>
              <w:t>7,2</w:t>
            </w:r>
            <w:r>
              <w:rPr>
                <w:color w:val="000000" w:themeColor="text1"/>
                <w:spacing w:val="-4"/>
              </w:rPr>
              <w:t> %</w:t>
            </w:r>
            <w:r w:rsidRPr="00E87B43">
              <w:rPr>
                <w:rStyle w:val="Znakapoznpodarou"/>
                <w:color w:val="000000" w:themeColor="text1"/>
                <w:spacing w:val="-4"/>
              </w:rPr>
              <w:footnoteReference w:id="11"/>
            </w:r>
            <w:r w:rsidRPr="00E87B43">
              <w:rPr>
                <w:color w:val="000000" w:themeColor="text1"/>
                <w:spacing w:val="-4"/>
              </w:rPr>
              <w:t>. Zatímco v 1. i</w:t>
            </w:r>
            <w:r>
              <w:rPr>
                <w:color w:val="000000" w:themeColor="text1"/>
                <w:spacing w:val="-4"/>
              </w:rPr>
              <w:t> </w:t>
            </w:r>
            <w:r w:rsidRPr="00E87B43">
              <w:rPr>
                <w:color w:val="000000" w:themeColor="text1"/>
                <w:spacing w:val="-4"/>
              </w:rPr>
              <w:t>ve 2.</w:t>
            </w:r>
            <w:r>
              <w:rPr>
                <w:color w:val="000000" w:themeColor="text1"/>
                <w:spacing w:val="-4"/>
              </w:rPr>
              <w:t> čtvrtlet</w:t>
            </w:r>
            <w:r w:rsidRPr="00E87B43">
              <w:rPr>
                <w:color w:val="000000" w:themeColor="text1"/>
                <w:spacing w:val="-4"/>
              </w:rPr>
              <w:t>í táhla celé odvětví dolů nejvíce výroba motorových vozidel (zodpovídala za více než třetinu meziročního propadu průmyslové produkce), ve zbývající části roku převzalo tuto roli strojírenství. Naopak automobil</w:t>
            </w:r>
            <w:r>
              <w:rPr>
                <w:color w:val="000000" w:themeColor="text1"/>
                <w:spacing w:val="-4"/>
              </w:rPr>
              <w:t xml:space="preserve">ový průmysl se ukázal být </w:t>
            </w:r>
            <w:r w:rsidRPr="00E87B43">
              <w:rPr>
                <w:color w:val="000000" w:themeColor="text1"/>
                <w:spacing w:val="-4"/>
              </w:rPr>
              <w:t>zásadní</w:t>
            </w:r>
            <w:r>
              <w:rPr>
                <w:color w:val="000000" w:themeColor="text1"/>
                <w:spacing w:val="-4"/>
              </w:rPr>
              <w:t>m</w:t>
            </w:r>
            <w:r w:rsidRPr="00E87B43">
              <w:rPr>
                <w:color w:val="000000" w:themeColor="text1"/>
                <w:spacing w:val="-4"/>
              </w:rPr>
              <w:t xml:space="preserve"> faktorem pro </w:t>
            </w:r>
            <w:r>
              <w:rPr>
                <w:color w:val="000000" w:themeColor="text1"/>
                <w:spacing w:val="-4"/>
              </w:rPr>
              <w:t xml:space="preserve">znovunastolení </w:t>
            </w:r>
            <w:r w:rsidRPr="00E87B43">
              <w:rPr>
                <w:color w:val="000000" w:themeColor="text1"/>
                <w:spacing w:val="-4"/>
              </w:rPr>
              <w:t>růst</w:t>
            </w:r>
            <w:r>
              <w:rPr>
                <w:color w:val="000000" w:themeColor="text1"/>
                <w:spacing w:val="-4"/>
              </w:rPr>
              <w:t>u</w:t>
            </w:r>
            <w:r w:rsidRPr="00E87B43">
              <w:rPr>
                <w:color w:val="000000" w:themeColor="text1"/>
                <w:spacing w:val="-4"/>
              </w:rPr>
              <w:t xml:space="preserve"> celého průmyslu ve 4.</w:t>
            </w:r>
            <w:r>
              <w:rPr>
                <w:color w:val="000000" w:themeColor="text1"/>
                <w:spacing w:val="-4"/>
              </w:rPr>
              <w:t> čtvrtlet</w:t>
            </w:r>
            <w:r w:rsidRPr="00E87B43">
              <w:rPr>
                <w:color w:val="000000" w:themeColor="text1"/>
                <w:spacing w:val="-4"/>
              </w:rPr>
              <w:t>í (příspěvek +1,9</w:t>
            </w:r>
            <w:r>
              <w:rPr>
                <w:color w:val="000000" w:themeColor="text1"/>
                <w:spacing w:val="-4"/>
              </w:rPr>
              <w:t> p. b.</w:t>
            </w:r>
            <w:r w:rsidRPr="00E87B43">
              <w:rPr>
                <w:color w:val="000000" w:themeColor="text1"/>
                <w:spacing w:val="-4"/>
              </w:rPr>
              <w:t>, spolu s nejbližšími subdodavatelskými odvětvími +2,5</w:t>
            </w:r>
            <w:r>
              <w:rPr>
                <w:color w:val="000000" w:themeColor="text1"/>
                <w:spacing w:val="-4"/>
              </w:rPr>
              <w:t> p. b.</w:t>
            </w:r>
            <w:r w:rsidRPr="00E87B43">
              <w:rPr>
                <w:color w:val="000000" w:themeColor="text1"/>
                <w:spacing w:val="-4"/>
              </w:rPr>
              <w:t>).</w:t>
            </w:r>
            <w:r>
              <w:rPr>
                <w:color w:val="000000" w:themeColor="text1"/>
                <w:spacing w:val="-4"/>
              </w:rPr>
              <w:t xml:space="preserve"> Toto oživení, byť s menší intenzitou, ale nastalo ve všech významnějších zpracovatelských odvětvích (vyjma strojírenství).</w:t>
            </w:r>
          </w:p>
        </w:tc>
      </w:tr>
      <w:tr w:rsidR="00B96D74" w:rsidRPr="00965AD0" w14:paraId="34217A43" w14:textId="77777777" w:rsidTr="0091476D">
        <w:trPr>
          <w:trHeight w:val="155"/>
        </w:trPr>
        <w:tc>
          <w:tcPr>
            <w:tcW w:w="1780" w:type="dxa"/>
            <w:shd w:val="clear" w:color="auto" w:fill="auto"/>
            <w:tcMar>
              <w:left w:w="0" w:type="dxa"/>
            </w:tcMar>
          </w:tcPr>
          <w:p w14:paraId="2EB5E2F3" w14:textId="77777777" w:rsidR="00B96D74" w:rsidRPr="008A4CB5" w:rsidRDefault="00B96D74" w:rsidP="0091476D">
            <w:pPr>
              <w:pStyle w:val="Marginlie"/>
              <w:rPr>
                <w:spacing w:val="-4"/>
              </w:rPr>
            </w:pPr>
            <w:r>
              <w:rPr>
                <w:spacing w:val="-4"/>
              </w:rPr>
              <w:t xml:space="preserve">Ve druhé polovině roku se výrobci motorových vozidel snažili kompenzovat část jarních ztrát. Využití výrobních </w:t>
            </w:r>
            <w:r>
              <w:rPr>
                <w:spacing w:val="-4"/>
              </w:rPr>
              <w:lastRenderedPageBreak/>
              <w:t>kapacit se vrátilo na vysokou úroveň.</w:t>
            </w:r>
          </w:p>
        </w:tc>
        <w:tc>
          <w:tcPr>
            <w:tcW w:w="214" w:type="dxa"/>
            <w:shd w:val="clear" w:color="auto" w:fill="auto"/>
            <w:tcMar>
              <w:left w:w="0" w:type="dxa"/>
            </w:tcMar>
          </w:tcPr>
          <w:p w14:paraId="12D04432" w14:textId="77777777" w:rsidR="00B96D74" w:rsidRPr="003B1401" w:rsidRDefault="00B96D74" w:rsidP="0091476D">
            <w:pPr>
              <w:pStyle w:val="Textpoznpodarou"/>
              <w:jc w:val="both"/>
              <w:rPr>
                <w:spacing w:val="-4"/>
              </w:rPr>
            </w:pPr>
          </w:p>
        </w:tc>
        <w:tc>
          <w:tcPr>
            <w:tcW w:w="7670" w:type="dxa"/>
            <w:shd w:val="clear" w:color="auto" w:fill="auto"/>
            <w:tcMar>
              <w:left w:w="0" w:type="dxa"/>
            </w:tcMar>
          </w:tcPr>
          <w:p w14:paraId="5AD4E351" w14:textId="77777777" w:rsidR="00B96D74" w:rsidRPr="00965AD0" w:rsidRDefault="00B96D74" w:rsidP="0091476D">
            <w:pPr>
              <w:rPr>
                <w:spacing w:val="-4"/>
              </w:rPr>
            </w:pPr>
            <w:r>
              <w:rPr>
                <w:spacing w:val="-4"/>
              </w:rPr>
              <w:t>Za loňský rok</w:t>
            </w:r>
            <w:r w:rsidRPr="004173F3">
              <w:rPr>
                <w:spacing w:val="-4"/>
              </w:rPr>
              <w:t xml:space="preserve"> se produkce v odvětví výroby mot</w:t>
            </w:r>
            <w:r>
              <w:rPr>
                <w:spacing w:val="-4"/>
              </w:rPr>
              <w:t xml:space="preserve">orových vozidel snížila o osminu, tedy nepatrně více než v krizovém roce 2009. </w:t>
            </w:r>
            <w:r w:rsidRPr="004173F3">
              <w:rPr>
                <w:spacing w:val="-4"/>
              </w:rPr>
              <w:t xml:space="preserve">Faktické uzavření provozoven klíčových podniků i souběžné ochromení činnosti mnohých subdodavatelů </w:t>
            </w:r>
            <w:r>
              <w:rPr>
                <w:spacing w:val="-4"/>
              </w:rPr>
              <w:t>vedly v dubnu k nebývalému</w:t>
            </w:r>
            <w:r w:rsidRPr="004173F3">
              <w:rPr>
                <w:spacing w:val="-4"/>
              </w:rPr>
              <w:t xml:space="preserve"> propadu produkce, vývozu i</w:t>
            </w:r>
            <w:r>
              <w:rPr>
                <w:spacing w:val="-4"/>
              </w:rPr>
              <w:t> nových zakázek o více než 75 %</w:t>
            </w:r>
            <w:r w:rsidRPr="004173F3">
              <w:rPr>
                <w:rStyle w:val="Znakapoznpodarou"/>
                <w:spacing w:val="-4"/>
              </w:rPr>
              <w:footnoteReference w:id="12"/>
            </w:r>
            <w:r w:rsidRPr="004173F3">
              <w:rPr>
                <w:spacing w:val="-4"/>
              </w:rPr>
              <w:t>.</w:t>
            </w:r>
            <w:r>
              <w:rPr>
                <w:spacing w:val="-4"/>
              </w:rPr>
              <w:t xml:space="preserve"> V takovém rozsahu se jarní zmrazení ekonomiky v žádném jiném průmyslovém odvětví neobjevilo. Již během června </w:t>
            </w:r>
            <w:r>
              <w:rPr>
                <w:spacing w:val="-4"/>
              </w:rPr>
              <w:lastRenderedPageBreak/>
              <w:t xml:space="preserve">a července však registrovali výrobci vozidel meziroční růst zahraničních zakázek, s jejichž pomocí se </w:t>
            </w:r>
            <w:r w:rsidRPr="000B209D">
              <w:rPr>
                <w:rFonts w:ascii="Helvetica" w:hAnsi="Helvetica"/>
                <w:color w:val="000000"/>
                <w:szCs w:val="20"/>
              </w:rPr>
              <w:t xml:space="preserve">snažili alespoň část </w:t>
            </w:r>
            <w:r>
              <w:rPr>
                <w:rFonts w:ascii="Helvetica" w:hAnsi="Helvetica"/>
                <w:color w:val="000000"/>
                <w:szCs w:val="20"/>
              </w:rPr>
              <w:t xml:space="preserve">jarních </w:t>
            </w:r>
            <w:r w:rsidRPr="000B209D">
              <w:rPr>
                <w:rFonts w:ascii="Helvetica" w:hAnsi="Helvetica"/>
                <w:color w:val="000000"/>
                <w:szCs w:val="20"/>
              </w:rPr>
              <w:t>ztrát kompenzovat</w:t>
            </w:r>
            <w:r>
              <w:rPr>
                <w:rFonts w:ascii="Helvetica" w:hAnsi="Helvetica"/>
                <w:color w:val="000000"/>
                <w:szCs w:val="20"/>
              </w:rPr>
              <w:t xml:space="preserve">. </w:t>
            </w:r>
            <w:r>
              <w:rPr>
                <w:spacing w:val="-4"/>
              </w:rPr>
              <w:t>Ve</w:t>
            </w:r>
            <w:r w:rsidRPr="004173F3">
              <w:rPr>
                <w:spacing w:val="-4"/>
              </w:rPr>
              <w:t xml:space="preserve"> 4.</w:t>
            </w:r>
            <w:r>
              <w:rPr>
                <w:spacing w:val="-4"/>
              </w:rPr>
              <w:t> čtvrtlet</w:t>
            </w:r>
            <w:r w:rsidRPr="004173F3">
              <w:rPr>
                <w:spacing w:val="-4"/>
              </w:rPr>
              <w:t>í přesáhlo využití výrobních kapacit v tomto odvětví 90</w:t>
            </w:r>
            <w:r>
              <w:rPr>
                <w:spacing w:val="-4"/>
              </w:rPr>
              <w:t> %,</w:t>
            </w:r>
            <w:r w:rsidRPr="004173F3">
              <w:rPr>
                <w:spacing w:val="-4"/>
              </w:rPr>
              <w:t xml:space="preserve"> a</w:t>
            </w:r>
            <w:r>
              <w:rPr>
                <w:spacing w:val="-4"/>
              </w:rPr>
              <w:t> </w:t>
            </w:r>
            <w:r w:rsidRPr="004173F3">
              <w:rPr>
                <w:spacing w:val="-4"/>
              </w:rPr>
              <w:t>vrátilo se tak na úroveň obvyklou v</w:t>
            </w:r>
            <w:r>
              <w:rPr>
                <w:spacing w:val="-4"/>
              </w:rPr>
              <w:t> předchozím konjunkturním období.</w:t>
            </w:r>
            <w:r w:rsidRPr="004173F3">
              <w:rPr>
                <w:spacing w:val="-4"/>
              </w:rPr>
              <w:t xml:space="preserve"> </w:t>
            </w:r>
            <w:r>
              <w:rPr>
                <w:spacing w:val="-4"/>
              </w:rPr>
              <w:t>Produkce tak zde meziročně vzrostla o více než desetinu.</w:t>
            </w:r>
          </w:p>
        </w:tc>
      </w:tr>
      <w:tr w:rsidR="00B96D74" w:rsidRPr="00965AD0" w14:paraId="35DA1304" w14:textId="77777777" w:rsidTr="0091476D">
        <w:trPr>
          <w:trHeight w:val="155"/>
        </w:trPr>
        <w:tc>
          <w:tcPr>
            <w:tcW w:w="1780" w:type="dxa"/>
            <w:shd w:val="clear" w:color="auto" w:fill="auto"/>
            <w:tcMar>
              <w:left w:w="0" w:type="dxa"/>
            </w:tcMar>
          </w:tcPr>
          <w:p w14:paraId="035C1C08" w14:textId="77777777" w:rsidR="00B96D74" w:rsidRPr="006D405D" w:rsidRDefault="00B96D74" w:rsidP="0091476D">
            <w:pPr>
              <w:pStyle w:val="Marginlie"/>
              <w:rPr>
                <w:spacing w:val="-5"/>
              </w:rPr>
            </w:pPr>
            <w:r w:rsidRPr="006D405D">
              <w:rPr>
                <w:spacing w:val="-5"/>
              </w:rPr>
              <w:lastRenderedPageBreak/>
              <w:t>Oživení strojírenství stála v cestě přetrvávající slabá soukromá investiční aktivita v ekonomice.</w:t>
            </w:r>
          </w:p>
          <w:p w14:paraId="7FAC2184" w14:textId="77777777" w:rsidR="00B96D74" w:rsidRDefault="00B96D74" w:rsidP="0091476D">
            <w:pPr>
              <w:pStyle w:val="Marginlie"/>
              <w:rPr>
                <w:spacing w:val="-5"/>
              </w:rPr>
            </w:pPr>
          </w:p>
          <w:p w14:paraId="098EB127" w14:textId="77777777" w:rsidR="00B96D74" w:rsidRDefault="00B96D74" w:rsidP="0091476D">
            <w:pPr>
              <w:pStyle w:val="Marginlie"/>
              <w:rPr>
                <w:spacing w:val="-5"/>
              </w:rPr>
            </w:pPr>
          </w:p>
          <w:p w14:paraId="422EE3BC" w14:textId="77777777" w:rsidR="00B96D74" w:rsidRPr="006D405D" w:rsidRDefault="00B96D74" w:rsidP="0091476D">
            <w:pPr>
              <w:pStyle w:val="Marginlie"/>
              <w:rPr>
                <w:spacing w:val="-5"/>
              </w:rPr>
            </w:pPr>
          </w:p>
          <w:p w14:paraId="1BE3707A" w14:textId="77777777" w:rsidR="00B96D74" w:rsidRPr="008A4CB5" w:rsidRDefault="00B96D74" w:rsidP="0091476D">
            <w:pPr>
              <w:pStyle w:val="Marginlie"/>
              <w:rPr>
                <w:spacing w:val="-4"/>
              </w:rPr>
            </w:pPr>
            <w:r w:rsidRPr="006D405D">
              <w:rPr>
                <w:spacing w:val="-5"/>
              </w:rPr>
              <w:t>Propady produkce v těžebním průmyslu i</w:t>
            </w:r>
            <w:r>
              <w:rPr>
                <w:spacing w:val="-5"/>
              </w:rPr>
              <w:t> </w:t>
            </w:r>
            <w:r w:rsidRPr="006D405D">
              <w:rPr>
                <w:spacing w:val="-5"/>
              </w:rPr>
              <w:t>energetice byly nejvyšší ve srovnatelné 20leté řadě.</w:t>
            </w:r>
          </w:p>
        </w:tc>
        <w:tc>
          <w:tcPr>
            <w:tcW w:w="214" w:type="dxa"/>
            <w:shd w:val="clear" w:color="auto" w:fill="auto"/>
            <w:tcMar>
              <w:left w:w="0" w:type="dxa"/>
            </w:tcMar>
          </w:tcPr>
          <w:p w14:paraId="7F5EAF3D" w14:textId="77777777" w:rsidR="00B96D74" w:rsidRPr="003B1401" w:rsidRDefault="00B96D74" w:rsidP="0091476D">
            <w:pPr>
              <w:pStyle w:val="Textpoznpodarou"/>
              <w:jc w:val="both"/>
              <w:rPr>
                <w:spacing w:val="-4"/>
              </w:rPr>
            </w:pPr>
          </w:p>
        </w:tc>
        <w:tc>
          <w:tcPr>
            <w:tcW w:w="7670" w:type="dxa"/>
            <w:shd w:val="clear" w:color="auto" w:fill="auto"/>
            <w:tcMar>
              <w:left w:w="0" w:type="dxa"/>
            </w:tcMar>
          </w:tcPr>
          <w:p w14:paraId="6E75BCD4" w14:textId="77777777" w:rsidR="00B96D74" w:rsidRPr="00965AD0" w:rsidRDefault="00B96D74" w:rsidP="0091476D">
            <w:pPr>
              <w:rPr>
                <w:spacing w:val="-4"/>
              </w:rPr>
            </w:pPr>
            <w:r>
              <w:rPr>
                <w:spacing w:val="-4"/>
              </w:rPr>
              <w:t>Osminový pokles produkce zasáhl loni i strojírenství, které tak přispělo k poklesu celého průmyslu 1 p. b. (o polovinu méně než výrobci automobilů). Strojírenství se prakticky po celý rok</w:t>
            </w:r>
            <w:r w:rsidRPr="004173F3">
              <w:rPr>
                <w:spacing w:val="-4"/>
              </w:rPr>
              <w:t xml:space="preserve"> potýkalo s poklesem domácí i</w:t>
            </w:r>
            <w:r>
              <w:rPr>
                <w:spacing w:val="-4"/>
              </w:rPr>
              <w:t> </w:t>
            </w:r>
            <w:r w:rsidRPr="004173F3">
              <w:rPr>
                <w:spacing w:val="-4"/>
              </w:rPr>
              <w:t>zahraniční pop</w:t>
            </w:r>
            <w:r>
              <w:rPr>
                <w:spacing w:val="-4"/>
              </w:rPr>
              <w:t>távky, což souviselo s přetrvávají</w:t>
            </w:r>
            <w:r w:rsidRPr="004173F3">
              <w:rPr>
                <w:spacing w:val="-4"/>
              </w:rPr>
              <w:t>cím útlumem investiční aktivity v ekonomice.</w:t>
            </w:r>
            <w:r>
              <w:rPr>
                <w:spacing w:val="-4"/>
              </w:rPr>
              <w:t xml:space="preserve"> Nejvýrazněji však loni propadla produkce v dlouhodobě útlumovém těžebním průmyslu (o rekordních 16,5 %, ve stále dominantní těžbě uhlí skoro o</w:t>
            </w:r>
            <w:r w:rsidRPr="004173F3">
              <w:rPr>
                <w:spacing w:val="-4"/>
              </w:rPr>
              <w:t> </w:t>
            </w:r>
            <w:r>
              <w:rPr>
                <w:spacing w:val="-4"/>
              </w:rPr>
              <w:t>čtvrtinu). Vzhledem k váze tohoto odvětví to však mělo na výkon celého průmyslu omezený dopad (</w:t>
            </w:r>
            <w:r w:rsidRPr="00541253">
              <w:rPr>
                <w:spacing w:val="-3"/>
              </w:rPr>
              <w:t>–</w:t>
            </w:r>
            <w:r>
              <w:rPr>
                <w:spacing w:val="-4"/>
              </w:rPr>
              <w:t>0,3 p. b.). Větší roli měla energetika (</w:t>
            </w:r>
            <w:r w:rsidRPr="00541253">
              <w:rPr>
                <w:spacing w:val="-3"/>
              </w:rPr>
              <w:t>–</w:t>
            </w:r>
            <w:r>
              <w:rPr>
                <w:spacing w:val="-4"/>
              </w:rPr>
              <w:t>0,7 p. b.), kde rekordní 6,3% meziroční pokles produkce těsně kopíroval tempo výroby elektřiny. Vedle plánovaných</w:t>
            </w:r>
            <w:r w:rsidRPr="004173F3">
              <w:rPr>
                <w:spacing w:val="-4"/>
              </w:rPr>
              <w:t xml:space="preserve"> odstávek v</w:t>
            </w:r>
            <w:r>
              <w:rPr>
                <w:spacing w:val="-4"/>
              </w:rPr>
              <w:t> </w:t>
            </w:r>
            <w:r w:rsidRPr="004173F3">
              <w:rPr>
                <w:spacing w:val="-4"/>
              </w:rPr>
              <w:t>elektrárnách</w:t>
            </w:r>
            <w:r>
              <w:rPr>
                <w:spacing w:val="-4"/>
              </w:rPr>
              <w:t xml:space="preserve"> se projevil zejména </w:t>
            </w:r>
            <w:r w:rsidRPr="004173F3">
              <w:rPr>
                <w:spacing w:val="-4"/>
              </w:rPr>
              <w:t xml:space="preserve">pokles poptávky v podnicích vlivem snížené </w:t>
            </w:r>
            <w:r>
              <w:rPr>
                <w:spacing w:val="-4"/>
              </w:rPr>
              <w:t xml:space="preserve">či dočasně zastavené </w:t>
            </w:r>
            <w:r w:rsidRPr="004173F3">
              <w:rPr>
                <w:spacing w:val="-4"/>
              </w:rPr>
              <w:t>výrobní aktivity</w:t>
            </w:r>
            <w:r>
              <w:rPr>
                <w:rStyle w:val="Znakapoznpodarou"/>
                <w:spacing w:val="-4"/>
              </w:rPr>
              <w:footnoteReference w:id="13"/>
            </w:r>
            <w:r w:rsidRPr="004173F3">
              <w:rPr>
                <w:spacing w:val="-4"/>
              </w:rPr>
              <w:t>.</w:t>
            </w:r>
          </w:p>
        </w:tc>
      </w:tr>
      <w:tr w:rsidR="00B96D74" w:rsidRPr="00965AD0" w14:paraId="79AA6679" w14:textId="77777777" w:rsidTr="0091476D">
        <w:trPr>
          <w:trHeight w:val="155"/>
        </w:trPr>
        <w:tc>
          <w:tcPr>
            <w:tcW w:w="1780" w:type="dxa"/>
            <w:shd w:val="clear" w:color="auto" w:fill="auto"/>
            <w:tcMar>
              <w:left w:w="0" w:type="dxa"/>
            </w:tcMar>
          </w:tcPr>
          <w:p w14:paraId="0A185FFE" w14:textId="77777777" w:rsidR="00B96D74" w:rsidRPr="008A4CB5" w:rsidRDefault="00B96D74" w:rsidP="0091476D">
            <w:pPr>
              <w:pStyle w:val="Marginlie"/>
              <w:rPr>
                <w:spacing w:val="-4"/>
              </w:rPr>
            </w:pPr>
            <w:r>
              <w:rPr>
                <w:spacing w:val="-4"/>
              </w:rPr>
              <w:t>Protipandemické restrikce citelně ovlivnily produkci výroby nápojů.</w:t>
            </w:r>
          </w:p>
        </w:tc>
        <w:tc>
          <w:tcPr>
            <w:tcW w:w="214" w:type="dxa"/>
            <w:shd w:val="clear" w:color="auto" w:fill="auto"/>
            <w:tcMar>
              <w:left w:w="0" w:type="dxa"/>
            </w:tcMar>
          </w:tcPr>
          <w:p w14:paraId="64273716" w14:textId="77777777" w:rsidR="00B96D74" w:rsidRPr="003B1401" w:rsidRDefault="00B96D74" w:rsidP="0091476D">
            <w:pPr>
              <w:pStyle w:val="Textpoznpodarou"/>
              <w:jc w:val="both"/>
              <w:rPr>
                <w:spacing w:val="-4"/>
              </w:rPr>
            </w:pPr>
          </w:p>
        </w:tc>
        <w:tc>
          <w:tcPr>
            <w:tcW w:w="7670" w:type="dxa"/>
            <w:shd w:val="clear" w:color="auto" w:fill="auto"/>
            <w:tcMar>
              <w:left w:w="0" w:type="dxa"/>
            </w:tcMar>
          </w:tcPr>
          <w:p w14:paraId="4F794073" w14:textId="77777777" w:rsidR="00B96D74" w:rsidRPr="00965AD0" w:rsidRDefault="00B96D74" w:rsidP="0091476D">
            <w:pPr>
              <w:rPr>
                <w:spacing w:val="-4"/>
              </w:rPr>
            </w:pPr>
            <w:r>
              <w:rPr>
                <w:spacing w:val="-4"/>
              </w:rPr>
              <w:t>V nejmenším zpracovatelském odvětví – kožedělném průmyslu – klesla loni produkce o sedminu, zejména vinou slabší zahraniční poptávky. O desetinu se loni snížil výkon odvětví výroby nápojů, jemuž se v předchozích letech poměrně dařilo. Citelná provozní omezení pohostinských zařízení doprovázená propadem příjezdového cestovního ruchu se zde negativně promítly na tuzemských tržbách. K poklesu došlo ale i u vývozu nápojů. Naopak relativně mírný pokles produkce (mezi 3 a 4 %) postihl chemický průmysl, výrobu stavebních hmot či výrazně proexportní výrobu počítačů, elektronických a optických přístrojů.</w:t>
            </w:r>
          </w:p>
        </w:tc>
      </w:tr>
      <w:tr w:rsidR="00B96D74" w:rsidRPr="00965AD0" w14:paraId="113A7A9C" w14:textId="77777777" w:rsidTr="0091476D">
        <w:trPr>
          <w:trHeight w:val="155"/>
        </w:trPr>
        <w:tc>
          <w:tcPr>
            <w:tcW w:w="1780" w:type="dxa"/>
            <w:shd w:val="clear" w:color="auto" w:fill="auto"/>
            <w:tcMar>
              <w:left w:w="0" w:type="dxa"/>
            </w:tcMar>
          </w:tcPr>
          <w:p w14:paraId="192A22FA" w14:textId="77777777" w:rsidR="00B96D74" w:rsidRPr="00BE54BF" w:rsidRDefault="00B96D74" w:rsidP="0091476D">
            <w:pPr>
              <w:pStyle w:val="Marginlie"/>
            </w:pPr>
          </w:p>
        </w:tc>
        <w:tc>
          <w:tcPr>
            <w:tcW w:w="214" w:type="dxa"/>
            <w:shd w:val="clear" w:color="auto" w:fill="auto"/>
            <w:tcMar>
              <w:left w:w="0" w:type="dxa"/>
            </w:tcMar>
          </w:tcPr>
          <w:p w14:paraId="008C7D68" w14:textId="77777777" w:rsidR="00B96D74" w:rsidRPr="003B1401" w:rsidRDefault="00B96D74" w:rsidP="0091476D">
            <w:pPr>
              <w:pStyle w:val="Textpoznpodarou"/>
              <w:jc w:val="both"/>
              <w:rPr>
                <w:spacing w:val="-4"/>
              </w:rPr>
            </w:pPr>
          </w:p>
        </w:tc>
        <w:tc>
          <w:tcPr>
            <w:tcW w:w="7670" w:type="dxa"/>
            <w:shd w:val="clear" w:color="auto" w:fill="auto"/>
            <w:tcMar>
              <w:left w:w="0" w:type="dxa"/>
            </w:tcMar>
          </w:tcPr>
          <w:p w14:paraId="28B3B52E" w14:textId="77777777" w:rsidR="00B96D74" w:rsidRPr="00965AD0" w:rsidRDefault="00B96D74" w:rsidP="0091476D">
            <w:pPr>
              <w:spacing w:after="0"/>
              <w:rPr>
                <w:spacing w:val="-4"/>
              </w:rPr>
            </w:pPr>
            <w:r w:rsidRPr="00883202">
              <w:rPr>
                <w:rFonts w:cs="Arial"/>
                <w:b/>
                <w:bCs/>
                <w:color w:val="000000"/>
                <w:szCs w:val="20"/>
              </w:rPr>
              <w:t>Graf č. 4</w:t>
            </w:r>
            <w:r>
              <w:rPr>
                <w:rFonts w:cs="Arial"/>
                <w:b/>
                <w:bCs/>
                <w:color w:val="000000"/>
                <w:szCs w:val="20"/>
              </w:rPr>
              <w:t xml:space="preserve"> </w:t>
            </w:r>
            <w:r w:rsidRPr="00883202">
              <w:rPr>
                <w:rFonts w:cs="Arial"/>
                <w:b/>
                <w:bCs/>
                <w:color w:val="000000"/>
                <w:szCs w:val="20"/>
              </w:rPr>
              <w:t xml:space="preserve"> </w:t>
            </w:r>
            <w:r w:rsidRPr="00883202">
              <w:rPr>
                <w:b/>
              </w:rPr>
              <w:t>Příspěvky dílčích odvětví k meziroční změně průmyslové produkce</w:t>
            </w:r>
            <w:r w:rsidRPr="00883202">
              <w:rPr>
                <w:b/>
              </w:rPr>
              <w:br/>
            </w:r>
            <w:r>
              <w:t>(v p. b., očištěno o kalendářní</w:t>
            </w:r>
            <w:r w:rsidRPr="00883202">
              <w:t xml:space="preserve"> vlivy)</w:t>
            </w:r>
            <w:r w:rsidRPr="00883202">
              <w:rPr>
                <w:b/>
                <w:bCs/>
              </w:rPr>
              <w:t xml:space="preserve">, </w:t>
            </w:r>
            <w:r w:rsidRPr="00883202">
              <w:rPr>
                <w:b/>
              </w:rPr>
              <w:t xml:space="preserve">saldo důvěry v průmyslu* </w:t>
            </w:r>
            <w:r w:rsidRPr="00883202">
              <w:t>(v p. b., pr. osa)</w:t>
            </w:r>
          </w:p>
        </w:tc>
      </w:tr>
      <w:tr w:rsidR="00B96D74" w:rsidRPr="00241E62" w14:paraId="2F52BC95" w14:textId="77777777" w:rsidTr="0091476D">
        <w:tblPrEx>
          <w:tblCellMar>
            <w:left w:w="70" w:type="dxa"/>
            <w:right w:w="70" w:type="dxa"/>
          </w:tblCellMar>
        </w:tblPrEx>
        <w:trPr>
          <w:trHeight w:val="145"/>
        </w:trPr>
        <w:tc>
          <w:tcPr>
            <w:tcW w:w="1780" w:type="dxa"/>
            <w:shd w:val="clear" w:color="auto" w:fill="auto"/>
          </w:tcPr>
          <w:p w14:paraId="0B7E69EF" w14:textId="77777777" w:rsidR="00B96D74" w:rsidRDefault="00B96D74" w:rsidP="0091476D">
            <w:pPr>
              <w:pStyle w:val="Marginlie"/>
              <w:rPr>
                <w:spacing w:val="-4"/>
              </w:rPr>
            </w:pPr>
          </w:p>
        </w:tc>
        <w:tc>
          <w:tcPr>
            <w:tcW w:w="214" w:type="dxa"/>
            <w:shd w:val="clear" w:color="auto" w:fill="auto"/>
          </w:tcPr>
          <w:p w14:paraId="0BB2BAF3" w14:textId="77777777" w:rsidR="00B96D74" w:rsidRPr="00B43216" w:rsidRDefault="00B96D74" w:rsidP="0091476D">
            <w:pPr>
              <w:pStyle w:val="Textpoznpodarou"/>
              <w:jc w:val="both"/>
              <w:rPr>
                <w:spacing w:val="-4"/>
              </w:rPr>
            </w:pPr>
          </w:p>
        </w:tc>
        <w:tc>
          <w:tcPr>
            <w:tcW w:w="7670" w:type="dxa"/>
            <w:shd w:val="clear" w:color="auto" w:fill="auto"/>
          </w:tcPr>
          <w:p w14:paraId="62BAB230" w14:textId="77777777" w:rsidR="00B96D74" w:rsidRPr="00241E62" w:rsidRDefault="00B96D74" w:rsidP="0091476D">
            <w:pPr>
              <w:spacing w:after="40"/>
              <w:rPr>
                <w:rFonts w:cs="Arial"/>
                <w:bCs/>
                <w:color w:val="000000"/>
                <w:szCs w:val="20"/>
              </w:rPr>
            </w:pPr>
            <w:r>
              <w:rPr>
                <w:noProof/>
              </w:rPr>
              <w:drawing>
                <wp:inline distT="0" distB="0" distL="0" distR="0" wp14:anchorId="5F5F1299" wp14:editId="023DCDE6">
                  <wp:extent cx="4781550" cy="3495675"/>
                  <wp:effectExtent l="0" t="0" r="0" b="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B96D74" w:rsidRPr="00241E62" w14:paraId="3D92D2CC" w14:textId="77777777" w:rsidTr="0091476D">
        <w:trPr>
          <w:trHeight w:val="145"/>
        </w:trPr>
        <w:tc>
          <w:tcPr>
            <w:tcW w:w="1780" w:type="dxa"/>
            <w:shd w:val="clear" w:color="auto" w:fill="auto"/>
            <w:tcMar>
              <w:left w:w="0" w:type="dxa"/>
            </w:tcMar>
          </w:tcPr>
          <w:p w14:paraId="141979E5" w14:textId="77777777" w:rsidR="00B96D74" w:rsidRDefault="00B96D74" w:rsidP="0091476D">
            <w:pPr>
              <w:pStyle w:val="Marginlie"/>
              <w:rPr>
                <w:spacing w:val="-4"/>
              </w:rPr>
            </w:pPr>
          </w:p>
        </w:tc>
        <w:tc>
          <w:tcPr>
            <w:tcW w:w="214" w:type="dxa"/>
            <w:shd w:val="clear" w:color="auto" w:fill="auto"/>
            <w:tcMar>
              <w:left w:w="0" w:type="dxa"/>
            </w:tcMar>
          </w:tcPr>
          <w:p w14:paraId="306610E5" w14:textId="77777777" w:rsidR="00B96D74" w:rsidRPr="00B43216" w:rsidRDefault="00B96D74" w:rsidP="0091476D">
            <w:pPr>
              <w:pStyle w:val="Textpoznpodarou"/>
              <w:jc w:val="both"/>
              <w:rPr>
                <w:spacing w:val="-4"/>
              </w:rPr>
            </w:pPr>
          </w:p>
        </w:tc>
        <w:tc>
          <w:tcPr>
            <w:tcW w:w="7670" w:type="dxa"/>
            <w:shd w:val="clear" w:color="auto" w:fill="auto"/>
            <w:tcMar>
              <w:left w:w="0" w:type="dxa"/>
            </w:tcMar>
          </w:tcPr>
          <w:p w14:paraId="56A2FEB3" w14:textId="77777777" w:rsidR="00B96D74" w:rsidRPr="00883202" w:rsidRDefault="00B96D74" w:rsidP="0091476D">
            <w:pPr>
              <w:spacing w:after="0"/>
              <w:rPr>
                <w:rFonts w:cs="Arial"/>
                <w:sz w:val="14"/>
                <w:szCs w:val="14"/>
              </w:rPr>
            </w:pPr>
            <w:r w:rsidRPr="00883202">
              <w:rPr>
                <w:rFonts w:cs="Arial"/>
                <w:sz w:val="14"/>
                <w:szCs w:val="14"/>
              </w:rPr>
              <w:t>*Saldo důvěry je sezónně očištěno a vyjadřuje stav ve druhém měsíci daného čtvrtletí.</w:t>
            </w:r>
          </w:p>
          <w:p w14:paraId="46120D3E" w14:textId="77777777" w:rsidR="00B96D74" w:rsidRPr="00241E62" w:rsidRDefault="00B96D74" w:rsidP="0091476D">
            <w:pPr>
              <w:spacing w:after="220"/>
              <w:rPr>
                <w:rFonts w:cs="Arial"/>
                <w:bCs/>
                <w:color w:val="000000"/>
                <w:szCs w:val="20"/>
              </w:rPr>
            </w:pPr>
            <w:r w:rsidRPr="00883202">
              <w:rPr>
                <w:rFonts w:cs="Arial"/>
                <w:sz w:val="14"/>
                <w:szCs w:val="14"/>
              </w:rPr>
              <w:t>Zdroj: ČSÚ</w:t>
            </w:r>
          </w:p>
        </w:tc>
      </w:tr>
      <w:tr w:rsidR="00B96D74" w:rsidRPr="00744EA3" w14:paraId="55E9608C" w14:textId="77777777" w:rsidTr="0091476D">
        <w:trPr>
          <w:trHeight w:val="145"/>
        </w:trPr>
        <w:tc>
          <w:tcPr>
            <w:tcW w:w="1780" w:type="dxa"/>
            <w:shd w:val="clear" w:color="auto" w:fill="auto"/>
            <w:tcMar>
              <w:left w:w="0" w:type="dxa"/>
            </w:tcMar>
          </w:tcPr>
          <w:p w14:paraId="44ADBCB1" w14:textId="77777777" w:rsidR="00B96D74" w:rsidRDefault="00B96D74" w:rsidP="0091476D">
            <w:pPr>
              <w:pStyle w:val="Marginlie"/>
            </w:pPr>
            <w:r>
              <w:lastRenderedPageBreak/>
              <w:t>Potravinářství těžilo z vyšší tuzemské poptávky i dobré úrody.</w:t>
            </w:r>
          </w:p>
          <w:p w14:paraId="582CB14F" w14:textId="77777777" w:rsidR="00B96D74" w:rsidRDefault="00B96D74" w:rsidP="0091476D">
            <w:pPr>
              <w:pStyle w:val="Marginlie"/>
            </w:pPr>
          </w:p>
          <w:p w14:paraId="459B09D4" w14:textId="77777777" w:rsidR="00B96D74" w:rsidRPr="00D15820" w:rsidRDefault="00B96D74" w:rsidP="0091476D">
            <w:pPr>
              <w:pStyle w:val="Marginlie"/>
              <w:rPr>
                <w:spacing w:val="0"/>
              </w:rPr>
            </w:pPr>
            <w:r w:rsidRPr="00261D3B">
              <w:t>Někte</w:t>
            </w:r>
            <w:r>
              <w:t>rým zejména menším oborům pomáhala</w:t>
            </w:r>
            <w:r w:rsidRPr="00261D3B">
              <w:t xml:space="preserve"> </w:t>
            </w:r>
            <w:r w:rsidRPr="00261D3B">
              <w:rPr>
                <w:color w:val="000000" w:themeColor="text1"/>
                <w:spacing w:val="-3"/>
              </w:rPr>
              <w:t>specifická skladba poptávky b</w:t>
            </w:r>
            <w:r>
              <w:rPr>
                <w:color w:val="000000" w:themeColor="text1"/>
                <w:spacing w:val="-3"/>
              </w:rPr>
              <w:t>ěhem koronavirové krize.</w:t>
            </w:r>
          </w:p>
        </w:tc>
        <w:tc>
          <w:tcPr>
            <w:tcW w:w="214" w:type="dxa"/>
            <w:shd w:val="clear" w:color="auto" w:fill="auto"/>
            <w:tcMar>
              <w:left w:w="0" w:type="dxa"/>
            </w:tcMar>
          </w:tcPr>
          <w:p w14:paraId="67D4D398" w14:textId="77777777" w:rsidR="00B96D74" w:rsidRPr="00B43216" w:rsidRDefault="00B96D74" w:rsidP="0091476D">
            <w:pPr>
              <w:pStyle w:val="Textpoznpodarou"/>
              <w:jc w:val="both"/>
              <w:rPr>
                <w:spacing w:val="-4"/>
              </w:rPr>
            </w:pPr>
          </w:p>
        </w:tc>
        <w:tc>
          <w:tcPr>
            <w:tcW w:w="7670" w:type="dxa"/>
            <w:shd w:val="clear" w:color="auto" w:fill="auto"/>
            <w:tcMar>
              <w:left w:w="0" w:type="dxa"/>
            </w:tcMar>
          </w:tcPr>
          <w:p w14:paraId="6AC6564B" w14:textId="77777777" w:rsidR="00B96D74" w:rsidRPr="00744EA3" w:rsidRDefault="00B96D74" w:rsidP="0091476D">
            <w:pPr>
              <w:rPr>
                <w:rFonts w:cs="Arial"/>
                <w:bCs/>
                <w:color w:val="000000"/>
                <w:spacing w:val="-4"/>
                <w:szCs w:val="20"/>
              </w:rPr>
            </w:pPr>
            <w:r>
              <w:rPr>
                <w:rFonts w:cs="Arial"/>
                <w:bCs/>
                <w:color w:val="000000"/>
                <w:spacing w:val="-4"/>
                <w:szCs w:val="20"/>
              </w:rPr>
              <w:t xml:space="preserve">Přestože potravinářský průmysl loni zaznamenal nejslabší meziroční tempo produkce od konce recese v roce 2013, šlo o jedno z mála průmyslových odvětví, jež loni vykázalo růst (+0,6 %). </w:t>
            </w:r>
            <w:r>
              <w:rPr>
                <w:spacing w:val="-4"/>
              </w:rPr>
              <w:t>V</w:t>
            </w:r>
            <w:r w:rsidRPr="004173F3">
              <w:rPr>
                <w:spacing w:val="-4"/>
              </w:rPr>
              <w:t xml:space="preserve">edle relativně stabilní tuzemské poptávky </w:t>
            </w:r>
            <w:r>
              <w:rPr>
                <w:spacing w:val="-4"/>
              </w:rPr>
              <w:t xml:space="preserve">mu </w:t>
            </w:r>
            <w:r w:rsidRPr="004173F3">
              <w:rPr>
                <w:spacing w:val="-4"/>
              </w:rPr>
              <w:t>patrně pomáhaly i</w:t>
            </w:r>
            <w:r>
              <w:rPr>
                <w:spacing w:val="-4"/>
              </w:rPr>
              <w:t> </w:t>
            </w:r>
            <w:r w:rsidRPr="004173F3">
              <w:rPr>
                <w:spacing w:val="-4"/>
              </w:rPr>
              <w:t>dobré le</w:t>
            </w:r>
            <w:r>
              <w:rPr>
                <w:spacing w:val="-4"/>
              </w:rPr>
              <w:t>tošní výsledky zemědělské prvovýroby</w:t>
            </w:r>
            <w:r w:rsidRPr="004173F3">
              <w:rPr>
                <w:spacing w:val="-4"/>
              </w:rPr>
              <w:t>.</w:t>
            </w:r>
            <w:r>
              <w:rPr>
                <w:spacing w:val="-4"/>
              </w:rPr>
              <w:t xml:space="preserve"> Úzkou vazbou na primární sektor se vyznačují i dřevozpracující a papírenský průmysl.</w:t>
            </w:r>
            <w:r w:rsidRPr="004173F3">
              <w:rPr>
                <w:spacing w:val="-4"/>
              </w:rPr>
              <w:t xml:space="preserve"> </w:t>
            </w:r>
            <w:r>
              <w:rPr>
                <w:spacing w:val="-4"/>
              </w:rPr>
              <w:t xml:space="preserve">Ty </w:t>
            </w:r>
            <w:r w:rsidRPr="004173F3">
              <w:rPr>
                <w:spacing w:val="-4"/>
              </w:rPr>
              <w:t>docílily shodně</w:t>
            </w:r>
            <w:r>
              <w:rPr>
                <w:spacing w:val="-4"/>
              </w:rPr>
              <w:t xml:space="preserve"> posílení produkce okolo 4 %</w:t>
            </w:r>
            <w:r w:rsidRPr="004173F3">
              <w:rPr>
                <w:spacing w:val="-4"/>
              </w:rPr>
              <w:t xml:space="preserve">. </w:t>
            </w:r>
            <w:r w:rsidRPr="004173F3">
              <w:rPr>
                <w:color w:val="000000" w:themeColor="text1"/>
                <w:spacing w:val="-4"/>
              </w:rPr>
              <w:t xml:space="preserve">Specifická skladba poptávky během koronavirové krize se </w:t>
            </w:r>
            <w:r>
              <w:rPr>
                <w:color w:val="000000" w:themeColor="text1"/>
                <w:spacing w:val="-4"/>
              </w:rPr>
              <w:t xml:space="preserve">loni </w:t>
            </w:r>
            <w:r w:rsidRPr="004173F3">
              <w:rPr>
                <w:color w:val="000000" w:themeColor="text1"/>
                <w:spacing w:val="-4"/>
              </w:rPr>
              <w:t>odrazila v mírném růstu výkonu farmaceutického průmyslu</w:t>
            </w:r>
            <w:r>
              <w:rPr>
                <w:color w:val="000000" w:themeColor="text1"/>
                <w:spacing w:val="-4"/>
              </w:rPr>
              <w:t xml:space="preserve"> (+3,7 %)</w:t>
            </w:r>
            <w:r w:rsidRPr="004173F3">
              <w:rPr>
                <w:color w:val="000000" w:themeColor="text1"/>
                <w:spacing w:val="-4"/>
              </w:rPr>
              <w:t xml:space="preserve"> či ostatního zpracovatelského průmyslu</w:t>
            </w:r>
            <w:r>
              <w:rPr>
                <w:color w:val="000000" w:themeColor="text1"/>
                <w:spacing w:val="-4"/>
              </w:rPr>
              <w:t xml:space="preserve"> (+2,4</w:t>
            </w:r>
            <w:r>
              <w:rPr>
                <w:spacing w:val="-4"/>
              </w:rPr>
              <w:t> </w:t>
            </w:r>
            <w:r>
              <w:rPr>
                <w:color w:val="000000" w:themeColor="text1"/>
                <w:spacing w:val="-4"/>
              </w:rPr>
              <w:t>%)</w:t>
            </w:r>
            <w:r w:rsidRPr="004173F3">
              <w:rPr>
                <w:color w:val="000000" w:themeColor="text1"/>
                <w:spacing w:val="-4"/>
              </w:rPr>
              <w:t>, jenž zahrnuje i</w:t>
            </w:r>
            <w:r>
              <w:rPr>
                <w:color w:val="000000" w:themeColor="text1"/>
                <w:spacing w:val="-4"/>
              </w:rPr>
              <w:t> </w:t>
            </w:r>
            <w:r w:rsidRPr="004173F3">
              <w:rPr>
                <w:color w:val="000000" w:themeColor="text1"/>
                <w:spacing w:val="-4"/>
              </w:rPr>
              <w:t>výrobu lékařských potřeb či výrobu her a</w:t>
            </w:r>
            <w:r>
              <w:rPr>
                <w:color w:val="000000" w:themeColor="text1"/>
                <w:spacing w:val="-4"/>
              </w:rPr>
              <w:t> </w:t>
            </w:r>
            <w:r w:rsidRPr="004173F3">
              <w:rPr>
                <w:color w:val="000000" w:themeColor="text1"/>
                <w:spacing w:val="-4"/>
              </w:rPr>
              <w:t>hraček.</w:t>
            </w:r>
          </w:p>
        </w:tc>
      </w:tr>
      <w:tr w:rsidR="00B96D74" w:rsidRPr="004670E0" w14:paraId="58F516DB" w14:textId="77777777" w:rsidTr="0091476D">
        <w:trPr>
          <w:trHeight w:val="145"/>
        </w:trPr>
        <w:tc>
          <w:tcPr>
            <w:tcW w:w="1780" w:type="dxa"/>
            <w:shd w:val="clear" w:color="auto" w:fill="auto"/>
            <w:tcMar>
              <w:left w:w="0" w:type="dxa"/>
            </w:tcMar>
          </w:tcPr>
          <w:p w14:paraId="7529CAE0" w14:textId="77777777" w:rsidR="00B96D74" w:rsidRPr="00D15820" w:rsidRDefault="00B96D74" w:rsidP="0091476D">
            <w:pPr>
              <w:pStyle w:val="Marginlie"/>
              <w:rPr>
                <w:spacing w:val="0"/>
              </w:rPr>
            </w:pPr>
            <w:r>
              <w:rPr>
                <w:spacing w:val="0"/>
              </w:rPr>
              <w:t>Nejvíce narostly tržby podnikům v energetice, výhradně vlivem cenového růstu.</w:t>
            </w:r>
          </w:p>
        </w:tc>
        <w:tc>
          <w:tcPr>
            <w:tcW w:w="214" w:type="dxa"/>
            <w:shd w:val="clear" w:color="auto" w:fill="auto"/>
            <w:tcMar>
              <w:left w:w="0" w:type="dxa"/>
            </w:tcMar>
          </w:tcPr>
          <w:p w14:paraId="5F58E26B" w14:textId="77777777" w:rsidR="00B96D74" w:rsidRPr="00B43216" w:rsidRDefault="00B96D74" w:rsidP="0091476D">
            <w:pPr>
              <w:pStyle w:val="Textpoznpodarou"/>
              <w:jc w:val="both"/>
              <w:rPr>
                <w:spacing w:val="-4"/>
              </w:rPr>
            </w:pPr>
          </w:p>
        </w:tc>
        <w:tc>
          <w:tcPr>
            <w:tcW w:w="7670" w:type="dxa"/>
            <w:shd w:val="clear" w:color="auto" w:fill="auto"/>
            <w:tcMar>
              <w:left w:w="0" w:type="dxa"/>
            </w:tcMar>
          </w:tcPr>
          <w:p w14:paraId="6FF30433" w14:textId="77777777" w:rsidR="00B96D74" w:rsidRPr="004670E0" w:rsidRDefault="00B96D74" w:rsidP="0091476D">
            <w:pPr>
              <w:rPr>
                <w:spacing w:val="-5"/>
              </w:rPr>
            </w:pPr>
            <w:r w:rsidRPr="004670E0">
              <w:rPr>
                <w:rFonts w:cs="Arial"/>
                <w:bCs/>
                <w:color w:val="000000"/>
                <w:spacing w:val="-5"/>
                <w:szCs w:val="20"/>
              </w:rPr>
              <w:t>Nominální tržby průmyslových podniků se loni snížily o</w:t>
            </w:r>
            <w:r>
              <w:rPr>
                <w:rFonts w:cs="Arial"/>
                <w:bCs/>
                <w:color w:val="000000"/>
                <w:spacing w:val="-5"/>
                <w:szCs w:val="20"/>
              </w:rPr>
              <w:t> </w:t>
            </w:r>
            <w:r w:rsidRPr="004670E0">
              <w:rPr>
                <w:rFonts w:cs="Arial"/>
                <w:bCs/>
                <w:color w:val="000000"/>
                <w:spacing w:val="-5"/>
                <w:szCs w:val="20"/>
              </w:rPr>
              <w:t>6,1</w:t>
            </w:r>
            <w:r>
              <w:rPr>
                <w:rFonts w:cs="Arial"/>
                <w:bCs/>
                <w:color w:val="000000"/>
                <w:spacing w:val="-5"/>
                <w:szCs w:val="20"/>
              </w:rPr>
              <w:t> %</w:t>
            </w:r>
            <w:r>
              <w:rPr>
                <w:rStyle w:val="Znakapoznpodarou"/>
                <w:bCs/>
                <w:color w:val="000000"/>
                <w:spacing w:val="-5"/>
                <w:szCs w:val="20"/>
              </w:rPr>
              <w:footnoteReference w:id="14"/>
            </w:r>
            <w:r w:rsidRPr="004670E0">
              <w:rPr>
                <w:rFonts w:cs="Arial"/>
                <w:bCs/>
                <w:color w:val="000000"/>
                <w:spacing w:val="-5"/>
                <w:szCs w:val="20"/>
              </w:rPr>
              <w:t>, poprvé od roku 2009. Pokles tržeb z přímého vývozu i</w:t>
            </w:r>
            <w:r>
              <w:rPr>
                <w:rFonts w:cs="Arial"/>
                <w:bCs/>
                <w:color w:val="000000"/>
                <w:spacing w:val="-5"/>
                <w:szCs w:val="20"/>
              </w:rPr>
              <w:t> z </w:t>
            </w:r>
            <w:r w:rsidRPr="004670E0">
              <w:rPr>
                <w:rFonts w:cs="Arial"/>
                <w:bCs/>
                <w:color w:val="000000"/>
                <w:spacing w:val="-5"/>
                <w:szCs w:val="20"/>
              </w:rPr>
              <w:t>tuzemska byl takřka totožný. Nejvíce vzrostly tržby v energetice (</w:t>
            </w:r>
            <w:r>
              <w:rPr>
                <w:rFonts w:cs="Arial"/>
                <w:bCs/>
                <w:color w:val="000000"/>
                <w:spacing w:val="-5"/>
                <w:szCs w:val="20"/>
              </w:rPr>
              <w:t>+5</w:t>
            </w:r>
            <w:r w:rsidRPr="004670E0">
              <w:rPr>
                <w:rFonts w:cs="Arial"/>
                <w:bCs/>
                <w:color w:val="000000"/>
                <w:spacing w:val="-5"/>
                <w:szCs w:val="20"/>
              </w:rPr>
              <w:t> %</w:t>
            </w:r>
            <w:r>
              <w:rPr>
                <w:rFonts w:cs="Arial"/>
                <w:bCs/>
                <w:color w:val="000000"/>
                <w:spacing w:val="-5"/>
                <w:szCs w:val="20"/>
              </w:rPr>
              <w:t>).</w:t>
            </w:r>
            <w:r w:rsidRPr="004670E0">
              <w:rPr>
                <w:rFonts w:cs="Arial"/>
                <w:bCs/>
                <w:color w:val="000000"/>
                <w:spacing w:val="-5"/>
                <w:szCs w:val="20"/>
              </w:rPr>
              <w:t xml:space="preserve"> </w:t>
            </w:r>
            <w:r>
              <w:rPr>
                <w:rFonts w:cs="Arial"/>
                <w:bCs/>
                <w:color w:val="000000"/>
                <w:spacing w:val="-5"/>
                <w:szCs w:val="20"/>
              </w:rPr>
              <w:t>R</w:t>
            </w:r>
            <w:r w:rsidRPr="004670E0">
              <w:rPr>
                <w:rFonts w:cs="Arial"/>
                <w:bCs/>
                <w:color w:val="000000"/>
                <w:spacing w:val="-5"/>
                <w:szCs w:val="20"/>
              </w:rPr>
              <w:t xml:space="preserve">ovněž výhradně vlivem cenového růstu stržili více výrobci oděvů. Naopak navzdory vyšší produkci nerostly tržby v papírenském </w:t>
            </w:r>
            <w:r>
              <w:rPr>
                <w:rFonts w:cs="Arial"/>
                <w:bCs/>
                <w:color w:val="000000"/>
                <w:spacing w:val="-5"/>
                <w:szCs w:val="20"/>
              </w:rPr>
              <w:t>průmyslu.</w:t>
            </w:r>
            <w:r w:rsidRPr="004670E0">
              <w:rPr>
                <w:rFonts w:cs="Arial"/>
                <w:bCs/>
                <w:color w:val="000000"/>
                <w:spacing w:val="-5"/>
                <w:szCs w:val="20"/>
              </w:rPr>
              <w:t xml:space="preserve"> </w:t>
            </w:r>
            <w:r>
              <w:rPr>
                <w:rFonts w:cs="Arial"/>
                <w:bCs/>
                <w:color w:val="000000"/>
                <w:spacing w:val="-5"/>
                <w:szCs w:val="20"/>
              </w:rPr>
              <w:t>C</w:t>
            </w:r>
            <w:r w:rsidRPr="004670E0">
              <w:rPr>
                <w:rFonts w:cs="Arial"/>
                <w:bCs/>
                <w:color w:val="000000"/>
                <w:spacing w:val="-5"/>
                <w:szCs w:val="20"/>
              </w:rPr>
              <w:t>enový vl</w:t>
            </w:r>
            <w:r>
              <w:rPr>
                <w:rFonts w:cs="Arial"/>
                <w:bCs/>
                <w:color w:val="000000"/>
                <w:spacing w:val="-5"/>
                <w:szCs w:val="20"/>
              </w:rPr>
              <w:t xml:space="preserve">iv negativně ovlivnil i tržby </w:t>
            </w:r>
            <w:r w:rsidRPr="004670E0">
              <w:rPr>
                <w:rFonts w:cs="Arial"/>
                <w:bCs/>
                <w:color w:val="000000"/>
                <w:spacing w:val="-5"/>
                <w:szCs w:val="20"/>
              </w:rPr>
              <w:t>v chemickém průmyslu a</w:t>
            </w:r>
            <w:r>
              <w:rPr>
                <w:rFonts w:cs="Arial"/>
                <w:bCs/>
                <w:color w:val="000000"/>
                <w:spacing w:val="-5"/>
                <w:szCs w:val="20"/>
              </w:rPr>
              <w:t> </w:t>
            </w:r>
            <w:r w:rsidRPr="004670E0">
              <w:rPr>
                <w:rFonts w:cs="Arial"/>
                <w:bCs/>
                <w:color w:val="000000"/>
                <w:spacing w:val="-5"/>
                <w:szCs w:val="20"/>
              </w:rPr>
              <w:t>hutnictví (v</w:t>
            </w:r>
            <w:r>
              <w:rPr>
                <w:rFonts w:cs="Arial"/>
                <w:bCs/>
                <w:color w:val="000000"/>
                <w:spacing w:val="-5"/>
                <w:szCs w:val="20"/>
              </w:rPr>
              <w:t> </w:t>
            </w:r>
            <w:r w:rsidRPr="004670E0">
              <w:rPr>
                <w:rFonts w:cs="Arial"/>
                <w:bCs/>
                <w:color w:val="000000"/>
                <w:spacing w:val="-5"/>
                <w:szCs w:val="20"/>
              </w:rPr>
              <w:t>obou odvětvích se tržby snížily o</w:t>
            </w:r>
            <w:r>
              <w:rPr>
                <w:rFonts w:cs="Arial"/>
                <w:bCs/>
                <w:color w:val="000000"/>
                <w:spacing w:val="-5"/>
                <w:szCs w:val="20"/>
              </w:rPr>
              <w:t> </w:t>
            </w:r>
            <w:r w:rsidRPr="004670E0">
              <w:rPr>
                <w:rFonts w:cs="Arial"/>
                <w:bCs/>
                <w:color w:val="000000"/>
                <w:spacing w:val="-5"/>
                <w:szCs w:val="20"/>
              </w:rPr>
              <w:t>více než desetinu).</w:t>
            </w:r>
          </w:p>
        </w:tc>
      </w:tr>
      <w:tr w:rsidR="00B96D74" w:rsidRPr="00760356" w14:paraId="3B24549F" w14:textId="77777777" w:rsidTr="0091476D">
        <w:trPr>
          <w:trHeight w:val="155"/>
        </w:trPr>
        <w:tc>
          <w:tcPr>
            <w:tcW w:w="1780" w:type="dxa"/>
            <w:vMerge w:val="restart"/>
            <w:shd w:val="clear" w:color="auto" w:fill="auto"/>
            <w:tcMar>
              <w:left w:w="0" w:type="dxa"/>
            </w:tcMar>
          </w:tcPr>
          <w:p w14:paraId="4D7AB2FD" w14:textId="77777777" w:rsidR="00B96D74" w:rsidRPr="00B43216" w:rsidRDefault="00B96D74" w:rsidP="0091476D">
            <w:pPr>
              <w:pStyle w:val="Marginlie"/>
              <w:rPr>
                <w:spacing w:val="-4"/>
              </w:rPr>
            </w:pPr>
          </w:p>
        </w:tc>
        <w:tc>
          <w:tcPr>
            <w:tcW w:w="214" w:type="dxa"/>
            <w:vMerge w:val="restart"/>
            <w:shd w:val="clear" w:color="auto" w:fill="auto"/>
            <w:tcMar>
              <w:left w:w="0" w:type="dxa"/>
            </w:tcMar>
          </w:tcPr>
          <w:p w14:paraId="77316F2B" w14:textId="77777777" w:rsidR="00B96D74" w:rsidRPr="00B43216" w:rsidRDefault="00B96D74" w:rsidP="0091476D">
            <w:pPr>
              <w:pStyle w:val="Textpoznpodarou"/>
              <w:jc w:val="both"/>
              <w:rPr>
                <w:spacing w:val="-4"/>
              </w:rPr>
            </w:pPr>
          </w:p>
        </w:tc>
        <w:tc>
          <w:tcPr>
            <w:tcW w:w="7670" w:type="dxa"/>
            <w:shd w:val="clear" w:color="auto" w:fill="auto"/>
            <w:tcMar>
              <w:left w:w="0" w:type="dxa"/>
            </w:tcMar>
          </w:tcPr>
          <w:p w14:paraId="3E82CDF7" w14:textId="77777777" w:rsidR="00B96D74" w:rsidRPr="00760356" w:rsidRDefault="00B96D74" w:rsidP="0091476D">
            <w:pPr>
              <w:pStyle w:val="Textpoznpodarou"/>
              <w:spacing w:line="276" w:lineRule="auto"/>
              <w:jc w:val="both"/>
              <w:rPr>
                <w:b/>
                <w:spacing w:val="-2"/>
              </w:rPr>
            </w:pPr>
            <w:r w:rsidRPr="00760356">
              <w:rPr>
                <w:b/>
                <w:spacing w:val="-2"/>
              </w:rPr>
              <w:t>Graf č. 5</w:t>
            </w:r>
            <w:r>
              <w:rPr>
                <w:b/>
                <w:spacing w:val="-2"/>
              </w:rPr>
              <w:t xml:space="preserve"> </w:t>
            </w:r>
            <w:r w:rsidRPr="00760356">
              <w:rPr>
                <w:b/>
                <w:spacing w:val="-2"/>
              </w:rPr>
              <w:t xml:space="preserve"> Nové zakázky v automobilovém průmyslu a</w:t>
            </w:r>
            <w:r>
              <w:rPr>
                <w:b/>
                <w:spacing w:val="-2"/>
              </w:rPr>
              <w:t> </w:t>
            </w:r>
            <w:r w:rsidRPr="00760356">
              <w:rPr>
                <w:b/>
                <w:spacing w:val="-2"/>
              </w:rPr>
              <w:t xml:space="preserve">v průmyslu celkem </w:t>
            </w:r>
            <w:r w:rsidRPr="00760356">
              <w:rPr>
                <w:bCs/>
                <w:spacing w:val="-2"/>
              </w:rPr>
              <w:t xml:space="preserve">(v běžných cenách, </w:t>
            </w:r>
            <w:r w:rsidRPr="00760356">
              <w:rPr>
                <w:spacing w:val="-2"/>
              </w:rPr>
              <w:t>meziročně</w:t>
            </w:r>
            <w:r w:rsidRPr="00760356">
              <w:rPr>
                <w:bCs/>
                <w:spacing w:val="-2"/>
              </w:rPr>
              <w:t xml:space="preserve"> v %)</w:t>
            </w:r>
            <w:r w:rsidRPr="00760356">
              <w:rPr>
                <w:b/>
                <w:spacing w:val="-2"/>
              </w:rPr>
              <w:t xml:space="preserve"> a využití výrobních kapacit v průmyslu*</w:t>
            </w:r>
            <w:r w:rsidRPr="00760356">
              <w:rPr>
                <w:spacing w:val="-2"/>
              </w:rPr>
              <w:t xml:space="preserve"> </w:t>
            </w:r>
            <w:r w:rsidRPr="00760356">
              <w:rPr>
                <w:b/>
                <w:spacing w:val="-2"/>
              </w:rPr>
              <w:t>a vybrané bariéry růstu</w:t>
            </w:r>
            <w:r w:rsidRPr="00760356">
              <w:rPr>
                <w:spacing w:val="-2"/>
              </w:rPr>
              <w:t>* (v %, pravá osa)</w:t>
            </w:r>
          </w:p>
        </w:tc>
      </w:tr>
      <w:tr w:rsidR="00B96D74" w:rsidRPr="00B43216" w14:paraId="26C0BA2C" w14:textId="77777777" w:rsidTr="0091476D">
        <w:tblPrEx>
          <w:tblCellMar>
            <w:left w:w="70" w:type="dxa"/>
            <w:right w:w="70" w:type="dxa"/>
          </w:tblCellMar>
        </w:tblPrEx>
        <w:trPr>
          <w:trHeight w:val="155"/>
        </w:trPr>
        <w:tc>
          <w:tcPr>
            <w:tcW w:w="1780" w:type="dxa"/>
            <w:vMerge/>
            <w:shd w:val="clear" w:color="auto" w:fill="auto"/>
          </w:tcPr>
          <w:p w14:paraId="7BCF3412" w14:textId="77777777" w:rsidR="00B96D74" w:rsidRPr="00B43216" w:rsidRDefault="00B96D74" w:rsidP="0091476D">
            <w:pPr>
              <w:pStyle w:val="Marginlie"/>
              <w:rPr>
                <w:spacing w:val="-4"/>
              </w:rPr>
            </w:pPr>
          </w:p>
        </w:tc>
        <w:tc>
          <w:tcPr>
            <w:tcW w:w="214" w:type="dxa"/>
            <w:vMerge/>
            <w:shd w:val="clear" w:color="auto" w:fill="auto"/>
          </w:tcPr>
          <w:p w14:paraId="570D8E59" w14:textId="77777777" w:rsidR="00B96D74" w:rsidRPr="00B43216" w:rsidRDefault="00B96D74" w:rsidP="0091476D">
            <w:pPr>
              <w:pStyle w:val="Textpoznpodarou"/>
              <w:jc w:val="both"/>
              <w:rPr>
                <w:spacing w:val="-4"/>
              </w:rPr>
            </w:pPr>
          </w:p>
        </w:tc>
        <w:tc>
          <w:tcPr>
            <w:tcW w:w="7670" w:type="dxa"/>
            <w:shd w:val="clear" w:color="auto" w:fill="auto"/>
          </w:tcPr>
          <w:p w14:paraId="3E1AD741" w14:textId="77777777" w:rsidR="00B96D74" w:rsidRPr="00B43216" w:rsidRDefault="00B96D74" w:rsidP="0091476D">
            <w:pPr>
              <w:spacing w:after="0"/>
              <w:rPr>
                <w:spacing w:val="-4"/>
              </w:rPr>
            </w:pPr>
            <w:r>
              <w:rPr>
                <w:noProof/>
              </w:rPr>
              <w:drawing>
                <wp:inline distT="0" distB="0" distL="0" distR="0" wp14:anchorId="4878582E" wp14:editId="4BDBB44D">
                  <wp:extent cx="4759325" cy="3384467"/>
                  <wp:effectExtent l="0" t="0" r="3175" b="6985"/>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B96D74" w:rsidRPr="008C5037" w14:paraId="5EA95268" w14:textId="77777777" w:rsidTr="0091476D">
        <w:trPr>
          <w:trHeight w:val="152"/>
        </w:trPr>
        <w:tc>
          <w:tcPr>
            <w:tcW w:w="1780" w:type="dxa"/>
            <w:vMerge/>
            <w:shd w:val="clear" w:color="auto" w:fill="auto"/>
            <w:tcMar>
              <w:left w:w="0" w:type="dxa"/>
            </w:tcMar>
          </w:tcPr>
          <w:p w14:paraId="4AB2F07E" w14:textId="77777777" w:rsidR="00B96D74" w:rsidRPr="00B43216" w:rsidRDefault="00B96D74" w:rsidP="0091476D">
            <w:pPr>
              <w:pStyle w:val="Marginlie"/>
              <w:rPr>
                <w:spacing w:val="-4"/>
              </w:rPr>
            </w:pPr>
          </w:p>
        </w:tc>
        <w:tc>
          <w:tcPr>
            <w:tcW w:w="214" w:type="dxa"/>
            <w:vMerge/>
            <w:shd w:val="clear" w:color="auto" w:fill="auto"/>
            <w:tcMar>
              <w:left w:w="0" w:type="dxa"/>
            </w:tcMar>
          </w:tcPr>
          <w:p w14:paraId="4DC0E8B1" w14:textId="77777777" w:rsidR="00B96D74" w:rsidRPr="00B43216" w:rsidRDefault="00B96D74" w:rsidP="0091476D">
            <w:pPr>
              <w:pStyle w:val="Textpoznpodarou"/>
              <w:jc w:val="both"/>
              <w:rPr>
                <w:spacing w:val="-4"/>
              </w:rPr>
            </w:pPr>
          </w:p>
        </w:tc>
        <w:tc>
          <w:tcPr>
            <w:tcW w:w="7670" w:type="dxa"/>
            <w:shd w:val="clear" w:color="auto" w:fill="auto"/>
            <w:tcMar>
              <w:left w:w="0" w:type="dxa"/>
            </w:tcMar>
          </w:tcPr>
          <w:p w14:paraId="3F9C8D4B" w14:textId="39E1E1D3" w:rsidR="00B96D74" w:rsidRDefault="00B96D74" w:rsidP="00B96D74">
            <w:pPr>
              <w:spacing w:after="0"/>
              <w:rPr>
                <w:rFonts w:cs="Arial"/>
                <w:sz w:val="14"/>
                <w:szCs w:val="14"/>
              </w:rPr>
            </w:pPr>
            <w:r w:rsidRPr="00883202">
              <w:rPr>
                <w:rFonts w:cs="Arial"/>
                <w:sz w:val="14"/>
                <w:szCs w:val="14"/>
              </w:rPr>
              <w:t>*Využití průmyslových kapacit i</w:t>
            </w:r>
            <w:r>
              <w:rPr>
                <w:rFonts w:cs="Arial"/>
                <w:sz w:val="14"/>
                <w:szCs w:val="14"/>
              </w:rPr>
              <w:t> </w:t>
            </w:r>
            <w:r w:rsidRPr="00883202">
              <w:rPr>
                <w:rFonts w:cs="Arial"/>
                <w:sz w:val="14"/>
                <w:szCs w:val="14"/>
              </w:rPr>
              <w:t>bariéry růstu jsou sezónně oč</w:t>
            </w:r>
            <w:r>
              <w:rPr>
                <w:rFonts w:cs="Arial"/>
                <w:sz w:val="14"/>
                <w:szCs w:val="14"/>
              </w:rPr>
              <w:t>ištěny a vyjadřují stav v prvním (bariéry růstu), resp.</w:t>
            </w:r>
            <w:r w:rsidRPr="00883202">
              <w:rPr>
                <w:rFonts w:cs="Arial"/>
                <w:sz w:val="14"/>
                <w:szCs w:val="14"/>
              </w:rPr>
              <w:t xml:space="preserve"> druhém měsíci daného čtvrtletí</w:t>
            </w:r>
            <w:r>
              <w:rPr>
                <w:rFonts w:cs="Arial"/>
                <w:sz w:val="14"/>
                <w:szCs w:val="14"/>
              </w:rPr>
              <w:t xml:space="preserve"> (využití kapacit)</w:t>
            </w:r>
            <w:r w:rsidRPr="00883202">
              <w:rPr>
                <w:rFonts w:cs="Arial"/>
                <w:sz w:val="14"/>
                <w:szCs w:val="14"/>
              </w:rPr>
              <w:t>.</w:t>
            </w:r>
            <w:r>
              <w:rPr>
                <w:rFonts w:cs="Arial"/>
                <w:sz w:val="14"/>
                <w:szCs w:val="14"/>
              </w:rPr>
              <w:t xml:space="preserve"> Podniky mohly uvést více hlavních bariér současně</w:t>
            </w:r>
          </w:p>
          <w:p w14:paraId="7CAB9CBF" w14:textId="0FA171EF" w:rsidR="00B96D74" w:rsidRPr="008C5037" w:rsidRDefault="00B96D74" w:rsidP="0091476D">
            <w:pPr>
              <w:rPr>
                <w:rFonts w:cs="Arial"/>
                <w:sz w:val="14"/>
                <w:szCs w:val="14"/>
              </w:rPr>
            </w:pPr>
            <w:r w:rsidRPr="00883202">
              <w:rPr>
                <w:rFonts w:cs="Arial"/>
                <w:sz w:val="14"/>
                <w:szCs w:val="14"/>
              </w:rPr>
              <w:t>Zdroj: ČSÚ</w:t>
            </w:r>
          </w:p>
        </w:tc>
      </w:tr>
      <w:tr w:rsidR="00B96D74" w:rsidRPr="00982C9E" w14:paraId="1DEEBFD7" w14:textId="77777777" w:rsidTr="0091476D">
        <w:trPr>
          <w:trHeight w:val="145"/>
        </w:trPr>
        <w:tc>
          <w:tcPr>
            <w:tcW w:w="1780" w:type="dxa"/>
            <w:shd w:val="clear" w:color="auto" w:fill="auto"/>
            <w:tcMar>
              <w:left w:w="0" w:type="dxa"/>
            </w:tcMar>
          </w:tcPr>
          <w:p w14:paraId="20CB45E9" w14:textId="77777777" w:rsidR="00B96D74" w:rsidRDefault="00B96D74" w:rsidP="0091476D">
            <w:pPr>
              <w:pStyle w:val="Marginlie"/>
            </w:pPr>
            <w:r>
              <w:rPr>
                <w:spacing w:val="0"/>
              </w:rPr>
              <w:t>Hodnota nových průmyslových zakázek na konci roku vzrostla.</w:t>
            </w:r>
          </w:p>
          <w:p w14:paraId="3145C53A" w14:textId="77777777" w:rsidR="00B96D74" w:rsidRDefault="00B96D74" w:rsidP="0091476D">
            <w:pPr>
              <w:pStyle w:val="Marginlie"/>
            </w:pPr>
          </w:p>
          <w:p w14:paraId="5CAC03C8" w14:textId="77777777" w:rsidR="00B96D74" w:rsidRDefault="00B96D74" w:rsidP="0091476D">
            <w:pPr>
              <w:pStyle w:val="Marginlie"/>
            </w:pPr>
          </w:p>
          <w:p w14:paraId="4E19F4F5" w14:textId="77777777" w:rsidR="00B96D74" w:rsidRDefault="00B96D74" w:rsidP="0091476D">
            <w:pPr>
              <w:pStyle w:val="Marginlie"/>
            </w:pPr>
          </w:p>
          <w:p w14:paraId="54D74B05" w14:textId="77777777" w:rsidR="00B96D74" w:rsidRDefault="00B96D74" w:rsidP="0091476D">
            <w:pPr>
              <w:pStyle w:val="Marginlie"/>
            </w:pPr>
            <w:r>
              <w:lastRenderedPageBreak/>
              <w:t>Mezi bariérami růstu stále výrazně dominuje nedostatečná poptávka. Indikátor důvěry na počátku roku 2021 posílil.</w:t>
            </w:r>
          </w:p>
        </w:tc>
        <w:tc>
          <w:tcPr>
            <w:tcW w:w="214" w:type="dxa"/>
            <w:shd w:val="clear" w:color="auto" w:fill="auto"/>
            <w:tcMar>
              <w:left w:w="0" w:type="dxa"/>
            </w:tcMar>
          </w:tcPr>
          <w:p w14:paraId="6265EDDC" w14:textId="77777777" w:rsidR="00B96D74" w:rsidRPr="00B43216" w:rsidRDefault="00B96D74" w:rsidP="0091476D">
            <w:pPr>
              <w:pStyle w:val="Textpoznpodarou"/>
              <w:jc w:val="both"/>
              <w:rPr>
                <w:spacing w:val="-4"/>
              </w:rPr>
            </w:pPr>
          </w:p>
        </w:tc>
        <w:tc>
          <w:tcPr>
            <w:tcW w:w="7670" w:type="dxa"/>
            <w:shd w:val="clear" w:color="auto" w:fill="auto"/>
            <w:tcMar>
              <w:left w:w="0" w:type="dxa"/>
            </w:tcMar>
          </w:tcPr>
          <w:p w14:paraId="7B62F21A" w14:textId="77777777" w:rsidR="00B96D74" w:rsidRPr="00E15929" w:rsidRDefault="00B96D74" w:rsidP="0091476D">
            <w:pPr>
              <w:rPr>
                <w:spacing w:val="-4"/>
              </w:rPr>
            </w:pPr>
            <w:r w:rsidRPr="00D639E1">
              <w:rPr>
                <w:color w:val="000000" w:themeColor="text1"/>
                <w:spacing w:val="-6"/>
              </w:rPr>
              <w:t xml:space="preserve">Krátkodobé vyhlídky průmyslu se ke konci roku zlepšovaly. </w:t>
            </w:r>
            <w:r w:rsidRPr="00D639E1">
              <w:rPr>
                <w:color w:val="0D0D0D" w:themeColor="text1" w:themeTint="F2"/>
                <w:spacing w:val="-6"/>
              </w:rPr>
              <w:t>Hodnota průmyslových zakázek</w:t>
            </w:r>
            <w:r w:rsidRPr="00B12B9E">
              <w:rPr>
                <w:rStyle w:val="Znakapoznpodarou"/>
                <w:spacing w:val="-4"/>
              </w:rPr>
              <w:footnoteReference w:id="15"/>
            </w:r>
            <w:r>
              <w:rPr>
                <w:color w:val="0D0D0D" w:themeColor="text1" w:themeTint="F2"/>
                <w:spacing w:val="-4"/>
              </w:rPr>
              <w:t xml:space="preserve"> vzrostla ve 4</w:t>
            </w:r>
            <w:r w:rsidRPr="00B12B9E">
              <w:rPr>
                <w:color w:val="0D0D0D" w:themeColor="text1" w:themeTint="F2"/>
                <w:spacing w:val="-4"/>
              </w:rPr>
              <w:t xml:space="preserve">. čtvrtletí </w:t>
            </w:r>
            <w:r>
              <w:rPr>
                <w:color w:val="0D0D0D" w:themeColor="text1" w:themeTint="F2"/>
                <w:spacing w:val="-4"/>
              </w:rPr>
              <w:t>2020 zásluhou zahraniční i tuzemské poptávky meziročně o 6,9 %</w:t>
            </w:r>
            <w:r>
              <w:rPr>
                <w:rStyle w:val="Znakapoznpodarou"/>
                <w:color w:val="0D0D0D" w:themeColor="text1" w:themeTint="F2"/>
                <w:spacing w:val="-4"/>
              </w:rPr>
              <w:footnoteReference w:id="16"/>
            </w:r>
            <w:r>
              <w:rPr>
                <w:color w:val="0D0D0D" w:themeColor="text1" w:themeTint="F2"/>
                <w:spacing w:val="-4"/>
              </w:rPr>
              <w:t>. Vyšší poptávka prostupovala drtivou většinou sledovaných oborů, minula však důležité odvětví strojírenství.</w:t>
            </w:r>
            <w:r w:rsidRPr="00B12B9E">
              <w:rPr>
                <w:color w:val="0D0D0D" w:themeColor="text1" w:themeTint="F2"/>
                <w:spacing w:val="-4"/>
              </w:rPr>
              <w:t xml:space="preserve"> V</w:t>
            </w:r>
            <w:r>
              <w:rPr>
                <w:color w:val="0D0D0D" w:themeColor="text1" w:themeTint="F2"/>
                <w:spacing w:val="-4"/>
              </w:rPr>
              <w:t>yužití výrobních kapacit překročilo na počátku roku 2021 již 83 %, a těsně se tak přiblížilo úrovni z posledního konjunkturního období</w:t>
            </w:r>
            <w:r>
              <w:rPr>
                <w:rStyle w:val="Znakapoznpodarou"/>
                <w:color w:val="0D0D0D" w:themeColor="text1" w:themeTint="F2"/>
                <w:spacing w:val="-4"/>
              </w:rPr>
              <w:footnoteReference w:id="17"/>
            </w:r>
            <w:r>
              <w:rPr>
                <w:color w:val="0D0D0D" w:themeColor="text1" w:themeTint="F2"/>
                <w:spacing w:val="-4"/>
              </w:rPr>
              <w:t>.</w:t>
            </w:r>
            <w:r w:rsidRPr="00B12B9E">
              <w:rPr>
                <w:color w:val="0D0D0D" w:themeColor="text1" w:themeTint="F2"/>
                <w:spacing w:val="-4"/>
              </w:rPr>
              <w:t xml:space="preserve"> Hlavní růstovou bariérou</w:t>
            </w:r>
            <w:r w:rsidRPr="00B12B9E">
              <w:rPr>
                <w:rStyle w:val="Znakapoznpodarou"/>
                <w:color w:val="0D0D0D" w:themeColor="text1" w:themeTint="F2"/>
                <w:spacing w:val="-4"/>
              </w:rPr>
              <w:footnoteReference w:id="18"/>
            </w:r>
            <w:r w:rsidRPr="00B12B9E">
              <w:rPr>
                <w:color w:val="0D0D0D" w:themeColor="text1" w:themeTint="F2"/>
                <w:spacing w:val="-4"/>
              </w:rPr>
              <w:t xml:space="preserve"> zůstáv</w:t>
            </w:r>
            <w:r>
              <w:rPr>
                <w:color w:val="0D0D0D" w:themeColor="text1" w:themeTint="F2"/>
                <w:spacing w:val="-4"/>
              </w:rPr>
              <w:t>á nedostatečná poptávka. Na počátku roku 2021</w:t>
            </w:r>
            <w:r w:rsidRPr="00B12B9E">
              <w:rPr>
                <w:color w:val="0D0D0D" w:themeColor="text1" w:themeTint="F2"/>
                <w:spacing w:val="-4"/>
              </w:rPr>
              <w:t xml:space="preserve"> ji uvedla skoro polovina </w:t>
            </w:r>
            <w:r w:rsidRPr="00B12B9E">
              <w:rPr>
                <w:color w:val="0D0D0D" w:themeColor="text1" w:themeTint="F2"/>
                <w:spacing w:val="-4"/>
              </w:rPr>
              <w:lastRenderedPageBreak/>
              <w:t>průmyslových podniků</w:t>
            </w:r>
            <w:r>
              <w:rPr>
                <w:color w:val="0D0D0D" w:themeColor="text1" w:themeTint="F2"/>
                <w:spacing w:val="-4"/>
              </w:rPr>
              <w:t>, nedostatek pracovníků trápil pětinu z nich.</w:t>
            </w:r>
            <w:r w:rsidRPr="00B12B9E">
              <w:rPr>
                <w:color w:val="0D0D0D" w:themeColor="text1" w:themeTint="F2"/>
                <w:spacing w:val="-4"/>
              </w:rPr>
              <w:t xml:space="preserve"> Souhrnné saldo indikátoru důvěry v</w:t>
            </w:r>
            <w:r>
              <w:rPr>
                <w:color w:val="0D0D0D" w:themeColor="text1" w:themeTint="F2"/>
                <w:spacing w:val="-4"/>
              </w:rPr>
              <w:t> </w:t>
            </w:r>
            <w:r w:rsidRPr="00B12B9E">
              <w:rPr>
                <w:color w:val="0D0D0D" w:themeColor="text1" w:themeTint="F2"/>
                <w:spacing w:val="-4"/>
              </w:rPr>
              <w:t>průmyslu</w:t>
            </w:r>
            <w:r>
              <w:rPr>
                <w:color w:val="0D0D0D" w:themeColor="text1" w:themeTint="F2"/>
                <w:spacing w:val="-4"/>
              </w:rPr>
              <w:t xml:space="preserve"> na přelomu let 2020 a 2021 rostlo a v letošním únoru se nacházelo nejvýše od dubna 2019. Očekávání výrobní činnosti v následujících třech měsících bylo mírně pozitivní a výhled v oblasti změn zaměstnanosti neutrální.</w:t>
            </w:r>
          </w:p>
        </w:tc>
      </w:tr>
      <w:tr w:rsidR="00B96D74" w:rsidRPr="00982C9E" w14:paraId="0E044189" w14:textId="77777777" w:rsidTr="0091476D">
        <w:trPr>
          <w:trHeight w:val="145"/>
        </w:trPr>
        <w:tc>
          <w:tcPr>
            <w:tcW w:w="1780" w:type="dxa"/>
            <w:shd w:val="clear" w:color="auto" w:fill="auto"/>
            <w:tcMar>
              <w:left w:w="0" w:type="dxa"/>
            </w:tcMar>
          </w:tcPr>
          <w:p w14:paraId="6B426043" w14:textId="77777777" w:rsidR="00B96D74" w:rsidRDefault="00B96D74" w:rsidP="0091476D">
            <w:pPr>
              <w:pStyle w:val="Marginlie"/>
            </w:pPr>
            <w:r>
              <w:lastRenderedPageBreak/>
              <w:t>Dopady protipandemických opatření byly ve stavebnictví pozvolnější, přetrvávaly však déle.</w:t>
            </w:r>
          </w:p>
          <w:p w14:paraId="6C73DD47" w14:textId="77777777" w:rsidR="00B96D74" w:rsidRDefault="00B96D74" w:rsidP="0091476D">
            <w:pPr>
              <w:pStyle w:val="Marginlie"/>
            </w:pPr>
          </w:p>
          <w:p w14:paraId="33FCDF36" w14:textId="77777777" w:rsidR="00B96D74" w:rsidRDefault="00B96D74" w:rsidP="0091476D">
            <w:pPr>
              <w:pStyle w:val="Marginlie"/>
            </w:pPr>
          </w:p>
          <w:p w14:paraId="070BDC2F" w14:textId="77777777" w:rsidR="00B96D74" w:rsidRDefault="00B96D74" w:rsidP="0091476D">
            <w:pPr>
              <w:pStyle w:val="Marginlie"/>
            </w:pPr>
          </w:p>
          <w:p w14:paraId="6D0AA813" w14:textId="77777777" w:rsidR="00B96D74" w:rsidRDefault="00B96D74" w:rsidP="0091476D">
            <w:pPr>
              <w:pStyle w:val="Marginlie"/>
            </w:pPr>
            <w:r>
              <w:t>Produkce pozemního stavitelství propadla nejvíce za poslední dvě dekády. Inženýrské stavitelství si mírný růst udrželo.</w:t>
            </w:r>
          </w:p>
        </w:tc>
        <w:tc>
          <w:tcPr>
            <w:tcW w:w="214" w:type="dxa"/>
            <w:shd w:val="clear" w:color="auto" w:fill="auto"/>
            <w:tcMar>
              <w:left w:w="0" w:type="dxa"/>
            </w:tcMar>
          </w:tcPr>
          <w:p w14:paraId="4CDED929" w14:textId="77777777" w:rsidR="00B96D74" w:rsidRPr="00B43216" w:rsidRDefault="00B96D74" w:rsidP="0091476D">
            <w:pPr>
              <w:pStyle w:val="Textpoznpodarou"/>
              <w:jc w:val="both"/>
              <w:rPr>
                <w:spacing w:val="-4"/>
              </w:rPr>
            </w:pPr>
          </w:p>
        </w:tc>
        <w:tc>
          <w:tcPr>
            <w:tcW w:w="7670" w:type="dxa"/>
            <w:shd w:val="clear" w:color="auto" w:fill="auto"/>
            <w:tcMar>
              <w:left w:w="0" w:type="dxa"/>
            </w:tcMar>
          </w:tcPr>
          <w:p w14:paraId="1C3DE844" w14:textId="77777777" w:rsidR="00B96D74" w:rsidRPr="00982C9E" w:rsidRDefault="00B96D74" w:rsidP="0091476D">
            <w:pPr>
              <w:rPr>
                <w:spacing w:val="-4"/>
              </w:rPr>
            </w:pPr>
            <w:r w:rsidRPr="00E15929">
              <w:rPr>
                <w:spacing w:val="-4"/>
              </w:rPr>
              <w:t xml:space="preserve">Dopady protipandemických opatření se ve stavebnictví projevovaly pozvolněji, zato s větší </w:t>
            </w:r>
            <w:r w:rsidRPr="00E15929">
              <w:rPr>
                <w:spacing w:val="-2"/>
              </w:rPr>
              <w:t xml:space="preserve">setrvačností. Nejhlubší meziměsíční pokles </w:t>
            </w:r>
            <w:r w:rsidRPr="00E15929">
              <w:rPr>
                <w:color w:val="0D0D0D" w:themeColor="text1" w:themeTint="F2"/>
                <w:spacing w:val="-2"/>
              </w:rPr>
              <w:t>s</w:t>
            </w:r>
            <w:r w:rsidRPr="00E15929">
              <w:rPr>
                <w:spacing w:val="-2"/>
              </w:rPr>
              <w:t>tavební produkce</w:t>
            </w:r>
            <w:r w:rsidRPr="00E15929">
              <w:rPr>
                <w:rStyle w:val="Znakapoznpodarou"/>
                <w:spacing w:val="-2"/>
              </w:rPr>
              <w:footnoteReference w:id="19"/>
            </w:r>
            <w:r w:rsidRPr="00E15929">
              <w:rPr>
                <w:spacing w:val="-2"/>
              </w:rPr>
              <w:t xml:space="preserve"> nastal loni</w:t>
            </w:r>
            <w:r w:rsidRPr="00982C9E">
              <w:rPr>
                <w:spacing w:val="-2"/>
              </w:rPr>
              <w:t xml:space="preserve"> až v květnu (–3,9</w:t>
            </w:r>
            <w:r>
              <w:rPr>
                <w:spacing w:val="-2"/>
              </w:rPr>
              <w:t> %</w:t>
            </w:r>
            <w:r w:rsidRPr="00982C9E">
              <w:rPr>
                <w:spacing w:val="-2"/>
              </w:rPr>
              <w:t>).</w:t>
            </w:r>
            <w:r w:rsidRPr="00982C9E">
              <w:rPr>
                <w:spacing w:val="-4"/>
              </w:rPr>
              <w:t xml:space="preserve"> Restriktivní opatření postupně </w:t>
            </w:r>
            <w:r>
              <w:rPr>
                <w:spacing w:val="-4"/>
              </w:rPr>
              <w:t>omezila potřebnou součinnost všech aktérů stavebního řízení a dále tak ztížila náročný administrativní proces přípravy staveb. Některá výběrová řízení byla pozastavena, což narušilo plynulost výstavby. Vlivem omezené mobility došlo k prohloubení problémů s dostupností pracovníků, zejména těch zahraničních. Na rozdíl od drtivé většiny ostatních tržních odvětví byl jarní útlum ve stavebnictví slabší, nebyl však doprovázen následným oživením. Produkce tak mezikvartálně klesla ve 3., ale i ve 4. čtvrtletí (</w:t>
            </w:r>
            <w:r w:rsidRPr="00982C9E">
              <w:rPr>
                <w:spacing w:val="-2"/>
              </w:rPr>
              <w:t>–</w:t>
            </w:r>
            <w:r>
              <w:rPr>
                <w:spacing w:val="-2"/>
              </w:rPr>
              <w:t>2</w:t>
            </w:r>
            <w:r w:rsidRPr="00982C9E">
              <w:rPr>
                <w:spacing w:val="-2"/>
              </w:rPr>
              <w:t>,9</w:t>
            </w:r>
            <w:r>
              <w:rPr>
                <w:spacing w:val="-2"/>
              </w:rPr>
              <w:t xml:space="preserve"> %, resp. </w:t>
            </w:r>
            <w:r w:rsidRPr="00982C9E">
              <w:rPr>
                <w:spacing w:val="-2"/>
              </w:rPr>
              <w:t>–</w:t>
            </w:r>
            <w:r>
              <w:rPr>
                <w:spacing w:val="-2"/>
              </w:rPr>
              <w:t>0,3 %). Za celý loňský rok produkce propadla o 6,2 %</w:t>
            </w:r>
            <w:r>
              <w:rPr>
                <w:rStyle w:val="Znakapoznpodarou"/>
                <w:spacing w:val="-2"/>
              </w:rPr>
              <w:footnoteReference w:id="20"/>
            </w:r>
            <w:r>
              <w:rPr>
                <w:spacing w:val="-2"/>
              </w:rPr>
              <w:t>, a to výhradně vlivem slabého výkonu pozemního stavitelství (</w:t>
            </w:r>
            <w:r w:rsidRPr="00982C9E">
              <w:rPr>
                <w:spacing w:val="-2"/>
              </w:rPr>
              <w:t>–</w:t>
            </w:r>
            <w:r>
              <w:rPr>
                <w:spacing w:val="-2"/>
              </w:rPr>
              <w:t>9,0 %, minimum ve srovnatelné řadě po roce 2000). Inženýrskému stavitelství pomohl pokračující růst veřejných investic</w:t>
            </w:r>
            <w:r>
              <w:rPr>
                <w:rStyle w:val="Znakapoznpodarou"/>
                <w:spacing w:val="-2"/>
              </w:rPr>
              <w:footnoteReference w:id="21"/>
            </w:r>
            <w:r>
              <w:rPr>
                <w:spacing w:val="-2"/>
              </w:rPr>
              <w:t>, jeho výkon tak ve srovnání s rokem 2019 mírně vzrostl (+1,4 %).</w:t>
            </w:r>
          </w:p>
        </w:tc>
      </w:tr>
      <w:tr w:rsidR="00B96D74" w:rsidRPr="00FE5237" w14:paraId="0D52A66B" w14:textId="77777777" w:rsidTr="0091476D">
        <w:trPr>
          <w:trHeight w:val="145"/>
        </w:trPr>
        <w:tc>
          <w:tcPr>
            <w:tcW w:w="1780" w:type="dxa"/>
            <w:shd w:val="clear" w:color="auto" w:fill="auto"/>
            <w:tcMar>
              <w:left w:w="0" w:type="dxa"/>
            </w:tcMar>
          </w:tcPr>
          <w:p w14:paraId="5452ED86" w14:textId="77777777" w:rsidR="00B96D74" w:rsidRDefault="00B96D74" w:rsidP="0091476D">
            <w:pPr>
              <w:pStyle w:val="Marginlie"/>
            </w:pPr>
          </w:p>
        </w:tc>
        <w:tc>
          <w:tcPr>
            <w:tcW w:w="214" w:type="dxa"/>
            <w:shd w:val="clear" w:color="auto" w:fill="auto"/>
            <w:tcMar>
              <w:left w:w="0" w:type="dxa"/>
            </w:tcMar>
          </w:tcPr>
          <w:p w14:paraId="0C6F15D5" w14:textId="77777777" w:rsidR="00B96D74" w:rsidRPr="00B43216" w:rsidRDefault="00B96D74" w:rsidP="0091476D">
            <w:pPr>
              <w:pStyle w:val="Textpoznpodarou"/>
              <w:jc w:val="both"/>
              <w:rPr>
                <w:spacing w:val="-4"/>
              </w:rPr>
            </w:pPr>
          </w:p>
        </w:tc>
        <w:tc>
          <w:tcPr>
            <w:tcW w:w="7670" w:type="dxa"/>
            <w:shd w:val="clear" w:color="auto" w:fill="auto"/>
            <w:tcMar>
              <w:left w:w="0" w:type="dxa"/>
            </w:tcMar>
          </w:tcPr>
          <w:p w14:paraId="1CA5524A" w14:textId="77777777" w:rsidR="00B96D74" w:rsidRPr="00FE5237" w:rsidRDefault="00B96D74" w:rsidP="0091476D">
            <w:pPr>
              <w:spacing w:after="0"/>
              <w:rPr>
                <w:spacing w:val="-4"/>
              </w:rPr>
            </w:pPr>
            <w:r w:rsidRPr="00883202">
              <w:rPr>
                <w:b/>
              </w:rPr>
              <w:t>Graf č. 6</w:t>
            </w:r>
            <w:r>
              <w:rPr>
                <w:b/>
              </w:rPr>
              <w:t xml:space="preserve"> </w:t>
            </w:r>
            <w:r w:rsidRPr="00883202">
              <w:rPr>
                <w:b/>
              </w:rPr>
              <w:t xml:space="preserve"> Příspěvky odvětví k meziroční změně stavební produkce </w:t>
            </w:r>
            <w:r w:rsidRPr="00883202">
              <w:t>(v p. b.)</w:t>
            </w:r>
            <w:r w:rsidRPr="00883202">
              <w:rPr>
                <w:b/>
                <w:bCs/>
              </w:rPr>
              <w:t>,</w:t>
            </w:r>
            <w:r w:rsidRPr="00883202">
              <w:rPr>
                <w:b/>
                <w:bCs/>
              </w:rPr>
              <w:br/>
            </w:r>
            <w:r w:rsidRPr="00883202">
              <w:rPr>
                <w:b/>
              </w:rPr>
              <w:t xml:space="preserve">nové stavební zakázky </w:t>
            </w:r>
            <w:r w:rsidRPr="00883202">
              <w:rPr>
                <w:bCs/>
              </w:rPr>
              <w:t>(</w:t>
            </w:r>
            <w:r w:rsidRPr="00883202">
              <w:t>meziročně</w:t>
            </w:r>
            <w:r w:rsidRPr="00883202">
              <w:rPr>
                <w:bCs/>
              </w:rPr>
              <w:t xml:space="preserve"> v %</w:t>
            </w:r>
            <w:r w:rsidRPr="00883202">
              <w:t>, pravá osa</w:t>
            </w:r>
            <w:r w:rsidRPr="00883202">
              <w:rPr>
                <w:bCs/>
              </w:rPr>
              <w:t>)</w:t>
            </w:r>
            <w:r w:rsidRPr="00883202">
              <w:rPr>
                <w:b/>
              </w:rPr>
              <w:t>, saldo indikátoru důvěry ve stavebnictví*</w:t>
            </w:r>
            <w:r w:rsidRPr="00883202">
              <w:t xml:space="preserve"> (v p. b., pravá osa) </w:t>
            </w:r>
            <w:r w:rsidRPr="00883202">
              <w:rPr>
                <w:b/>
              </w:rPr>
              <w:t>a vybrané bariéry růstu</w:t>
            </w:r>
            <w:r w:rsidRPr="00883202">
              <w:t>* (v %, pravá osa)</w:t>
            </w:r>
          </w:p>
        </w:tc>
      </w:tr>
      <w:tr w:rsidR="00B96D74" w:rsidRPr="003E01D3" w14:paraId="515B31BC" w14:textId="77777777" w:rsidTr="0091476D">
        <w:tblPrEx>
          <w:tblCellMar>
            <w:left w:w="70" w:type="dxa"/>
            <w:right w:w="70" w:type="dxa"/>
          </w:tblCellMar>
        </w:tblPrEx>
        <w:trPr>
          <w:trHeight w:val="145"/>
        </w:trPr>
        <w:tc>
          <w:tcPr>
            <w:tcW w:w="1780" w:type="dxa"/>
            <w:shd w:val="clear" w:color="auto" w:fill="auto"/>
          </w:tcPr>
          <w:p w14:paraId="36C71FED" w14:textId="77777777" w:rsidR="00B96D74" w:rsidRDefault="00B96D74" w:rsidP="0091476D">
            <w:pPr>
              <w:pStyle w:val="Marginlie"/>
            </w:pPr>
          </w:p>
        </w:tc>
        <w:tc>
          <w:tcPr>
            <w:tcW w:w="214" w:type="dxa"/>
            <w:shd w:val="clear" w:color="auto" w:fill="auto"/>
          </w:tcPr>
          <w:p w14:paraId="1020A4C3" w14:textId="77777777" w:rsidR="00B96D74" w:rsidRPr="00B43216" w:rsidRDefault="00B96D74" w:rsidP="0091476D">
            <w:pPr>
              <w:pStyle w:val="Textpoznpodarou"/>
              <w:jc w:val="both"/>
              <w:rPr>
                <w:spacing w:val="-4"/>
              </w:rPr>
            </w:pPr>
          </w:p>
        </w:tc>
        <w:tc>
          <w:tcPr>
            <w:tcW w:w="7670" w:type="dxa"/>
            <w:shd w:val="clear" w:color="auto" w:fill="auto"/>
          </w:tcPr>
          <w:p w14:paraId="4F5D8243" w14:textId="77777777" w:rsidR="00B96D74" w:rsidRPr="003E01D3" w:rsidRDefault="00B96D74" w:rsidP="0091476D">
            <w:pPr>
              <w:spacing w:after="0"/>
              <w:rPr>
                <w:b/>
                <w:spacing w:val="-4"/>
              </w:rPr>
            </w:pPr>
            <w:r>
              <w:rPr>
                <w:noProof/>
              </w:rPr>
              <w:drawing>
                <wp:inline distT="0" distB="0" distL="0" distR="0" wp14:anchorId="46A0D4C6" wp14:editId="03979D17">
                  <wp:extent cx="4740910" cy="3800475"/>
                  <wp:effectExtent l="0" t="0" r="2540" b="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B96D74" w14:paraId="784C4E8D" w14:textId="77777777" w:rsidTr="0091476D">
        <w:trPr>
          <w:trHeight w:val="145"/>
        </w:trPr>
        <w:tc>
          <w:tcPr>
            <w:tcW w:w="1780" w:type="dxa"/>
            <w:shd w:val="clear" w:color="auto" w:fill="auto"/>
            <w:tcMar>
              <w:left w:w="0" w:type="dxa"/>
            </w:tcMar>
          </w:tcPr>
          <w:p w14:paraId="328FDAA1" w14:textId="77777777" w:rsidR="00B96D74" w:rsidRDefault="00B96D74" w:rsidP="0091476D">
            <w:pPr>
              <w:pStyle w:val="Marginlie"/>
            </w:pPr>
          </w:p>
        </w:tc>
        <w:tc>
          <w:tcPr>
            <w:tcW w:w="214" w:type="dxa"/>
            <w:shd w:val="clear" w:color="auto" w:fill="auto"/>
            <w:tcMar>
              <w:left w:w="0" w:type="dxa"/>
            </w:tcMar>
          </w:tcPr>
          <w:p w14:paraId="53C32A74" w14:textId="77777777" w:rsidR="00B96D74" w:rsidRPr="00B43216" w:rsidRDefault="00B96D74" w:rsidP="0091476D">
            <w:pPr>
              <w:pStyle w:val="Textpoznpodarou"/>
              <w:jc w:val="both"/>
              <w:rPr>
                <w:spacing w:val="-4"/>
              </w:rPr>
            </w:pPr>
          </w:p>
        </w:tc>
        <w:tc>
          <w:tcPr>
            <w:tcW w:w="7670" w:type="dxa"/>
            <w:shd w:val="clear" w:color="auto" w:fill="auto"/>
            <w:tcMar>
              <w:left w:w="0" w:type="dxa"/>
            </w:tcMar>
          </w:tcPr>
          <w:p w14:paraId="0140876D" w14:textId="77777777" w:rsidR="00B96D74" w:rsidRPr="00883202" w:rsidRDefault="00B96D74" w:rsidP="0091476D">
            <w:pPr>
              <w:spacing w:after="0"/>
              <w:rPr>
                <w:rFonts w:cs="Arial"/>
                <w:sz w:val="14"/>
                <w:szCs w:val="14"/>
              </w:rPr>
            </w:pPr>
            <w:r w:rsidRPr="00883202">
              <w:rPr>
                <w:rFonts w:cs="Arial"/>
                <w:sz w:val="14"/>
                <w:szCs w:val="14"/>
              </w:rPr>
              <w:t>Údaje o stavební produkci jsou očištěny o kalendářní vlivy.</w:t>
            </w:r>
          </w:p>
          <w:p w14:paraId="23980790" w14:textId="77777777" w:rsidR="00B96D74" w:rsidRPr="00883202" w:rsidRDefault="00B96D74" w:rsidP="0091476D">
            <w:pPr>
              <w:spacing w:after="0"/>
              <w:rPr>
                <w:rFonts w:cs="Arial"/>
                <w:sz w:val="14"/>
                <w:szCs w:val="14"/>
              </w:rPr>
            </w:pPr>
            <w:r w:rsidRPr="00883202">
              <w:rPr>
                <w:rFonts w:cs="Arial"/>
                <w:sz w:val="14"/>
                <w:szCs w:val="14"/>
              </w:rPr>
              <w:t>*</w:t>
            </w:r>
            <w:r w:rsidRPr="00883202">
              <w:rPr>
                <w:rFonts w:cs="Arial"/>
                <w:spacing w:val="-2"/>
                <w:sz w:val="14"/>
                <w:szCs w:val="14"/>
              </w:rPr>
              <w:t>Saldo důvěry i bariéry růstu jsou sezónně očištěny a vyjadřují stav ve druhém měsíci daného čtvrtletí</w:t>
            </w:r>
            <w:r w:rsidRPr="00883202">
              <w:rPr>
                <w:rFonts w:cs="Arial"/>
                <w:sz w:val="14"/>
                <w:szCs w:val="14"/>
              </w:rPr>
              <w:t>.</w:t>
            </w:r>
            <w:r>
              <w:rPr>
                <w:rFonts w:cs="Arial"/>
                <w:sz w:val="14"/>
                <w:szCs w:val="14"/>
              </w:rPr>
              <w:t xml:space="preserve"> Podniky mohly uvést více hlavních bariér současně.</w:t>
            </w:r>
          </w:p>
          <w:p w14:paraId="1A66E42D" w14:textId="77777777" w:rsidR="00B96D74" w:rsidRDefault="00B96D74" w:rsidP="0091476D">
            <w:pPr>
              <w:rPr>
                <w:noProof/>
              </w:rPr>
            </w:pPr>
            <w:r w:rsidRPr="00883202">
              <w:rPr>
                <w:rFonts w:cs="Arial"/>
                <w:sz w:val="14"/>
                <w:szCs w:val="14"/>
              </w:rPr>
              <w:t>Zdroj: ČSÚ</w:t>
            </w:r>
          </w:p>
        </w:tc>
      </w:tr>
      <w:tr w:rsidR="00B96D74" w:rsidRPr="00F47F7F" w14:paraId="4058A510" w14:textId="77777777" w:rsidTr="0091476D">
        <w:trPr>
          <w:trHeight w:val="145"/>
        </w:trPr>
        <w:tc>
          <w:tcPr>
            <w:tcW w:w="1780" w:type="dxa"/>
            <w:shd w:val="clear" w:color="auto" w:fill="auto"/>
            <w:tcMar>
              <w:left w:w="0" w:type="dxa"/>
            </w:tcMar>
          </w:tcPr>
          <w:p w14:paraId="226E6243" w14:textId="77777777" w:rsidR="00B96D74" w:rsidRDefault="00B96D74" w:rsidP="0091476D">
            <w:pPr>
              <w:pStyle w:val="Marginlie"/>
            </w:pPr>
            <w:r>
              <w:lastRenderedPageBreak/>
              <w:t>Výkon pozemního stavitelství srážela hlavně nižší výstavba nebytových budov.</w:t>
            </w:r>
          </w:p>
          <w:p w14:paraId="7FBC56EA" w14:textId="77777777" w:rsidR="00B96D74" w:rsidRDefault="00B96D74" w:rsidP="0091476D">
            <w:pPr>
              <w:pStyle w:val="Marginlie"/>
            </w:pPr>
          </w:p>
          <w:p w14:paraId="775F4026" w14:textId="77777777" w:rsidR="00B96D74" w:rsidRDefault="00B96D74" w:rsidP="0091476D">
            <w:pPr>
              <w:pStyle w:val="Marginlie"/>
            </w:pPr>
          </w:p>
          <w:p w14:paraId="1C2CD670" w14:textId="77777777" w:rsidR="00B96D74" w:rsidRDefault="00B96D74" w:rsidP="0091476D">
            <w:pPr>
              <w:pStyle w:val="Marginlie"/>
            </w:pPr>
            <w:r>
              <w:t>Dlouhodobější růst bytové výstavby se loni zastavil.</w:t>
            </w:r>
          </w:p>
        </w:tc>
        <w:tc>
          <w:tcPr>
            <w:tcW w:w="214" w:type="dxa"/>
            <w:shd w:val="clear" w:color="auto" w:fill="auto"/>
            <w:tcMar>
              <w:left w:w="0" w:type="dxa"/>
            </w:tcMar>
          </w:tcPr>
          <w:p w14:paraId="7F2B3810" w14:textId="77777777" w:rsidR="00B96D74" w:rsidRPr="00B43216" w:rsidRDefault="00B96D74" w:rsidP="0091476D">
            <w:pPr>
              <w:pStyle w:val="Textpoznpodarou"/>
              <w:jc w:val="both"/>
              <w:rPr>
                <w:spacing w:val="-4"/>
              </w:rPr>
            </w:pPr>
          </w:p>
        </w:tc>
        <w:tc>
          <w:tcPr>
            <w:tcW w:w="7670" w:type="dxa"/>
            <w:shd w:val="clear" w:color="auto" w:fill="auto"/>
            <w:tcMar>
              <w:left w:w="0" w:type="dxa"/>
            </w:tcMar>
          </w:tcPr>
          <w:p w14:paraId="3812B28D" w14:textId="77777777" w:rsidR="00B96D74" w:rsidRPr="00F47F7F" w:rsidRDefault="00B96D74" w:rsidP="0091476D">
            <w:pPr>
              <w:rPr>
                <w:spacing w:val="-5"/>
                <w:sz w:val="14"/>
                <w:szCs w:val="14"/>
              </w:rPr>
            </w:pPr>
            <w:r>
              <w:rPr>
                <w:spacing w:val="-5"/>
              </w:rPr>
              <w:t>Stavebnictví tak loni pomáhaly</w:t>
            </w:r>
            <w:r w:rsidRPr="00F47F7F">
              <w:rPr>
                <w:spacing w:val="-5"/>
              </w:rPr>
              <w:t xml:space="preserve"> opravy a</w:t>
            </w:r>
            <w:r>
              <w:rPr>
                <w:spacing w:val="-5"/>
              </w:rPr>
              <w:t> </w:t>
            </w:r>
            <w:r w:rsidRPr="00F47F7F">
              <w:rPr>
                <w:spacing w:val="-5"/>
              </w:rPr>
              <w:t xml:space="preserve">modernizace, neboť dále </w:t>
            </w:r>
            <w:r>
              <w:rPr>
                <w:spacing w:val="-5"/>
              </w:rPr>
              <w:t>rostl objem</w:t>
            </w:r>
            <w:r w:rsidRPr="00F47F7F">
              <w:rPr>
                <w:spacing w:val="-5"/>
              </w:rPr>
              <w:t xml:space="preserve"> stavebních povolení na změny dokončených staveb (+0,5</w:t>
            </w:r>
            <w:r>
              <w:rPr>
                <w:spacing w:val="-5"/>
              </w:rPr>
              <w:t> %</w:t>
            </w:r>
            <w:r w:rsidRPr="00F47F7F">
              <w:rPr>
                <w:spacing w:val="-5"/>
              </w:rPr>
              <w:t>). Ze stejného zdroje lze usuzovat na útlum nové výstavby, zejména nebytových budov (–11</w:t>
            </w:r>
            <w:r>
              <w:rPr>
                <w:spacing w:val="-5"/>
              </w:rPr>
              <w:t> %</w:t>
            </w:r>
            <w:r w:rsidRPr="00F47F7F">
              <w:rPr>
                <w:spacing w:val="-5"/>
              </w:rPr>
              <w:t>). Počet zahájených bytů ve srovnání s vysokou loňskou základnou klesl o</w:t>
            </w:r>
            <w:r>
              <w:rPr>
                <w:spacing w:val="-5"/>
              </w:rPr>
              <w:t> </w:t>
            </w:r>
            <w:r w:rsidRPr="00F47F7F">
              <w:rPr>
                <w:spacing w:val="-5"/>
              </w:rPr>
              <w:t>bezmála 9</w:t>
            </w:r>
            <w:r>
              <w:rPr>
                <w:spacing w:val="-5"/>
              </w:rPr>
              <w:t> %</w:t>
            </w:r>
            <w:r w:rsidRPr="00F47F7F">
              <w:rPr>
                <w:rStyle w:val="Znakapoznpodarou"/>
                <w:spacing w:val="-5"/>
              </w:rPr>
              <w:footnoteReference w:id="22"/>
            </w:r>
            <w:r w:rsidRPr="00F47F7F">
              <w:rPr>
                <w:spacing w:val="-5"/>
              </w:rPr>
              <w:t>. I</w:t>
            </w:r>
            <w:r>
              <w:rPr>
                <w:spacing w:val="-5"/>
              </w:rPr>
              <w:t> </w:t>
            </w:r>
            <w:r w:rsidRPr="00F47F7F">
              <w:rPr>
                <w:spacing w:val="-5"/>
              </w:rPr>
              <w:t>tak byla loňská četnost bytů (35,3</w:t>
            </w:r>
            <w:r>
              <w:rPr>
                <w:spacing w:val="-5"/>
              </w:rPr>
              <w:t> tis.</w:t>
            </w:r>
            <w:r w:rsidRPr="00F47F7F">
              <w:rPr>
                <w:spacing w:val="-5"/>
              </w:rPr>
              <w:t>) druhá nejvyšší za poslední dekádu. Po pěti letech růstu ubylo loni i</w:t>
            </w:r>
            <w:r>
              <w:rPr>
                <w:spacing w:val="-5"/>
              </w:rPr>
              <w:t> </w:t>
            </w:r>
            <w:r w:rsidRPr="00F47F7F">
              <w:rPr>
                <w:spacing w:val="-5"/>
              </w:rPr>
              <w:t>dokončených bytů (o</w:t>
            </w:r>
            <w:r>
              <w:rPr>
                <w:spacing w:val="-5"/>
              </w:rPr>
              <w:t> </w:t>
            </w:r>
            <w:r w:rsidRPr="00F47F7F">
              <w:rPr>
                <w:spacing w:val="-5"/>
              </w:rPr>
              <w:t>5,4</w:t>
            </w:r>
            <w:r>
              <w:rPr>
                <w:spacing w:val="-5"/>
              </w:rPr>
              <w:t> %</w:t>
            </w:r>
            <w:r w:rsidRPr="00F47F7F">
              <w:rPr>
                <w:spacing w:val="-5"/>
              </w:rPr>
              <w:t xml:space="preserve">), především vinou nižšího počtu bytů v bytových domech. </w:t>
            </w:r>
            <w:r>
              <w:rPr>
                <w:spacing w:val="-5"/>
              </w:rPr>
              <w:t>Zato</w:t>
            </w:r>
            <w:r w:rsidRPr="00F47F7F">
              <w:rPr>
                <w:spacing w:val="-5"/>
              </w:rPr>
              <w:t xml:space="preserve"> v rodinných domech vzniklo loni nejvíce bytů za posledních dese</w:t>
            </w:r>
            <w:r>
              <w:rPr>
                <w:spacing w:val="-5"/>
              </w:rPr>
              <w:t>t</w:t>
            </w:r>
            <w:r w:rsidRPr="00F47F7F">
              <w:rPr>
                <w:spacing w:val="-5"/>
              </w:rPr>
              <w:t xml:space="preserve"> let (19,3</w:t>
            </w:r>
            <w:r>
              <w:rPr>
                <w:spacing w:val="-5"/>
              </w:rPr>
              <w:t> tis.</w:t>
            </w:r>
            <w:r w:rsidRPr="00F47F7F">
              <w:rPr>
                <w:spacing w:val="-5"/>
              </w:rPr>
              <w:t>). Pokles výstavby měl loni p</w:t>
            </w:r>
            <w:r>
              <w:rPr>
                <w:spacing w:val="-5"/>
              </w:rPr>
              <w:t xml:space="preserve">řevážně plošný charakter, </w:t>
            </w:r>
            <w:r w:rsidRPr="00F47F7F">
              <w:rPr>
                <w:spacing w:val="-5"/>
              </w:rPr>
              <w:t>dokončených bytů</w:t>
            </w:r>
            <w:r>
              <w:rPr>
                <w:spacing w:val="-5"/>
              </w:rPr>
              <w:t xml:space="preserve"> celkem</w:t>
            </w:r>
            <w:r w:rsidRPr="00F47F7F">
              <w:rPr>
                <w:spacing w:val="-5"/>
              </w:rPr>
              <w:t xml:space="preserve"> přibylo meziročně jen v krajích Ol</w:t>
            </w:r>
            <w:r>
              <w:rPr>
                <w:spacing w:val="-5"/>
              </w:rPr>
              <w:t>omouckém a</w:t>
            </w:r>
            <w:r w:rsidRPr="00F47F7F">
              <w:rPr>
                <w:spacing w:val="-5"/>
              </w:rPr>
              <w:t xml:space="preserve"> Moravskoslezském </w:t>
            </w:r>
            <w:r>
              <w:rPr>
                <w:spacing w:val="-5"/>
              </w:rPr>
              <w:t>a v Kraji Vysočina</w:t>
            </w:r>
            <w:r w:rsidRPr="00F47F7F">
              <w:rPr>
                <w:spacing w:val="-5"/>
              </w:rPr>
              <w:t>.</w:t>
            </w:r>
          </w:p>
        </w:tc>
      </w:tr>
      <w:tr w:rsidR="00B96D74" w:rsidRPr="004D53D9" w14:paraId="602CE76B" w14:textId="77777777" w:rsidTr="0091476D">
        <w:trPr>
          <w:trHeight w:val="145"/>
        </w:trPr>
        <w:tc>
          <w:tcPr>
            <w:tcW w:w="1780" w:type="dxa"/>
            <w:shd w:val="clear" w:color="auto" w:fill="auto"/>
            <w:tcMar>
              <w:left w:w="0" w:type="dxa"/>
            </w:tcMar>
          </w:tcPr>
          <w:p w14:paraId="23C1287D" w14:textId="77777777" w:rsidR="00B96D74" w:rsidRDefault="00B96D74" w:rsidP="0091476D">
            <w:pPr>
              <w:pStyle w:val="Marginlie"/>
            </w:pPr>
            <w:r>
              <w:t>Nové zakázky rostly v pozemním i inženýrském stavitelství. Rychleji přibývala zásoba dosud nerealizovaných zakázek.</w:t>
            </w:r>
          </w:p>
          <w:p w14:paraId="443AF670" w14:textId="77777777" w:rsidR="00B96D74" w:rsidRDefault="00B96D74" w:rsidP="0091476D">
            <w:pPr>
              <w:pStyle w:val="Marginlie"/>
            </w:pPr>
          </w:p>
          <w:p w14:paraId="250CF4EA" w14:textId="77777777" w:rsidR="00B96D74" w:rsidRDefault="00B96D74" w:rsidP="0091476D">
            <w:pPr>
              <w:pStyle w:val="Marginlie"/>
            </w:pPr>
          </w:p>
          <w:p w14:paraId="7D1C80C2" w14:textId="77777777" w:rsidR="00B96D74" w:rsidRDefault="00B96D74" w:rsidP="0091476D">
            <w:pPr>
              <w:pStyle w:val="Marginlie"/>
            </w:pPr>
          </w:p>
          <w:p w14:paraId="498484D1" w14:textId="77777777" w:rsidR="00B96D74" w:rsidRDefault="00B96D74" w:rsidP="0091476D">
            <w:pPr>
              <w:pStyle w:val="Marginlie"/>
            </w:pPr>
            <w:r>
              <w:t>Důvěra ve stavebnictví posilovala. Významné bariéry růstu produkce ale přetrvávaly.</w:t>
            </w:r>
          </w:p>
        </w:tc>
        <w:tc>
          <w:tcPr>
            <w:tcW w:w="214" w:type="dxa"/>
            <w:shd w:val="clear" w:color="auto" w:fill="auto"/>
            <w:tcMar>
              <w:left w:w="0" w:type="dxa"/>
            </w:tcMar>
          </w:tcPr>
          <w:p w14:paraId="7BE826F4" w14:textId="77777777" w:rsidR="00B96D74" w:rsidRPr="00B43216" w:rsidRDefault="00B96D74" w:rsidP="0091476D">
            <w:pPr>
              <w:pStyle w:val="Textpoznpodarou"/>
              <w:jc w:val="both"/>
              <w:rPr>
                <w:spacing w:val="-4"/>
              </w:rPr>
            </w:pPr>
          </w:p>
        </w:tc>
        <w:tc>
          <w:tcPr>
            <w:tcW w:w="7670" w:type="dxa"/>
            <w:shd w:val="clear" w:color="auto" w:fill="auto"/>
            <w:tcMar>
              <w:left w:w="0" w:type="dxa"/>
            </w:tcMar>
          </w:tcPr>
          <w:p w14:paraId="142B6776" w14:textId="77777777" w:rsidR="00B96D74" w:rsidRPr="004D53D9" w:rsidRDefault="00B96D74" w:rsidP="0091476D">
            <w:pPr>
              <w:rPr>
                <w:spacing w:val="-4"/>
                <w:szCs w:val="20"/>
              </w:rPr>
            </w:pPr>
            <w:r>
              <w:rPr>
                <w:spacing w:val="-4"/>
                <w:szCs w:val="20"/>
              </w:rPr>
              <w:t>Hodnota nově uzavřených stavebních zakázek (v podnicích s více než 50 zaměstnanci) ve 4. čtvrtletí 2020 meziročně vzrostla v pozemním (o 8,1 %) i inženýrském stavitelství (7,0 %). Vzhledem k tomu, že se tak dělo i po většinu roku 2020, mělo to v kombinaci s nižší loňskou plynulostí stavební produkce pozitivní dopad na celkovou zásobu práce (dosud nerealizované zakázky). Ta byla na konci prosince meziročně vyšší o šestinu, o což se podobným dílem zasloužily veřejné i soukromé tuzemské zakázky. Poprvé od roku 2014 vzrostl objem nasmlouvaných prací v zahraničí, jimiž si tuzemské firmy mnohdy vypomáhají „v horších časech“. Celková důvěra podnikatelů ve stavebnictví se od půle loňského roku zlepšovala a v únoru 2021 dosáhla jedenáctiměsíčního maxima. Souviselo to s příznivým vývojem zakázek i mírně pozitivním náhledem na vývoj zaměstnanosti. I tak nedostatečná poptávka stále limitovala skoro třetinu podniků a nedostatek pracovníků kolem 40 % z nich.</w:t>
            </w:r>
          </w:p>
        </w:tc>
      </w:tr>
      <w:tr w:rsidR="00B96D74" w:rsidRPr="00B863F5" w14:paraId="452B1FF4" w14:textId="77777777" w:rsidTr="0091476D">
        <w:trPr>
          <w:trHeight w:val="145"/>
        </w:trPr>
        <w:tc>
          <w:tcPr>
            <w:tcW w:w="1780" w:type="dxa"/>
            <w:shd w:val="clear" w:color="auto" w:fill="auto"/>
            <w:tcMar>
              <w:left w:w="0" w:type="dxa"/>
            </w:tcMar>
          </w:tcPr>
          <w:p w14:paraId="35B6CDA3" w14:textId="7E207DEF" w:rsidR="00B96D74" w:rsidRDefault="00B96D74" w:rsidP="0091476D">
            <w:pPr>
              <w:pStyle w:val="Marginlie"/>
            </w:pPr>
            <w:r>
              <w:t>Tržby ve službách propadly meziměsíčně v březnu i </w:t>
            </w:r>
            <w:r w:rsidR="0091476D">
              <w:t xml:space="preserve">v </w:t>
            </w:r>
            <w:r>
              <w:t>dubnu téměř o desetinu.</w:t>
            </w:r>
          </w:p>
        </w:tc>
        <w:tc>
          <w:tcPr>
            <w:tcW w:w="214" w:type="dxa"/>
            <w:shd w:val="clear" w:color="auto" w:fill="auto"/>
            <w:tcMar>
              <w:left w:w="0" w:type="dxa"/>
            </w:tcMar>
          </w:tcPr>
          <w:p w14:paraId="40FBB0EB" w14:textId="77777777" w:rsidR="00B96D74" w:rsidRPr="00B43216" w:rsidRDefault="00B96D74" w:rsidP="0091476D">
            <w:pPr>
              <w:pStyle w:val="Textpoznpodarou"/>
              <w:jc w:val="both"/>
              <w:rPr>
                <w:spacing w:val="-4"/>
              </w:rPr>
            </w:pPr>
          </w:p>
        </w:tc>
        <w:tc>
          <w:tcPr>
            <w:tcW w:w="7670" w:type="dxa"/>
            <w:shd w:val="clear" w:color="auto" w:fill="auto"/>
            <w:tcMar>
              <w:left w:w="0" w:type="dxa"/>
            </w:tcMar>
          </w:tcPr>
          <w:p w14:paraId="12BF04E2" w14:textId="77777777" w:rsidR="00B96D74" w:rsidRPr="00B863F5" w:rsidRDefault="00B96D74" w:rsidP="0091476D">
            <w:pPr>
              <w:rPr>
                <w:spacing w:val="-4"/>
                <w:szCs w:val="20"/>
              </w:rPr>
            </w:pPr>
            <w:r w:rsidRPr="00B863F5">
              <w:rPr>
                <w:spacing w:val="-4"/>
              </w:rPr>
              <w:t xml:space="preserve">Tržby </w:t>
            </w:r>
            <w:r w:rsidRPr="00B863F5">
              <w:rPr>
                <w:color w:val="0D0D0D" w:themeColor="text1" w:themeTint="F2"/>
                <w:spacing w:val="-4"/>
              </w:rPr>
              <w:t>ve vybraných službách</w:t>
            </w:r>
            <w:r w:rsidRPr="00B863F5">
              <w:rPr>
                <w:color w:val="0D0D0D" w:themeColor="text1" w:themeTint="F2"/>
                <w:spacing w:val="-4"/>
                <w:vertAlign w:val="superscript"/>
              </w:rPr>
              <w:footnoteReference w:id="23"/>
            </w:r>
            <w:r w:rsidRPr="00B863F5">
              <w:rPr>
                <w:color w:val="0D0D0D" w:themeColor="text1" w:themeTint="F2"/>
                <w:spacing w:val="-4"/>
              </w:rPr>
              <w:t xml:space="preserve"> byly vládními restriktivními opatřeními loni zvlášť citelně zasaženy. Během března a</w:t>
            </w:r>
            <w:r>
              <w:rPr>
                <w:color w:val="0D0D0D" w:themeColor="text1" w:themeTint="F2"/>
                <w:spacing w:val="-4"/>
              </w:rPr>
              <w:t> </w:t>
            </w:r>
            <w:r w:rsidRPr="00B863F5">
              <w:rPr>
                <w:color w:val="0D0D0D" w:themeColor="text1" w:themeTint="F2"/>
                <w:spacing w:val="-4"/>
              </w:rPr>
              <w:t>dubna se meziměsíčně</w:t>
            </w:r>
            <w:r>
              <w:rPr>
                <w:color w:val="0D0D0D" w:themeColor="text1" w:themeTint="F2"/>
                <w:spacing w:val="-4"/>
              </w:rPr>
              <w:t xml:space="preserve"> rekordně propadly skoro</w:t>
            </w:r>
            <w:r w:rsidRPr="00B863F5">
              <w:rPr>
                <w:color w:val="0D0D0D" w:themeColor="text1" w:themeTint="F2"/>
                <w:spacing w:val="-4"/>
              </w:rPr>
              <w:t xml:space="preserve"> o</w:t>
            </w:r>
            <w:r>
              <w:rPr>
                <w:color w:val="0D0D0D" w:themeColor="text1" w:themeTint="F2"/>
                <w:spacing w:val="-4"/>
              </w:rPr>
              <w:t> </w:t>
            </w:r>
            <w:r w:rsidRPr="00B863F5">
              <w:rPr>
                <w:color w:val="0D0D0D" w:themeColor="text1" w:themeTint="F2"/>
                <w:spacing w:val="-4"/>
              </w:rPr>
              <w:t xml:space="preserve">desetinu. </w:t>
            </w:r>
            <w:r>
              <w:rPr>
                <w:color w:val="0D0D0D" w:themeColor="text1" w:themeTint="F2"/>
                <w:spacing w:val="-4"/>
              </w:rPr>
              <w:t>V</w:t>
            </w:r>
            <w:r>
              <w:rPr>
                <w:spacing w:val="-4"/>
                <w:szCs w:val="20"/>
              </w:rPr>
              <w:t> </w:t>
            </w:r>
            <w:r>
              <w:rPr>
                <w:color w:val="0D0D0D" w:themeColor="text1" w:themeTint="F2"/>
                <w:spacing w:val="-4"/>
              </w:rPr>
              <w:t>následujících třech měsících</w:t>
            </w:r>
            <w:r w:rsidRPr="00B863F5">
              <w:rPr>
                <w:color w:val="0D0D0D" w:themeColor="text1" w:themeTint="F2"/>
                <w:spacing w:val="-4"/>
              </w:rPr>
              <w:t xml:space="preserve"> došlo sice k částečnému oživení (</w:t>
            </w:r>
            <w:r>
              <w:rPr>
                <w:color w:val="0D0D0D" w:themeColor="text1" w:themeTint="F2"/>
                <w:spacing w:val="-4"/>
              </w:rPr>
              <w:t>hlavně</w:t>
            </w:r>
            <w:r w:rsidRPr="00B863F5">
              <w:rPr>
                <w:color w:val="0D0D0D" w:themeColor="text1" w:themeTint="F2"/>
                <w:spacing w:val="-4"/>
              </w:rPr>
              <w:t xml:space="preserve"> v ubytování, stravování a</w:t>
            </w:r>
            <w:r>
              <w:rPr>
                <w:color w:val="0D0D0D" w:themeColor="text1" w:themeTint="F2"/>
                <w:spacing w:val="-4"/>
              </w:rPr>
              <w:t> </w:t>
            </w:r>
            <w:r w:rsidRPr="00B863F5">
              <w:rPr>
                <w:color w:val="0D0D0D" w:themeColor="text1" w:themeTint="F2"/>
                <w:spacing w:val="-4"/>
              </w:rPr>
              <w:t>pohostinství), to ale zdaleka nemohlo hluboký předchozí útlum kompenzovat.</w:t>
            </w:r>
            <w:r>
              <w:rPr>
                <w:color w:val="0D0D0D" w:themeColor="text1" w:themeTint="F2"/>
                <w:spacing w:val="-4"/>
              </w:rPr>
              <w:t xml:space="preserve"> Druhá epidemická vlna vedla ke zkrácení letní turistické sezóny. Od srpna až do konce loňského roku tržby meziměsíčně opět klesaly</w:t>
            </w:r>
            <w:r>
              <w:rPr>
                <w:rStyle w:val="Znakapoznpodarou"/>
                <w:color w:val="0D0D0D" w:themeColor="text1" w:themeTint="F2"/>
                <w:spacing w:val="-4"/>
              </w:rPr>
              <w:footnoteReference w:id="24"/>
            </w:r>
            <w:r>
              <w:rPr>
                <w:color w:val="0D0D0D" w:themeColor="text1" w:themeTint="F2"/>
                <w:spacing w:val="-4"/>
              </w:rPr>
              <w:t xml:space="preserve">, ovšem o řád nižšími tempy než za jarní krize. Některé služby se dokázaly zčásti přizpůsobit </w:t>
            </w:r>
            <w:r>
              <w:rPr>
                <w:rFonts w:cs="Arial"/>
                <w:bCs/>
                <w:spacing w:val="-2"/>
                <w:szCs w:val="20"/>
              </w:rPr>
              <w:t>nařízenému omezení mezilidského kontaktu, určitý segment služeb také profitoval z příznivého vývoje průmyslu.</w:t>
            </w:r>
          </w:p>
        </w:tc>
      </w:tr>
      <w:tr w:rsidR="00B96D74" w:rsidRPr="00B863F5" w14:paraId="615A8A69" w14:textId="77777777" w:rsidTr="0091476D">
        <w:trPr>
          <w:trHeight w:val="145"/>
        </w:trPr>
        <w:tc>
          <w:tcPr>
            <w:tcW w:w="1780" w:type="dxa"/>
            <w:shd w:val="clear" w:color="auto" w:fill="auto"/>
            <w:tcMar>
              <w:left w:w="0" w:type="dxa"/>
            </w:tcMar>
          </w:tcPr>
          <w:p w14:paraId="2275A2EB" w14:textId="77777777" w:rsidR="00B96D74" w:rsidRDefault="00B96D74" w:rsidP="0091476D">
            <w:pPr>
              <w:pStyle w:val="Marginlie"/>
            </w:pPr>
            <w:r>
              <w:t>Tržby ve službách loni propadly hlouběji než v roce 2009. Nejvíce je ovlivnil vývoj v dopravě a skladování.</w:t>
            </w:r>
          </w:p>
        </w:tc>
        <w:tc>
          <w:tcPr>
            <w:tcW w:w="214" w:type="dxa"/>
            <w:shd w:val="clear" w:color="auto" w:fill="auto"/>
            <w:tcMar>
              <w:left w:w="0" w:type="dxa"/>
            </w:tcMar>
          </w:tcPr>
          <w:p w14:paraId="15F7CB98" w14:textId="77777777" w:rsidR="00B96D74" w:rsidRPr="00B43216" w:rsidRDefault="00B96D74" w:rsidP="0091476D">
            <w:pPr>
              <w:pStyle w:val="Textpoznpodarou"/>
              <w:jc w:val="both"/>
              <w:rPr>
                <w:spacing w:val="-4"/>
              </w:rPr>
            </w:pPr>
          </w:p>
        </w:tc>
        <w:tc>
          <w:tcPr>
            <w:tcW w:w="7670" w:type="dxa"/>
            <w:shd w:val="clear" w:color="auto" w:fill="auto"/>
            <w:tcMar>
              <w:left w:w="0" w:type="dxa"/>
            </w:tcMar>
          </w:tcPr>
          <w:p w14:paraId="5E4A3EDD" w14:textId="376233ED" w:rsidR="00B96D74" w:rsidRPr="00B863F5" w:rsidRDefault="00B96D74" w:rsidP="0091476D">
            <w:pPr>
              <w:rPr>
                <w:spacing w:val="-4"/>
              </w:rPr>
            </w:pPr>
            <w:r w:rsidRPr="004931BB">
              <w:rPr>
                <w:spacing w:val="-4"/>
                <w:szCs w:val="20"/>
              </w:rPr>
              <w:t>Za celý loňský rok se tržby ve službách propadly o</w:t>
            </w:r>
            <w:r>
              <w:rPr>
                <w:spacing w:val="-4"/>
                <w:szCs w:val="20"/>
              </w:rPr>
              <w:t> </w:t>
            </w:r>
            <w:r w:rsidRPr="004931BB">
              <w:rPr>
                <w:spacing w:val="-4"/>
                <w:szCs w:val="20"/>
              </w:rPr>
              <w:t>11,8</w:t>
            </w:r>
            <w:r>
              <w:rPr>
                <w:spacing w:val="-4"/>
                <w:szCs w:val="20"/>
              </w:rPr>
              <w:t> %</w:t>
            </w:r>
            <w:r w:rsidRPr="004931BB">
              <w:rPr>
                <w:spacing w:val="-4"/>
                <w:szCs w:val="20"/>
              </w:rPr>
              <w:t xml:space="preserve"> a</w:t>
            </w:r>
            <w:r>
              <w:rPr>
                <w:spacing w:val="-4"/>
                <w:szCs w:val="20"/>
              </w:rPr>
              <w:t> </w:t>
            </w:r>
            <w:r w:rsidRPr="004931BB">
              <w:rPr>
                <w:spacing w:val="-4"/>
                <w:szCs w:val="20"/>
              </w:rPr>
              <w:t xml:space="preserve">mírně tak překonaly svůj dosud nejhlubší útlum z roku 2009. </w:t>
            </w:r>
            <w:r>
              <w:rPr>
                <w:spacing w:val="-4"/>
                <w:szCs w:val="20"/>
              </w:rPr>
              <w:t xml:space="preserve">Na loňském </w:t>
            </w:r>
            <w:r w:rsidRPr="004931BB">
              <w:rPr>
                <w:spacing w:val="-4"/>
                <w:szCs w:val="20"/>
              </w:rPr>
              <w:t xml:space="preserve">poklesu </w:t>
            </w:r>
            <w:r>
              <w:rPr>
                <w:spacing w:val="-4"/>
                <w:szCs w:val="20"/>
              </w:rPr>
              <w:t>se téměř třetinou podílela</w:t>
            </w:r>
            <w:r w:rsidRPr="004931BB">
              <w:rPr>
                <w:spacing w:val="-4"/>
                <w:szCs w:val="20"/>
              </w:rPr>
              <w:t xml:space="preserve"> váhově dominantní</w:t>
            </w:r>
            <w:r>
              <w:rPr>
                <w:spacing w:val="-4"/>
                <w:szCs w:val="20"/>
              </w:rPr>
              <w:t xml:space="preserve"> doprava a</w:t>
            </w:r>
            <w:r w:rsidRPr="004931BB">
              <w:rPr>
                <w:spacing w:val="-4"/>
                <w:szCs w:val="20"/>
              </w:rPr>
              <w:t> </w:t>
            </w:r>
            <w:r>
              <w:rPr>
                <w:spacing w:val="-4"/>
                <w:szCs w:val="20"/>
              </w:rPr>
              <w:t>skladování</w:t>
            </w:r>
            <w:r w:rsidRPr="004931BB">
              <w:rPr>
                <w:spacing w:val="-4"/>
                <w:szCs w:val="20"/>
              </w:rPr>
              <w:t>. Jen mírně slabší vliv měl</w:t>
            </w:r>
            <w:r>
              <w:rPr>
                <w:spacing w:val="-4"/>
                <w:szCs w:val="20"/>
              </w:rPr>
              <w:t>a</w:t>
            </w:r>
            <w:r w:rsidRPr="004931BB">
              <w:rPr>
                <w:spacing w:val="-4"/>
                <w:szCs w:val="20"/>
              </w:rPr>
              <w:t xml:space="preserve"> další odvětví</w:t>
            </w:r>
            <w:r>
              <w:rPr>
                <w:spacing w:val="-4"/>
                <w:szCs w:val="20"/>
              </w:rPr>
              <w:t> </w:t>
            </w:r>
            <w:r w:rsidRPr="004931BB">
              <w:rPr>
                <w:spacing w:val="-4"/>
                <w:szCs w:val="20"/>
              </w:rPr>
              <w:t>– administr</w:t>
            </w:r>
            <w:r>
              <w:rPr>
                <w:spacing w:val="-4"/>
                <w:szCs w:val="20"/>
              </w:rPr>
              <w:t>ativní a</w:t>
            </w:r>
            <w:r w:rsidRPr="004931BB">
              <w:rPr>
                <w:spacing w:val="-4"/>
                <w:szCs w:val="20"/>
              </w:rPr>
              <w:t xml:space="preserve"> podpůrné činnosti, resp. ubytování, </w:t>
            </w:r>
            <w:r>
              <w:rPr>
                <w:spacing w:val="-4"/>
                <w:szCs w:val="20"/>
              </w:rPr>
              <w:t>stravování a </w:t>
            </w:r>
            <w:r w:rsidRPr="004931BB">
              <w:rPr>
                <w:spacing w:val="-4"/>
                <w:szCs w:val="20"/>
              </w:rPr>
              <w:t>pohostinství</w:t>
            </w:r>
            <w:r>
              <w:rPr>
                <w:spacing w:val="-4"/>
                <w:szCs w:val="20"/>
              </w:rPr>
              <w:t> </w:t>
            </w:r>
            <w:r w:rsidRPr="004931BB">
              <w:rPr>
                <w:spacing w:val="-4"/>
                <w:szCs w:val="20"/>
              </w:rPr>
              <w:t>–, kter</w:t>
            </w:r>
            <w:r>
              <w:rPr>
                <w:spacing w:val="-4"/>
                <w:szCs w:val="20"/>
              </w:rPr>
              <w:t>á</w:t>
            </w:r>
            <w:r w:rsidRPr="004931BB">
              <w:rPr>
                <w:spacing w:val="-4"/>
                <w:szCs w:val="20"/>
              </w:rPr>
              <w:t xml:space="preserve"> byl</w:t>
            </w:r>
            <w:r>
              <w:rPr>
                <w:spacing w:val="-4"/>
                <w:szCs w:val="20"/>
              </w:rPr>
              <w:t>a</w:t>
            </w:r>
            <w:r w:rsidRPr="004931BB">
              <w:rPr>
                <w:spacing w:val="-4"/>
                <w:szCs w:val="20"/>
              </w:rPr>
              <w:t xml:space="preserve"> rozhodující</w:t>
            </w:r>
            <w:r>
              <w:rPr>
                <w:spacing w:val="-4"/>
                <w:szCs w:val="20"/>
              </w:rPr>
              <w:t>m</w:t>
            </w:r>
            <w:r w:rsidRPr="004931BB">
              <w:rPr>
                <w:spacing w:val="-4"/>
                <w:szCs w:val="20"/>
              </w:rPr>
              <w:t xml:space="preserve"> faktorem nepříznivého vývoje služeb ve</w:t>
            </w:r>
            <w:r w:rsidR="0093648B">
              <w:rPr>
                <w:spacing w:val="-4"/>
                <w:szCs w:val="20"/>
              </w:rPr>
              <w:t> třetím, resp. čtvrtém</w:t>
            </w:r>
            <w:r>
              <w:rPr>
                <w:spacing w:val="-4"/>
                <w:szCs w:val="20"/>
              </w:rPr>
              <w:t> čtvrtletí 2020.</w:t>
            </w:r>
          </w:p>
        </w:tc>
      </w:tr>
      <w:tr w:rsidR="00B96D74" w:rsidRPr="00B863F5" w14:paraId="48A1FF64" w14:textId="77777777" w:rsidTr="0091476D">
        <w:trPr>
          <w:trHeight w:val="145"/>
        </w:trPr>
        <w:tc>
          <w:tcPr>
            <w:tcW w:w="1780" w:type="dxa"/>
            <w:shd w:val="clear" w:color="auto" w:fill="auto"/>
            <w:tcMar>
              <w:left w:w="0" w:type="dxa"/>
            </w:tcMar>
          </w:tcPr>
          <w:p w14:paraId="697CCE16" w14:textId="77777777" w:rsidR="00B96D74" w:rsidRDefault="00B96D74" w:rsidP="0091476D">
            <w:pPr>
              <w:pStyle w:val="Marginlie"/>
            </w:pPr>
            <w:r>
              <w:t>Nejvíce byly zasaženy oblasti služeb vázané na cestovní ruch či jiné volnočasové aktivity.</w:t>
            </w:r>
          </w:p>
          <w:p w14:paraId="73FB0A11" w14:textId="77777777" w:rsidR="00B96D74" w:rsidRDefault="00B96D74" w:rsidP="0091476D">
            <w:pPr>
              <w:pStyle w:val="Marginlie"/>
            </w:pPr>
          </w:p>
          <w:p w14:paraId="00BE137C" w14:textId="77777777" w:rsidR="00B96D74" w:rsidRDefault="00B96D74" w:rsidP="0091476D">
            <w:pPr>
              <w:pStyle w:val="Marginlie"/>
            </w:pPr>
          </w:p>
          <w:p w14:paraId="16FE1F57" w14:textId="399A5AC3" w:rsidR="00B96D74" w:rsidRDefault="00B96D74" w:rsidP="0091476D">
            <w:pPr>
              <w:pStyle w:val="Marginlie"/>
            </w:pPr>
          </w:p>
          <w:p w14:paraId="7198CB6B" w14:textId="77777777" w:rsidR="00B96D74" w:rsidRDefault="00B96D74" w:rsidP="0091476D">
            <w:pPr>
              <w:pStyle w:val="Marginlie"/>
            </w:pPr>
          </w:p>
          <w:p w14:paraId="2E05154A" w14:textId="77777777" w:rsidR="00B96D74" w:rsidRDefault="00B96D74" w:rsidP="0091476D">
            <w:pPr>
              <w:pStyle w:val="Marginlie"/>
            </w:pPr>
          </w:p>
          <w:p w14:paraId="140E7E35" w14:textId="77777777" w:rsidR="00B96D74" w:rsidRDefault="00B96D74" w:rsidP="0091476D">
            <w:pPr>
              <w:pStyle w:val="Marginlie"/>
            </w:pPr>
            <w:r>
              <w:lastRenderedPageBreak/>
              <w:t>Služby s vazbou na průmysl zažily ve druhé polovině roku mírné oživení.</w:t>
            </w:r>
          </w:p>
        </w:tc>
        <w:tc>
          <w:tcPr>
            <w:tcW w:w="214" w:type="dxa"/>
            <w:shd w:val="clear" w:color="auto" w:fill="auto"/>
            <w:tcMar>
              <w:left w:w="0" w:type="dxa"/>
            </w:tcMar>
          </w:tcPr>
          <w:p w14:paraId="0B0C6992" w14:textId="77777777" w:rsidR="00B96D74" w:rsidRPr="00B43216" w:rsidRDefault="00B96D74" w:rsidP="0091476D">
            <w:pPr>
              <w:pStyle w:val="Textpoznpodarou"/>
              <w:jc w:val="both"/>
              <w:rPr>
                <w:spacing w:val="-4"/>
              </w:rPr>
            </w:pPr>
          </w:p>
        </w:tc>
        <w:tc>
          <w:tcPr>
            <w:tcW w:w="7670" w:type="dxa"/>
            <w:shd w:val="clear" w:color="auto" w:fill="auto"/>
            <w:tcMar>
              <w:left w:w="0" w:type="dxa"/>
            </w:tcMar>
          </w:tcPr>
          <w:p w14:paraId="763ACB9B" w14:textId="6C1275A9" w:rsidR="00B96D74" w:rsidRPr="00B863F5" w:rsidRDefault="00B96D74" w:rsidP="0091476D">
            <w:pPr>
              <w:rPr>
                <w:spacing w:val="-4"/>
              </w:rPr>
            </w:pPr>
            <w:r>
              <w:rPr>
                <w:spacing w:val="-4"/>
                <w:szCs w:val="20"/>
              </w:rPr>
              <w:t>Vzhledem k povaze restrikcí není překvapivé, že největší útlum ve službách postihl oblasti úzce vázané na cestovní ruch a jiné volnočasové aktivity. Tržby cestovních kanceláří a agentur propadly ve srovnání s rokem 2019 o 75</w:t>
            </w:r>
            <w:r w:rsidR="0091476D">
              <w:rPr>
                <w:spacing w:val="-4"/>
                <w:szCs w:val="20"/>
              </w:rPr>
              <w:t>,0</w:t>
            </w:r>
            <w:r>
              <w:rPr>
                <w:spacing w:val="-4"/>
                <w:szCs w:val="20"/>
              </w:rPr>
              <w:t> %, v letecké dopravě o 70</w:t>
            </w:r>
            <w:r w:rsidR="0091476D">
              <w:rPr>
                <w:spacing w:val="-4"/>
                <w:szCs w:val="20"/>
              </w:rPr>
              <w:t>,4 %, v ubytování o 55,9</w:t>
            </w:r>
            <w:r>
              <w:rPr>
                <w:spacing w:val="-4"/>
                <w:szCs w:val="20"/>
              </w:rPr>
              <w:t> % a ve stravování i </w:t>
            </w:r>
            <w:r w:rsidRPr="00AF0C26">
              <w:rPr>
                <w:spacing w:val="-4"/>
                <w:szCs w:val="20"/>
              </w:rPr>
              <w:t>pohostinství</w:t>
            </w:r>
            <w:r>
              <w:rPr>
                <w:spacing w:val="-4"/>
                <w:szCs w:val="20"/>
              </w:rPr>
              <w:t xml:space="preserve"> o 34</w:t>
            </w:r>
            <w:r w:rsidR="0091476D">
              <w:rPr>
                <w:spacing w:val="-4"/>
                <w:szCs w:val="20"/>
              </w:rPr>
              <w:t>,1</w:t>
            </w:r>
            <w:r>
              <w:rPr>
                <w:spacing w:val="-4"/>
                <w:szCs w:val="20"/>
              </w:rPr>
              <w:t> %</w:t>
            </w:r>
            <w:r>
              <w:rPr>
                <w:rStyle w:val="Znakapoznpodarou"/>
                <w:spacing w:val="-4"/>
                <w:szCs w:val="20"/>
              </w:rPr>
              <w:footnoteReference w:id="25"/>
            </w:r>
            <w:r>
              <w:rPr>
                <w:spacing w:val="-4"/>
                <w:szCs w:val="20"/>
              </w:rPr>
              <w:t>. Téměř o dvě pětiny propadl i výkon filmového a hudebního průmyslu</w:t>
            </w:r>
            <w:r>
              <w:rPr>
                <w:rStyle w:val="Znakapoznpodarou"/>
                <w:spacing w:val="-4"/>
                <w:szCs w:val="20"/>
              </w:rPr>
              <w:footnoteReference w:id="26"/>
            </w:r>
            <w:r>
              <w:rPr>
                <w:spacing w:val="-4"/>
                <w:szCs w:val="20"/>
              </w:rPr>
              <w:t>. S problémy se loni potýkaly i další oblasti služeb, kde je</w:t>
            </w:r>
            <w:r>
              <w:rPr>
                <w:rFonts w:cs="Arial"/>
                <w:bCs/>
                <w:spacing w:val="-2"/>
                <w:szCs w:val="20"/>
              </w:rPr>
              <w:t xml:space="preserve"> poptávka citlivá na výkyvy hospodářského cyklu. Šlo zejména o pracovní agentury, v nichž tržby propadly skoro o pětinu. O více než desetinu se snížily v </w:t>
            </w:r>
            <w:r w:rsidR="0091476D">
              <w:rPr>
                <w:rFonts w:cs="Arial"/>
                <w:bCs/>
                <w:spacing w:val="-2"/>
                <w:szCs w:val="20"/>
              </w:rPr>
              <w:t xml:space="preserve">pozemní dopravě, ve skladování a také </w:t>
            </w:r>
            <w:r>
              <w:rPr>
                <w:rFonts w:cs="Arial"/>
                <w:bCs/>
                <w:spacing w:val="-2"/>
                <w:szCs w:val="20"/>
              </w:rPr>
              <w:t xml:space="preserve">v reklamě, 8% pokles registrovaly aktivity v oblasti pronájmu </w:t>
            </w:r>
            <w:r>
              <w:rPr>
                <w:rFonts w:cs="Arial"/>
                <w:bCs/>
                <w:spacing w:val="-2"/>
                <w:szCs w:val="20"/>
              </w:rPr>
              <w:lastRenderedPageBreak/>
              <w:t>a</w:t>
            </w:r>
            <w:r>
              <w:rPr>
                <w:spacing w:val="-4"/>
                <w:szCs w:val="20"/>
              </w:rPr>
              <w:t> </w:t>
            </w:r>
            <w:r w:rsidRPr="00873FD9">
              <w:rPr>
                <w:rFonts w:cs="Arial"/>
                <w:bCs/>
                <w:spacing w:val="-2"/>
                <w:szCs w:val="20"/>
              </w:rPr>
              <w:t>operativního leasingu</w:t>
            </w:r>
            <w:r>
              <w:rPr>
                <w:rFonts w:cs="Arial"/>
                <w:bCs/>
                <w:spacing w:val="-2"/>
                <w:szCs w:val="20"/>
              </w:rPr>
              <w:t xml:space="preserve"> či a</w:t>
            </w:r>
            <w:r w:rsidRPr="00873FD9">
              <w:rPr>
                <w:rFonts w:cs="Arial"/>
                <w:bCs/>
                <w:spacing w:val="-2"/>
                <w:szCs w:val="20"/>
              </w:rPr>
              <w:t>rchit</w:t>
            </w:r>
            <w:r>
              <w:rPr>
                <w:rFonts w:cs="Arial"/>
                <w:bCs/>
                <w:spacing w:val="-2"/>
                <w:szCs w:val="20"/>
              </w:rPr>
              <w:t>ektonické a inženýrské činnosti. Oblasti služeb navázané na průmysl zažily ve 2.</w:t>
            </w:r>
            <w:r>
              <w:rPr>
                <w:spacing w:val="-4"/>
                <w:szCs w:val="20"/>
              </w:rPr>
              <w:t> </w:t>
            </w:r>
            <w:r>
              <w:rPr>
                <w:rFonts w:cs="Arial"/>
                <w:bCs/>
                <w:spacing w:val="-2"/>
                <w:szCs w:val="20"/>
              </w:rPr>
              <w:t>pololetí oživení. Ve 4. čtvrtletí tak ve srovnání s předchozím kvartálem vzrostly tržby v pozemní dopravě (+1,9 %), ve skladování (+3,2 %) i v pracovních agenturách (+5,2 %).</w:t>
            </w:r>
          </w:p>
        </w:tc>
      </w:tr>
      <w:tr w:rsidR="00B96D74" w:rsidRPr="00307BAB" w14:paraId="1BCCEA4B" w14:textId="77777777" w:rsidTr="0091476D">
        <w:trPr>
          <w:trHeight w:val="145"/>
        </w:trPr>
        <w:tc>
          <w:tcPr>
            <w:tcW w:w="1780" w:type="dxa"/>
            <w:shd w:val="clear" w:color="auto" w:fill="auto"/>
            <w:tcMar>
              <w:left w:w="0" w:type="dxa"/>
            </w:tcMar>
          </w:tcPr>
          <w:p w14:paraId="09CF8E27" w14:textId="77777777" w:rsidR="00B96D74" w:rsidRDefault="00B96D74" w:rsidP="0091476D">
            <w:pPr>
              <w:pStyle w:val="Marginlie"/>
            </w:pPr>
          </w:p>
        </w:tc>
        <w:tc>
          <w:tcPr>
            <w:tcW w:w="214" w:type="dxa"/>
            <w:shd w:val="clear" w:color="auto" w:fill="auto"/>
            <w:tcMar>
              <w:left w:w="0" w:type="dxa"/>
            </w:tcMar>
          </w:tcPr>
          <w:p w14:paraId="7A8D1414" w14:textId="77777777" w:rsidR="00B96D74" w:rsidRPr="00B43216" w:rsidRDefault="00B96D74" w:rsidP="0091476D">
            <w:pPr>
              <w:pStyle w:val="Textpoznpodarou"/>
              <w:jc w:val="both"/>
              <w:rPr>
                <w:spacing w:val="-4"/>
              </w:rPr>
            </w:pPr>
          </w:p>
        </w:tc>
        <w:tc>
          <w:tcPr>
            <w:tcW w:w="7670" w:type="dxa"/>
            <w:shd w:val="clear" w:color="auto" w:fill="auto"/>
            <w:tcMar>
              <w:left w:w="0" w:type="dxa"/>
            </w:tcMar>
          </w:tcPr>
          <w:p w14:paraId="11484006" w14:textId="77777777" w:rsidR="00B96D74" w:rsidRPr="00307BAB" w:rsidRDefault="00B96D74" w:rsidP="0091476D">
            <w:pPr>
              <w:spacing w:after="0"/>
              <w:rPr>
                <w:spacing w:val="2"/>
                <w:szCs w:val="20"/>
              </w:rPr>
            </w:pPr>
            <w:r w:rsidRPr="00307BAB">
              <w:rPr>
                <w:b/>
                <w:spacing w:val="2"/>
              </w:rPr>
              <w:t>Graf č. 7</w:t>
            </w:r>
            <w:r>
              <w:rPr>
                <w:b/>
                <w:spacing w:val="2"/>
              </w:rPr>
              <w:t xml:space="preserve"> </w:t>
            </w:r>
            <w:r w:rsidRPr="00307BAB">
              <w:rPr>
                <w:b/>
                <w:spacing w:val="2"/>
              </w:rPr>
              <w:t xml:space="preserve"> Příspěvky odvětví k meziroční změně tržeb ve službách*</w:t>
            </w:r>
            <w:r w:rsidRPr="00307BAB">
              <w:rPr>
                <w:b/>
                <w:spacing w:val="2"/>
              </w:rPr>
              <w:br/>
            </w:r>
            <w:r w:rsidRPr="00307BAB">
              <w:rPr>
                <w:spacing w:val="2"/>
              </w:rPr>
              <w:t>(v p. b., očištěno o kalendářní vlivy)</w:t>
            </w:r>
            <w:r w:rsidRPr="00307BAB">
              <w:rPr>
                <w:b/>
                <w:bCs/>
                <w:spacing w:val="2"/>
              </w:rPr>
              <w:t xml:space="preserve">, </w:t>
            </w:r>
            <w:r w:rsidRPr="00307BAB">
              <w:rPr>
                <w:b/>
                <w:spacing w:val="2"/>
              </w:rPr>
              <w:t>saldo indikátoru důvěry ve službách**</w:t>
            </w:r>
            <w:r w:rsidRPr="00307BAB">
              <w:rPr>
                <w:b/>
                <w:spacing w:val="2"/>
              </w:rPr>
              <w:br/>
            </w:r>
            <w:r w:rsidRPr="00307BAB">
              <w:rPr>
                <w:spacing w:val="2"/>
              </w:rPr>
              <w:t>(v p. b., pravá osa)</w:t>
            </w:r>
            <w:r w:rsidRPr="00307BAB">
              <w:rPr>
                <w:b/>
                <w:spacing w:val="2"/>
              </w:rPr>
              <w:t xml:space="preserve"> a vybrané bariéry růstu*</w:t>
            </w:r>
            <w:r w:rsidRPr="00307BAB">
              <w:rPr>
                <w:spacing w:val="2"/>
              </w:rPr>
              <w:t>* (v %, pravá osa)</w:t>
            </w:r>
          </w:p>
        </w:tc>
      </w:tr>
      <w:tr w:rsidR="00B96D74" w:rsidRPr="004D53D9" w14:paraId="469F5CC5" w14:textId="77777777" w:rsidTr="0091476D">
        <w:tblPrEx>
          <w:tblCellMar>
            <w:left w:w="70" w:type="dxa"/>
            <w:right w:w="70" w:type="dxa"/>
          </w:tblCellMar>
        </w:tblPrEx>
        <w:trPr>
          <w:trHeight w:val="145"/>
        </w:trPr>
        <w:tc>
          <w:tcPr>
            <w:tcW w:w="1780" w:type="dxa"/>
            <w:shd w:val="clear" w:color="auto" w:fill="auto"/>
          </w:tcPr>
          <w:p w14:paraId="1F44F6FF" w14:textId="77777777" w:rsidR="00B96D74" w:rsidRDefault="00B96D74" w:rsidP="0091476D">
            <w:pPr>
              <w:pStyle w:val="Marginlie"/>
            </w:pPr>
          </w:p>
        </w:tc>
        <w:tc>
          <w:tcPr>
            <w:tcW w:w="214" w:type="dxa"/>
            <w:shd w:val="clear" w:color="auto" w:fill="auto"/>
          </w:tcPr>
          <w:p w14:paraId="33C44D82" w14:textId="77777777" w:rsidR="00B96D74" w:rsidRPr="00B43216" w:rsidRDefault="00B96D74" w:rsidP="0091476D">
            <w:pPr>
              <w:pStyle w:val="Textpoznpodarou"/>
              <w:jc w:val="both"/>
              <w:rPr>
                <w:spacing w:val="-4"/>
              </w:rPr>
            </w:pPr>
          </w:p>
        </w:tc>
        <w:tc>
          <w:tcPr>
            <w:tcW w:w="7670" w:type="dxa"/>
            <w:shd w:val="clear" w:color="auto" w:fill="auto"/>
          </w:tcPr>
          <w:p w14:paraId="0CDE48E6" w14:textId="77777777" w:rsidR="00B96D74" w:rsidRPr="004D53D9" w:rsidRDefault="00B96D74" w:rsidP="0091476D">
            <w:pPr>
              <w:spacing w:after="0"/>
              <w:rPr>
                <w:spacing w:val="-4"/>
                <w:szCs w:val="20"/>
              </w:rPr>
            </w:pPr>
            <w:r>
              <w:rPr>
                <w:noProof/>
              </w:rPr>
              <w:drawing>
                <wp:inline distT="0" distB="0" distL="0" distR="0" wp14:anchorId="275B8E46" wp14:editId="11E22D72">
                  <wp:extent cx="4773930" cy="3724275"/>
                  <wp:effectExtent l="0" t="0" r="7620" b="0"/>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B96D74" w:rsidRPr="00417064" w14:paraId="7B33AD3F" w14:textId="77777777" w:rsidTr="0091476D">
        <w:trPr>
          <w:trHeight w:val="145"/>
        </w:trPr>
        <w:tc>
          <w:tcPr>
            <w:tcW w:w="1780" w:type="dxa"/>
            <w:shd w:val="clear" w:color="auto" w:fill="auto"/>
            <w:tcMar>
              <w:left w:w="0" w:type="dxa"/>
            </w:tcMar>
          </w:tcPr>
          <w:p w14:paraId="6AB6DAC3" w14:textId="77777777" w:rsidR="00B96D74" w:rsidRDefault="00B96D74" w:rsidP="0091476D">
            <w:pPr>
              <w:pStyle w:val="Marginlie"/>
            </w:pPr>
          </w:p>
        </w:tc>
        <w:tc>
          <w:tcPr>
            <w:tcW w:w="214" w:type="dxa"/>
            <w:shd w:val="clear" w:color="auto" w:fill="auto"/>
            <w:tcMar>
              <w:left w:w="0" w:type="dxa"/>
            </w:tcMar>
          </w:tcPr>
          <w:p w14:paraId="03F36BF2" w14:textId="77777777" w:rsidR="00B96D74" w:rsidRPr="00B43216" w:rsidRDefault="00B96D74" w:rsidP="0091476D">
            <w:pPr>
              <w:pStyle w:val="Textpoznpodarou"/>
              <w:jc w:val="both"/>
              <w:rPr>
                <w:spacing w:val="-4"/>
              </w:rPr>
            </w:pPr>
          </w:p>
        </w:tc>
        <w:tc>
          <w:tcPr>
            <w:tcW w:w="7670" w:type="dxa"/>
            <w:shd w:val="clear" w:color="auto" w:fill="auto"/>
            <w:tcMar>
              <w:left w:w="0" w:type="dxa"/>
            </w:tcMar>
          </w:tcPr>
          <w:p w14:paraId="2C80D51E" w14:textId="77777777" w:rsidR="00B96D74" w:rsidRPr="00883202" w:rsidRDefault="00B96D74" w:rsidP="0091476D">
            <w:pPr>
              <w:spacing w:after="0"/>
              <w:rPr>
                <w:rFonts w:cs="Arial"/>
                <w:sz w:val="14"/>
                <w:szCs w:val="14"/>
              </w:rPr>
            </w:pPr>
            <w:r w:rsidRPr="00883202">
              <w:rPr>
                <w:rFonts w:cs="Arial"/>
                <w:sz w:val="14"/>
                <w:szCs w:val="14"/>
              </w:rPr>
              <w:t>*</w:t>
            </w:r>
            <w:r w:rsidRPr="00883202">
              <w:rPr>
                <w:color w:val="0D0D0D" w:themeColor="text1" w:themeTint="F2"/>
                <w:sz w:val="14"/>
                <w:szCs w:val="14"/>
              </w:rPr>
              <w:t xml:space="preserve"> Bez odvětví obchodu, peněžnictví, pojišťovnictví, vědy, výzkumu a veřejných služeb.</w:t>
            </w:r>
          </w:p>
          <w:p w14:paraId="73552487" w14:textId="22E39205" w:rsidR="00B96D74" w:rsidRDefault="00B96D74" w:rsidP="00B96D74">
            <w:pPr>
              <w:spacing w:after="0"/>
              <w:rPr>
                <w:rFonts w:cs="Arial"/>
                <w:sz w:val="14"/>
                <w:szCs w:val="14"/>
              </w:rPr>
            </w:pPr>
            <w:r w:rsidRPr="00883202">
              <w:rPr>
                <w:rFonts w:cs="Arial"/>
                <w:sz w:val="14"/>
                <w:szCs w:val="14"/>
              </w:rPr>
              <w:t>**</w:t>
            </w:r>
            <w:r w:rsidRPr="00883202">
              <w:rPr>
                <w:rFonts w:cs="Arial"/>
                <w:spacing w:val="-2"/>
                <w:sz w:val="14"/>
                <w:szCs w:val="14"/>
              </w:rPr>
              <w:t xml:space="preserve">Zahrnuje i finanční sektor. Saldo důvěry i bariéry růstu jsou sezónně očištěny a vyjadřují stav </w:t>
            </w:r>
            <w:r>
              <w:rPr>
                <w:rFonts w:cs="Arial"/>
                <w:spacing w:val="-2"/>
                <w:sz w:val="14"/>
                <w:szCs w:val="14"/>
              </w:rPr>
              <w:t xml:space="preserve">v prvním (bariéry růstu), resp. </w:t>
            </w:r>
            <w:r w:rsidRPr="00883202">
              <w:rPr>
                <w:rFonts w:cs="Arial"/>
                <w:spacing w:val="-2"/>
                <w:sz w:val="14"/>
                <w:szCs w:val="14"/>
              </w:rPr>
              <w:t>ve druhém měsíci daného čtvrtletí</w:t>
            </w:r>
            <w:r>
              <w:rPr>
                <w:rFonts w:cs="Arial"/>
                <w:spacing w:val="-2"/>
                <w:sz w:val="14"/>
                <w:szCs w:val="14"/>
              </w:rPr>
              <w:t xml:space="preserve"> (saldo důvěry)</w:t>
            </w:r>
            <w:r w:rsidRPr="00883202">
              <w:rPr>
                <w:rFonts w:cs="Arial"/>
                <w:spacing w:val="-2"/>
                <w:sz w:val="14"/>
                <w:szCs w:val="14"/>
              </w:rPr>
              <w:t>.</w:t>
            </w:r>
            <w:r>
              <w:rPr>
                <w:rFonts w:cs="Arial"/>
                <w:spacing w:val="-2"/>
                <w:sz w:val="14"/>
                <w:szCs w:val="14"/>
              </w:rPr>
              <w:t xml:space="preserve"> </w:t>
            </w:r>
            <w:r>
              <w:rPr>
                <w:rFonts w:cs="Arial"/>
                <w:sz w:val="14"/>
                <w:szCs w:val="14"/>
              </w:rPr>
              <w:t>Podniky mohly uvést více hlavních bariér současně.</w:t>
            </w:r>
          </w:p>
          <w:p w14:paraId="657CAE32" w14:textId="3E5238AD" w:rsidR="00B96D74" w:rsidRPr="00417064" w:rsidRDefault="00B96D74" w:rsidP="0091476D">
            <w:pPr>
              <w:rPr>
                <w:rFonts w:cs="Arial"/>
                <w:sz w:val="14"/>
                <w:szCs w:val="14"/>
              </w:rPr>
            </w:pPr>
            <w:r w:rsidRPr="00883202">
              <w:rPr>
                <w:rFonts w:cs="Arial"/>
                <w:sz w:val="14"/>
                <w:szCs w:val="14"/>
              </w:rPr>
              <w:t>Zdroj: ČSÚ</w:t>
            </w:r>
          </w:p>
        </w:tc>
      </w:tr>
      <w:tr w:rsidR="00B96D74" w:rsidRPr="004D53D9" w14:paraId="0672DF48" w14:textId="77777777" w:rsidTr="0091476D">
        <w:trPr>
          <w:trHeight w:val="145"/>
        </w:trPr>
        <w:tc>
          <w:tcPr>
            <w:tcW w:w="1780" w:type="dxa"/>
            <w:shd w:val="clear" w:color="auto" w:fill="auto"/>
            <w:tcMar>
              <w:left w:w="0" w:type="dxa"/>
            </w:tcMar>
          </w:tcPr>
          <w:p w14:paraId="088A381C" w14:textId="77777777" w:rsidR="00B96D74" w:rsidRDefault="00B96D74" w:rsidP="0091476D">
            <w:pPr>
              <w:pStyle w:val="Marginlie"/>
            </w:pPr>
            <w:r>
              <w:t>Poptávka po poštovních a kurýrních činnostech, informačních činnostech či telekomunikačních službách významně vzrostla.</w:t>
            </w:r>
          </w:p>
        </w:tc>
        <w:tc>
          <w:tcPr>
            <w:tcW w:w="214" w:type="dxa"/>
            <w:shd w:val="clear" w:color="auto" w:fill="auto"/>
            <w:tcMar>
              <w:left w:w="0" w:type="dxa"/>
            </w:tcMar>
          </w:tcPr>
          <w:p w14:paraId="39974524" w14:textId="77777777" w:rsidR="00B96D74" w:rsidRPr="00B43216" w:rsidRDefault="00B96D74" w:rsidP="0091476D">
            <w:pPr>
              <w:pStyle w:val="Textpoznpodarou"/>
              <w:jc w:val="both"/>
              <w:rPr>
                <w:spacing w:val="-4"/>
              </w:rPr>
            </w:pPr>
          </w:p>
        </w:tc>
        <w:tc>
          <w:tcPr>
            <w:tcW w:w="7670" w:type="dxa"/>
            <w:shd w:val="clear" w:color="auto" w:fill="auto"/>
            <w:tcMar>
              <w:left w:w="0" w:type="dxa"/>
            </w:tcMar>
          </w:tcPr>
          <w:p w14:paraId="7B444E0A" w14:textId="77777777" w:rsidR="00B96D74" w:rsidRPr="004D53D9" w:rsidRDefault="00B96D74" w:rsidP="0091476D">
            <w:pPr>
              <w:rPr>
                <w:spacing w:val="-4"/>
                <w:szCs w:val="20"/>
              </w:rPr>
            </w:pPr>
            <w:r>
              <w:rPr>
                <w:spacing w:val="-4"/>
                <w:szCs w:val="20"/>
              </w:rPr>
              <w:t>Role některých oblastí služeb, které nabízely řešení v prostředí omezeného sociálního kontaktu, naopak loni sílila. V telekomunikacích tržby vzrostly o 4,8 % (nejvíce po roce 2007). Svižně rostly i i</w:t>
            </w:r>
            <w:r w:rsidRPr="001C533C">
              <w:rPr>
                <w:spacing w:val="-4"/>
                <w:szCs w:val="20"/>
              </w:rPr>
              <w:t>nformační činnosti</w:t>
            </w:r>
            <w:r>
              <w:rPr>
                <w:spacing w:val="-4"/>
                <w:szCs w:val="20"/>
              </w:rPr>
              <w:t xml:space="preserve"> (5,5 %), zahrnující např. zpracování dat, webové portály či hosting. Třetím rokem v řadě rostla poptávka po tvorbě</w:t>
            </w:r>
            <w:r w:rsidRPr="007643A6">
              <w:rPr>
                <w:spacing w:val="-4"/>
                <w:szCs w:val="20"/>
              </w:rPr>
              <w:t xml:space="preserve"> programů a</w:t>
            </w:r>
            <w:r>
              <w:rPr>
                <w:spacing w:val="-4"/>
                <w:szCs w:val="20"/>
              </w:rPr>
              <w:t> </w:t>
            </w:r>
            <w:r w:rsidRPr="007643A6">
              <w:rPr>
                <w:spacing w:val="-4"/>
                <w:szCs w:val="20"/>
              </w:rPr>
              <w:t>vysílání</w:t>
            </w:r>
            <w:r>
              <w:rPr>
                <w:spacing w:val="-4"/>
                <w:szCs w:val="20"/>
              </w:rPr>
              <w:t>. Boom zažívaly p</w:t>
            </w:r>
            <w:r w:rsidRPr="007643A6">
              <w:rPr>
                <w:spacing w:val="-4"/>
                <w:szCs w:val="20"/>
              </w:rPr>
              <w:t>oštovní a</w:t>
            </w:r>
            <w:r>
              <w:rPr>
                <w:spacing w:val="-4"/>
                <w:szCs w:val="20"/>
              </w:rPr>
              <w:t> </w:t>
            </w:r>
            <w:r w:rsidRPr="007643A6">
              <w:rPr>
                <w:spacing w:val="-4"/>
                <w:szCs w:val="20"/>
              </w:rPr>
              <w:t>kurýrní činnosti</w:t>
            </w:r>
            <w:r>
              <w:rPr>
                <w:spacing w:val="-4"/>
                <w:szCs w:val="20"/>
              </w:rPr>
              <w:t>, kde tržby rostly dvojciferným tempem druhým rokem v řadě</w:t>
            </w:r>
            <w:r>
              <w:rPr>
                <w:rStyle w:val="Znakapoznpodarou"/>
                <w:spacing w:val="-4"/>
                <w:szCs w:val="20"/>
              </w:rPr>
              <w:footnoteReference w:id="27"/>
            </w:r>
            <w:r>
              <w:rPr>
                <w:spacing w:val="-4"/>
                <w:szCs w:val="20"/>
              </w:rPr>
              <w:t>. Vedle toho lze nalézt i některé oblasti služeb, na něž neměly vládní restrikce významný dopad a jejichž tempo tržeb se ve srovnání s rokem 2019 podstatně neměnilo (</w:t>
            </w:r>
            <w:r w:rsidRPr="00BA4AE9">
              <w:rPr>
                <w:spacing w:val="-5"/>
                <w:szCs w:val="20"/>
              </w:rPr>
              <w:t>činnosti v oblasti nemovitostí, právní a</w:t>
            </w:r>
            <w:r>
              <w:rPr>
                <w:spacing w:val="-5"/>
                <w:szCs w:val="20"/>
              </w:rPr>
              <w:t> </w:t>
            </w:r>
            <w:r w:rsidRPr="00BA4AE9">
              <w:rPr>
                <w:spacing w:val="-5"/>
                <w:szCs w:val="20"/>
              </w:rPr>
              <w:t>účetnické činnosti či bezpečnostní a</w:t>
            </w:r>
            <w:r>
              <w:rPr>
                <w:spacing w:val="-5"/>
                <w:szCs w:val="20"/>
              </w:rPr>
              <w:t> </w:t>
            </w:r>
            <w:r w:rsidRPr="00BA4AE9">
              <w:rPr>
                <w:spacing w:val="-5"/>
                <w:szCs w:val="20"/>
              </w:rPr>
              <w:t>pátrací činnosti).</w:t>
            </w:r>
          </w:p>
        </w:tc>
      </w:tr>
      <w:tr w:rsidR="00B96D74" w:rsidRPr="00C14B9E" w14:paraId="14544D1C" w14:textId="77777777" w:rsidTr="0091476D">
        <w:trPr>
          <w:trHeight w:val="145"/>
        </w:trPr>
        <w:tc>
          <w:tcPr>
            <w:tcW w:w="1780" w:type="dxa"/>
            <w:shd w:val="clear" w:color="auto" w:fill="auto"/>
            <w:tcMar>
              <w:left w:w="0" w:type="dxa"/>
            </w:tcMar>
          </w:tcPr>
          <w:p w14:paraId="7FEC7431" w14:textId="77777777" w:rsidR="00B96D74" w:rsidRPr="00C854B0" w:rsidRDefault="00B96D74" w:rsidP="0091476D">
            <w:pPr>
              <w:pStyle w:val="Marginlie"/>
              <w:rPr>
                <w:spacing w:val="-4"/>
              </w:rPr>
            </w:pPr>
            <w:r w:rsidRPr="00C854B0">
              <w:rPr>
                <w:spacing w:val="-4"/>
              </w:rPr>
              <w:t>Maloobchodní tržby meziročně klesly poprvé za posledních sedm let.</w:t>
            </w:r>
          </w:p>
        </w:tc>
        <w:tc>
          <w:tcPr>
            <w:tcW w:w="214" w:type="dxa"/>
            <w:shd w:val="clear" w:color="auto" w:fill="auto"/>
            <w:tcMar>
              <w:left w:w="0" w:type="dxa"/>
            </w:tcMar>
          </w:tcPr>
          <w:p w14:paraId="2D326DFE" w14:textId="77777777" w:rsidR="00B96D74" w:rsidRPr="00B43216" w:rsidRDefault="00B96D74" w:rsidP="0091476D">
            <w:pPr>
              <w:pStyle w:val="Textpoznpodarou"/>
              <w:jc w:val="both"/>
              <w:rPr>
                <w:spacing w:val="-4"/>
              </w:rPr>
            </w:pPr>
          </w:p>
        </w:tc>
        <w:tc>
          <w:tcPr>
            <w:tcW w:w="7670" w:type="dxa"/>
            <w:shd w:val="clear" w:color="auto" w:fill="auto"/>
            <w:tcMar>
              <w:left w:w="0" w:type="dxa"/>
            </w:tcMar>
          </w:tcPr>
          <w:p w14:paraId="02B27C39" w14:textId="77777777" w:rsidR="00B96D74" w:rsidRPr="00C14B9E" w:rsidRDefault="00B96D74" w:rsidP="0091476D">
            <w:pPr>
              <w:rPr>
                <w:spacing w:val="-4"/>
                <w:szCs w:val="20"/>
              </w:rPr>
            </w:pPr>
            <w:r w:rsidRPr="00C14B9E">
              <w:rPr>
                <w:rFonts w:cs="Arial"/>
                <w:spacing w:val="-4"/>
                <w:szCs w:val="20"/>
              </w:rPr>
              <w:t>Maloobchodní tržby</w:t>
            </w:r>
            <w:r w:rsidRPr="00C14B9E">
              <w:rPr>
                <w:rStyle w:val="Znakapoznpodarou"/>
                <w:spacing w:val="-4"/>
              </w:rPr>
              <w:footnoteReference w:id="28"/>
            </w:r>
            <w:r w:rsidRPr="00C14B9E">
              <w:rPr>
                <w:rFonts w:cs="Arial"/>
                <w:spacing w:val="-4"/>
                <w:szCs w:val="20"/>
              </w:rPr>
              <w:t xml:space="preserve"> byly loni zásadně ovlivněny jarní a</w:t>
            </w:r>
            <w:r>
              <w:rPr>
                <w:rFonts w:cs="Arial"/>
                <w:spacing w:val="-4"/>
                <w:szCs w:val="20"/>
              </w:rPr>
              <w:t> </w:t>
            </w:r>
            <w:r w:rsidRPr="00C14B9E">
              <w:rPr>
                <w:rFonts w:cs="Arial"/>
                <w:spacing w:val="-4"/>
                <w:szCs w:val="20"/>
              </w:rPr>
              <w:t>podzimní vlnou proti</w:t>
            </w:r>
            <w:r>
              <w:rPr>
                <w:rFonts w:cs="Arial"/>
                <w:spacing w:val="-4"/>
                <w:szCs w:val="20"/>
              </w:rPr>
              <w:t>pandemick</w:t>
            </w:r>
            <w:r w:rsidRPr="00C14B9E">
              <w:rPr>
                <w:rFonts w:cs="Arial"/>
                <w:spacing w:val="-4"/>
                <w:szCs w:val="20"/>
              </w:rPr>
              <w:t xml:space="preserve">ých opatření. V březnu </w:t>
            </w:r>
            <w:r>
              <w:rPr>
                <w:rFonts w:cs="Arial"/>
                <w:spacing w:val="-4"/>
                <w:szCs w:val="20"/>
              </w:rPr>
              <w:t>meziměsíčně propadly</w:t>
            </w:r>
            <w:r w:rsidRPr="00C14B9E">
              <w:rPr>
                <w:rFonts w:cs="Arial"/>
                <w:spacing w:val="-4"/>
                <w:szCs w:val="20"/>
              </w:rPr>
              <w:t xml:space="preserve"> o</w:t>
            </w:r>
            <w:r>
              <w:rPr>
                <w:rFonts w:cs="Arial"/>
                <w:spacing w:val="-4"/>
                <w:szCs w:val="20"/>
              </w:rPr>
              <w:t> </w:t>
            </w:r>
            <w:r w:rsidRPr="00C14B9E">
              <w:rPr>
                <w:rFonts w:cs="Arial"/>
                <w:spacing w:val="-4"/>
                <w:szCs w:val="20"/>
              </w:rPr>
              <w:t>11,8</w:t>
            </w:r>
            <w:r>
              <w:rPr>
                <w:rFonts w:cs="Arial"/>
                <w:spacing w:val="-4"/>
                <w:szCs w:val="20"/>
              </w:rPr>
              <w:t> %</w:t>
            </w:r>
            <w:r w:rsidRPr="00C14B9E">
              <w:rPr>
                <w:rFonts w:cs="Arial"/>
                <w:spacing w:val="-4"/>
                <w:szCs w:val="20"/>
              </w:rPr>
              <w:t>, v listopadu o</w:t>
            </w:r>
            <w:r w:rsidRPr="00C14B9E">
              <w:rPr>
                <w:spacing w:val="-4"/>
                <w:szCs w:val="20"/>
              </w:rPr>
              <w:t> </w:t>
            </w:r>
            <w:r>
              <w:rPr>
                <w:rFonts w:cs="Arial"/>
                <w:spacing w:val="-4"/>
                <w:szCs w:val="20"/>
              </w:rPr>
              <w:t>5,6</w:t>
            </w:r>
            <w:r>
              <w:rPr>
                <w:spacing w:val="-4"/>
                <w:szCs w:val="20"/>
              </w:rPr>
              <w:t> </w:t>
            </w:r>
            <w:r w:rsidRPr="00C14B9E">
              <w:rPr>
                <w:rFonts w:cs="Arial"/>
                <w:spacing w:val="-4"/>
                <w:szCs w:val="20"/>
              </w:rPr>
              <w:t>%. Za celý rok 2020 se snížily o</w:t>
            </w:r>
            <w:r>
              <w:rPr>
                <w:rFonts w:cs="Arial"/>
                <w:spacing w:val="-4"/>
                <w:szCs w:val="20"/>
              </w:rPr>
              <w:t xml:space="preserve"> 0,9 %, a docílily tak nejslabšího tempa po roce 2012. Proti hlubšímu poklesu tržeb působila dobrá kondice pracovního trhu, vyznačující se dosud utlumenou nezaměstnaností i pokračujícím reálným růstem průměrných mezd (jenž zrychlil na konci roku). Na druhé straně saldo důvěry spotřebitelů, které citlivě reagovalo na vládní restrikce, </w:t>
            </w:r>
            <w:r>
              <w:rPr>
                <w:rFonts w:cs="Arial"/>
                <w:spacing w:val="-4"/>
                <w:szCs w:val="20"/>
              </w:rPr>
              <w:lastRenderedPageBreak/>
              <w:t>setrvávalo v negativním pásmu. Obavy domácností z růstu cen i nezaměstnanosti zůstávaly vysoké. Maloobchod byl tlumen i nižší spotřebou ze strany nerezidentů.</w:t>
            </w:r>
          </w:p>
        </w:tc>
      </w:tr>
      <w:tr w:rsidR="00B96D74" w:rsidRPr="00C14B9E" w14:paraId="7507D129" w14:textId="77777777" w:rsidTr="0091476D">
        <w:trPr>
          <w:trHeight w:val="145"/>
        </w:trPr>
        <w:tc>
          <w:tcPr>
            <w:tcW w:w="1780" w:type="dxa"/>
            <w:shd w:val="clear" w:color="auto" w:fill="auto"/>
            <w:tcMar>
              <w:left w:w="0" w:type="dxa"/>
            </w:tcMar>
          </w:tcPr>
          <w:p w14:paraId="011ED9B5" w14:textId="77777777" w:rsidR="00B96D74" w:rsidRPr="00C854B0" w:rsidRDefault="00B96D74" w:rsidP="0091476D">
            <w:pPr>
              <w:pStyle w:val="Marginlie"/>
              <w:rPr>
                <w:spacing w:val="-4"/>
              </w:rPr>
            </w:pPr>
            <w:r w:rsidRPr="00C854B0">
              <w:rPr>
                <w:spacing w:val="-4"/>
              </w:rPr>
              <w:lastRenderedPageBreak/>
              <w:t xml:space="preserve">Za poklesem maloobchodu stál zejména propad poptávky po </w:t>
            </w:r>
            <w:r>
              <w:rPr>
                <w:spacing w:val="-4"/>
              </w:rPr>
              <w:t>pohonných hmotách</w:t>
            </w:r>
            <w:r w:rsidRPr="00C854B0">
              <w:rPr>
                <w:spacing w:val="-4"/>
              </w:rPr>
              <w:t>.</w:t>
            </w:r>
          </w:p>
          <w:p w14:paraId="1792B785" w14:textId="77777777" w:rsidR="00B96D74" w:rsidRPr="00C854B0" w:rsidRDefault="00B96D74" w:rsidP="0091476D">
            <w:pPr>
              <w:pStyle w:val="Marginlie"/>
              <w:rPr>
                <w:spacing w:val="-4"/>
              </w:rPr>
            </w:pPr>
          </w:p>
          <w:p w14:paraId="729716B9" w14:textId="77777777" w:rsidR="00B96D74" w:rsidRPr="00C854B0" w:rsidRDefault="00B96D74" w:rsidP="0091476D">
            <w:pPr>
              <w:pStyle w:val="Marginlie"/>
              <w:rPr>
                <w:spacing w:val="-4"/>
              </w:rPr>
            </w:pPr>
            <w:r w:rsidRPr="00C854B0">
              <w:rPr>
                <w:spacing w:val="-4"/>
              </w:rPr>
              <w:t>Segment nepotravinářského zboží rostl jen díky internetovému a</w:t>
            </w:r>
            <w:r>
              <w:rPr>
                <w:spacing w:val="-4"/>
              </w:rPr>
              <w:t> </w:t>
            </w:r>
            <w:r w:rsidRPr="00C854B0">
              <w:rPr>
                <w:spacing w:val="-4"/>
              </w:rPr>
              <w:t>zásilkovému prodeji.</w:t>
            </w:r>
          </w:p>
        </w:tc>
        <w:tc>
          <w:tcPr>
            <w:tcW w:w="214" w:type="dxa"/>
            <w:shd w:val="clear" w:color="auto" w:fill="auto"/>
            <w:tcMar>
              <w:left w:w="0" w:type="dxa"/>
            </w:tcMar>
          </w:tcPr>
          <w:p w14:paraId="294F9F66" w14:textId="77777777" w:rsidR="00B96D74" w:rsidRPr="00B43216" w:rsidRDefault="00B96D74" w:rsidP="0091476D">
            <w:pPr>
              <w:pStyle w:val="Textpoznpodarou"/>
              <w:jc w:val="both"/>
              <w:rPr>
                <w:spacing w:val="-4"/>
              </w:rPr>
            </w:pPr>
          </w:p>
        </w:tc>
        <w:tc>
          <w:tcPr>
            <w:tcW w:w="7670" w:type="dxa"/>
            <w:shd w:val="clear" w:color="auto" w:fill="auto"/>
            <w:tcMar>
              <w:left w:w="0" w:type="dxa"/>
            </w:tcMar>
          </w:tcPr>
          <w:p w14:paraId="6EA2C260" w14:textId="77777777" w:rsidR="00B96D74" w:rsidRPr="00C14B9E" w:rsidRDefault="00B96D74" w:rsidP="0091476D">
            <w:pPr>
              <w:rPr>
                <w:rFonts w:cs="Arial"/>
                <w:spacing w:val="-4"/>
                <w:szCs w:val="20"/>
              </w:rPr>
            </w:pPr>
            <w:r>
              <w:rPr>
                <w:rFonts w:cs="Arial"/>
                <w:spacing w:val="-4"/>
                <w:szCs w:val="20"/>
              </w:rPr>
              <w:t>Za poklesem maloobchodu stál loni především propad tržeb za pohonné hmoty (o 9,0 %). Projevilo se i mírné snížení tržeb za prodej potravin (</w:t>
            </w:r>
            <w:r w:rsidRPr="00F47F7F">
              <w:rPr>
                <w:spacing w:val="-5"/>
              </w:rPr>
              <w:t>–</w:t>
            </w:r>
            <w:r>
              <w:rPr>
                <w:rFonts w:cs="Arial"/>
                <w:spacing w:val="-4"/>
                <w:szCs w:val="20"/>
              </w:rPr>
              <w:t>0,3 %), jež bylo způsobeno výhradně specializovanými (zpravidla malými) prodejnami. Růst tržeb za nepotravinářské zboží loni pokračoval jen díky dynamickému rozvoji internetového a zásilkového prodeje (+27,3 %), i když šlo o nejslabší růst za poslední dekádu (+0,5 %). Část specializovaných prodejen ale postihl dvojciferný propad tržeb (u oděvů, obuvi a koženého zboží či u výrobků</w:t>
            </w:r>
            <w:r w:rsidRPr="00831CFC">
              <w:rPr>
                <w:rFonts w:cs="Arial"/>
                <w:spacing w:val="-4"/>
                <w:szCs w:val="20"/>
              </w:rPr>
              <w:t xml:space="preserve"> pro kulturu a</w:t>
            </w:r>
            <w:r>
              <w:rPr>
                <w:rFonts w:cs="Arial"/>
                <w:spacing w:val="-4"/>
                <w:szCs w:val="20"/>
              </w:rPr>
              <w:t> rekreaci). Mírný růst přetrval u prodejen s farmaceutickým a zdravotnickým zbožím (+3,5 %</w:t>
            </w:r>
            <w:r w:rsidRPr="002C6494">
              <w:rPr>
                <w:rFonts w:cs="Arial"/>
                <w:spacing w:val="-6"/>
                <w:szCs w:val="20"/>
              </w:rPr>
              <w:t>), s počítačovým a</w:t>
            </w:r>
            <w:r>
              <w:rPr>
                <w:rFonts w:cs="Arial"/>
                <w:spacing w:val="-6"/>
                <w:szCs w:val="20"/>
              </w:rPr>
              <w:t> </w:t>
            </w:r>
            <w:r w:rsidRPr="002C6494">
              <w:rPr>
                <w:rFonts w:cs="Arial"/>
                <w:spacing w:val="-6"/>
                <w:szCs w:val="20"/>
              </w:rPr>
              <w:t>komunikačním zařízením (+2,7</w:t>
            </w:r>
            <w:r>
              <w:rPr>
                <w:rFonts w:cs="Arial"/>
                <w:spacing w:val="-6"/>
                <w:szCs w:val="20"/>
              </w:rPr>
              <w:t> %</w:t>
            </w:r>
            <w:r w:rsidRPr="002C6494">
              <w:rPr>
                <w:rFonts w:cs="Arial"/>
                <w:spacing w:val="-6"/>
                <w:szCs w:val="20"/>
              </w:rPr>
              <w:t>) či s</w:t>
            </w:r>
            <w:r>
              <w:rPr>
                <w:rFonts w:cs="Arial"/>
                <w:spacing w:val="-6"/>
                <w:szCs w:val="20"/>
              </w:rPr>
              <w:t> </w:t>
            </w:r>
            <w:r w:rsidRPr="002C6494">
              <w:rPr>
                <w:rFonts w:cs="Arial"/>
                <w:spacing w:val="-6"/>
                <w:szCs w:val="20"/>
              </w:rPr>
              <w:t>výrobky pro domácnost (+1,2</w:t>
            </w:r>
            <w:r>
              <w:rPr>
                <w:rFonts w:cs="Arial"/>
                <w:spacing w:val="-6"/>
                <w:szCs w:val="20"/>
              </w:rPr>
              <w:t> %</w:t>
            </w:r>
            <w:r w:rsidRPr="002C6494">
              <w:rPr>
                <w:rFonts w:cs="Arial"/>
                <w:spacing w:val="-6"/>
                <w:szCs w:val="20"/>
              </w:rPr>
              <w:t>).</w:t>
            </w:r>
          </w:p>
        </w:tc>
      </w:tr>
      <w:tr w:rsidR="00B96D74" w14:paraId="32937E3F" w14:textId="77777777" w:rsidTr="0091476D">
        <w:trPr>
          <w:trHeight w:val="145"/>
        </w:trPr>
        <w:tc>
          <w:tcPr>
            <w:tcW w:w="1780" w:type="dxa"/>
            <w:shd w:val="clear" w:color="auto" w:fill="auto"/>
            <w:tcMar>
              <w:left w:w="0" w:type="dxa"/>
            </w:tcMar>
          </w:tcPr>
          <w:p w14:paraId="47F00E80" w14:textId="77777777" w:rsidR="00B96D74" w:rsidRPr="00C854B0" w:rsidRDefault="00B96D74" w:rsidP="0091476D">
            <w:pPr>
              <w:pStyle w:val="Marginlie"/>
              <w:rPr>
                <w:spacing w:val="-4"/>
              </w:rPr>
            </w:pPr>
            <w:r>
              <w:rPr>
                <w:spacing w:val="-4"/>
              </w:rPr>
              <w:t>Tržby za obchod a opravy motorových vozidel rekordně propadly.</w:t>
            </w:r>
          </w:p>
        </w:tc>
        <w:tc>
          <w:tcPr>
            <w:tcW w:w="214" w:type="dxa"/>
            <w:shd w:val="clear" w:color="auto" w:fill="auto"/>
            <w:tcMar>
              <w:left w:w="0" w:type="dxa"/>
            </w:tcMar>
          </w:tcPr>
          <w:p w14:paraId="5F692109" w14:textId="77777777" w:rsidR="00B96D74" w:rsidRPr="00B43216" w:rsidRDefault="00B96D74" w:rsidP="0091476D">
            <w:pPr>
              <w:pStyle w:val="Textpoznpodarou"/>
              <w:jc w:val="both"/>
              <w:rPr>
                <w:spacing w:val="-4"/>
              </w:rPr>
            </w:pPr>
          </w:p>
        </w:tc>
        <w:tc>
          <w:tcPr>
            <w:tcW w:w="7670" w:type="dxa"/>
            <w:shd w:val="clear" w:color="auto" w:fill="auto"/>
            <w:tcMar>
              <w:left w:w="0" w:type="dxa"/>
            </w:tcMar>
          </w:tcPr>
          <w:p w14:paraId="5F253C9F" w14:textId="77777777" w:rsidR="00B96D74" w:rsidRDefault="00B96D74" w:rsidP="0091476D">
            <w:pPr>
              <w:rPr>
                <w:rFonts w:cs="Arial"/>
                <w:spacing w:val="-4"/>
                <w:szCs w:val="20"/>
              </w:rPr>
            </w:pPr>
            <w:r>
              <w:rPr>
                <w:rFonts w:cs="Arial"/>
                <w:spacing w:val="-4"/>
                <w:szCs w:val="20"/>
              </w:rPr>
              <w:t xml:space="preserve">V motoristickém segmentu obchodu loni tržby propadly o 15,2 % </w:t>
            </w:r>
            <w:r w:rsidRPr="00F47F7F">
              <w:rPr>
                <w:spacing w:val="-5"/>
              </w:rPr>
              <w:t>–</w:t>
            </w:r>
            <w:r>
              <w:rPr>
                <w:rFonts w:cs="Arial"/>
                <w:spacing w:val="-4"/>
                <w:szCs w:val="20"/>
              </w:rPr>
              <w:t xml:space="preserve"> skoro o polovinu více než v roce 2009. Souviselo to s přetrvávajícím útlumem soukromých investic v ekonomice.</w:t>
            </w:r>
          </w:p>
        </w:tc>
      </w:tr>
    </w:tbl>
    <w:p w14:paraId="3E974863" w14:textId="2EEF6166" w:rsidR="000663F0" w:rsidRPr="00E42054" w:rsidRDefault="000663F0" w:rsidP="00E97F14">
      <w:pPr>
        <w:pStyle w:val="Nadpis11"/>
        <w:spacing w:after="0"/>
        <w:rPr>
          <w:b w:val="0"/>
          <w:sz w:val="2"/>
          <w:szCs w:val="2"/>
        </w:rPr>
      </w:pPr>
      <w:bookmarkStart w:id="4" w:name="_GoBack"/>
      <w:bookmarkEnd w:id="0"/>
      <w:bookmarkEnd w:id="1"/>
      <w:bookmarkEnd w:id="2"/>
      <w:bookmarkEnd w:id="4"/>
    </w:p>
    <w:sectPr w:rsidR="000663F0" w:rsidRPr="00E42054" w:rsidSect="008C1AF8">
      <w:headerReference w:type="even" r:id="rId13"/>
      <w:headerReference w:type="default" r:id="rId14"/>
      <w:footerReference w:type="even" r:id="rId15"/>
      <w:footerReference w:type="default" r:id="rId16"/>
      <w:pgSz w:w="11906" w:h="16838" w:code="9"/>
      <w:pgMar w:top="1134" w:right="1134" w:bottom="1418" w:left="1134" w:header="680" w:footer="737" w:gutter="0"/>
      <w:pgNumType w:start="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D51C5" w14:textId="77777777" w:rsidR="0091476D" w:rsidRDefault="0091476D" w:rsidP="00E71A58">
      <w:r>
        <w:separator/>
      </w:r>
    </w:p>
  </w:endnote>
  <w:endnote w:type="continuationSeparator" w:id="0">
    <w:p w14:paraId="7E79BE89" w14:textId="77777777" w:rsidR="0091476D" w:rsidRDefault="0091476D"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51A0D" w14:textId="43481F9A" w:rsidR="0091476D" w:rsidRPr="00932443" w:rsidRDefault="0091476D" w:rsidP="00A418BC">
    <w:pPr>
      <w:pStyle w:val="Zpat"/>
      <w:rPr>
        <w:szCs w:val="16"/>
      </w:rPr>
    </w:pPr>
    <w:r>
      <w:rPr>
        <w:szCs w:val="16"/>
        <w:lang w:eastAsia="cs-CZ"/>
      </w:rPr>
      <w:drawing>
        <wp:anchor distT="0" distB="0" distL="114300" distR="114300" simplePos="0" relativeHeight="251667968" behindDoc="0" locked="0" layoutInCell="1" allowOverlap="1" wp14:anchorId="71F0B6E3" wp14:editId="3AA519D4">
          <wp:simplePos x="0" y="0"/>
          <wp:positionH relativeFrom="column">
            <wp:align>right</wp:align>
          </wp:positionH>
          <wp:positionV relativeFrom="paragraph">
            <wp:posOffset>-64770</wp:posOffset>
          </wp:positionV>
          <wp:extent cx="428625" cy="201295"/>
          <wp:effectExtent l="0" t="0" r="3175" b="1905"/>
          <wp:wrapNone/>
          <wp:docPr id="22"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8C1AF8">
      <w:rPr>
        <w:szCs w:val="16"/>
      </w:rPr>
      <w:t>16</w:t>
    </w:r>
    <w:r w:rsidRPr="00932443">
      <w:rPr>
        <w:szCs w:val="16"/>
      </w:rPr>
      <w:fldChar w:fldCharType="end"/>
    </w:r>
    <w:r w:rsidRPr="00932443">
      <w:rPr>
        <w:szCs w:val="16"/>
      </w:rPr>
      <w:tab/>
    </w:r>
    <w:r>
      <w:rPr>
        <w:szCs w:val="16"/>
      </w:rPr>
      <w:t>rok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17E4B" w14:textId="2D6384D7" w:rsidR="0091476D" w:rsidRPr="00932443" w:rsidRDefault="0091476D" w:rsidP="00FA6CB6">
    <w:pPr>
      <w:pStyle w:val="Zpat"/>
      <w:rPr>
        <w:szCs w:val="16"/>
      </w:rPr>
    </w:pPr>
    <w:r w:rsidRPr="00FA6CB6">
      <w:rPr>
        <w:szCs w:val="16"/>
      </w:rPr>
      <w:tab/>
    </w:r>
    <w:r>
      <w:rPr>
        <w:szCs w:val="16"/>
      </w:rPr>
      <w:t xml:space="preserve">rok </w:t>
    </w:r>
    <w:r>
      <w:rPr>
        <w:szCs w:val="16"/>
        <w:lang w:eastAsia="cs-CZ"/>
      </w:rPr>
      <w:drawing>
        <wp:anchor distT="0" distB="0" distL="114300" distR="114300" simplePos="0" relativeHeight="251658752" behindDoc="0" locked="0" layoutInCell="1" allowOverlap="1" wp14:anchorId="6ADC9B20" wp14:editId="2C3814E9">
          <wp:simplePos x="0" y="0"/>
          <wp:positionH relativeFrom="column">
            <wp:align>left</wp:align>
          </wp:positionH>
          <wp:positionV relativeFrom="paragraph">
            <wp:posOffset>-122555</wp:posOffset>
          </wp:positionV>
          <wp:extent cx="510540" cy="272415"/>
          <wp:effectExtent l="0" t="0" r="0" b="6985"/>
          <wp:wrapNone/>
          <wp:docPr id="24" name="Picture 16"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anchor>
      </w:drawing>
    </w:r>
    <w:r>
      <w:rPr>
        <w:szCs w:val="16"/>
      </w:rPr>
      <w:t>2</w:t>
    </w:r>
    <w:r>
      <w:t>020</w:t>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8C1AF8">
      <w:rPr>
        <w:rStyle w:val="ZpatChar"/>
        <w:szCs w:val="16"/>
      </w:rPr>
      <w:t>15</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3E61E" w14:textId="77777777" w:rsidR="0091476D" w:rsidRDefault="0091476D" w:rsidP="00A21B4D">
      <w:pPr>
        <w:spacing w:after="0"/>
      </w:pPr>
      <w:r>
        <w:separator/>
      </w:r>
    </w:p>
  </w:footnote>
  <w:footnote w:type="continuationSeparator" w:id="0">
    <w:p w14:paraId="14D7D261" w14:textId="77777777" w:rsidR="0091476D" w:rsidRDefault="0091476D" w:rsidP="00E71A58">
      <w:r>
        <w:continuationSeparator/>
      </w:r>
    </w:p>
  </w:footnote>
  <w:footnote w:id="1">
    <w:p w14:paraId="56ADAA58" w14:textId="77777777" w:rsidR="0091476D" w:rsidRPr="00FB58F4" w:rsidRDefault="0091476D" w:rsidP="00B96D74">
      <w:pPr>
        <w:pStyle w:val="Textpoznpodarou"/>
        <w:jc w:val="both"/>
        <w:rPr>
          <w:rFonts w:cs="Arial"/>
          <w:color w:val="0D0D0D" w:themeColor="text1" w:themeTint="F2"/>
          <w:spacing w:val="-2"/>
          <w:sz w:val="16"/>
          <w:szCs w:val="16"/>
        </w:rPr>
      </w:pPr>
      <w:r w:rsidRPr="00FB58F4">
        <w:rPr>
          <w:rStyle w:val="Znakapoznpodarou"/>
          <w:rFonts w:cs="Arial"/>
          <w:color w:val="0D0D0D" w:themeColor="text1" w:themeTint="F2"/>
          <w:spacing w:val="-2"/>
          <w:sz w:val="16"/>
          <w:szCs w:val="16"/>
        </w:rPr>
        <w:footnoteRef/>
      </w:r>
      <w:r w:rsidRPr="00FB58F4">
        <w:rPr>
          <w:rFonts w:cs="Arial"/>
          <w:color w:val="0D0D0D" w:themeColor="text1" w:themeTint="F2"/>
          <w:spacing w:val="-2"/>
          <w:sz w:val="16"/>
          <w:szCs w:val="16"/>
        </w:rPr>
        <w:t xml:space="preserve"> Údaje o</w:t>
      </w:r>
      <w:r>
        <w:rPr>
          <w:rFonts w:cs="Arial"/>
          <w:color w:val="0D0D0D" w:themeColor="text1" w:themeTint="F2"/>
          <w:spacing w:val="-2"/>
          <w:sz w:val="16"/>
          <w:szCs w:val="16"/>
        </w:rPr>
        <w:t> </w:t>
      </w:r>
      <w:r w:rsidRPr="00FB58F4">
        <w:rPr>
          <w:rFonts w:cs="Arial"/>
          <w:color w:val="0D0D0D" w:themeColor="text1" w:themeTint="F2"/>
          <w:spacing w:val="-2"/>
          <w:sz w:val="16"/>
          <w:szCs w:val="16"/>
        </w:rPr>
        <w:t>HPH jsou vyjádřeny ve stálých cenách a</w:t>
      </w:r>
      <w:r>
        <w:rPr>
          <w:rFonts w:cs="Arial"/>
          <w:color w:val="0D0D0D" w:themeColor="text1" w:themeTint="F2"/>
          <w:spacing w:val="-2"/>
          <w:sz w:val="16"/>
          <w:szCs w:val="16"/>
        </w:rPr>
        <w:t> </w:t>
      </w:r>
      <w:r w:rsidRPr="00FB58F4">
        <w:rPr>
          <w:rFonts w:cs="Arial"/>
          <w:color w:val="0D0D0D" w:themeColor="text1" w:themeTint="F2"/>
          <w:spacing w:val="-2"/>
          <w:sz w:val="16"/>
          <w:szCs w:val="16"/>
        </w:rPr>
        <w:t>v očištění o</w:t>
      </w:r>
      <w:r>
        <w:rPr>
          <w:rFonts w:cs="Arial"/>
          <w:color w:val="0D0D0D" w:themeColor="text1" w:themeTint="F2"/>
          <w:spacing w:val="-2"/>
          <w:sz w:val="16"/>
          <w:szCs w:val="16"/>
        </w:rPr>
        <w:t> </w:t>
      </w:r>
      <w:r w:rsidRPr="00FB58F4">
        <w:rPr>
          <w:rFonts w:cs="Arial"/>
          <w:color w:val="0D0D0D" w:themeColor="text1" w:themeTint="F2"/>
          <w:spacing w:val="-2"/>
          <w:sz w:val="16"/>
          <w:szCs w:val="16"/>
        </w:rPr>
        <w:t>sezónní a</w:t>
      </w:r>
      <w:r>
        <w:rPr>
          <w:rFonts w:cs="Arial"/>
          <w:color w:val="0D0D0D" w:themeColor="text1" w:themeTint="F2"/>
          <w:spacing w:val="-2"/>
          <w:sz w:val="16"/>
          <w:szCs w:val="16"/>
        </w:rPr>
        <w:t> </w:t>
      </w:r>
      <w:r w:rsidRPr="00FB58F4">
        <w:rPr>
          <w:rFonts w:cs="Arial"/>
          <w:color w:val="0D0D0D" w:themeColor="text1" w:themeTint="F2"/>
          <w:spacing w:val="-2"/>
          <w:sz w:val="16"/>
          <w:szCs w:val="16"/>
        </w:rPr>
        <w:t>kalendářní vlivy.</w:t>
      </w:r>
    </w:p>
  </w:footnote>
  <w:footnote w:id="2">
    <w:p w14:paraId="5F6CE761" w14:textId="77777777" w:rsidR="0091476D" w:rsidRPr="000C1BFE" w:rsidRDefault="0091476D" w:rsidP="00B96D74">
      <w:pPr>
        <w:pStyle w:val="Textpoznpodarou"/>
        <w:rPr>
          <w:spacing w:val="-3"/>
          <w:sz w:val="16"/>
          <w:szCs w:val="16"/>
        </w:rPr>
      </w:pPr>
      <w:r w:rsidRPr="000C1BFE">
        <w:rPr>
          <w:rStyle w:val="Znakapoznpodarou"/>
          <w:spacing w:val="-3"/>
          <w:sz w:val="16"/>
          <w:szCs w:val="16"/>
        </w:rPr>
        <w:footnoteRef/>
      </w:r>
      <w:r w:rsidRPr="000C1BFE">
        <w:rPr>
          <w:spacing w:val="-3"/>
          <w:sz w:val="16"/>
          <w:szCs w:val="16"/>
        </w:rPr>
        <w:t xml:space="preserve"> Negativní dopad zde mělo nejen jarní i</w:t>
      </w:r>
      <w:r>
        <w:rPr>
          <w:spacing w:val="-3"/>
          <w:sz w:val="16"/>
          <w:szCs w:val="16"/>
        </w:rPr>
        <w:t> </w:t>
      </w:r>
      <w:r w:rsidRPr="000C1BFE">
        <w:rPr>
          <w:spacing w:val="-3"/>
          <w:sz w:val="16"/>
          <w:szCs w:val="16"/>
        </w:rPr>
        <w:t>podzimní uzavření významné části maloobchodních prodejen, ale i</w:t>
      </w:r>
      <w:r>
        <w:rPr>
          <w:spacing w:val="-3"/>
          <w:sz w:val="16"/>
          <w:szCs w:val="16"/>
        </w:rPr>
        <w:t> </w:t>
      </w:r>
      <w:r w:rsidRPr="000C1BFE">
        <w:rPr>
          <w:spacing w:val="-3"/>
          <w:sz w:val="16"/>
          <w:szCs w:val="16"/>
        </w:rPr>
        <w:t xml:space="preserve">přetrvávající hluboký útlum v příjezdovém cestovním ruchu. </w:t>
      </w:r>
      <w:r w:rsidRPr="000C1BFE">
        <w:rPr>
          <w:rFonts w:cs="Arial"/>
          <w:color w:val="0D0D0D" w:themeColor="text1" w:themeTint="F2"/>
          <w:spacing w:val="-3"/>
          <w:sz w:val="16"/>
          <w:szCs w:val="16"/>
        </w:rPr>
        <w:t>Výdaje na konečnou spotřebu klesly loni u nerezidentů v ČR meziročně o 51</w:t>
      </w:r>
      <w:r>
        <w:rPr>
          <w:rFonts w:cs="Arial"/>
          <w:color w:val="0D0D0D" w:themeColor="text1" w:themeTint="F2"/>
          <w:spacing w:val="-3"/>
          <w:sz w:val="16"/>
          <w:szCs w:val="16"/>
        </w:rPr>
        <w:t> %</w:t>
      </w:r>
      <w:r w:rsidRPr="000C1BFE">
        <w:rPr>
          <w:rFonts w:cs="Arial"/>
          <w:color w:val="0D0D0D" w:themeColor="text1" w:themeTint="F2"/>
          <w:spacing w:val="-3"/>
          <w:sz w:val="16"/>
          <w:szCs w:val="16"/>
        </w:rPr>
        <w:t>, z toho ve 2</w:t>
      </w:r>
      <w:r>
        <w:rPr>
          <w:rFonts w:cs="Arial"/>
          <w:color w:val="0D0D0D" w:themeColor="text1" w:themeTint="F2"/>
          <w:spacing w:val="-3"/>
          <w:sz w:val="16"/>
          <w:szCs w:val="16"/>
        </w:rPr>
        <w:t>. </w:t>
      </w:r>
      <w:r w:rsidRPr="000C1BFE">
        <w:rPr>
          <w:rFonts w:cs="Arial"/>
          <w:color w:val="0D0D0D" w:themeColor="text1" w:themeTint="F2"/>
          <w:spacing w:val="-3"/>
          <w:sz w:val="16"/>
          <w:szCs w:val="16"/>
        </w:rPr>
        <w:t>až 4. čtvrtletí dokonce o nebývalých 64 %. Nerezidenti se na celkových výdajích na konečnou spotřebu domácností v ČR dlouhodobě podílejí zhruba 6 %.</w:t>
      </w:r>
    </w:p>
  </w:footnote>
  <w:footnote w:id="3">
    <w:p w14:paraId="6FF56647" w14:textId="77777777" w:rsidR="0091476D" w:rsidRPr="003B5B59" w:rsidRDefault="0091476D" w:rsidP="00B96D74">
      <w:pPr>
        <w:pStyle w:val="Textpoznpodarou"/>
        <w:rPr>
          <w:sz w:val="16"/>
          <w:szCs w:val="16"/>
        </w:rPr>
      </w:pPr>
      <w:r w:rsidRPr="003B5B59">
        <w:rPr>
          <w:rStyle w:val="Znakapoznpodarou"/>
          <w:sz w:val="16"/>
          <w:szCs w:val="16"/>
        </w:rPr>
        <w:footnoteRef/>
      </w:r>
      <w:r w:rsidRPr="003B5B59">
        <w:rPr>
          <w:sz w:val="16"/>
          <w:szCs w:val="16"/>
        </w:rPr>
        <w:t xml:space="preserve"> Zahrnuje kulturní, zábavní a</w:t>
      </w:r>
      <w:r>
        <w:rPr>
          <w:sz w:val="16"/>
          <w:szCs w:val="16"/>
        </w:rPr>
        <w:t> </w:t>
      </w:r>
      <w:r w:rsidRPr="003B5B59">
        <w:rPr>
          <w:sz w:val="16"/>
          <w:szCs w:val="16"/>
        </w:rPr>
        <w:t>rekreační činnosti a</w:t>
      </w:r>
      <w:r>
        <w:rPr>
          <w:sz w:val="16"/>
          <w:szCs w:val="16"/>
        </w:rPr>
        <w:t> </w:t>
      </w:r>
      <w:r w:rsidRPr="003B5B59">
        <w:rPr>
          <w:sz w:val="16"/>
          <w:szCs w:val="16"/>
        </w:rPr>
        <w:t xml:space="preserve">dále zejména poskytování osobních služeb (např. kadeřnictví, kosmetické služby, </w:t>
      </w:r>
      <w:r>
        <w:rPr>
          <w:rFonts w:cs="Arial"/>
          <w:color w:val="0D0D0D" w:themeColor="text1" w:themeTint="F2"/>
          <w:spacing w:val="-2"/>
          <w:sz w:val="16"/>
          <w:szCs w:val="16"/>
        </w:rPr>
        <w:t xml:space="preserve">čisticí služby či </w:t>
      </w:r>
      <w:r w:rsidRPr="003B5B59">
        <w:rPr>
          <w:sz w:val="16"/>
          <w:szCs w:val="16"/>
        </w:rPr>
        <w:t>opravy výrobků pro osobní potřebu a převážně pro</w:t>
      </w:r>
      <w:r>
        <w:rPr>
          <w:sz w:val="16"/>
          <w:szCs w:val="16"/>
        </w:rPr>
        <w:t xml:space="preserve"> </w:t>
      </w:r>
      <w:r w:rsidRPr="003B5B59">
        <w:rPr>
          <w:sz w:val="16"/>
          <w:szCs w:val="16"/>
        </w:rPr>
        <w:t>domácnost).</w:t>
      </w:r>
    </w:p>
  </w:footnote>
  <w:footnote w:id="4">
    <w:p w14:paraId="34619D2B" w14:textId="77777777" w:rsidR="0091476D" w:rsidRPr="00712ECB" w:rsidRDefault="0091476D" w:rsidP="00B96D74">
      <w:pPr>
        <w:pStyle w:val="Textpoznpodarou"/>
        <w:rPr>
          <w:sz w:val="16"/>
          <w:szCs w:val="16"/>
        </w:rPr>
      </w:pPr>
      <w:r w:rsidRPr="00712ECB">
        <w:rPr>
          <w:rStyle w:val="Znakapoznpodarou"/>
          <w:sz w:val="16"/>
          <w:szCs w:val="16"/>
        </w:rPr>
        <w:footnoteRef/>
      </w:r>
      <w:r w:rsidRPr="00712ECB">
        <w:rPr>
          <w:sz w:val="16"/>
          <w:szCs w:val="16"/>
        </w:rPr>
        <w:t xml:space="preserve"> V celém uskupení Veřejná správa a</w:t>
      </w:r>
      <w:r>
        <w:rPr>
          <w:sz w:val="16"/>
          <w:szCs w:val="16"/>
        </w:rPr>
        <w:t> </w:t>
      </w:r>
      <w:r w:rsidRPr="00712ECB">
        <w:rPr>
          <w:sz w:val="16"/>
          <w:szCs w:val="16"/>
        </w:rPr>
        <w:t>obrana, vzdělávání, zdravotní a</w:t>
      </w:r>
      <w:r>
        <w:rPr>
          <w:sz w:val="16"/>
          <w:szCs w:val="16"/>
        </w:rPr>
        <w:t> </w:t>
      </w:r>
      <w:r w:rsidRPr="00712ECB">
        <w:rPr>
          <w:sz w:val="16"/>
          <w:szCs w:val="16"/>
        </w:rPr>
        <w:t>sociální péče vzrostla loni ve 2.</w:t>
      </w:r>
      <w:r>
        <w:rPr>
          <w:sz w:val="16"/>
          <w:szCs w:val="16"/>
        </w:rPr>
        <w:t> pololet</w:t>
      </w:r>
      <w:r w:rsidRPr="00712ECB">
        <w:rPr>
          <w:sz w:val="16"/>
          <w:szCs w:val="16"/>
        </w:rPr>
        <w:t>í odpracovaná doba meziročně o</w:t>
      </w:r>
      <w:r>
        <w:rPr>
          <w:sz w:val="16"/>
          <w:szCs w:val="16"/>
        </w:rPr>
        <w:t> </w:t>
      </w:r>
      <w:r w:rsidRPr="00712ECB">
        <w:rPr>
          <w:sz w:val="16"/>
          <w:szCs w:val="16"/>
        </w:rPr>
        <w:t>0,9</w:t>
      </w:r>
      <w:r>
        <w:rPr>
          <w:sz w:val="16"/>
          <w:szCs w:val="16"/>
        </w:rPr>
        <w:t> %</w:t>
      </w:r>
      <w:r w:rsidRPr="00712ECB">
        <w:rPr>
          <w:sz w:val="16"/>
          <w:szCs w:val="16"/>
        </w:rPr>
        <w:t xml:space="preserve">. </w:t>
      </w:r>
      <w:r>
        <w:rPr>
          <w:sz w:val="16"/>
          <w:szCs w:val="16"/>
        </w:rPr>
        <w:t>Nejvyšší</w:t>
      </w:r>
      <w:r w:rsidRPr="00712ECB">
        <w:rPr>
          <w:sz w:val="16"/>
          <w:szCs w:val="16"/>
        </w:rPr>
        <w:t xml:space="preserve"> růst </w:t>
      </w:r>
      <w:r>
        <w:rPr>
          <w:sz w:val="16"/>
          <w:szCs w:val="16"/>
        </w:rPr>
        <w:t xml:space="preserve">z hlavních odvětví </w:t>
      </w:r>
      <w:r w:rsidRPr="00712ECB">
        <w:rPr>
          <w:sz w:val="16"/>
          <w:szCs w:val="16"/>
        </w:rPr>
        <w:t>zaznamenaly informační a</w:t>
      </w:r>
      <w:r>
        <w:rPr>
          <w:sz w:val="16"/>
          <w:szCs w:val="16"/>
        </w:rPr>
        <w:t> </w:t>
      </w:r>
      <w:r w:rsidRPr="00712ECB">
        <w:rPr>
          <w:sz w:val="16"/>
          <w:szCs w:val="16"/>
        </w:rPr>
        <w:t>komunikační činnosti (+3,6</w:t>
      </w:r>
      <w:r>
        <w:rPr>
          <w:sz w:val="16"/>
          <w:szCs w:val="16"/>
        </w:rPr>
        <w:t> %</w:t>
      </w:r>
      <w:r w:rsidRPr="00712ECB">
        <w:rPr>
          <w:sz w:val="16"/>
          <w:szCs w:val="16"/>
        </w:rPr>
        <w:t>).</w:t>
      </w:r>
    </w:p>
  </w:footnote>
  <w:footnote w:id="5">
    <w:p w14:paraId="1FD73957" w14:textId="77777777" w:rsidR="0091476D" w:rsidRPr="00980B7A" w:rsidRDefault="0091476D" w:rsidP="00B96D74">
      <w:pPr>
        <w:pStyle w:val="Textpoznpodarou"/>
        <w:rPr>
          <w:sz w:val="16"/>
          <w:szCs w:val="16"/>
        </w:rPr>
      </w:pPr>
      <w:r w:rsidRPr="00980B7A">
        <w:rPr>
          <w:rStyle w:val="Znakapoznpodarou"/>
          <w:sz w:val="16"/>
          <w:szCs w:val="16"/>
        </w:rPr>
        <w:footnoteRef/>
      </w:r>
      <w:r w:rsidRPr="00980B7A">
        <w:rPr>
          <w:sz w:val="16"/>
          <w:szCs w:val="16"/>
        </w:rPr>
        <w:t xml:space="preserve"> Relativně slabší růst </w:t>
      </w:r>
      <w:r>
        <w:rPr>
          <w:sz w:val="16"/>
          <w:szCs w:val="16"/>
        </w:rPr>
        <w:t>mohl</w:t>
      </w:r>
      <w:r w:rsidRPr="00980B7A">
        <w:rPr>
          <w:sz w:val="16"/>
          <w:szCs w:val="16"/>
        </w:rPr>
        <w:t xml:space="preserve"> souviset s hlubokým loňským útlumem filmového a</w:t>
      </w:r>
      <w:r>
        <w:rPr>
          <w:sz w:val="16"/>
          <w:szCs w:val="16"/>
        </w:rPr>
        <w:t> </w:t>
      </w:r>
      <w:r w:rsidRPr="00980B7A">
        <w:rPr>
          <w:sz w:val="16"/>
          <w:szCs w:val="16"/>
        </w:rPr>
        <w:t>hudebního průmyslu</w:t>
      </w:r>
      <w:r>
        <w:rPr>
          <w:sz w:val="16"/>
          <w:szCs w:val="16"/>
        </w:rPr>
        <w:t>, v menší míře i s vývojem v dílčím odvětví vydavatelských činností.</w:t>
      </w:r>
    </w:p>
  </w:footnote>
  <w:footnote w:id="6">
    <w:p w14:paraId="1EBF735B" w14:textId="77777777" w:rsidR="0091476D" w:rsidRPr="00CE71E4" w:rsidRDefault="0091476D" w:rsidP="00B96D74">
      <w:pPr>
        <w:pStyle w:val="Textpoznpodarou"/>
        <w:rPr>
          <w:spacing w:val="-2"/>
          <w:sz w:val="16"/>
          <w:szCs w:val="16"/>
        </w:rPr>
      </w:pPr>
      <w:r w:rsidRPr="00C141D9">
        <w:rPr>
          <w:rStyle w:val="Znakapoznpodarou"/>
          <w:spacing w:val="-2"/>
          <w:sz w:val="16"/>
          <w:szCs w:val="16"/>
        </w:rPr>
        <w:footnoteRef/>
      </w:r>
      <w:r w:rsidRPr="00C141D9">
        <w:rPr>
          <w:spacing w:val="-2"/>
          <w:sz w:val="16"/>
          <w:szCs w:val="16"/>
        </w:rPr>
        <w:t xml:space="preserve"> </w:t>
      </w:r>
      <w:r w:rsidRPr="00CE71E4">
        <w:rPr>
          <w:spacing w:val="-2"/>
          <w:sz w:val="16"/>
          <w:szCs w:val="16"/>
        </w:rPr>
        <w:t>Dle předběžných údajů k 15</w:t>
      </w:r>
      <w:r>
        <w:rPr>
          <w:spacing w:val="-2"/>
          <w:sz w:val="16"/>
          <w:szCs w:val="16"/>
        </w:rPr>
        <w:t>. </w:t>
      </w:r>
      <w:r w:rsidRPr="00CE71E4">
        <w:rPr>
          <w:spacing w:val="-2"/>
          <w:sz w:val="16"/>
          <w:szCs w:val="16"/>
        </w:rPr>
        <w:t xml:space="preserve">září 2020 je odhadována celková </w:t>
      </w:r>
      <w:r>
        <w:rPr>
          <w:spacing w:val="-2"/>
          <w:sz w:val="16"/>
          <w:szCs w:val="16"/>
        </w:rPr>
        <w:t>loňská</w:t>
      </w:r>
      <w:r w:rsidRPr="00CE71E4">
        <w:rPr>
          <w:spacing w:val="-2"/>
          <w:sz w:val="16"/>
          <w:szCs w:val="16"/>
        </w:rPr>
        <w:t xml:space="preserve"> sklizeň ve výši 7,98</w:t>
      </w:r>
      <w:r>
        <w:rPr>
          <w:spacing w:val="-2"/>
          <w:sz w:val="16"/>
          <w:szCs w:val="16"/>
        </w:rPr>
        <w:t> mil.</w:t>
      </w:r>
      <w:r w:rsidRPr="00CE71E4">
        <w:rPr>
          <w:spacing w:val="-2"/>
          <w:sz w:val="16"/>
          <w:szCs w:val="16"/>
        </w:rPr>
        <w:t xml:space="preserve"> tun. Ta je nejsilnější za poslední čtyři roky a</w:t>
      </w:r>
      <w:r>
        <w:rPr>
          <w:spacing w:val="-2"/>
          <w:sz w:val="16"/>
          <w:szCs w:val="16"/>
        </w:rPr>
        <w:t> </w:t>
      </w:r>
      <w:r w:rsidRPr="00CE71E4">
        <w:rPr>
          <w:spacing w:val="-2"/>
          <w:sz w:val="16"/>
          <w:szCs w:val="16"/>
        </w:rPr>
        <w:t>proti desetiletému průměru je vyšší o</w:t>
      </w:r>
      <w:r>
        <w:rPr>
          <w:spacing w:val="-2"/>
          <w:sz w:val="16"/>
          <w:szCs w:val="16"/>
        </w:rPr>
        <w:t> </w:t>
      </w:r>
      <w:r w:rsidRPr="00CE71E4">
        <w:rPr>
          <w:spacing w:val="-2"/>
          <w:sz w:val="16"/>
          <w:szCs w:val="16"/>
        </w:rPr>
        <w:t>4,0</w:t>
      </w:r>
      <w:r>
        <w:rPr>
          <w:spacing w:val="-2"/>
          <w:sz w:val="16"/>
          <w:szCs w:val="16"/>
        </w:rPr>
        <w:t> %</w:t>
      </w:r>
      <w:r w:rsidRPr="00CE71E4">
        <w:rPr>
          <w:spacing w:val="-2"/>
          <w:sz w:val="16"/>
          <w:szCs w:val="16"/>
        </w:rPr>
        <w:t>. Meziročně se sklidilo také více vína, luskovin, brambor, zeleniny, řepky a</w:t>
      </w:r>
      <w:r>
        <w:rPr>
          <w:spacing w:val="-2"/>
          <w:sz w:val="16"/>
          <w:szCs w:val="16"/>
        </w:rPr>
        <w:t> </w:t>
      </w:r>
      <w:r w:rsidRPr="00CE71E4">
        <w:rPr>
          <w:spacing w:val="-2"/>
          <w:sz w:val="16"/>
          <w:szCs w:val="16"/>
        </w:rPr>
        <w:t>kukuřice na zeleno a</w:t>
      </w:r>
      <w:r>
        <w:rPr>
          <w:spacing w:val="-2"/>
          <w:sz w:val="16"/>
          <w:szCs w:val="16"/>
        </w:rPr>
        <w:t> </w:t>
      </w:r>
      <w:r w:rsidRPr="00CE71E4">
        <w:rPr>
          <w:spacing w:val="-2"/>
          <w:sz w:val="16"/>
          <w:szCs w:val="16"/>
        </w:rPr>
        <w:t>siláž. Nižší byla úroda chmele a</w:t>
      </w:r>
      <w:r>
        <w:rPr>
          <w:spacing w:val="-2"/>
          <w:sz w:val="16"/>
          <w:szCs w:val="16"/>
        </w:rPr>
        <w:t> </w:t>
      </w:r>
      <w:r w:rsidRPr="00CE71E4">
        <w:rPr>
          <w:spacing w:val="-2"/>
          <w:sz w:val="16"/>
          <w:szCs w:val="16"/>
        </w:rPr>
        <w:t>cukrové řepy. Z předběžných výsledků souhrnného zemědělského účtu vyplývá, že v roce 2020 vzrostla reálně produkce zemědělského odvětví o</w:t>
      </w:r>
      <w:r>
        <w:rPr>
          <w:spacing w:val="-2"/>
          <w:sz w:val="16"/>
          <w:szCs w:val="16"/>
        </w:rPr>
        <w:t> </w:t>
      </w:r>
      <w:r w:rsidRPr="00CE71E4">
        <w:rPr>
          <w:spacing w:val="-2"/>
          <w:sz w:val="16"/>
          <w:szCs w:val="16"/>
        </w:rPr>
        <w:t>rovná 4</w:t>
      </w:r>
      <w:r>
        <w:rPr>
          <w:spacing w:val="-2"/>
          <w:sz w:val="16"/>
          <w:szCs w:val="16"/>
        </w:rPr>
        <w:t> %</w:t>
      </w:r>
      <w:r w:rsidRPr="00CE71E4">
        <w:rPr>
          <w:spacing w:val="-2"/>
          <w:sz w:val="16"/>
          <w:szCs w:val="16"/>
        </w:rPr>
        <w:t>. Nejvíce k tomu přispěla vyšší rostlinná produkce (+6,0</w:t>
      </w:r>
      <w:r>
        <w:rPr>
          <w:spacing w:val="-2"/>
          <w:sz w:val="16"/>
          <w:szCs w:val="16"/>
        </w:rPr>
        <w:t> %</w:t>
      </w:r>
      <w:r w:rsidRPr="00CE71E4">
        <w:rPr>
          <w:spacing w:val="-2"/>
          <w:sz w:val="16"/>
          <w:szCs w:val="16"/>
        </w:rPr>
        <w:t>), podpořená zejména příznivým vývojem u</w:t>
      </w:r>
      <w:r>
        <w:rPr>
          <w:spacing w:val="-2"/>
          <w:sz w:val="16"/>
          <w:szCs w:val="16"/>
        </w:rPr>
        <w:t> </w:t>
      </w:r>
      <w:r w:rsidRPr="00CE71E4">
        <w:rPr>
          <w:spacing w:val="-2"/>
          <w:sz w:val="16"/>
          <w:szCs w:val="16"/>
        </w:rPr>
        <w:t>pícnin, řepky a</w:t>
      </w:r>
      <w:r>
        <w:rPr>
          <w:spacing w:val="-2"/>
          <w:sz w:val="16"/>
          <w:szCs w:val="16"/>
        </w:rPr>
        <w:t> </w:t>
      </w:r>
      <w:r w:rsidRPr="00CE71E4">
        <w:rPr>
          <w:spacing w:val="-2"/>
          <w:sz w:val="16"/>
          <w:szCs w:val="16"/>
        </w:rPr>
        <w:t>kukuřice na zrno. Příznivě působila i</w:t>
      </w:r>
      <w:r>
        <w:rPr>
          <w:spacing w:val="-2"/>
          <w:sz w:val="16"/>
          <w:szCs w:val="16"/>
        </w:rPr>
        <w:t> </w:t>
      </w:r>
      <w:r w:rsidRPr="00CE71E4">
        <w:rPr>
          <w:spacing w:val="-2"/>
          <w:sz w:val="16"/>
          <w:szCs w:val="16"/>
        </w:rPr>
        <w:t>vyšší živočišná produkce (+1,7</w:t>
      </w:r>
      <w:r>
        <w:rPr>
          <w:spacing w:val="-2"/>
          <w:sz w:val="16"/>
          <w:szCs w:val="16"/>
        </w:rPr>
        <w:t> </w:t>
      </w:r>
      <w:r w:rsidRPr="00CE71E4">
        <w:rPr>
          <w:spacing w:val="-2"/>
          <w:sz w:val="16"/>
          <w:szCs w:val="16"/>
        </w:rPr>
        <w:t>%), sycená z drtivé většiny vyšší hodnotou produkce mléka, s odstupem pak i</w:t>
      </w:r>
      <w:r>
        <w:rPr>
          <w:spacing w:val="-2"/>
          <w:sz w:val="16"/>
          <w:szCs w:val="16"/>
        </w:rPr>
        <w:t> </w:t>
      </w:r>
      <w:r w:rsidRPr="00CE71E4">
        <w:rPr>
          <w:spacing w:val="-2"/>
          <w:sz w:val="16"/>
          <w:szCs w:val="16"/>
        </w:rPr>
        <w:t>prasat.</w:t>
      </w:r>
    </w:p>
  </w:footnote>
  <w:footnote w:id="7">
    <w:p w14:paraId="31B93F1A" w14:textId="77777777" w:rsidR="0091476D" w:rsidRPr="00621DCC" w:rsidRDefault="0091476D" w:rsidP="00B96D74">
      <w:pPr>
        <w:pStyle w:val="Textpoznpodarou"/>
        <w:rPr>
          <w:sz w:val="16"/>
          <w:szCs w:val="16"/>
        </w:rPr>
      </w:pPr>
      <w:r w:rsidRPr="00621DCC">
        <w:rPr>
          <w:rStyle w:val="Znakapoznpodarou"/>
          <w:sz w:val="16"/>
          <w:szCs w:val="16"/>
        </w:rPr>
        <w:footnoteRef/>
      </w:r>
      <w:r w:rsidRPr="00621DCC">
        <w:rPr>
          <w:sz w:val="16"/>
          <w:szCs w:val="16"/>
        </w:rPr>
        <w:t xml:space="preserve"> Za mírnějším poklesem HPH v</w:t>
      </w:r>
      <w:r>
        <w:rPr>
          <w:sz w:val="16"/>
          <w:szCs w:val="16"/>
        </w:rPr>
        <w:t> </w:t>
      </w:r>
      <w:r w:rsidRPr="00621DCC">
        <w:rPr>
          <w:sz w:val="16"/>
          <w:szCs w:val="16"/>
        </w:rPr>
        <w:t>ČR</w:t>
      </w:r>
      <w:r>
        <w:rPr>
          <w:sz w:val="16"/>
          <w:szCs w:val="16"/>
        </w:rPr>
        <w:t xml:space="preserve"> stál příznivější vývoj ve veřejných službách a v odvětví zemědělství, lesnictví a rybářství. Rovněž propad výkonu v odvětví ostatních služeb (sekce R až T) byl v tuzemsku slab</w:t>
      </w:r>
      <w:r w:rsidRPr="00621DCC">
        <w:rPr>
          <w:sz w:val="16"/>
          <w:szCs w:val="16"/>
        </w:rPr>
        <w:t>ší (</w:t>
      </w:r>
      <w:r w:rsidRPr="00621DCC">
        <w:rPr>
          <w:spacing w:val="-4"/>
          <w:sz w:val="16"/>
          <w:szCs w:val="16"/>
        </w:rPr>
        <w:t>–12</w:t>
      </w:r>
      <w:r>
        <w:rPr>
          <w:spacing w:val="-4"/>
          <w:sz w:val="16"/>
          <w:szCs w:val="16"/>
        </w:rPr>
        <w:t> %</w:t>
      </w:r>
      <w:r w:rsidRPr="00621DCC">
        <w:rPr>
          <w:spacing w:val="-4"/>
          <w:sz w:val="16"/>
          <w:szCs w:val="16"/>
        </w:rPr>
        <w:t xml:space="preserve">) </w:t>
      </w:r>
      <w:r w:rsidRPr="00621DCC">
        <w:rPr>
          <w:sz w:val="16"/>
          <w:szCs w:val="16"/>
        </w:rPr>
        <w:t>než</w:t>
      </w:r>
      <w:r>
        <w:rPr>
          <w:sz w:val="16"/>
          <w:szCs w:val="16"/>
        </w:rPr>
        <w:t xml:space="preserve"> v EU (</w:t>
      </w:r>
      <w:r w:rsidRPr="00621DCC">
        <w:rPr>
          <w:spacing w:val="-4"/>
          <w:sz w:val="16"/>
          <w:szCs w:val="16"/>
        </w:rPr>
        <w:t>–</w:t>
      </w:r>
      <w:r>
        <w:rPr>
          <w:spacing w:val="-4"/>
          <w:sz w:val="16"/>
          <w:szCs w:val="16"/>
        </w:rPr>
        <w:t>18 %</w:t>
      </w:r>
      <w:r w:rsidRPr="00621DCC">
        <w:rPr>
          <w:spacing w:val="-4"/>
          <w:sz w:val="16"/>
          <w:szCs w:val="16"/>
        </w:rPr>
        <w:t>)</w:t>
      </w:r>
      <w:r>
        <w:rPr>
          <w:spacing w:val="-4"/>
          <w:sz w:val="16"/>
          <w:szCs w:val="16"/>
        </w:rPr>
        <w:t>.</w:t>
      </w:r>
    </w:p>
  </w:footnote>
  <w:footnote w:id="8">
    <w:p w14:paraId="2AB6A881" w14:textId="77777777" w:rsidR="0091476D" w:rsidRPr="00CE71E4" w:rsidRDefault="0091476D" w:rsidP="00B96D74">
      <w:pPr>
        <w:pStyle w:val="Textpoznpodarou"/>
        <w:rPr>
          <w:spacing w:val="-2"/>
          <w:sz w:val="16"/>
          <w:szCs w:val="16"/>
        </w:rPr>
      </w:pPr>
      <w:r w:rsidRPr="00CE71E4">
        <w:rPr>
          <w:rStyle w:val="Znakapoznpodarou"/>
          <w:spacing w:val="-2"/>
          <w:sz w:val="16"/>
          <w:szCs w:val="16"/>
        </w:rPr>
        <w:footnoteRef/>
      </w:r>
      <w:r w:rsidRPr="00CE71E4">
        <w:rPr>
          <w:spacing w:val="-2"/>
          <w:sz w:val="16"/>
          <w:szCs w:val="16"/>
        </w:rPr>
        <w:t xml:space="preserve"> Průmyslová produkce v březnu 2020 meziměsíčně klesla o</w:t>
      </w:r>
      <w:r>
        <w:rPr>
          <w:spacing w:val="-2"/>
          <w:sz w:val="16"/>
          <w:szCs w:val="16"/>
        </w:rPr>
        <w:t> </w:t>
      </w:r>
      <w:r w:rsidRPr="00CE71E4">
        <w:rPr>
          <w:spacing w:val="-2"/>
          <w:sz w:val="16"/>
          <w:szCs w:val="16"/>
        </w:rPr>
        <w:t>11,3</w:t>
      </w:r>
      <w:r>
        <w:rPr>
          <w:spacing w:val="-2"/>
          <w:sz w:val="16"/>
          <w:szCs w:val="16"/>
        </w:rPr>
        <w:t> %</w:t>
      </w:r>
      <w:r w:rsidRPr="00CE71E4">
        <w:rPr>
          <w:spacing w:val="-2"/>
          <w:sz w:val="16"/>
          <w:szCs w:val="16"/>
        </w:rPr>
        <w:t>, v </w:t>
      </w:r>
      <w:r>
        <w:rPr>
          <w:spacing w:val="-2"/>
          <w:sz w:val="16"/>
          <w:szCs w:val="16"/>
        </w:rPr>
        <w:t>dubnu se propad prohlou</w:t>
      </w:r>
      <w:r w:rsidRPr="00CE71E4">
        <w:rPr>
          <w:spacing w:val="-2"/>
          <w:sz w:val="16"/>
          <w:szCs w:val="16"/>
        </w:rPr>
        <w:t>bil na rekordních 24,1</w:t>
      </w:r>
      <w:r>
        <w:rPr>
          <w:spacing w:val="-2"/>
          <w:sz w:val="16"/>
          <w:szCs w:val="16"/>
        </w:rPr>
        <w:t> %</w:t>
      </w:r>
      <w:r w:rsidRPr="00CE71E4">
        <w:rPr>
          <w:spacing w:val="-2"/>
          <w:sz w:val="16"/>
          <w:szCs w:val="16"/>
        </w:rPr>
        <w:t>.</w:t>
      </w:r>
    </w:p>
  </w:footnote>
  <w:footnote w:id="9">
    <w:p w14:paraId="3C6B3175" w14:textId="77777777" w:rsidR="0091476D" w:rsidRPr="00CE71E4" w:rsidRDefault="0091476D" w:rsidP="00B96D74">
      <w:pPr>
        <w:pStyle w:val="Textpoznpodarou"/>
        <w:jc w:val="both"/>
        <w:rPr>
          <w:rFonts w:cs="Arial"/>
          <w:color w:val="0D0D0D" w:themeColor="text1" w:themeTint="F2"/>
          <w:spacing w:val="-2"/>
          <w:sz w:val="16"/>
          <w:szCs w:val="16"/>
        </w:rPr>
      </w:pPr>
      <w:r w:rsidRPr="00CE71E4">
        <w:rPr>
          <w:rStyle w:val="Znakapoznpodarou"/>
          <w:rFonts w:cs="Arial"/>
          <w:color w:val="0D0D0D" w:themeColor="text1" w:themeTint="F2"/>
          <w:spacing w:val="-2"/>
          <w:sz w:val="16"/>
          <w:szCs w:val="16"/>
        </w:rPr>
        <w:footnoteRef/>
      </w:r>
      <w:r w:rsidRPr="00CE71E4">
        <w:rPr>
          <w:rFonts w:cs="Arial"/>
          <w:color w:val="0D0D0D" w:themeColor="text1" w:themeTint="F2"/>
          <w:spacing w:val="-2"/>
          <w:sz w:val="16"/>
          <w:szCs w:val="16"/>
        </w:rPr>
        <w:t xml:space="preserve"> Zahrnuje odvětví těžby a dobývání, zpracovatelského průmyslu a také energetiky (zde pojímané jako odvětví výroby a rozvodu elektřiny, plynu, tepla a klimatizovaného vzduchu). Všechna meziroční tempa produkce (na úrovni odvětvových sekcí i oddílů) jsou očištěna o kalendářní vlivy, mezičtvrtletní i meziměsíční tempa pak také o vliv sezónnosti.</w:t>
      </w:r>
    </w:p>
  </w:footnote>
  <w:footnote w:id="10">
    <w:p w14:paraId="7755321D" w14:textId="77777777" w:rsidR="0091476D" w:rsidRPr="005D3416" w:rsidRDefault="0091476D" w:rsidP="00B96D74">
      <w:pPr>
        <w:pStyle w:val="Textpoznpodarou"/>
        <w:rPr>
          <w:sz w:val="16"/>
          <w:szCs w:val="16"/>
        </w:rPr>
      </w:pPr>
      <w:r w:rsidRPr="00CE71E4">
        <w:rPr>
          <w:rStyle w:val="Znakapoznpodarou"/>
          <w:spacing w:val="-2"/>
          <w:sz w:val="16"/>
          <w:szCs w:val="16"/>
        </w:rPr>
        <w:footnoteRef/>
      </w:r>
      <w:r w:rsidRPr="00CE71E4">
        <w:rPr>
          <w:spacing w:val="-2"/>
          <w:sz w:val="16"/>
          <w:szCs w:val="16"/>
        </w:rPr>
        <w:t xml:space="preserve"> </w:t>
      </w:r>
      <w:r>
        <w:rPr>
          <w:spacing w:val="-2"/>
          <w:sz w:val="16"/>
          <w:szCs w:val="16"/>
        </w:rPr>
        <w:t>Toto maximum</w:t>
      </w:r>
      <w:r w:rsidRPr="00CE71E4">
        <w:rPr>
          <w:spacing w:val="-2"/>
          <w:sz w:val="16"/>
          <w:szCs w:val="16"/>
        </w:rPr>
        <w:t xml:space="preserve"> se vlivem cyklického útlumu, kterým tuzemský </w:t>
      </w:r>
      <w:r>
        <w:rPr>
          <w:spacing w:val="-2"/>
          <w:sz w:val="16"/>
          <w:szCs w:val="16"/>
        </w:rPr>
        <w:t xml:space="preserve">průmysl </w:t>
      </w:r>
      <w:r w:rsidRPr="00CE71E4">
        <w:rPr>
          <w:spacing w:val="-2"/>
          <w:sz w:val="16"/>
          <w:szCs w:val="16"/>
        </w:rPr>
        <w:t xml:space="preserve">procházel již během </w:t>
      </w:r>
      <w:r>
        <w:rPr>
          <w:spacing w:val="-2"/>
          <w:sz w:val="16"/>
          <w:szCs w:val="16"/>
        </w:rPr>
        <w:t>předchozího</w:t>
      </w:r>
      <w:r w:rsidRPr="00CE71E4">
        <w:rPr>
          <w:spacing w:val="-2"/>
          <w:sz w:val="16"/>
          <w:szCs w:val="16"/>
        </w:rPr>
        <w:t xml:space="preserve"> roku, nacházelo v květnu 2019. Ve srovnání s</w:t>
      </w:r>
      <w:r>
        <w:rPr>
          <w:spacing w:val="-2"/>
          <w:sz w:val="16"/>
          <w:szCs w:val="16"/>
        </w:rPr>
        <w:t> </w:t>
      </w:r>
      <w:r w:rsidRPr="00CE71E4">
        <w:rPr>
          <w:spacing w:val="-2"/>
          <w:sz w:val="16"/>
          <w:szCs w:val="16"/>
        </w:rPr>
        <w:t>touto úrovn</w:t>
      </w:r>
      <w:r>
        <w:rPr>
          <w:spacing w:val="-2"/>
          <w:sz w:val="16"/>
          <w:szCs w:val="16"/>
        </w:rPr>
        <w:t>í</w:t>
      </w:r>
      <w:r w:rsidRPr="00CE71E4">
        <w:rPr>
          <w:spacing w:val="-2"/>
          <w:sz w:val="16"/>
          <w:szCs w:val="16"/>
        </w:rPr>
        <w:t xml:space="preserve"> byla produkce v prosinci 2020 o</w:t>
      </w:r>
      <w:r>
        <w:rPr>
          <w:spacing w:val="-2"/>
          <w:sz w:val="16"/>
          <w:szCs w:val="16"/>
        </w:rPr>
        <w:t> </w:t>
      </w:r>
      <w:r w:rsidRPr="00CE71E4">
        <w:rPr>
          <w:spacing w:val="-2"/>
          <w:sz w:val="16"/>
          <w:szCs w:val="16"/>
        </w:rPr>
        <w:t>3,2</w:t>
      </w:r>
      <w:r>
        <w:rPr>
          <w:spacing w:val="-2"/>
          <w:sz w:val="16"/>
          <w:szCs w:val="16"/>
        </w:rPr>
        <w:t> %</w:t>
      </w:r>
      <w:r w:rsidRPr="00CE71E4">
        <w:rPr>
          <w:spacing w:val="-2"/>
          <w:sz w:val="16"/>
          <w:szCs w:val="16"/>
        </w:rPr>
        <w:t xml:space="preserve"> nižší.</w:t>
      </w:r>
    </w:p>
  </w:footnote>
  <w:footnote w:id="11">
    <w:p w14:paraId="1A706FDC" w14:textId="77777777" w:rsidR="0091476D" w:rsidRPr="00CE71E4" w:rsidRDefault="0091476D" w:rsidP="00B96D74">
      <w:pPr>
        <w:pStyle w:val="Textpoznpodarou"/>
        <w:rPr>
          <w:spacing w:val="-4"/>
        </w:rPr>
      </w:pPr>
      <w:r w:rsidRPr="00CE71E4">
        <w:rPr>
          <w:rStyle w:val="Znakapoznpodarou"/>
          <w:spacing w:val="-4"/>
          <w:sz w:val="16"/>
          <w:szCs w:val="16"/>
        </w:rPr>
        <w:footnoteRef/>
      </w:r>
      <w:r w:rsidRPr="00CE71E4">
        <w:rPr>
          <w:spacing w:val="-4"/>
          <w:sz w:val="16"/>
          <w:szCs w:val="16"/>
        </w:rPr>
        <w:t xml:space="preserve"> Za globální finanční i</w:t>
      </w:r>
      <w:r>
        <w:rPr>
          <w:spacing w:val="-4"/>
          <w:sz w:val="16"/>
          <w:szCs w:val="16"/>
        </w:rPr>
        <w:t> </w:t>
      </w:r>
      <w:r w:rsidRPr="00CE71E4">
        <w:rPr>
          <w:spacing w:val="-4"/>
          <w:sz w:val="16"/>
          <w:szCs w:val="16"/>
        </w:rPr>
        <w:t>hospodářské krize v</w:t>
      </w:r>
      <w:r>
        <w:rPr>
          <w:spacing w:val="-4"/>
          <w:sz w:val="16"/>
          <w:szCs w:val="16"/>
        </w:rPr>
        <w:t> </w:t>
      </w:r>
      <w:r w:rsidRPr="00CE71E4">
        <w:rPr>
          <w:spacing w:val="-4"/>
          <w:sz w:val="16"/>
          <w:szCs w:val="16"/>
        </w:rPr>
        <w:t>roce 2009 klesla ovšem produkce tuzemského průmyslu skoro dvojnásobným tempem (o</w:t>
      </w:r>
      <w:r>
        <w:rPr>
          <w:spacing w:val="-4"/>
          <w:sz w:val="16"/>
          <w:szCs w:val="16"/>
        </w:rPr>
        <w:t> </w:t>
      </w:r>
      <w:r w:rsidRPr="00CE71E4">
        <w:rPr>
          <w:spacing w:val="-4"/>
          <w:sz w:val="16"/>
          <w:szCs w:val="16"/>
        </w:rPr>
        <w:t>13,0</w:t>
      </w:r>
      <w:r>
        <w:rPr>
          <w:spacing w:val="-4"/>
          <w:sz w:val="16"/>
          <w:szCs w:val="16"/>
        </w:rPr>
        <w:t> %</w:t>
      </w:r>
      <w:r w:rsidRPr="00CE71E4">
        <w:rPr>
          <w:spacing w:val="-4"/>
          <w:sz w:val="16"/>
          <w:szCs w:val="16"/>
        </w:rPr>
        <w:t>).</w:t>
      </w:r>
    </w:p>
  </w:footnote>
  <w:footnote w:id="12">
    <w:p w14:paraId="667FFEFF" w14:textId="77777777" w:rsidR="0091476D" w:rsidRPr="00CE71E4" w:rsidRDefault="0091476D" w:rsidP="00B96D74">
      <w:pPr>
        <w:pStyle w:val="Textpoznpodarou"/>
        <w:rPr>
          <w:spacing w:val="-2"/>
          <w:sz w:val="16"/>
          <w:szCs w:val="16"/>
        </w:rPr>
      </w:pPr>
      <w:r w:rsidRPr="00CE71E4">
        <w:rPr>
          <w:rStyle w:val="Znakapoznpodarou"/>
          <w:spacing w:val="-2"/>
          <w:sz w:val="16"/>
          <w:szCs w:val="16"/>
        </w:rPr>
        <w:footnoteRef/>
      </w:r>
      <w:r w:rsidRPr="00CE71E4">
        <w:rPr>
          <w:spacing w:val="-2"/>
          <w:sz w:val="16"/>
          <w:szCs w:val="16"/>
        </w:rPr>
        <w:t xml:space="preserve"> Dokládají to i</w:t>
      </w:r>
      <w:r>
        <w:rPr>
          <w:spacing w:val="-2"/>
          <w:sz w:val="16"/>
          <w:szCs w:val="16"/>
        </w:rPr>
        <w:t> </w:t>
      </w:r>
      <w:r w:rsidRPr="00CE71E4">
        <w:rPr>
          <w:spacing w:val="-2"/>
          <w:sz w:val="16"/>
          <w:szCs w:val="16"/>
        </w:rPr>
        <w:t>údaje o</w:t>
      </w:r>
      <w:r>
        <w:rPr>
          <w:spacing w:val="-2"/>
          <w:sz w:val="16"/>
          <w:szCs w:val="16"/>
        </w:rPr>
        <w:t> </w:t>
      </w:r>
      <w:r w:rsidRPr="00CE71E4">
        <w:rPr>
          <w:spacing w:val="-2"/>
          <w:sz w:val="16"/>
          <w:szCs w:val="16"/>
        </w:rPr>
        <w:t>fyzické produkci. Dle Sdružení automobilové</w:t>
      </w:r>
      <w:r>
        <w:rPr>
          <w:spacing w:val="-2"/>
          <w:sz w:val="16"/>
          <w:szCs w:val="16"/>
        </w:rPr>
        <w:t>ho průmyslu bylo během loňského</w:t>
      </w:r>
      <w:r w:rsidRPr="00CE71E4">
        <w:rPr>
          <w:spacing w:val="-2"/>
          <w:sz w:val="16"/>
          <w:szCs w:val="16"/>
        </w:rPr>
        <w:t xml:space="preserve"> dubna v ČR vyrobeno jen necelých 15</w:t>
      </w:r>
      <w:r>
        <w:rPr>
          <w:spacing w:val="-2"/>
          <w:sz w:val="16"/>
          <w:szCs w:val="16"/>
        </w:rPr>
        <w:t> tis.</w:t>
      </w:r>
      <w:r w:rsidRPr="00CE71E4">
        <w:rPr>
          <w:spacing w:val="-2"/>
          <w:sz w:val="16"/>
          <w:szCs w:val="16"/>
        </w:rPr>
        <w:t xml:space="preserve"> motorových vozid</w:t>
      </w:r>
      <w:r>
        <w:rPr>
          <w:spacing w:val="-2"/>
          <w:sz w:val="16"/>
          <w:szCs w:val="16"/>
        </w:rPr>
        <w:t>el (ve srovnání se stejným obdobím roku 2019</w:t>
      </w:r>
      <w:r w:rsidRPr="00CE71E4">
        <w:rPr>
          <w:spacing w:val="-2"/>
          <w:sz w:val="16"/>
          <w:szCs w:val="16"/>
        </w:rPr>
        <w:t xml:space="preserve"> </w:t>
      </w:r>
      <w:r>
        <w:rPr>
          <w:spacing w:val="-2"/>
          <w:sz w:val="16"/>
          <w:szCs w:val="16"/>
        </w:rPr>
        <w:t>o 113 tis. méně). Meziročně rostla výroba vozů jen první dva měsíce roku a také v říjnu a prosinci. Za celý rok činila výroba 1 160 tis. voz</w:t>
      </w:r>
      <w:r w:rsidRPr="00CE71E4">
        <w:rPr>
          <w:spacing w:val="-2"/>
          <w:sz w:val="16"/>
          <w:szCs w:val="16"/>
        </w:rPr>
        <w:t xml:space="preserve">ů, což bylo meziročně </w:t>
      </w:r>
      <w:r>
        <w:rPr>
          <w:spacing w:val="-2"/>
          <w:sz w:val="16"/>
          <w:szCs w:val="16"/>
        </w:rPr>
        <w:t>o 19 % méně (resp. o 275 tis.). Celoroční pokles postihl jak výrobu osobních vozů, tak i ostatní kategorie motorových vozidel.</w:t>
      </w:r>
    </w:p>
  </w:footnote>
  <w:footnote w:id="13">
    <w:p w14:paraId="57665FB1" w14:textId="77777777" w:rsidR="0091476D" w:rsidRPr="00225565" w:rsidRDefault="0091476D" w:rsidP="00B96D74">
      <w:pPr>
        <w:pStyle w:val="Textpoznpodarou"/>
        <w:rPr>
          <w:spacing w:val="-4"/>
          <w:sz w:val="16"/>
          <w:szCs w:val="16"/>
        </w:rPr>
      </w:pPr>
      <w:r w:rsidRPr="00225565">
        <w:rPr>
          <w:rStyle w:val="Znakapoznpodarou"/>
          <w:spacing w:val="-4"/>
          <w:sz w:val="16"/>
          <w:szCs w:val="16"/>
        </w:rPr>
        <w:footnoteRef/>
      </w:r>
      <w:r w:rsidRPr="00225565">
        <w:rPr>
          <w:spacing w:val="-4"/>
          <w:sz w:val="16"/>
          <w:szCs w:val="16"/>
        </w:rPr>
        <w:t xml:space="preserve"> Dle údajů Energetického regulačního úřadu činila loni v </w:t>
      </w:r>
      <w:r>
        <w:rPr>
          <w:spacing w:val="-4"/>
          <w:sz w:val="16"/>
          <w:szCs w:val="16"/>
        </w:rPr>
        <w:t>ČR</w:t>
      </w:r>
      <w:r w:rsidRPr="00225565">
        <w:rPr>
          <w:spacing w:val="-4"/>
          <w:sz w:val="16"/>
          <w:szCs w:val="16"/>
        </w:rPr>
        <w:t xml:space="preserve"> celková hrubá výroba elektřiny 81,4</w:t>
      </w:r>
      <w:r>
        <w:rPr>
          <w:spacing w:val="-4"/>
          <w:sz w:val="16"/>
          <w:szCs w:val="16"/>
        </w:rPr>
        <w:t> </w:t>
      </w:r>
      <w:r w:rsidRPr="00225565">
        <w:rPr>
          <w:spacing w:val="-4"/>
          <w:sz w:val="16"/>
          <w:szCs w:val="16"/>
        </w:rPr>
        <w:t>TWh (nejméně od rou 2002). Meziročně se snížila o</w:t>
      </w:r>
      <w:r>
        <w:rPr>
          <w:spacing w:val="-4"/>
          <w:sz w:val="16"/>
          <w:szCs w:val="16"/>
        </w:rPr>
        <w:t> </w:t>
      </w:r>
      <w:r w:rsidRPr="00225565">
        <w:rPr>
          <w:spacing w:val="-4"/>
          <w:sz w:val="16"/>
          <w:szCs w:val="16"/>
        </w:rPr>
        <w:t>6,4</w:t>
      </w:r>
      <w:r>
        <w:rPr>
          <w:spacing w:val="-4"/>
          <w:sz w:val="16"/>
          <w:szCs w:val="16"/>
        </w:rPr>
        <w:t> %</w:t>
      </w:r>
      <w:r w:rsidRPr="00225565">
        <w:rPr>
          <w:spacing w:val="-4"/>
          <w:sz w:val="16"/>
          <w:szCs w:val="16"/>
        </w:rPr>
        <w:t>. Hrubá spotřeba elektřiny klesla o</w:t>
      </w:r>
      <w:r>
        <w:rPr>
          <w:spacing w:val="-4"/>
          <w:sz w:val="16"/>
          <w:szCs w:val="16"/>
        </w:rPr>
        <w:t> </w:t>
      </w:r>
      <w:r w:rsidRPr="00225565">
        <w:rPr>
          <w:spacing w:val="-4"/>
          <w:sz w:val="16"/>
          <w:szCs w:val="16"/>
        </w:rPr>
        <w:t>3,5</w:t>
      </w:r>
      <w:r>
        <w:rPr>
          <w:spacing w:val="-4"/>
          <w:sz w:val="16"/>
          <w:szCs w:val="16"/>
        </w:rPr>
        <w:t> %</w:t>
      </w:r>
      <w:r w:rsidRPr="00225565">
        <w:rPr>
          <w:spacing w:val="-4"/>
          <w:sz w:val="16"/>
          <w:szCs w:val="16"/>
        </w:rPr>
        <w:t xml:space="preserve"> na 71,4</w:t>
      </w:r>
      <w:r>
        <w:rPr>
          <w:spacing w:val="-4"/>
          <w:sz w:val="16"/>
          <w:szCs w:val="16"/>
        </w:rPr>
        <w:t> </w:t>
      </w:r>
      <w:r w:rsidRPr="00225565">
        <w:rPr>
          <w:spacing w:val="-4"/>
          <w:sz w:val="16"/>
          <w:szCs w:val="16"/>
        </w:rPr>
        <w:t xml:space="preserve">TWh (pětileté minimum). </w:t>
      </w:r>
      <w:r w:rsidRPr="00756F32">
        <w:rPr>
          <w:rFonts w:eastAsia="Times New Roman" w:cs="Arial"/>
          <w:color w:val="1F1F1F"/>
          <w:spacing w:val="-4"/>
          <w:sz w:val="16"/>
          <w:szCs w:val="16"/>
        </w:rPr>
        <w:t xml:space="preserve">Podnikatelé </w:t>
      </w:r>
      <w:r w:rsidRPr="00225565">
        <w:rPr>
          <w:rFonts w:eastAsia="Times New Roman" w:cs="Arial"/>
          <w:color w:val="1F1F1F"/>
          <w:spacing w:val="-4"/>
          <w:sz w:val="16"/>
          <w:szCs w:val="16"/>
        </w:rPr>
        <w:t xml:space="preserve">spotřebovali </w:t>
      </w:r>
      <w:r w:rsidRPr="00756F32">
        <w:rPr>
          <w:rFonts w:eastAsia="Times New Roman" w:cs="Arial"/>
          <w:color w:val="1F1F1F"/>
          <w:spacing w:val="-4"/>
          <w:sz w:val="16"/>
          <w:szCs w:val="16"/>
        </w:rPr>
        <w:t>na hla</w:t>
      </w:r>
      <w:r w:rsidRPr="00225565">
        <w:rPr>
          <w:rFonts w:eastAsia="Times New Roman" w:cs="Arial"/>
          <w:color w:val="1F1F1F"/>
          <w:spacing w:val="-4"/>
          <w:sz w:val="16"/>
          <w:szCs w:val="16"/>
        </w:rPr>
        <w:t>dině nízkého napětí</w:t>
      </w:r>
      <w:r w:rsidRPr="00756F32">
        <w:rPr>
          <w:rFonts w:eastAsia="Times New Roman" w:cs="Arial"/>
          <w:color w:val="1F1F1F"/>
          <w:spacing w:val="-4"/>
          <w:sz w:val="16"/>
          <w:szCs w:val="16"/>
        </w:rPr>
        <w:t xml:space="preserve"> elektřiny meziročně o</w:t>
      </w:r>
      <w:r>
        <w:rPr>
          <w:rFonts w:eastAsia="Times New Roman" w:cs="Arial"/>
          <w:color w:val="1F1F1F"/>
          <w:spacing w:val="-4"/>
          <w:sz w:val="16"/>
          <w:szCs w:val="16"/>
        </w:rPr>
        <w:t> </w:t>
      </w:r>
      <w:r w:rsidRPr="00756F32">
        <w:rPr>
          <w:rFonts w:eastAsia="Times New Roman" w:cs="Arial"/>
          <w:color w:val="1F1F1F"/>
          <w:spacing w:val="-4"/>
          <w:sz w:val="16"/>
          <w:szCs w:val="16"/>
        </w:rPr>
        <w:t>2,9</w:t>
      </w:r>
      <w:r>
        <w:rPr>
          <w:rFonts w:eastAsia="Times New Roman" w:cs="Arial"/>
          <w:color w:val="1F1F1F"/>
          <w:spacing w:val="-4"/>
          <w:sz w:val="16"/>
          <w:szCs w:val="16"/>
        </w:rPr>
        <w:t> %</w:t>
      </w:r>
      <w:r w:rsidRPr="00756F32">
        <w:rPr>
          <w:rFonts w:eastAsia="Times New Roman" w:cs="Arial"/>
          <w:color w:val="1F1F1F"/>
          <w:spacing w:val="-4"/>
          <w:sz w:val="16"/>
          <w:szCs w:val="16"/>
        </w:rPr>
        <w:t xml:space="preserve"> méně</w:t>
      </w:r>
      <w:r w:rsidRPr="00225565">
        <w:rPr>
          <w:rFonts w:eastAsia="Times New Roman" w:cs="Arial"/>
          <w:color w:val="1F1F1F"/>
          <w:spacing w:val="-4"/>
          <w:sz w:val="16"/>
          <w:szCs w:val="16"/>
        </w:rPr>
        <w:t>, největší podniky pak o</w:t>
      </w:r>
      <w:r>
        <w:rPr>
          <w:rFonts w:eastAsia="Times New Roman" w:cs="Arial"/>
          <w:color w:val="1F1F1F"/>
          <w:spacing w:val="-4"/>
          <w:sz w:val="16"/>
          <w:szCs w:val="16"/>
        </w:rPr>
        <w:t> </w:t>
      </w:r>
      <w:r w:rsidRPr="00225565">
        <w:rPr>
          <w:rFonts w:eastAsia="Times New Roman" w:cs="Arial"/>
          <w:color w:val="1F1F1F"/>
          <w:spacing w:val="-4"/>
          <w:sz w:val="16"/>
          <w:szCs w:val="16"/>
        </w:rPr>
        <w:t>6,6</w:t>
      </w:r>
      <w:r>
        <w:rPr>
          <w:rFonts w:eastAsia="Times New Roman" w:cs="Arial"/>
          <w:color w:val="1F1F1F"/>
          <w:spacing w:val="-4"/>
          <w:sz w:val="16"/>
          <w:szCs w:val="16"/>
        </w:rPr>
        <w:t> %</w:t>
      </w:r>
      <w:r w:rsidRPr="00225565">
        <w:rPr>
          <w:rFonts w:eastAsia="Times New Roman" w:cs="Arial"/>
          <w:color w:val="1F1F1F"/>
          <w:spacing w:val="-4"/>
          <w:sz w:val="16"/>
          <w:szCs w:val="16"/>
        </w:rPr>
        <w:t xml:space="preserve"> méně. Omezení mobility obyvatel, rozšíření práce z domova i</w:t>
      </w:r>
      <w:r>
        <w:rPr>
          <w:rFonts w:eastAsia="Times New Roman" w:cs="Arial"/>
          <w:color w:val="1F1F1F"/>
          <w:spacing w:val="-4"/>
          <w:sz w:val="16"/>
          <w:szCs w:val="16"/>
        </w:rPr>
        <w:t> </w:t>
      </w:r>
      <w:r w:rsidRPr="00225565">
        <w:rPr>
          <w:rFonts w:eastAsia="Times New Roman" w:cs="Arial"/>
          <w:color w:val="1F1F1F"/>
          <w:spacing w:val="-4"/>
          <w:sz w:val="16"/>
          <w:szCs w:val="16"/>
        </w:rPr>
        <w:t xml:space="preserve">distančního </w:t>
      </w:r>
      <w:r w:rsidRPr="00225565">
        <w:rPr>
          <w:rFonts w:eastAsia="Times New Roman" w:cs="Arial"/>
          <w:color w:val="1F1F1F"/>
          <w:spacing w:val="-6"/>
          <w:sz w:val="16"/>
          <w:szCs w:val="16"/>
        </w:rPr>
        <w:t>vzdělávání vedly loni ke zrychlení růstového tempa spotřeby elektřiny v domácnostech (na +4,7</w:t>
      </w:r>
      <w:r>
        <w:rPr>
          <w:rFonts w:eastAsia="Times New Roman" w:cs="Arial"/>
          <w:color w:val="1F1F1F"/>
          <w:spacing w:val="-6"/>
          <w:sz w:val="16"/>
          <w:szCs w:val="16"/>
        </w:rPr>
        <w:t> %</w:t>
      </w:r>
      <w:r w:rsidRPr="00225565">
        <w:rPr>
          <w:rFonts w:eastAsia="Times New Roman" w:cs="Arial"/>
          <w:color w:val="1F1F1F"/>
          <w:spacing w:val="-6"/>
          <w:sz w:val="16"/>
          <w:szCs w:val="16"/>
        </w:rPr>
        <w:t>). Ty spotřeboval</w:t>
      </w:r>
      <w:r>
        <w:rPr>
          <w:rFonts w:eastAsia="Times New Roman" w:cs="Arial"/>
          <w:color w:val="1F1F1F"/>
          <w:spacing w:val="-6"/>
          <w:sz w:val="16"/>
          <w:szCs w:val="16"/>
        </w:rPr>
        <w:t>y</w:t>
      </w:r>
      <w:r w:rsidRPr="00225565">
        <w:rPr>
          <w:rFonts w:eastAsia="Times New Roman" w:cs="Arial"/>
          <w:color w:val="1F1F1F"/>
          <w:spacing w:val="-6"/>
          <w:sz w:val="16"/>
          <w:szCs w:val="16"/>
        </w:rPr>
        <w:t xml:space="preserve"> nejvíce elektřiny od roku 1996.</w:t>
      </w:r>
    </w:p>
  </w:footnote>
  <w:footnote w:id="14">
    <w:p w14:paraId="0D71E817" w14:textId="77777777" w:rsidR="0091476D" w:rsidRPr="004670E0" w:rsidRDefault="0091476D" w:rsidP="00B96D74">
      <w:pPr>
        <w:pStyle w:val="Textpoznpodarou"/>
        <w:rPr>
          <w:sz w:val="16"/>
          <w:szCs w:val="16"/>
        </w:rPr>
      </w:pPr>
      <w:r w:rsidRPr="004670E0">
        <w:rPr>
          <w:rStyle w:val="Znakapoznpodarou"/>
          <w:sz w:val="16"/>
          <w:szCs w:val="16"/>
        </w:rPr>
        <w:footnoteRef/>
      </w:r>
      <w:r w:rsidRPr="004670E0">
        <w:rPr>
          <w:sz w:val="16"/>
          <w:szCs w:val="16"/>
        </w:rPr>
        <w:t xml:space="preserve"> Ve 4.</w:t>
      </w:r>
      <w:r>
        <w:rPr>
          <w:sz w:val="16"/>
          <w:szCs w:val="16"/>
        </w:rPr>
        <w:t> čtvrtlet</w:t>
      </w:r>
      <w:r w:rsidRPr="004670E0">
        <w:rPr>
          <w:sz w:val="16"/>
          <w:szCs w:val="16"/>
        </w:rPr>
        <w:t>í 2020</w:t>
      </w:r>
      <w:r>
        <w:rPr>
          <w:sz w:val="16"/>
          <w:szCs w:val="16"/>
        </w:rPr>
        <w:t xml:space="preserve"> ale</w:t>
      </w:r>
      <w:r w:rsidRPr="004670E0">
        <w:rPr>
          <w:sz w:val="16"/>
          <w:szCs w:val="16"/>
        </w:rPr>
        <w:t xml:space="preserve"> </w:t>
      </w:r>
      <w:r>
        <w:rPr>
          <w:sz w:val="16"/>
          <w:szCs w:val="16"/>
        </w:rPr>
        <w:t>tržby podniků z průmyslové činnosti meziročně posílily o 4,2 %, a to výhradně díky vyšší zahraniční poptávce.</w:t>
      </w:r>
    </w:p>
  </w:footnote>
  <w:footnote w:id="15">
    <w:p w14:paraId="65E16536" w14:textId="77777777" w:rsidR="0091476D" w:rsidRPr="00FB58F4" w:rsidRDefault="0091476D" w:rsidP="00B96D74">
      <w:pPr>
        <w:pStyle w:val="Textpoznpodarou"/>
        <w:jc w:val="both"/>
        <w:rPr>
          <w:rFonts w:cs="Arial"/>
          <w:color w:val="0D0D0D" w:themeColor="text1" w:themeTint="F2"/>
          <w:spacing w:val="-2"/>
          <w:sz w:val="16"/>
          <w:szCs w:val="16"/>
        </w:rPr>
      </w:pPr>
      <w:r w:rsidRPr="007A20EB">
        <w:rPr>
          <w:rStyle w:val="Znakapoznpodarou"/>
          <w:rFonts w:cs="Arial"/>
          <w:color w:val="0D0D0D" w:themeColor="text1" w:themeTint="F2"/>
          <w:spacing w:val="-2"/>
          <w:sz w:val="16"/>
          <w:szCs w:val="16"/>
        </w:rPr>
        <w:footnoteRef/>
      </w:r>
      <w:r w:rsidRPr="007A20EB">
        <w:rPr>
          <w:rFonts w:cs="Arial"/>
          <w:color w:val="0D0D0D" w:themeColor="text1" w:themeTint="F2"/>
          <w:spacing w:val="-2"/>
          <w:sz w:val="16"/>
          <w:szCs w:val="16"/>
        </w:rPr>
        <w:t xml:space="preserve"> </w:t>
      </w:r>
      <w:r w:rsidRPr="007A20EB">
        <w:rPr>
          <w:rFonts w:cs="Arial"/>
          <w:color w:val="0D0D0D" w:themeColor="text1" w:themeTint="F2"/>
          <w:sz w:val="16"/>
          <w:szCs w:val="16"/>
        </w:rPr>
        <w:t>Zjišťování zaká</w:t>
      </w:r>
      <w:r>
        <w:rPr>
          <w:rFonts w:cs="Arial"/>
          <w:color w:val="0D0D0D" w:themeColor="text1" w:themeTint="F2"/>
          <w:sz w:val="16"/>
          <w:szCs w:val="16"/>
        </w:rPr>
        <w:t>zek probíhá pouze ve dvanácti zpracovatelských odvětvích</w:t>
      </w:r>
      <w:r w:rsidRPr="007A20EB">
        <w:rPr>
          <w:rFonts w:cs="Arial"/>
          <w:color w:val="0D0D0D" w:themeColor="text1" w:themeTint="F2"/>
          <w:sz w:val="16"/>
          <w:szCs w:val="16"/>
        </w:rPr>
        <w:t>, kter</w:t>
      </w:r>
      <w:r>
        <w:rPr>
          <w:rFonts w:cs="Arial"/>
          <w:color w:val="0D0D0D" w:themeColor="text1" w:themeTint="F2"/>
          <w:sz w:val="16"/>
          <w:szCs w:val="16"/>
        </w:rPr>
        <w:t>á</w:t>
      </w:r>
      <w:r w:rsidRPr="007A20EB">
        <w:rPr>
          <w:rFonts w:cs="Arial"/>
          <w:color w:val="0D0D0D" w:themeColor="text1" w:themeTint="F2"/>
          <w:sz w:val="16"/>
          <w:szCs w:val="16"/>
        </w:rPr>
        <w:t xml:space="preserve"> vyrábějí převážně na zakázku, s dlouhodobějším výrobním cyklem a s většími zásobami zakázek.</w:t>
      </w:r>
    </w:p>
  </w:footnote>
  <w:footnote w:id="16">
    <w:p w14:paraId="12F4C4ED" w14:textId="77777777" w:rsidR="0091476D" w:rsidRPr="00DB5DAA" w:rsidRDefault="0091476D" w:rsidP="00B96D74">
      <w:pPr>
        <w:pStyle w:val="Textpoznpodarou"/>
        <w:rPr>
          <w:sz w:val="16"/>
          <w:szCs w:val="16"/>
        </w:rPr>
      </w:pPr>
      <w:r w:rsidRPr="00DB5DAA">
        <w:rPr>
          <w:rStyle w:val="Znakapoznpodarou"/>
          <w:sz w:val="16"/>
          <w:szCs w:val="16"/>
        </w:rPr>
        <w:footnoteRef/>
      </w:r>
      <w:r w:rsidRPr="00DB5DAA">
        <w:rPr>
          <w:sz w:val="16"/>
          <w:szCs w:val="16"/>
        </w:rPr>
        <w:t xml:space="preserve"> Růst je zčásti ovlivněn nižší srovnávací základnou, neboť na konci roku 2019 se průmysl nacházel ve fázi mírného cyklického útlumu.</w:t>
      </w:r>
    </w:p>
  </w:footnote>
  <w:footnote w:id="17">
    <w:p w14:paraId="533378AF" w14:textId="77777777" w:rsidR="0091476D" w:rsidRPr="00A46E38" w:rsidRDefault="0091476D" w:rsidP="00B96D74">
      <w:pPr>
        <w:pStyle w:val="Textpoznpodarou"/>
        <w:rPr>
          <w:sz w:val="16"/>
          <w:szCs w:val="16"/>
        </w:rPr>
      </w:pPr>
      <w:r w:rsidRPr="00A46E38">
        <w:rPr>
          <w:rStyle w:val="Znakapoznpodarou"/>
          <w:sz w:val="16"/>
          <w:szCs w:val="16"/>
        </w:rPr>
        <w:footnoteRef/>
      </w:r>
      <w:r w:rsidRPr="00A46E38">
        <w:rPr>
          <w:sz w:val="16"/>
          <w:szCs w:val="16"/>
        </w:rPr>
        <w:t xml:space="preserve"> Nejvíce vytížené kapacity měl dřevozpracující průmysl (93</w:t>
      </w:r>
      <w:r>
        <w:rPr>
          <w:sz w:val="16"/>
          <w:szCs w:val="16"/>
        </w:rPr>
        <w:t> %). Blízko 90% hranice se pohybovaly automobilový, gumárenský, plastikářský, chemický a papírenský průmysl a také opravy strojů a zařízení. Úroveň hluboko pod svým dlouhodobým průměrem a vytíženost jen okolo 70 % naopak vykázala některá malá odvětví (nápojový, obuvnický, kožedělný, tiskařský i petrochemický průmysl).</w:t>
      </w:r>
    </w:p>
  </w:footnote>
  <w:footnote w:id="18">
    <w:p w14:paraId="78A9C170" w14:textId="77777777" w:rsidR="0091476D" w:rsidRPr="000A1518" w:rsidRDefault="0091476D" w:rsidP="00B96D74">
      <w:pPr>
        <w:pStyle w:val="Textpoznpodarou"/>
        <w:rPr>
          <w:sz w:val="16"/>
          <w:szCs w:val="16"/>
        </w:rPr>
      </w:pPr>
      <w:r w:rsidRPr="000A1518">
        <w:rPr>
          <w:rStyle w:val="Znakapoznpodarou"/>
          <w:sz w:val="16"/>
          <w:szCs w:val="16"/>
        </w:rPr>
        <w:footnoteRef/>
      </w:r>
      <w:r w:rsidRPr="000A1518">
        <w:rPr>
          <w:sz w:val="16"/>
          <w:szCs w:val="16"/>
        </w:rPr>
        <w:t xml:space="preserve"> P</w:t>
      </w:r>
      <w:r>
        <w:rPr>
          <w:sz w:val="16"/>
          <w:szCs w:val="16"/>
        </w:rPr>
        <w:t>odniky mohly uv</w:t>
      </w:r>
      <w:r w:rsidRPr="000A1518">
        <w:rPr>
          <w:sz w:val="16"/>
          <w:szCs w:val="16"/>
        </w:rPr>
        <w:t>ést více bariér současně.</w:t>
      </w:r>
    </w:p>
  </w:footnote>
  <w:footnote w:id="19">
    <w:p w14:paraId="236EED29" w14:textId="77777777" w:rsidR="0091476D" w:rsidRPr="00C94BE8" w:rsidRDefault="0091476D" w:rsidP="00B96D74">
      <w:pPr>
        <w:pStyle w:val="Textpoznpodarou"/>
        <w:jc w:val="both"/>
        <w:rPr>
          <w:spacing w:val="-2"/>
          <w:sz w:val="16"/>
          <w:szCs w:val="16"/>
        </w:rPr>
      </w:pPr>
      <w:r w:rsidRPr="00C94BE8">
        <w:rPr>
          <w:rStyle w:val="Znakapoznpodarou"/>
          <w:rFonts w:cs="Arial"/>
          <w:color w:val="0D0D0D" w:themeColor="text1" w:themeTint="F2"/>
          <w:spacing w:val="-2"/>
          <w:sz w:val="16"/>
          <w:szCs w:val="16"/>
        </w:rPr>
        <w:footnoteRef/>
      </w:r>
      <w:r w:rsidRPr="00C94BE8">
        <w:rPr>
          <w:rFonts w:cs="Arial"/>
          <w:color w:val="0D0D0D" w:themeColor="text1" w:themeTint="F2"/>
          <w:spacing w:val="-2"/>
          <w:sz w:val="16"/>
          <w:szCs w:val="16"/>
        </w:rPr>
        <w:t xml:space="preserve"> Všechny meziroční údaje o stavební produkci jsou očištěny o kalendářní vlivy, mezičtvrtletní i meziměsíční tempa pak také o vliv sezónnosti.</w:t>
      </w:r>
    </w:p>
  </w:footnote>
  <w:footnote w:id="20">
    <w:p w14:paraId="718D00F4" w14:textId="77777777" w:rsidR="0091476D" w:rsidRPr="00C94BE8" w:rsidRDefault="0091476D" w:rsidP="00B96D74">
      <w:pPr>
        <w:pStyle w:val="Textpoznpodarou"/>
        <w:rPr>
          <w:spacing w:val="-2"/>
          <w:sz w:val="16"/>
          <w:szCs w:val="16"/>
        </w:rPr>
      </w:pPr>
      <w:r w:rsidRPr="00C94BE8">
        <w:rPr>
          <w:rStyle w:val="Znakapoznpodarou"/>
          <w:spacing w:val="-2"/>
          <w:sz w:val="16"/>
          <w:szCs w:val="16"/>
        </w:rPr>
        <w:footnoteRef/>
      </w:r>
      <w:r w:rsidRPr="00C94BE8">
        <w:rPr>
          <w:spacing w:val="-2"/>
          <w:sz w:val="16"/>
          <w:szCs w:val="16"/>
        </w:rPr>
        <w:t xml:space="preserve"> Srovnatelný útlum byl zaznamenán i</w:t>
      </w:r>
      <w:r>
        <w:rPr>
          <w:spacing w:val="-2"/>
          <w:sz w:val="16"/>
          <w:szCs w:val="16"/>
        </w:rPr>
        <w:t> </w:t>
      </w:r>
      <w:r w:rsidRPr="00C94BE8">
        <w:rPr>
          <w:spacing w:val="-2"/>
          <w:sz w:val="16"/>
          <w:szCs w:val="16"/>
        </w:rPr>
        <w:t>v roce 2016. Tehdy ovšem stál v jeho pozadí krátkodobý výpadek veřejných infrastrukturních investic související s přechodem na nové programové období EU.</w:t>
      </w:r>
    </w:p>
  </w:footnote>
  <w:footnote w:id="21">
    <w:p w14:paraId="496A8049" w14:textId="77777777" w:rsidR="0091476D" w:rsidRPr="00C94BE8" w:rsidRDefault="0091476D" w:rsidP="00B96D74">
      <w:pPr>
        <w:pStyle w:val="Textpoznpodarou"/>
        <w:rPr>
          <w:spacing w:val="-2"/>
          <w:sz w:val="16"/>
          <w:szCs w:val="16"/>
        </w:rPr>
      </w:pPr>
      <w:r w:rsidRPr="00C94BE8">
        <w:rPr>
          <w:rStyle w:val="Znakapoznpodarou"/>
          <w:spacing w:val="-2"/>
          <w:sz w:val="16"/>
          <w:szCs w:val="16"/>
        </w:rPr>
        <w:footnoteRef/>
      </w:r>
      <w:r w:rsidRPr="00C94BE8">
        <w:rPr>
          <w:spacing w:val="-2"/>
          <w:sz w:val="16"/>
          <w:szCs w:val="16"/>
        </w:rPr>
        <w:t xml:space="preserve"> Investiční transfery </w:t>
      </w:r>
      <w:r>
        <w:rPr>
          <w:spacing w:val="-2"/>
          <w:sz w:val="16"/>
          <w:szCs w:val="16"/>
        </w:rPr>
        <w:t>S</w:t>
      </w:r>
      <w:r w:rsidRPr="00C94BE8">
        <w:rPr>
          <w:spacing w:val="-2"/>
          <w:sz w:val="16"/>
          <w:szCs w:val="16"/>
        </w:rPr>
        <w:t>tátnímu fondu dopravní infrastruktury ze státního rozpočtu byly loni meziročně o</w:t>
      </w:r>
      <w:r>
        <w:rPr>
          <w:spacing w:val="-2"/>
          <w:sz w:val="16"/>
          <w:szCs w:val="16"/>
        </w:rPr>
        <w:t> </w:t>
      </w:r>
      <w:r w:rsidRPr="00C94BE8">
        <w:rPr>
          <w:spacing w:val="-2"/>
          <w:sz w:val="16"/>
          <w:szCs w:val="16"/>
        </w:rPr>
        <w:t>41</w:t>
      </w:r>
      <w:r>
        <w:rPr>
          <w:spacing w:val="-2"/>
          <w:sz w:val="16"/>
          <w:szCs w:val="16"/>
        </w:rPr>
        <w:t> %</w:t>
      </w:r>
      <w:r w:rsidRPr="00C94BE8">
        <w:rPr>
          <w:spacing w:val="-2"/>
          <w:sz w:val="16"/>
          <w:szCs w:val="16"/>
        </w:rPr>
        <w:t xml:space="preserve"> vyšší. Zrychloval rovněž příliv prostředků ze strukturálních fondů EU (+21</w:t>
      </w:r>
      <w:r>
        <w:rPr>
          <w:spacing w:val="-2"/>
          <w:sz w:val="16"/>
          <w:szCs w:val="16"/>
        </w:rPr>
        <w:t> %</w:t>
      </w:r>
      <w:r w:rsidRPr="00C94BE8">
        <w:rPr>
          <w:spacing w:val="-2"/>
          <w:sz w:val="16"/>
          <w:szCs w:val="16"/>
        </w:rPr>
        <w:t>, na 75,8</w:t>
      </w:r>
      <w:r>
        <w:rPr>
          <w:spacing w:val="-2"/>
          <w:sz w:val="16"/>
          <w:szCs w:val="16"/>
        </w:rPr>
        <w:t> mld</w:t>
      </w:r>
      <w:r w:rsidRPr="00C94BE8">
        <w:rPr>
          <w:spacing w:val="-2"/>
          <w:sz w:val="16"/>
          <w:szCs w:val="16"/>
        </w:rPr>
        <w:t>. korun).</w:t>
      </w:r>
    </w:p>
  </w:footnote>
  <w:footnote w:id="22">
    <w:p w14:paraId="15C83CE0" w14:textId="77777777" w:rsidR="0091476D" w:rsidRPr="00C94BE8" w:rsidRDefault="0091476D" w:rsidP="00B96D74">
      <w:pPr>
        <w:pStyle w:val="Textpoznpodarou"/>
        <w:rPr>
          <w:spacing w:val="-4"/>
          <w:sz w:val="16"/>
          <w:szCs w:val="16"/>
        </w:rPr>
      </w:pPr>
      <w:r w:rsidRPr="00C94BE8">
        <w:rPr>
          <w:rStyle w:val="Znakapoznpodarou"/>
          <w:spacing w:val="-4"/>
          <w:sz w:val="16"/>
          <w:szCs w:val="16"/>
        </w:rPr>
        <w:footnoteRef/>
      </w:r>
      <w:r w:rsidRPr="00C94BE8">
        <w:rPr>
          <w:spacing w:val="-4"/>
          <w:sz w:val="16"/>
          <w:szCs w:val="16"/>
        </w:rPr>
        <w:t xml:space="preserve"> Loňský pokles se netýkal kategorie bytů vzniklých úpravou stávajících bytových domů. Těch bylo v ČR zahájeno 3</w:t>
      </w:r>
      <w:r>
        <w:rPr>
          <w:spacing w:val="-4"/>
          <w:sz w:val="16"/>
          <w:szCs w:val="16"/>
        </w:rPr>
        <w:t> </w:t>
      </w:r>
      <w:r w:rsidRPr="00C94BE8">
        <w:rPr>
          <w:spacing w:val="-4"/>
          <w:sz w:val="16"/>
          <w:szCs w:val="16"/>
        </w:rPr>
        <w:t>244, nejvíce po roce 2004. To mohlo souviset s celkově nižší administrativní náročností přípravy těchto staveb (projekční práce, součinnost se stavebními úřady).</w:t>
      </w:r>
    </w:p>
  </w:footnote>
  <w:footnote w:id="23">
    <w:p w14:paraId="3DD4145F" w14:textId="77777777" w:rsidR="0091476D" w:rsidRPr="00DE38E6" w:rsidRDefault="0091476D" w:rsidP="00B96D74">
      <w:pPr>
        <w:spacing w:after="0" w:line="240" w:lineRule="auto"/>
      </w:pPr>
      <w:r w:rsidRPr="004A26AF">
        <w:rPr>
          <w:rStyle w:val="Znakapoznpodarou"/>
          <w:color w:val="0D0D0D" w:themeColor="text1" w:themeTint="F2"/>
          <w:sz w:val="16"/>
          <w:szCs w:val="16"/>
        </w:rPr>
        <w:footnoteRef/>
      </w:r>
      <w:r>
        <w:rPr>
          <w:color w:val="0D0D0D" w:themeColor="text1" w:themeTint="F2"/>
          <w:sz w:val="16"/>
          <w:szCs w:val="16"/>
        </w:rPr>
        <w:t xml:space="preserve"> </w:t>
      </w:r>
      <w:r w:rsidRPr="004A26AF">
        <w:rPr>
          <w:color w:val="0D0D0D" w:themeColor="text1" w:themeTint="F2"/>
          <w:sz w:val="16"/>
          <w:szCs w:val="16"/>
        </w:rPr>
        <w:t>Bez obchodu, peněžnictví, poji</w:t>
      </w:r>
      <w:r>
        <w:rPr>
          <w:color w:val="0D0D0D" w:themeColor="text1" w:themeTint="F2"/>
          <w:sz w:val="16"/>
          <w:szCs w:val="16"/>
        </w:rPr>
        <w:t>šťovnictví, vědy, výzkumu a veřejných</w:t>
      </w:r>
      <w:r w:rsidRPr="004A26AF">
        <w:rPr>
          <w:color w:val="0D0D0D" w:themeColor="text1" w:themeTint="F2"/>
          <w:sz w:val="16"/>
          <w:szCs w:val="16"/>
        </w:rPr>
        <w:t xml:space="preserve"> služeb. Všechny údaje za služby jsou </w:t>
      </w:r>
      <w:r>
        <w:rPr>
          <w:color w:val="0D0D0D" w:themeColor="text1" w:themeTint="F2"/>
          <w:sz w:val="16"/>
          <w:szCs w:val="16"/>
        </w:rPr>
        <w:t xml:space="preserve">ve stálých cenách, meziroční údaje jsou </w:t>
      </w:r>
      <w:r w:rsidRPr="004A26AF">
        <w:rPr>
          <w:color w:val="0D0D0D" w:themeColor="text1" w:themeTint="F2"/>
          <w:sz w:val="16"/>
          <w:szCs w:val="16"/>
        </w:rPr>
        <w:t>očištěny o</w:t>
      </w:r>
      <w:r>
        <w:rPr>
          <w:color w:val="0D0D0D" w:themeColor="text1" w:themeTint="F2"/>
          <w:sz w:val="16"/>
          <w:szCs w:val="16"/>
        </w:rPr>
        <w:t> </w:t>
      </w:r>
      <w:r w:rsidRPr="004A26AF">
        <w:rPr>
          <w:color w:val="0D0D0D" w:themeColor="text1" w:themeTint="F2"/>
          <w:sz w:val="16"/>
          <w:szCs w:val="16"/>
        </w:rPr>
        <w:t>kal</w:t>
      </w:r>
      <w:r>
        <w:rPr>
          <w:color w:val="0D0D0D" w:themeColor="text1" w:themeTint="F2"/>
          <w:sz w:val="16"/>
          <w:szCs w:val="16"/>
        </w:rPr>
        <w:t>endářní vlivy, mezičtvrtletní i meziměsíční jsou očištěny o sezónní vlivy (včetně vlivu počtu pracovních dnů)</w:t>
      </w:r>
      <w:r w:rsidRPr="004A26AF">
        <w:rPr>
          <w:color w:val="0D0D0D" w:themeColor="text1" w:themeTint="F2"/>
          <w:sz w:val="16"/>
          <w:szCs w:val="16"/>
        </w:rPr>
        <w:t>.</w:t>
      </w:r>
    </w:p>
  </w:footnote>
  <w:footnote w:id="24">
    <w:p w14:paraId="0C1E66CB" w14:textId="77777777" w:rsidR="0091476D" w:rsidRPr="009B740D" w:rsidRDefault="0091476D" w:rsidP="00B96D74">
      <w:pPr>
        <w:pStyle w:val="Textpoznpodarou"/>
        <w:rPr>
          <w:sz w:val="16"/>
          <w:szCs w:val="16"/>
        </w:rPr>
      </w:pPr>
      <w:r w:rsidRPr="009B740D">
        <w:rPr>
          <w:rStyle w:val="Znakapoznpodarou"/>
          <w:sz w:val="16"/>
          <w:szCs w:val="16"/>
        </w:rPr>
        <w:footnoteRef/>
      </w:r>
      <w:r w:rsidRPr="009B740D">
        <w:rPr>
          <w:sz w:val="16"/>
          <w:szCs w:val="16"/>
        </w:rPr>
        <w:t xml:space="preserve"> K mírnému poklesu tak došlo i</w:t>
      </w:r>
      <w:r>
        <w:rPr>
          <w:sz w:val="16"/>
          <w:szCs w:val="16"/>
        </w:rPr>
        <w:t> </w:t>
      </w:r>
      <w:r w:rsidRPr="009B740D">
        <w:rPr>
          <w:sz w:val="16"/>
          <w:szCs w:val="16"/>
        </w:rPr>
        <w:t xml:space="preserve">v prosinci, kdy byla část restrikcí krátkodobě uvolněna. </w:t>
      </w:r>
      <w:r>
        <w:rPr>
          <w:sz w:val="16"/>
          <w:szCs w:val="16"/>
        </w:rPr>
        <w:t>To se však pozitivně projevilo pouze v odvětví ubytování, stravování a pohostinství. V ostatních odvětvových sekcích služeb tržby meziměsíčně klesaly.</w:t>
      </w:r>
    </w:p>
  </w:footnote>
  <w:footnote w:id="25">
    <w:p w14:paraId="055A2AE7" w14:textId="77777777" w:rsidR="0091476D" w:rsidRPr="00ED3E51" w:rsidRDefault="0091476D" w:rsidP="00B96D74">
      <w:pPr>
        <w:pStyle w:val="Textpoznpodarou"/>
        <w:rPr>
          <w:sz w:val="16"/>
          <w:szCs w:val="16"/>
        </w:rPr>
      </w:pPr>
      <w:r w:rsidRPr="00ED3E51">
        <w:rPr>
          <w:rStyle w:val="Znakapoznpodarou"/>
          <w:sz w:val="16"/>
          <w:szCs w:val="16"/>
        </w:rPr>
        <w:footnoteRef/>
      </w:r>
      <w:r w:rsidRPr="00ED3E51">
        <w:rPr>
          <w:sz w:val="16"/>
          <w:szCs w:val="16"/>
        </w:rPr>
        <w:t xml:space="preserve"> Loňský propad těchto odvětví, jenž byl v historii samostatné ČR bezprecedentní, dokresluje i</w:t>
      </w:r>
      <w:r>
        <w:rPr>
          <w:sz w:val="16"/>
          <w:szCs w:val="16"/>
        </w:rPr>
        <w:t> </w:t>
      </w:r>
      <w:r w:rsidRPr="00ED3E51">
        <w:rPr>
          <w:sz w:val="16"/>
          <w:szCs w:val="16"/>
        </w:rPr>
        <w:t>srovnání v běžných cenách. Zatímco tržby ve stravování a</w:t>
      </w:r>
      <w:r>
        <w:rPr>
          <w:sz w:val="16"/>
          <w:szCs w:val="16"/>
        </w:rPr>
        <w:t> </w:t>
      </w:r>
      <w:r w:rsidRPr="00ED3E51">
        <w:rPr>
          <w:sz w:val="16"/>
          <w:szCs w:val="16"/>
        </w:rPr>
        <w:t>pohostinství se loni nacházely na úrovni roku 2015, tržby v letecké dopravě nedosahovaly ani tří</w:t>
      </w:r>
      <w:r>
        <w:rPr>
          <w:sz w:val="16"/>
          <w:szCs w:val="16"/>
        </w:rPr>
        <w:t> </w:t>
      </w:r>
      <w:r w:rsidRPr="00ED3E51">
        <w:rPr>
          <w:sz w:val="16"/>
          <w:szCs w:val="16"/>
        </w:rPr>
        <w:t>pětin úrovně roku 2000 (u</w:t>
      </w:r>
      <w:r>
        <w:rPr>
          <w:sz w:val="16"/>
          <w:szCs w:val="16"/>
        </w:rPr>
        <w:t> </w:t>
      </w:r>
      <w:r w:rsidRPr="00ED3E51">
        <w:rPr>
          <w:sz w:val="16"/>
          <w:szCs w:val="16"/>
        </w:rPr>
        <w:t>cestovních kanceláří byly dokonce jen na 39</w:t>
      </w:r>
      <w:r>
        <w:rPr>
          <w:sz w:val="16"/>
          <w:szCs w:val="16"/>
        </w:rPr>
        <w:t> %</w:t>
      </w:r>
      <w:r w:rsidRPr="00ED3E51">
        <w:rPr>
          <w:sz w:val="16"/>
          <w:szCs w:val="16"/>
        </w:rPr>
        <w:t xml:space="preserve"> úrovně počátku milénia).</w:t>
      </w:r>
    </w:p>
  </w:footnote>
  <w:footnote w:id="26">
    <w:p w14:paraId="6F2C9963" w14:textId="77777777" w:rsidR="0091476D" w:rsidRPr="00ED3E51" w:rsidRDefault="0091476D" w:rsidP="00B96D74">
      <w:pPr>
        <w:pStyle w:val="Textpoznpodarou"/>
        <w:rPr>
          <w:sz w:val="16"/>
          <w:szCs w:val="16"/>
        </w:rPr>
      </w:pPr>
      <w:r w:rsidRPr="00ED3E51">
        <w:rPr>
          <w:rStyle w:val="Znakapoznpodarou"/>
          <w:sz w:val="16"/>
          <w:szCs w:val="16"/>
        </w:rPr>
        <w:footnoteRef/>
      </w:r>
      <w:r w:rsidRPr="00ED3E51">
        <w:rPr>
          <w:sz w:val="16"/>
          <w:szCs w:val="16"/>
        </w:rPr>
        <w:t xml:space="preserve"> Dle údaje Unie filmových distributorů klesl počet návštěvníků kin meziročně o</w:t>
      </w:r>
      <w:r>
        <w:rPr>
          <w:sz w:val="16"/>
          <w:szCs w:val="16"/>
        </w:rPr>
        <w:t> </w:t>
      </w:r>
      <w:r w:rsidRPr="00ED3E51">
        <w:rPr>
          <w:sz w:val="16"/>
          <w:szCs w:val="16"/>
        </w:rPr>
        <w:t>65</w:t>
      </w:r>
      <w:r>
        <w:rPr>
          <w:sz w:val="16"/>
          <w:szCs w:val="16"/>
        </w:rPr>
        <w:t> %</w:t>
      </w:r>
      <w:r w:rsidRPr="00ED3E51">
        <w:rPr>
          <w:sz w:val="16"/>
          <w:szCs w:val="16"/>
        </w:rPr>
        <w:t>, na 6,4</w:t>
      </w:r>
      <w:r>
        <w:rPr>
          <w:sz w:val="16"/>
          <w:szCs w:val="16"/>
        </w:rPr>
        <w:t> mil.</w:t>
      </w:r>
      <w:r w:rsidRPr="00ED3E51">
        <w:rPr>
          <w:sz w:val="16"/>
          <w:szCs w:val="16"/>
        </w:rPr>
        <w:t xml:space="preserve"> (nejnižší počet v historii ČR). Téměř pět měsíců v roce byla kina fakticky uzavřena (povolen byl jen provoz autokin), bez </w:t>
      </w:r>
      <w:r>
        <w:rPr>
          <w:sz w:val="16"/>
          <w:szCs w:val="16"/>
        </w:rPr>
        <w:t xml:space="preserve">jakýchkoli </w:t>
      </w:r>
      <w:r w:rsidRPr="00ED3E51">
        <w:rPr>
          <w:sz w:val="16"/>
          <w:szCs w:val="16"/>
        </w:rPr>
        <w:t>omezení fungovala jen 2,5</w:t>
      </w:r>
      <w:r>
        <w:rPr>
          <w:sz w:val="16"/>
          <w:szCs w:val="16"/>
        </w:rPr>
        <w:t> </w:t>
      </w:r>
      <w:r w:rsidRPr="00ED3E51">
        <w:rPr>
          <w:sz w:val="16"/>
          <w:szCs w:val="16"/>
        </w:rPr>
        <w:t>měsíce v roce. Méně byla zasažena oblast výroby filmů, na n</w:t>
      </w:r>
      <w:r>
        <w:rPr>
          <w:sz w:val="16"/>
          <w:szCs w:val="16"/>
        </w:rPr>
        <w:t>i</w:t>
      </w:r>
      <w:r w:rsidRPr="00ED3E51">
        <w:rPr>
          <w:sz w:val="16"/>
          <w:szCs w:val="16"/>
        </w:rPr>
        <w:t>ž se vztahovaly významné restrikce pouze během jarní pandemické vlny.</w:t>
      </w:r>
    </w:p>
  </w:footnote>
  <w:footnote w:id="27">
    <w:p w14:paraId="1D055105" w14:textId="0774234B" w:rsidR="0091476D" w:rsidRPr="00ED3E51" w:rsidRDefault="0091476D" w:rsidP="00B96D74">
      <w:pPr>
        <w:pStyle w:val="Textpoznpodarou"/>
        <w:rPr>
          <w:spacing w:val="-4"/>
          <w:sz w:val="16"/>
          <w:szCs w:val="16"/>
        </w:rPr>
      </w:pPr>
      <w:r w:rsidRPr="00ED3E51">
        <w:rPr>
          <w:rStyle w:val="Znakapoznpodarou"/>
          <w:spacing w:val="-4"/>
          <w:sz w:val="16"/>
          <w:szCs w:val="16"/>
        </w:rPr>
        <w:footnoteRef/>
      </w:r>
      <w:r>
        <w:rPr>
          <w:spacing w:val="-4"/>
          <w:sz w:val="16"/>
          <w:szCs w:val="16"/>
        </w:rPr>
        <w:t xml:space="preserve"> Jejich role se loni</w:t>
      </w:r>
      <w:r w:rsidRPr="00ED3E51">
        <w:rPr>
          <w:spacing w:val="-4"/>
          <w:sz w:val="16"/>
          <w:szCs w:val="16"/>
        </w:rPr>
        <w:t xml:space="preserve"> zvýraznila i</w:t>
      </w:r>
      <w:r>
        <w:rPr>
          <w:spacing w:val="-4"/>
          <w:sz w:val="16"/>
          <w:szCs w:val="16"/>
        </w:rPr>
        <w:t> </w:t>
      </w:r>
      <w:r w:rsidRPr="00ED3E51">
        <w:rPr>
          <w:rFonts w:cs="Arial"/>
          <w:bCs/>
          <w:spacing w:val="-4"/>
          <w:sz w:val="16"/>
          <w:szCs w:val="16"/>
        </w:rPr>
        <w:t>kvůli uzavření části maloobchodu, ale také</w:t>
      </w:r>
      <w:r>
        <w:rPr>
          <w:rFonts w:cs="Arial"/>
          <w:bCs/>
          <w:spacing w:val="-4"/>
          <w:sz w:val="16"/>
          <w:szCs w:val="16"/>
        </w:rPr>
        <w:t xml:space="preserve"> omezení</w:t>
      </w:r>
      <w:r w:rsidRPr="00ED3E51">
        <w:rPr>
          <w:rFonts w:cs="Arial"/>
          <w:bCs/>
          <w:spacing w:val="-4"/>
          <w:sz w:val="16"/>
          <w:szCs w:val="16"/>
        </w:rPr>
        <w:t xml:space="preserve"> stravování a</w:t>
      </w:r>
      <w:r>
        <w:rPr>
          <w:rFonts w:cs="Arial"/>
          <w:bCs/>
          <w:spacing w:val="-4"/>
          <w:sz w:val="16"/>
          <w:szCs w:val="16"/>
        </w:rPr>
        <w:t> </w:t>
      </w:r>
      <w:r w:rsidRPr="00ED3E51">
        <w:rPr>
          <w:rFonts w:cs="Arial"/>
          <w:bCs/>
          <w:spacing w:val="-4"/>
          <w:sz w:val="16"/>
          <w:szCs w:val="16"/>
        </w:rPr>
        <w:t>p</w:t>
      </w:r>
      <w:r>
        <w:rPr>
          <w:rFonts w:cs="Arial"/>
          <w:bCs/>
          <w:spacing w:val="-4"/>
          <w:sz w:val="16"/>
          <w:szCs w:val="16"/>
        </w:rPr>
        <w:t>ohostinství (zčásti kompenzované</w:t>
      </w:r>
      <w:r w:rsidRPr="00ED3E51">
        <w:rPr>
          <w:rFonts w:cs="Arial"/>
          <w:bCs/>
          <w:spacing w:val="-4"/>
          <w:sz w:val="16"/>
          <w:szCs w:val="16"/>
        </w:rPr>
        <w:t xml:space="preserve"> dovážkou jídla).</w:t>
      </w:r>
    </w:p>
  </w:footnote>
  <w:footnote w:id="28">
    <w:p w14:paraId="7001EF93" w14:textId="77777777" w:rsidR="0091476D" w:rsidRDefault="0091476D" w:rsidP="00B96D74">
      <w:pPr>
        <w:spacing w:after="0" w:line="240" w:lineRule="auto"/>
      </w:pPr>
      <w:r w:rsidRPr="00ED3E51">
        <w:rPr>
          <w:rStyle w:val="Znakapoznpodarou"/>
          <w:color w:val="0D0D0D" w:themeColor="text1" w:themeTint="F2"/>
          <w:sz w:val="16"/>
          <w:szCs w:val="16"/>
        </w:rPr>
        <w:footnoteRef/>
      </w:r>
      <w:r w:rsidRPr="00ED3E51">
        <w:rPr>
          <w:color w:val="0D0D0D" w:themeColor="text1" w:themeTint="F2"/>
          <w:sz w:val="16"/>
          <w:szCs w:val="16"/>
        </w:rPr>
        <w:t xml:space="preserve"> Všechna meziroční tempa tržeb za maloobchod jsou uvedena ve stálých cenách a očištěna o kalendářní vlivy, mezičtvrtletní i</w:t>
      </w:r>
      <w:r w:rsidRPr="00ED3E51">
        <w:rPr>
          <w:sz w:val="16"/>
          <w:szCs w:val="16"/>
        </w:rPr>
        <w:t> </w:t>
      </w:r>
      <w:r w:rsidRPr="00ED3E51">
        <w:rPr>
          <w:color w:val="0D0D0D" w:themeColor="text1" w:themeTint="F2"/>
          <w:sz w:val="16"/>
          <w:szCs w:val="16"/>
        </w:rPr>
        <w:t>meziměsíční tempa jsou očištěna o sezónní vlivy (včetně vlivu počtu pracovních dnů). Maloobchod zahrnuje odvětví CZ-NACE 47.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985C8" w14:textId="77777777" w:rsidR="0091476D" w:rsidRDefault="0091476D" w:rsidP="00937AE2">
    <w:pPr>
      <w:pStyle w:val="Zhlav"/>
    </w:pPr>
    <w:r>
      <w:t>Vývoj ekonomiky České republiky</w:t>
    </w:r>
  </w:p>
  <w:p w14:paraId="675E4C41" w14:textId="77777777" w:rsidR="0091476D" w:rsidRPr="006F5416" w:rsidRDefault="0091476D" w:rsidP="00937A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812FB" w14:textId="77777777" w:rsidR="0091476D" w:rsidRDefault="0091476D" w:rsidP="00937AE2">
    <w:pPr>
      <w:pStyle w:val="Zhlav"/>
    </w:pPr>
    <w:r>
      <w:t>Vývoj ekonomiky České republiky</w:t>
    </w:r>
  </w:p>
  <w:p w14:paraId="0CDCFD48" w14:textId="77777777" w:rsidR="0091476D" w:rsidRPr="006F5416" w:rsidRDefault="0091476D"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C5946"/>
    <w:multiLevelType w:val="hybridMultilevel"/>
    <w:tmpl w:val="4C1C2D78"/>
    <w:lvl w:ilvl="0" w:tplc="B01A5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3"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7C1667"/>
    <w:multiLevelType w:val="hybridMultilevel"/>
    <w:tmpl w:val="735E7570"/>
    <w:lvl w:ilvl="0" w:tplc="5588AF8E">
      <w:start w:val="1"/>
      <w:numFmt w:val="decimal"/>
      <w:lvlText w:val="%1."/>
      <w:lvlJc w:val="left"/>
      <w:pPr>
        <w:ind w:left="4800" w:hanging="360"/>
      </w:pPr>
      <w:rPr>
        <w:rFonts w:hint="default"/>
      </w:rPr>
    </w:lvl>
    <w:lvl w:ilvl="1" w:tplc="04050019" w:tentative="1">
      <w:start w:val="1"/>
      <w:numFmt w:val="lowerLetter"/>
      <w:lvlText w:val="%2."/>
      <w:lvlJc w:val="left"/>
      <w:pPr>
        <w:ind w:left="5520" w:hanging="360"/>
      </w:pPr>
    </w:lvl>
    <w:lvl w:ilvl="2" w:tplc="0405001B" w:tentative="1">
      <w:start w:val="1"/>
      <w:numFmt w:val="lowerRoman"/>
      <w:lvlText w:val="%3."/>
      <w:lvlJc w:val="right"/>
      <w:pPr>
        <w:ind w:left="6240" w:hanging="180"/>
      </w:pPr>
    </w:lvl>
    <w:lvl w:ilvl="3" w:tplc="0405000F" w:tentative="1">
      <w:start w:val="1"/>
      <w:numFmt w:val="decimal"/>
      <w:lvlText w:val="%4."/>
      <w:lvlJc w:val="left"/>
      <w:pPr>
        <w:ind w:left="6960" w:hanging="360"/>
      </w:pPr>
    </w:lvl>
    <w:lvl w:ilvl="4" w:tplc="04050019" w:tentative="1">
      <w:start w:val="1"/>
      <w:numFmt w:val="lowerLetter"/>
      <w:lvlText w:val="%5."/>
      <w:lvlJc w:val="left"/>
      <w:pPr>
        <w:ind w:left="7680" w:hanging="360"/>
      </w:pPr>
    </w:lvl>
    <w:lvl w:ilvl="5" w:tplc="0405001B" w:tentative="1">
      <w:start w:val="1"/>
      <w:numFmt w:val="lowerRoman"/>
      <w:lvlText w:val="%6."/>
      <w:lvlJc w:val="right"/>
      <w:pPr>
        <w:ind w:left="8400" w:hanging="180"/>
      </w:pPr>
    </w:lvl>
    <w:lvl w:ilvl="6" w:tplc="0405000F" w:tentative="1">
      <w:start w:val="1"/>
      <w:numFmt w:val="decimal"/>
      <w:lvlText w:val="%7."/>
      <w:lvlJc w:val="left"/>
      <w:pPr>
        <w:ind w:left="9120" w:hanging="360"/>
      </w:pPr>
    </w:lvl>
    <w:lvl w:ilvl="7" w:tplc="04050019" w:tentative="1">
      <w:start w:val="1"/>
      <w:numFmt w:val="lowerLetter"/>
      <w:lvlText w:val="%8."/>
      <w:lvlJc w:val="left"/>
      <w:pPr>
        <w:ind w:left="9840" w:hanging="360"/>
      </w:pPr>
    </w:lvl>
    <w:lvl w:ilvl="8" w:tplc="0405001B" w:tentative="1">
      <w:start w:val="1"/>
      <w:numFmt w:val="lowerRoman"/>
      <w:lvlText w:val="%9."/>
      <w:lvlJc w:val="right"/>
      <w:pPr>
        <w:ind w:left="10560" w:hanging="180"/>
      </w:pPr>
    </w:lvl>
  </w:abstractNum>
  <w:abstractNum w:abstractNumId="21" w15:restartNumberingAfterBreak="0">
    <w:nsid w:val="3D4D0562"/>
    <w:multiLevelType w:val="hybridMultilevel"/>
    <w:tmpl w:val="E8A8F2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3BB1D16"/>
    <w:multiLevelType w:val="hybridMultilevel"/>
    <w:tmpl w:val="CA4409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5"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25"/>
  </w:num>
  <w:num w:numId="14">
    <w:abstractNumId w:val="12"/>
  </w:num>
  <w:num w:numId="15">
    <w:abstractNumId w:val="18"/>
  </w:num>
  <w:num w:numId="16">
    <w:abstractNumId w:val="14"/>
  </w:num>
  <w:num w:numId="17">
    <w:abstractNumId w:val="26"/>
  </w:num>
  <w:num w:numId="18">
    <w:abstractNumId w:val="19"/>
  </w:num>
  <w:num w:numId="19">
    <w:abstractNumId w:val="27"/>
  </w:num>
  <w:num w:numId="20">
    <w:abstractNumId w:val="28"/>
  </w:num>
  <w:num w:numId="21">
    <w:abstractNumId w:val="24"/>
  </w:num>
  <w:num w:numId="22">
    <w:abstractNumId w:val="17"/>
  </w:num>
  <w:num w:numId="23">
    <w:abstractNumId w:val="15"/>
  </w:num>
  <w:num w:numId="24">
    <w:abstractNumId w:val="16"/>
  </w:num>
  <w:num w:numId="25">
    <w:abstractNumId w:val="11"/>
  </w:num>
  <w:num w:numId="26">
    <w:abstractNumId w:val="21"/>
  </w:num>
  <w:num w:numId="27">
    <w:abstractNumId w:val="20"/>
  </w:num>
  <w:num w:numId="28">
    <w:abstractNumId w:val="10"/>
  </w:num>
  <w:num w:numId="29">
    <w:abstractNumId w:val="28"/>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28"/>
    <w:rsid w:val="000005AF"/>
    <w:rsid w:val="00000B55"/>
    <w:rsid w:val="0000209D"/>
    <w:rsid w:val="00002566"/>
    <w:rsid w:val="00003849"/>
    <w:rsid w:val="00003F5C"/>
    <w:rsid w:val="00004D5A"/>
    <w:rsid w:val="000056D5"/>
    <w:rsid w:val="00005D9E"/>
    <w:rsid w:val="000063D5"/>
    <w:rsid w:val="00006625"/>
    <w:rsid w:val="00006ABD"/>
    <w:rsid w:val="00006B67"/>
    <w:rsid w:val="00006C0B"/>
    <w:rsid w:val="000073A0"/>
    <w:rsid w:val="0000767A"/>
    <w:rsid w:val="00007ABE"/>
    <w:rsid w:val="00010256"/>
    <w:rsid w:val="00010702"/>
    <w:rsid w:val="0001128E"/>
    <w:rsid w:val="00011912"/>
    <w:rsid w:val="000129B7"/>
    <w:rsid w:val="0001387D"/>
    <w:rsid w:val="00014ED0"/>
    <w:rsid w:val="00016420"/>
    <w:rsid w:val="00017B01"/>
    <w:rsid w:val="000205D1"/>
    <w:rsid w:val="00020F22"/>
    <w:rsid w:val="0002195D"/>
    <w:rsid w:val="000228AE"/>
    <w:rsid w:val="000233D1"/>
    <w:rsid w:val="000234D6"/>
    <w:rsid w:val="00023D29"/>
    <w:rsid w:val="00024348"/>
    <w:rsid w:val="00026389"/>
    <w:rsid w:val="0002669F"/>
    <w:rsid w:val="000279E5"/>
    <w:rsid w:val="00031AE0"/>
    <w:rsid w:val="00031BB2"/>
    <w:rsid w:val="000322EF"/>
    <w:rsid w:val="00033FCD"/>
    <w:rsid w:val="000348AF"/>
    <w:rsid w:val="00034DF7"/>
    <w:rsid w:val="00034E68"/>
    <w:rsid w:val="000350C8"/>
    <w:rsid w:val="00036195"/>
    <w:rsid w:val="000374B2"/>
    <w:rsid w:val="000376C0"/>
    <w:rsid w:val="000403A7"/>
    <w:rsid w:val="00040632"/>
    <w:rsid w:val="00041AFC"/>
    <w:rsid w:val="00041CEC"/>
    <w:rsid w:val="00042596"/>
    <w:rsid w:val="00044183"/>
    <w:rsid w:val="0004431D"/>
    <w:rsid w:val="0004694F"/>
    <w:rsid w:val="00046F2F"/>
    <w:rsid w:val="00047AD4"/>
    <w:rsid w:val="00047D54"/>
    <w:rsid w:val="0005054A"/>
    <w:rsid w:val="00051506"/>
    <w:rsid w:val="000522E4"/>
    <w:rsid w:val="00053713"/>
    <w:rsid w:val="0005434E"/>
    <w:rsid w:val="00055CB6"/>
    <w:rsid w:val="000572DD"/>
    <w:rsid w:val="00057B1E"/>
    <w:rsid w:val="000610E1"/>
    <w:rsid w:val="000616AD"/>
    <w:rsid w:val="000622A6"/>
    <w:rsid w:val="00062EC5"/>
    <w:rsid w:val="00062F22"/>
    <w:rsid w:val="00063975"/>
    <w:rsid w:val="00063CEA"/>
    <w:rsid w:val="0006444D"/>
    <w:rsid w:val="000645FC"/>
    <w:rsid w:val="0006533F"/>
    <w:rsid w:val="00065348"/>
    <w:rsid w:val="0006551C"/>
    <w:rsid w:val="00065A75"/>
    <w:rsid w:val="000663F0"/>
    <w:rsid w:val="00066558"/>
    <w:rsid w:val="00070A87"/>
    <w:rsid w:val="000712B3"/>
    <w:rsid w:val="00071A7C"/>
    <w:rsid w:val="00072FF5"/>
    <w:rsid w:val="00073A5A"/>
    <w:rsid w:val="0007474E"/>
    <w:rsid w:val="00074988"/>
    <w:rsid w:val="0007512B"/>
    <w:rsid w:val="00075551"/>
    <w:rsid w:val="000767F5"/>
    <w:rsid w:val="00076D90"/>
    <w:rsid w:val="00077FF0"/>
    <w:rsid w:val="00081A55"/>
    <w:rsid w:val="0008263E"/>
    <w:rsid w:val="00082C19"/>
    <w:rsid w:val="00082F89"/>
    <w:rsid w:val="000837CD"/>
    <w:rsid w:val="00084BFF"/>
    <w:rsid w:val="00085395"/>
    <w:rsid w:val="00086896"/>
    <w:rsid w:val="00086AC1"/>
    <w:rsid w:val="00086D19"/>
    <w:rsid w:val="00087634"/>
    <w:rsid w:val="00087F2B"/>
    <w:rsid w:val="00090694"/>
    <w:rsid w:val="00090EE2"/>
    <w:rsid w:val="00090FC6"/>
    <w:rsid w:val="000913B1"/>
    <w:rsid w:val="0009290F"/>
    <w:rsid w:val="00093241"/>
    <w:rsid w:val="00093868"/>
    <w:rsid w:val="00094A84"/>
    <w:rsid w:val="00095025"/>
    <w:rsid w:val="00095135"/>
    <w:rsid w:val="0009626E"/>
    <w:rsid w:val="00097191"/>
    <w:rsid w:val="000974D1"/>
    <w:rsid w:val="00097784"/>
    <w:rsid w:val="0009799E"/>
    <w:rsid w:val="000A07CB"/>
    <w:rsid w:val="000A0BC0"/>
    <w:rsid w:val="000A1183"/>
    <w:rsid w:val="000A12ED"/>
    <w:rsid w:val="000A1D49"/>
    <w:rsid w:val="000A212B"/>
    <w:rsid w:val="000A242D"/>
    <w:rsid w:val="000A256D"/>
    <w:rsid w:val="000A2E5F"/>
    <w:rsid w:val="000A3A2C"/>
    <w:rsid w:val="000A3D9E"/>
    <w:rsid w:val="000A4A54"/>
    <w:rsid w:val="000A4ED9"/>
    <w:rsid w:val="000A5DB7"/>
    <w:rsid w:val="000A6D94"/>
    <w:rsid w:val="000A7377"/>
    <w:rsid w:val="000A7FF4"/>
    <w:rsid w:val="000B03CC"/>
    <w:rsid w:val="000B4212"/>
    <w:rsid w:val="000B67B7"/>
    <w:rsid w:val="000C0EA8"/>
    <w:rsid w:val="000C13A2"/>
    <w:rsid w:val="000C21E7"/>
    <w:rsid w:val="000C23EC"/>
    <w:rsid w:val="000C30C3"/>
    <w:rsid w:val="000C3408"/>
    <w:rsid w:val="000C35AB"/>
    <w:rsid w:val="000C3F7B"/>
    <w:rsid w:val="000C4769"/>
    <w:rsid w:val="000C4D56"/>
    <w:rsid w:val="000C5DFA"/>
    <w:rsid w:val="000C6AFD"/>
    <w:rsid w:val="000C6C90"/>
    <w:rsid w:val="000C72B7"/>
    <w:rsid w:val="000D0A26"/>
    <w:rsid w:val="000D3058"/>
    <w:rsid w:val="000D310A"/>
    <w:rsid w:val="000D3EF4"/>
    <w:rsid w:val="000D4DC0"/>
    <w:rsid w:val="000D5637"/>
    <w:rsid w:val="000D6F4E"/>
    <w:rsid w:val="000D73BB"/>
    <w:rsid w:val="000E0E96"/>
    <w:rsid w:val="000E298B"/>
    <w:rsid w:val="000E2C7D"/>
    <w:rsid w:val="000E3E56"/>
    <w:rsid w:val="000E440D"/>
    <w:rsid w:val="000E4AC5"/>
    <w:rsid w:val="000E6253"/>
    <w:rsid w:val="000E6E4D"/>
    <w:rsid w:val="000E6FBD"/>
    <w:rsid w:val="000E6FCB"/>
    <w:rsid w:val="000F090B"/>
    <w:rsid w:val="000F3F3B"/>
    <w:rsid w:val="000F47E8"/>
    <w:rsid w:val="000F70E4"/>
    <w:rsid w:val="000F76EA"/>
    <w:rsid w:val="00100A8B"/>
    <w:rsid w:val="00100F5C"/>
    <w:rsid w:val="00101CDA"/>
    <w:rsid w:val="00102037"/>
    <w:rsid w:val="00103DCB"/>
    <w:rsid w:val="00104C4C"/>
    <w:rsid w:val="00105015"/>
    <w:rsid w:val="001055D2"/>
    <w:rsid w:val="001057C2"/>
    <w:rsid w:val="0011038E"/>
    <w:rsid w:val="001125EF"/>
    <w:rsid w:val="00112CAB"/>
    <w:rsid w:val="00114C33"/>
    <w:rsid w:val="00116D3F"/>
    <w:rsid w:val="00117474"/>
    <w:rsid w:val="00117623"/>
    <w:rsid w:val="00117FEA"/>
    <w:rsid w:val="001200CF"/>
    <w:rsid w:val="001208E3"/>
    <w:rsid w:val="00121609"/>
    <w:rsid w:val="0012192F"/>
    <w:rsid w:val="00122994"/>
    <w:rsid w:val="00124B46"/>
    <w:rsid w:val="001257E0"/>
    <w:rsid w:val="00125D69"/>
    <w:rsid w:val="0012799C"/>
    <w:rsid w:val="00127BC2"/>
    <w:rsid w:val="00127E15"/>
    <w:rsid w:val="00130ADC"/>
    <w:rsid w:val="00130D9F"/>
    <w:rsid w:val="00132C4D"/>
    <w:rsid w:val="00133FC1"/>
    <w:rsid w:val="00134659"/>
    <w:rsid w:val="001405FA"/>
    <w:rsid w:val="00140D1A"/>
    <w:rsid w:val="00141184"/>
    <w:rsid w:val="00141315"/>
    <w:rsid w:val="00141AA0"/>
    <w:rsid w:val="001425C3"/>
    <w:rsid w:val="0014262D"/>
    <w:rsid w:val="00142B29"/>
    <w:rsid w:val="00144588"/>
    <w:rsid w:val="001447DD"/>
    <w:rsid w:val="001459BC"/>
    <w:rsid w:val="00152F4F"/>
    <w:rsid w:val="001544A1"/>
    <w:rsid w:val="001553B8"/>
    <w:rsid w:val="001554C2"/>
    <w:rsid w:val="001571C0"/>
    <w:rsid w:val="0015753D"/>
    <w:rsid w:val="00157CC9"/>
    <w:rsid w:val="00160C21"/>
    <w:rsid w:val="001612F4"/>
    <w:rsid w:val="00161553"/>
    <w:rsid w:val="0016256B"/>
    <w:rsid w:val="00162F81"/>
    <w:rsid w:val="00163793"/>
    <w:rsid w:val="00165313"/>
    <w:rsid w:val="00167485"/>
    <w:rsid w:val="001679F5"/>
    <w:rsid w:val="00167B92"/>
    <w:rsid w:val="00167CB9"/>
    <w:rsid w:val="00167DD8"/>
    <w:rsid w:val="001705AD"/>
    <w:rsid w:val="001706D6"/>
    <w:rsid w:val="001714F2"/>
    <w:rsid w:val="00171FEA"/>
    <w:rsid w:val="00173622"/>
    <w:rsid w:val="00175B9F"/>
    <w:rsid w:val="001762F4"/>
    <w:rsid w:val="00181BBC"/>
    <w:rsid w:val="0018385F"/>
    <w:rsid w:val="00184017"/>
    <w:rsid w:val="001847BB"/>
    <w:rsid w:val="00184B08"/>
    <w:rsid w:val="00185010"/>
    <w:rsid w:val="00185C22"/>
    <w:rsid w:val="00186BA9"/>
    <w:rsid w:val="00187D50"/>
    <w:rsid w:val="0019196C"/>
    <w:rsid w:val="001926A9"/>
    <w:rsid w:val="00192F05"/>
    <w:rsid w:val="00194729"/>
    <w:rsid w:val="00194850"/>
    <w:rsid w:val="00195234"/>
    <w:rsid w:val="00196016"/>
    <w:rsid w:val="00196117"/>
    <w:rsid w:val="00197A70"/>
    <w:rsid w:val="00197C0F"/>
    <w:rsid w:val="001A0487"/>
    <w:rsid w:val="001A0675"/>
    <w:rsid w:val="001A1F68"/>
    <w:rsid w:val="001A21FA"/>
    <w:rsid w:val="001A4EF0"/>
    <w:rsid w:val="001A552F"/>
    <w:rsid w:val="001A70B1"/>
    <w:rsid w:val="001B0738"/>
    <w:rsid w:val="001B2CA9"/>
    <w:rsid w:val="001B3110"/>
    <w:rsid w:val="001B3E38"/>
    <w:rsid w:val="001B40F5"/>
    <w:rsid w:val="001B4729"/>
    <w:rsid w:val="001B4F0E"/>
    <w:rsid w:val="001B5F40"/>
    <w:rsid w:val="001B6310"/>
    <w:rsid w:val="001B6C09"/>
    <w:rsid w:val="001B6E12"/>
    <w:rsid w:val="001C05CD"/>
    <w:rsid w:val="001C0F17"/>
    <w:rsid w:val="001C1B24"/>
    <w:rsid w:val="001C1B66"/>
    <w:rsid w:val="001C31A2"/>
    <w:rsid w:val="001C351D"/>
    <w:rsid w:val="001C4B8F"/>
    <w:rsid w:val="001C4BB8"/>
    <w:rsid w:val="001C4FD0"/>
    <w:rsid w:val="001C5E46"/>
    <w:rsid w:val="001C6B3B"/>
    <w:rsid w:val="001C7A26"/>
    <w:rsid w:val="001C7E3F"/>
    <w:rsid w:val="001D0EF1"/>
    <w:rsid w:val="001D22C2"/>
    <w:rsid w:val="001D2C99"/>
    <w:rsid w:val="001D452E"/>
    <w:rsid w:val="001D54C1"/>
    <w:rsid w:val="001D556E"/>
    <w:rsid w:val="001D5DF2"/>
    <w:rsid w:val="001D68B2"/>
    <w:rsid w:val="001D7EFD"/>
    <w:rsid w:val="001D7F60"/>
    <w:rsid w:val="001E3306"/>
    <w:rsid w:val="001E504C"/>
    <w:rsid w:val="001E5A17"/>
    <w:rsid w:val="001E74C5"/>
    <w:rsid w:val="001F1236"/>
    <w:rsid w:val="001F2F90"/>
    <w:rsid w:val="001F4597"/>
    <w:rsid w:val="001F4826"/>
    <w:rsid w:val="001F6CD3"/>
    <w:rsid w:val="001F75DA"/>
    <w:rsid w:val="001F7CE0"/>
    <w:rsid w:val="00200085"/>
    <w:rsid w:val="00203332"/>
    <w:rsid w:val="00203CD5"/>
    <w:rsid w:val="00203D8F"/>
    <w:rsid w:val="00203DA4"/>
    <w:rsid w:val="00204EA6"/>
    <w:rsid w:val="00205186"/>
    <w:rsid w:val="00206516"/>
    <w:rsid w:val="002071D5"/>
    <w:rsid w:val="002111E5"/>
    <w:rsid w:val="002118B9"/>
    <w:rsid w:val="00213691"/>
    <w:rsid w:val="002142C0"/>
    <w:rsid w:val="00217C5B"/>
    <w:rsid w:val="00220A43"/>
    <w:rsid w:val="0022139E"/>
    <w:rsid w:val="00222729"/>
    <w:rsid w:val="00223185"/>
    <w:rsid w:val="002233D6"/>
    <w:rsid w:val="0022441D"/>
    <w:rsid w:val="00224574"/>
    <w:rsid w:val="00224E3F"/>
    <w:rsid w:val="002252E0"/>
    <w:rsid w:val="002255F6"/>
    <w:rsid w:val="00226032"/>
    <w:rsid w:val="0022738D"/>
    <w:rsid w:val="00227605"/>
    <w:rsid w:val="00227850"/>
    <w:rsid w:val="00227A53"/>
    <w:rsid w:val="00227E2E"/>
    <w:rsid w:val="00227F53"/>
    <w:rsid w:val="00230C6E"/>
    <w:rsid w:val="00230E21"/>
    <w:rsid w:val="00231066"/>
    <w:rsid w:val="002316A8"/>
    <w:rsid w:val="00231859"/>
    <w:rsid w:val="002320C9"/>
    <w:rsid w:val="0023288F"/>
    <w:rsid w:val="0023359B"/>
    <w:rsid w:val="00233603"/>
    <w:rsid w:val="002340EF"/>
    <w:rsid w:val="00234B82"/>
    <w:rsid w:val="00236443"/>
    <w:rsid w:val="00236700"/>
    <w:rsid w:val="00237C8B"/>
    <w:rsid w:val="00240391"/>
    <w:rsid w:val="00240AF3"/>
    <w:rsid w:val="002418D5"/>
    <w:rsid w:val="00241B06"/>
    <w:rsid w:val="0024343A"/>
    <w:rsid w:val="002436BA"/>
    <w:rsid w:val="00244652"/>
    <w:rsid w:val="00244A15"/>
    <w:rsid w:val="002452D9"/>
    <w:rsid w:val="00247319"/>
    <w:rsid w:val="0024799E"/>
    <w:rsid w:val="00247E60"/>
    <w:rsid w:val="00251496"/>
    <w:rsid w:val="00251B08"/>
    <w:rsid w:val="00251C53"/>
    <w:rsid w:val="00252AB9"/>
    <w:rsid w:val="002532B1"/>
    <w:rsid w:val="00253C0F"/>
    <w:rsid w:val="002558C1"/>
    <w:rsid w:val="00256207"/>
    <w:rsid w:val="002575F3"/>
    <w:rsid w:val="002603E1"/>
    <w:rsid w:val="0026120E"/>
    <w:rsid w:val="00262582"/>
    <w:rsid w:val="0026291D"/>
    <w:rsid w:val="00262CF3"/>
    <w:rsid w:val="00264309"/>
    <w:rsid w:val="0026564B"/>
    <w:rsid w:val="00265C83"/>
    <w:rsid w:val="00265E85"/>
    <w:rsid w:val="00267B49"/>
    <w:rsid w:val="00267C51"/>
    <w:rsid w:val="002700D9"/>
    <w:rsid w:val="0027025F"/>
    <w:rsid w:val="002709CC"/>
    <w:rsid w:val="00270D25"/>
    <w:rsid w:val="00271022"/>
    <w:rsid w:val="00271465"/>
    <w:rsid w:val="00271E47"/>
    <w:rsid w:val="002721F5"/>
    <w:rsid w:val="00272DF4"/>
    <w:rsid w:val="00275062"/>
    <w:rsid w:val="00275758"/>
    <w:rsid w:val="0027583D"/>
    <w:rsid w:val="00275DEF"/>
    <w:rsid w:val="002763A2"/>
    <w:rsid w:val="00276B33"/>
    <w:rsid w:val="002812E3"/>
    <w:rsid w:val="00282AD4"/>
    <w:rsid w:val="0028341F"/>
    <w:rsid w:val="002837AE"/>
    <w:rsid w:val="00283C13"/>
    <w:rsid w:val="00283F7B"/>
    <w:rsid w:val="0028431A"/>
    <w:rsid w:val="002853FA"/>
    <w:rsid w:val="00285412"/>
    <w:rsid w:val="00286220"/>
    <w:rsid w:val="00291640"/>
    <w:rsid w:val="0029237E"/>
    <w:rsid w:val="00292997"/>
    <w:rsid w:val="00293D24"/>
    <w:rsid w:val="0029509B"/>
    <w:rsid w:val="0029588F"/>
    <w:rsid w:val="00295E96"/>
    <w:rsid w:val="00297256"/>
    <w:rsid w:val="00297A5C"/>
    <w:rsid w:val="00297D51"/>
    <w:rsid w:val="002A0122"/>
    <w:rsid w:val="002A016B"/>
    <w:rsid w:val="002A16D4"/>
    <w:rsid w:val="002A1E4F"/>
    <w:rsid w:val="002A230C"/>
    <w:rsid w:val="002A2AF7"/>
    <w:rsid w:val="002A3209"/>
    <w:rsid w:val="002A3EA2"/>
    <w:rsid w:val="002A51AC"/>
    <w:rsid w:val="002A532A"/>
    <w:rsid w:val="002A5846"/>
    <w:rsid w:val="002A5D97"/>
    <w:rsid w:val="002A603E"/>
    <w:rsid w:val="002A63B9"/>
    <w:rsid w:val="002A7089"/>
    <w:rsid w:val="002B1619"/>
    <w:rsid w:val="002B3EF4"/>
    <w:rsid w:val="002B4845"/>
    <w:rsid w:val="002B5567"/>
    <w:rsid w:val="002B5812"/>
    <w:rsid w:val="002B72AA"/>
    <w:rsid w:val="002C1110"/>
    <w:rsid w:val="002C1BC2"/>
    <w:rsid w:val="002C1F09"/>
    <w:rsid w:val="002C22A4"/>
    <w:rsid w:val="002C260B"/>
    <w:rsid w:val="002C27A6"/>
    <w:rsid w:val="002C31E4"/>
    <w:rsid w:val="002C398D"/>
    <w:rsid w:val="002C40D2"/>
    <w:rsid w:val="002C43BD"/>
    <w:rsid w:val="002C5245"/>
    <w:rsid w:val="002C564A"/>
    <w:rsid w:val="002C59D8"/>
    <w:rsid w:val="002C5FEB"/>
    <w:rsid w:val="002C6494"/>
    <w:rsid w:val="002D05CB"/>
    <w:rsid w:val="002D0E59"/>
    <w:rsid w:val="002D2C4F"/>
    <w:rsid w:val="002D3EBB"/>
    <w:rsid w:val="002D455C"/>
    <w:rsid w:val="002D6066"/>
    <w:rsid w:val="002E02A1"/>
    <w:rsid w:val="002E196A"/>
    <w:rsid w:val="002E20C7"/>
    <w:rsid w:val="002E20CD"/>
    <w:rsid w:val="002E222E"/>
    <w:rsid w:val="002E28D8"/>
    <w:rsid w:val="002E37D1"/>
    <w:rsid w:val="002E3BEE"/>
    <w:rsid w:val="002E4E4C"/>
    <w:rsid w:val="002E4EA7"/>
    <w:rsid w:val="002E5846"/>
    <w:rsid w:val="002E792B"/>
    <w:rsid w:val="002E7AEB"/>
    <w:rsid w:val="002F1B09"/>
    <w:rsid w:val="002F1D56"/>
    <w:rsid w:val="002F1DCB"/>
    <w:rsid w:val="002F1DE4"/>
    <w:rsid w:val="002F333D"/>
    <w:rsid w:val="002F351A"/>
    <w:rsid w:val="002F46D6"/>
    <w:rsid w:val="002F498A"/>
    <w:rsid w:val="002F4AD8"/>
    <w:rsid w:val="002F5285"/>
    <w:rsid w:val="002F5820"/>
    <w:rsid w:val="002F64BB"/>
    <w:rsid w:val="00300C31"/>
    <w:rsid w:val="003017EC"/>
    <w:rsid w:val="00302165"/>
    <w:rsid w:val="00304771"/>
    <w:rsid w:val="003052D4"/>
    <w:rsid w:val="003060E9"/>
    <w:rsid w:val="00306C5B"/>
    <w:rsid w:val="00307529"/>
    <w:rsid w:val="00307DB3"/>
    <w:rsid w:val="00307ED2"/>
    <w:rsid w:val="0031076D"/>
    <w:rsid w:val="0031169A"/>
    <w:rsid w:val="00311AA6"/>
    <w:rsid w:val="00311C4D"/>
    <w:rsid w:val="003121AB"/>
    <w:rsid w:val="00315169"/>
    <w:rsid w:val="003153C8"/>
    <w:rsid w:val="00315524"/>
    <w:rsid w:val="00315561"/>
    <w:rsid w:val="0032058C"/>
    <w:rsid w:val="003208D0"/>
    <w:rsid w:val="003209D6"/>
    <w:rsid w:val="003217B9"/>
    <w:rsid w:val="00321924"/>
    <w:rsid w:val="00321EB6"/>
    <w:rsid w:val="003220A5"/>
    <w:rsid w:val="003238E0"/>
    <w:rsid w:val="00323A1C"/>
    <w:rsid w:val="00324B59"/>
    <w:rsid w:val="0032656E"/>
    <w:rsid w:val="0032788F"/>
    <w:rsid w:val="00332190"/>
    <w:rsid w:val="00332A98"/>
    <w:rsid w:val="003334BD"/>
    <w:rsid w:val="00333973"/>
    <w:rsid w:val="00333CD0"/>
    <w:rsid w:val="0033448D"/>
    <w:rsid w:val="00334AD2"/>
    <w:rsid w:val="00334CB6"/>
    <w:rsid w:val="0033709C"/>
    <w:rsid w:val="003370C5"/>
    <w:rsid w:val="003373C6"/>
    <w:rsid w:val="00340BF3"/>
    <w:rsid w:val="00341D26"/>
    <w:rsid w:val="00341F05"/>
    <w:rsid w:val="0034335E"/>
    <w:rsid w:val="00344668"/>
    <w:rsid w:val="00344940"/>
    <w:rsid w:val="00346234"/>
    <w:rsid w:val="003462D9"/>
    <w:rsid w:val="0034723F"/>
    <w:rsid w:val="00347247"/>
    <w:rsid w:val="003474B6"/>
    <w:rsid w:val="00347DD4"/>
    <w:rsid w:val="00352B43"/>
    <w:rsid w:val="00352C28"/>
    <w:rsid w:val="0036077F"/>
    <w:rsid w:val="00360C86"/>
    <w:rsid w:val="00360F7A"/>
    <w:rsid w:val="00360FBC"/>
    <w:rsid w:val="00361537"/>
    <w:rsid w:val="00361FB7"/>
    <w:rsid w:val="0036242A"/>
    <w:rsid w:val="00362C23"/>
    <w:rsid w:val="00362DCA"/>
    <w:rsid w:val="00362E90"/>
    <w:rsid w:val="00364FA0"/>
    <w:rsid w:val="003657F3"/>
    <w:rsid w:val="00365844"/>
    <w:rsid w:val="00367F84"/>
    <w:rsid w:val="003712BC"/>
    <w:rsid w:val="00372164"/>
    <w:rsid w:val="003738BD"/>
    <w:rsid w:val="00374263"/>
    <w:rsid w:val="003746F0"/>
    <w:rsid w:val="00374A20"/>
    <w:rsid w:val="00374E21"/>
    <w:rsid w:val="0037537A"/>
    <w:rsid w:val="00377B2E"/>
    <w:rsid w:val="003810F0"/>
    <w:rsid w:val="003815D4"/>
    <w:rsid w:val="003818DC"/>
    <w:rsid w:val="00382513"/>
    <w:rsid w:val="00383388"/>
    <w:rsid w:val="003834F8"/>
    <w:rsid w:val="003838D0"/>
    <w:rsid w:val="003840C2"/>
    <w:rsid w:val="00384327"/>
    <w:rsid w:val="00384A89"/>
    <w:rsid w:val="00385086"/>
    <w:rsid w:val="00385D98"/>
    <w:rsid w:val="00390306"/>
    <w:rsid w:val="003908A6"/>
    <w:rsid w:val="0039109D"/>
    <w:rsid w:val="00391989"/>
    <w:rsid w:val="00391A6C"/>
    <w:rsid w:val="003927F6"/>
    <w:rsid w:val="00396739"/>
    <w:rsid w:val="003978B1"/>
    <w:rsid w:val="003A04F6"/>
    <w:rsid w:val="003A0837"/>
    <w:rsid w:val="003A2B4D"/>
    <w:rsid w:val="003A2D12"/>
    <w:rsid w:val="003A2EBA"/>
    <w:rsid w:val="003A45E3"/>
    <w:rsid w:val="003A478C"/>
    <w:rsid w:val="003A4A38"/>
    <w:rsid w:val="003A5525"/>
    <w:rsid w:val="003A5889"/>
    <w:rsid w:val="003A6B38"/>
    <w:rsid w:val="003A6B83"/>
    <w:rsid w:val="003A6C97"/>
    <w:rsid w:val="003A722F"/>
    <w:rsid w:val="003A7373"/>
    <w:rsid w:val="003A7D09"/>
    <w:rsid w:val="003B039F"/>
    <w:rsid w:val="003B0DF4"/>
    <w:rsid w:val="003B1F9D"/>
    <w:rsid w:val="003B2A8D"/>
    <w:rsid w:val="003B2AD1"/>
    <w:rsid w:val="003B2D2E"/>
    <w:rsid w:val="003B461F"/>
    <w:rsid w:val="003B483F"/>
    <w:rsid w:val="003B4998"/>
    <w:rsid w:val="003B5A32"/>
    <w:rsid w:val="003B5B59"/>
    <w:rsid w:val="003B7B50"/>
    <w:rsid w:val="003C0B07"/>
    <w:rsid w:val="003C2CE7"/>
    <w:rsid w:val="003C3490"/>
    <w:rsid w:val="003C3608"/>
    <w:rsid w:val="003C3AE8"/>
    <w:rsid w:val="003C3D2C"/>
    <w:rsid w:val="003C4E13"/>
    <w:rsid w:val="003C6221"/>
    <w:rsid w:val="003C63D7"/>
    <w:rsid w:val="003C68CC"/>
    <w:rsid w:val="003C7E62"/>
    <w:rsid w:val="003D12B9"/>
    <w:rsid w:val="003D1E7A"/>
    <w:rsid w:val="003D242B"/>
    <w:rsid w:val="003D2492"/>
    <w:rsid w:val="003D29AA"/>
    <w:rsid w:val="003D2A99"/>
    <w:rsid w:val="003D6920"/>
    <w:rsid w:val="003E0249"/>
    <w:rsid w:val="003E08A4"/>
    <w:rsid w:val="003E1EF8"/>
    <w:rsid w:val="003E2DFB"/>
    <w:rsid w:val="003E4466"/>
    <w:rsid w:val="003E4C91"/>
    <w:rsid w:val="003E52D8"/>
    <w:rsid w:val="003E62F1"/>
    <w:rsid w:val="003F313C"/>
    <w:rsid w:val="003F33B9"/>
    <w:rsid w:val="003F37FC"/>
    <w:rsid w:val="003F4318"/>
    <w:rsid w:val="003F4B2C"/>
    <w:rsid w:val="003F551C"/>
    <w:rsid w:val="003F626D"/>
    <w:rsid w:val="003F72ED"/>
    <w:rsid w:val="003F7D23"/>
    <w:rsid w:val="00400050"/>
    <w:rsid w:val="004002C8"/>
    <w:rsid w:val="00400468"/>
    <w:rsid w:val="0040099D"/>
    <w:rsid w:val="004016CB"/>
    <w:rsid w:val="00401B23"/>
    <w:rsid w:val="00402ADB"/>
    <w:rsid w:val="0040368D"/>
    <w:rsid w:val="00403D1D"/>
    <w:rsid w:val="00403F57"/>
    <w:rsid w:val="00405318"/>
    <w:rsid w:val="004059D2"/>
    <w:rsid w:val="004060C9"/>
    <w:rsid w:val="004066D0"/>
    <w:rsid w:val="00406C2E"/>
    <w:rsid w:val="00406CDA"/>
    <w:rsid w:val="00406EB0"/>
    <w:rsid w:val="00407711"/>
    <w:rsid w:val="00407C13"/>
    <w:rsid w:val="004103F6"/>
    <w:rsid w:val="00410638"/>
    <w:rsid w:val="00412511"/>
    <w:rsid w:val="004125C2"/>
    <w:rsid w:val="00412DFA"/>
    <w:rsid w:val="00413465"/>
    <w:rsid w:val="004149AC"/>
    <w:rsid w:val="0041501E"/>
    <w:rsid w:val="00415452"/>
    <w:rsid w:val="004159C3"/>
    <w:rsid w:val="00415A57"/>
    <w:rsid w:val="00416DAC"/>
    <w:rsid w:val="00420880"/>
    <w:rsid w:val="00421179"/>
    <w:rsid w:val="00423623"/>
    <w:rsid w:val="00430C96"/>
    <w:rsid w:val="0043174F"/>
    <w:rsid w:val="00431BFF"/>
    <w:rsid w:val="00432199"/>
    <w:rsid w:val="00432A58"/>
    <w:rsid w:val="004331C3"/>
    <w:rsid w:val="00433C17"/>
    <w:rsid w:val="00434617"/>
    <w:rsid w:val="00435051"/>
    <w:rsid w:val="00435C69"/>
    <w:rsid w:val="004360FB"/>
    <w:rsid w:val="00437CED"/>
    <w:rsid w:val="004407BF"/>
    <w:rsid w:val="00440900"/>
    <w:rsid w:val="0044121D"/>
    <w:rsid w:val="00441BF6"/>
    <w:rsid w:val="00441D2B"/>
    <w:rsid w:val="00441F8B"/>
    <w:rsid w:val="00442085"/>
    <w:rsid w:val="0044279E"/>
    <w:rsid w:val="004441A0"/>
    <w:rsid w:val="00445861"/>
    <w:rsid w:val="00445A8E"/>
    <w:rsid w:val="00446D44"/>
    <w:rsid w:val="0045078A"/>
    <w:rsid w:val="0045086D"/>
    <w:rsid w:val="00450DAB"/>
    <w:rsid w:val="0045125B"/>
    <w:rsid w:val="00451EF1"/>
    <w:rsid w:val="00452E60"/>
    <w:rsid w:val="0045321B"/>
    <w:rsid w:val="00456FE5"/>
    <w:rsid w:val="00457490"/>
    <w:rsid w:val="00457953"/>
    <w:rsid w:val="004604D8"/>
    <w:rsid w:val="00460656"/>
    <w:rsid w:val="00460FB3"/>
    <w:rsid w:val="00463D3C"/>
    <w:rsid w:val="00464851"/>
    <w:rsid w:val="00466595"/>
    <w:rsid w:val="0046746A"/>
    <w:rsid w:val="00467B14"/>
    <w:rsid w:val="004707FE"/>
    <w:rsid w:val="00470EDC"/>
    <w:rsid w:val="0047276D"/>
    <w:rsid w:val="00472AF6"/>
    <w:rsid w:val="00473482"/>
    <w:rsid w:val="00474A04"/>
    <w:rsid w:val="00476240"/>
    <w:rsid w:val="00476439"/>
    <w:rsid w:val="00476450"/>
    <w:rsid w:val="004769E1"/>
    <w:rsid w:val="0047735C"/>
    <w:rsid w:val="004776BC"/>
    <w:rsid w:val="00477820"/>
    <w:rsid w:val="00477B96"/>
    <w:rsid w:val="00480BAE"/>
    <w:rsid w:val="0048139F"/>
    <w:rsid w:val="00481E40"/>
    <w:rsid w:val="00482405"/>
    <w:rsid w:val="004826A7"/>
    <w:rsid w:val="0048368C"/>
    <w:rsid w:val="0048372F"/>
    <w:rsid w:val="00484ECE"/>
    <w:rsid w:val="00485E82"/>
    <w:rsid w:val="00486132"/>
    <w:rsid w:val="0048686D"/>
    <w:rsid w:val="00486A4D"/>
    <w:rsid w:val="004915CB"/>
    <w:rsid w:val="004924DC"/>
    <w:rsid w:val="00492879"/>
    <w:rsid w:val="00493E85"/>
    <w:rsid w:val="00495145"/>
    <w:rsid w:val="004979A5"/>
    <w:rsid w:val="004A0144"/>
    <w:rsid w:val="004A036E"/>
    <w:rsid w:val="004A0498"/>
    <w:rsid w:val="004A0D0E"/>
    <w:rsid w:val="004A14E4"/>
    <w:rsid w:val="004A204E"/>
    <w:rsid w:val="004A26A5"/>
    <w:rsid w:val="004A27F0"/>
    <w:rsid w:val="004A3212"/>
    <w:rsid w:val="004A37CD"/>
    <w:rsid w:val="004A40D9"/>
    <w:rsid w:val="004A49A5"/>
    <w:rsid w:val="004A4F8A"/>
    <w:rsid w:val="004A5494"/>
    <w:rsid w:val="004A5D4E"/>
    <w:rsid w:val="004A61C5"/>
    <w:rsid w:val="004A62A0"/>
    <w:rsid w:val="004A77DF"/>
    <w:rsid w:val="004B1417"/>
    <w:rsid w:val="004B305C"/>
    <w:rsid w:val="004B31B8"/>
    <w:rsid w:val="004B339A"/>
    <w:rsid w:val="004B4C83"/>
    <w:rsid w:val="004B55B7"/>
    <w:rsid w:val="004B5BFA"/>
    <w:rsid w:val="004B6468"/>
    <w:rsid w:val="004B6EF8"/>
    <w:rsid w:val="004B7125"/>
    <w:rsid w:val="004B756A"/>
    <w:rsid w:val="004B7FB1"/>
    <w:rsid w:val="004C0B3F"/>
    <w:rsid w:val="004C2794"/>
    <w:rsid w:val="004C2BB6"/>
    <w:rsid w:val="004C2C2D"/>
    <w:rsid w:val="004C3027"/>
    <w:rsid w:val="004C384C"/>
    <w:rsid w:val="004C3867"/>
    <w:rsid w:val="004C3DB0"/>
    <w:rsid w:val="004C439A"/>
    <w:rsid w:val="004C4720"/>
    <w:rsid w:val="004C4CD0"/>
    <w:rsid w:val="004C5060"/>
    <w:rsid w:val="004C5165"/>
    <w:rsid w:val="004C589C"/>
    <w:rsid w:val="004C5AE8"/>
    <w:rsid w:val="004C6E0E"/>
    <w:rsid w:val="004C70DC"/>
    <w:rsid w:val="004D0211"/>
    <w:rsid w:val="004D0794"/>
    <w:rsid w:val="004D2E03"/>
    <w:rsid w:val="004D3296"/>
    <w:rsid w:val="004D4056"/>
    <w:rsid w:val="004D4CB0"/>
    <w:rsid w:val="004D5B0F"/>
    <w:rsid w:val="004D7626"/>
    <w:rsid w:val="004E186A"/>
    <w:rsid w:val="004E1A40"/>
    <w:rsid w:val="004E200A"/>
    <w:rsid w:val="004E23FC"/>
    <w:rsid w:val="004E2409"/>
    <w:rsid w:val="004E261D"/>
    <w:rsid w:val="004E57BF"/>
    <w:rsid w:val="004E5F41"/>
    <w:rsid w:val="004E6011"/>
    <w:rsid w:val="004E6DE6"/>
    <w:rsid w:val="004E765E"/>
    <w:rsid w:val="004E7815"/>
    <w:rsid w:val="004F06F5"/>
    <w:rsid w:val="004F12A4"/>
    <w:rsid w:val="004F253F"/>
    <w:rsid w:val="004F33A0"/>
    <w:rsid w:val="004F3873"/>
    <w:rsid w:val="004F3BD2"/>
    <w:rsid w:val="004F46ED"/>
    <w:rsid w:val="004F4C99"/>
    <w:rsid w:val="004F5358"/>
    <w:rsid w:val="004F6484"/>
    <w:rsid w:val="004F6539"/>
    <w:rsid w:val="00503D54"/>
    <w:rsid w:val="005048E2"/>
    <w:rsid w:val="00505FC8"/>
    <w:rsid w:val="00506603"/>
    <w:rsid w:val="0050689D"/>
    <w:rsid w:val="005077F5"/>
    <w:rsid w:val="005108C0"/>
    <w:rsid w:val="0051094F"/>
    <w:rsid w:val="00511217"/>
    <w:rsid w:val="00511873"/>
    <w:rsid w:val="00512461"/>
    <w:rsid w:val="00512585"/>
    <w:rsid w:val="00512A2F"/>
    <w:rsid w:val="00513B7E"/>
    <w:rsid w:val="00513E9D"/>
    <w:rsid w:val="0051475D"/>
    <w:rsid w:val="00514B11"/>
    <w:rsid w:val="00515485"/>
    <w:rsid w:val="00515BE9"/>
    <w:rsid w:val="00515C74"/>
    <w:rsid w:val="0051630F"/>
    <w:rsid w:val="00517113"/>
    <w:rsid w:val="0052007E"/>
    <w:rsid w:val="00521CAD"/>
    <w:rsid w:val="0052200D"/>
    <w:rsid w:val="00522425"/>
    <w:rsid w:val="00522E01"/>
    <w:rsid w:val="0052337A"/>
    <w:rsid w:val="00524385"/>
    <w:rsid w:val="005246BE"/>
    <w:rsid w:val="00525137"/>
    <w:rsid w:val="005251DD"/>
    <w:rsid w:val="0053012B"/>
    <w:rsid w:val="005301A6"/>
    <w:rsid w:val="00530A68"/>
    <w:rsid w:val="00530AD4"/>
    <w:rsid w:val="00531C5A"/>
    <w:rsid w:val="00532CE7"/>
    <w:rsid w:val="00532D8B"/>
    <w:rsid w:val="0053324C"/>
    <w:rsid w:val="00533A8D"/>
    <w:rsid w:val="00534A28"/>
    <w:rsid w:val="00535018"/>
    <w:rsid w:val="0053595E"/>
    <w:rsid w:val="00537571"/>
    <w:rsid w:val="00540056"/>
    <w:rsid w:val="005410E2"/>
    <w:rsid w:val="00541508"/>
    <w:rsid w:val="00541AE3"/>
    <w:rsid w:val="00543498"/>
    <w:rsid w:val="00544011"/>
    <w:rsid w:val="00544BE5"/>
    <w:rsid w:val="005455F6"/>
    <w:rsid w:val="0054582F"/>
    <w:rsid w:val="00546FC7"/>
    <w:rsid w:val="005500F9"/>
    <w:rsid w:val="00550160"/>
    <w:rsid w:val="005523A8"/>
    <w:rsid w:val="00552F2C"/>
    <w:rsid w:val="00553A25"/>
    <w:rsid w:val="005547EB"/>
    <w:rsid w:val="005555E0"/>
    <w:rsid w:val="0055599F"/>
    <w:rsid w:val="00556D68"/>
    <w:rsid w:val="005570D6"/>
    <w:rsid w:val="00557E0E"/>
    <w:rsid w:val="00557E45"/>
    <w:rsid w:val="00560C41"/>
    <w:rsid w:val="00561F44"/>
    <w:rsid w:val="00562B4D"/>
    <w:rsid w:val="00563EB8"/>
    <w:rsid w:val="005647BF"/>
    <w:rsid w:val="00564AF1"/>
    <w:rsid w:val="005655DB"/>
    <w:rsid w:val="00565E88"/>
    <w:rsid w:val="00567339"/>
    <w:rsid w:val="005678EE"/>
    <w:rsid w:val="00567910"/>
    <w:rsid w:val="00570270"/>
    <w:rsid w:val="00570464"/>
    <w:rsid w:val="00570BC3"/>
    <w:rsid w:val="0057182A"/>
    <w:rsid w:val="00571E59"/>
    <w:rsid w:val="00572079"/>
    <w:rsid w:val="00572900"/>
    <w:rsid w:val="00573602"/>
    <w:rsid w:val="0057364B"/>
    <w:rsid w:val="00574773"/>
    <w:rsid w:val="005761EC"/>
    <w:rsid w:val="00577C07"/>
    <w:rsid w:val="00577DB1"/>
    <w:rsid w:val="00580AD3"/>
    <w:rsid w:val="00580DE7"/>
    <w:rsid w:val="005810E1"/>
    <w:rsid w:val="005820CD"/>
    <w:rsid w:val="00583BDD"/>
    <w:rsid w:val="00583E52"/>
    <w:rsid w:val="00583FFD"/>
    <w:rsid w:val="00584252"/>
    <w:rsid w:val="0058519A"/>
    <w:rsid w:val="005856BD"/>
    <w:rsid w:val="00586BCA"/>
    <w:rsid w:val="00587038"/>
    <w:rsid w:val="00590B28"/>
    <w:rsid w:val="005911BE"/>
    <w:rsid w:val="00591273"/>
    <w:rsid w:val="00591E9E"/>
    <w:rsid w:val="005927A4"/>
    <w:rsid w:val="00593152"/>
    <w:rsid w:val="00593FE6"/>
    <w:rsid w:val="005956A3"/>
    <w:rsid w:val="00595958"/>
    <w:rsid w:val="00595CAB"/>
    <w:rsid w:val="0059622E"/>
    <w:rsid w:val="00597671"/>
    <w:rsid w:val="00597BBF"/>
    <w:rsid w:val="005A0463"/>
    <w:rsid w:val="005A0948"/>
    <w:rsid w:val="005A0A03"/>
    <w:rsid w:val="005A10F2"/>
    <w:rsid w:val="005A21E0"/>
    <w:rsid w:val="005A28FF"/>
    <w:rsid w:val="005A2C09"/>
    <w:rsid w:val="005A3778"/>
    <w:rsid w:val="005A3DF8"/>
    <w:rsid w:val="005A5549"/>
    <w:rsid w:val="005A566A"/>
    <w:rsid w:val="005A7CF8"/>
    <w:rsid w:val="005B0EDA"/>
    <w:rsid w:val="005B121D"/>
    <w:rsid w:val="005B26B0"/>
    <w:rsid w:val="005B41C9"/>
    <w:rsid w:val="005B44E6"/>
    <w:rsid w:val="005B4853"/>
    <w:rsid w:val="005B6CA1"/>
    <w:rsid w:val="005B770C"/>
    <w:rsid w:val="005C06ED"/>
    <w:rsid w:val="005C11B8"/>
    <w:rsid w:val="005C216C"/>
    <w:rsid w:val="005C2609"/>
    <w:rsid w:val="005C2B30"/>
    <w:rsid w:val="005C412B"/>
    <w:rsid w:val="005C43EC"/>
    <w:rsid w:val="005C45DD"/>
    <w:rsid w:val="005C4CB1"/>
    <w:rsid w:val="005D3F06"/>
    <w:rsid w:val="005D4B73"/>
    <w:rsid w:val="005D5645"/>
    <w:rsid w:val="005D5802"/>
    <w:rsid w:val="005D5AA9"/>
    <w:rsid w:val="005D66E6"/>
    <w:rsid w:val="005D7119"/>
    <w:rsid w:val="005D76C8"/>
    <w:rsid w:val="005D7890"/>
    <w:rsid w:val="005E19C1"/>
    <w:rsid w:val="005E2194"/>
    <w:rsid w:val="005E24F0"/>
    <w:rsid w:val="005E36FE"/>
    <w:rsid w:val="005E3F66"/>
    <w:rsid w:val="005E490F"/>
    <w:rsid w:val="005E4BC9"/>
    <w:rsid w:val="005E5314"/>
    <w:rsid w:val="005E7C78"/>
    <w:rsid w:val="005F04A7"/>
    <w:rsid w:val="005F114F"/>
    <w:rsid w:val="005F18C5"/>
    <w:rsid w:val="005F2A08"/>
    <w:rsid w:val="005F36CC"/>
    <w:rsid w:val="005F3EB1"/>
    <w:rsid w:val="005F413E"/>
    <w:rsid w:val="005F466B"/>
    <w:rsid w:val="005F46D8"/>
    <w:rsid w:val="005F480F"/>
    <w:rsid w:val="005F5469"/>
    <w:rsid w:val="005F63F3"/>
    <w:rsid w:val="005F66F0"/>
    <w:rsid w:val="005F6D7F"/>
    <w:rsid w:val="005F7174"/>
    <w:rsid w:val="0060120D"/>
    <w:rsid w:val="00601ADE"/>
    <w:rsid w:val="00601EEF"/>
    <w:rsid w:val="0060255A"/>
    <w:rsid w:val="00602EB3"/>
    <w:rsid w:val="00604307"/>
    <w:rsid w:val="0060487F"/>
    <w:rsid w:val="00604EAD"/>
    <w:rsid w:val="0060513F"/>
    <w:rsid w:val="0060694B"/>
    <w:rsid w:val="006104FB"/>
    <w:rsid w:val="0061176D"/>
    <w:rsid w:val="0061200F"/>
    <w:rsid w:val="00612756"/>
    <w:rsid w:val="00612A2F"/>
    <w:rsid w:val="00612AAE"/>
    <w:rsid w:val="00612FD9"/>
    <w:rsid w:val="006139E0"/>
    <w:rsid w:val="00614D35"/>
    <w:rsid w:val="006156B4"/>
    <w:rsid w:val="00615DAF"/>
    <w:rsid w:val="0061672A"/>
    <w:rsid w:val="00616E05"/>
    <w:rsid w:val="00617985"/>
    <w:rsid w:val="00620B77"/>
    <w:rsid w:val="0062131B"/>
    <w:rsid w:val="00621E26"/>
    <w:rsid w:val="006224EA"/>
    <w:rsid w:val="0062263A"/>
    <w:rsid w:val="006227DF"/>
    <w:rsid w:val="006236C8"/>
    <w:rsid w:val="00624093"/>
    <w:rsid w:val="00625A84"/>
    <w:rsid w:val="00626079"/>
    <w:rsid w:val="00631698"/>
    <w:rsid w:val="00631E44"/>
    <w:rsid w:val="00634C57"/>
    <w:rsid w:val="00634CE7"/>
    <w:rsid w:val="006350D5"/>
    <w:rsid w:val="0063642C"/>
    <w:rsid w:val="00637858"/>
    <w:rsid w:val="006404A7"/>
    <w:rsid w:val="00640A38"/>
    <w:rsid w:val="00640E6B"/>
    <w:rsid w:val="00641787"/>
    <w:rsid w:val="0064179B"/>
    <w:rsid w:val="00642489"/>
    <w:rsid w:val="00644055"/>
    <w:rsid w:val="00644137"/>
    <w:rsid w:val="0064478C"/>
    <w:rsid w:val="00645160"/>
    <w:rsid w:val="006451E4"/>
    <w:rsid w:val="0064574B"/>
    <w:rsid w:val="00645B33"/>
    <w:rsid w:val="006516CB"/>
    <w:rsid w:val="00652E30"/>
    <w:rsid w:val="00653BD0"/>
    <w:rsid w:val="00654110"/>
    <w:rsid w:val="00656C5D"/>
    <w:rsid w:val="00656CFB"/>
    <w:rsid w:val="00657E87"/>
    <w:rsid w:val="00660D2D"/>
    <w:rsid w:val="00661C41"/>
    <w:rsid w:val="00661EC9"/>
    <w:rsid w:val="00662469"/>
    <w:rsid w:val="0066411C"/>
    <w:rsid w:val="00664205"/>
    <w:rsid w:val="00664647"/>
    <w:rsid w:val="00664803"/>
    <w:rsid w:val="006653CC"/>
    <w:rsid w:val="00665982"/>
    <w:rsid w:val="00665BA4"/>
    <w:rsid w:val="00666BF3"/>
    <w:rsid w:val="00667856"/>
    <w:rsid w:val="00667AF2"/>
    <w:rsid w:val="00670489"/>
    <w:rsid w:val="006710C9"/>
    <w:rsid w:val="00672586"/>
    <w:rsid w:val="006741CD"/>
    <w:rsid w:val="00674D89"/>
    <w:rsid w:val="0067514E"/>
    <w:rsid w:val="00675E37"/>
    <w:rsid w:val="00676736"/>
    <w:rsid w:val="006769A4"/>
    <w:rsid w:val="006769C6"/>
    <w:rsid w:val="00676D76"/>
    <w:rsid w:val="00676F9F"/>
    <w:rsid w:val="00677519"/>
    <w:rsid w:val="00677591"/>
    <w:rsid w:val="00677594"/>
    <w:rsid w:val="0068032F"/>
    <w:rsid w:val="00680D37"/>
    <w:rsid w:val="0068174E"/>
    <w:rsid w:val="00681DCE"/>
    <w:rsid w:val="00682110"/>
    <w:rsid w:val="0068260E"/>
    <w:rsid w:val="006846B3"/>
    <w:rsid w:val="00684D59"/>
    <w:rsid w:val="00684E25"/>
    <w:rsid w:val="006858A4"/>
    <w:rsid w:val="00686718"/>
    <w:rsid w:val="00686BFA"/>
    <w:rsid w:val="00686DED"/>
    <w:rsid w:val="006875A0"/>
    <w:rsid w:val="006878C6"/>
    <w:rsid w:val="00687D27"/>
    <w:rsid w:val="00691943"/>
    <w:rsid w:val="00693550"/>
    <w:rsid w:val="00695065"/>
    <w:rsid w:val="00695BEF"/>
    <w:rsid w:val="00696251"/>
    <w:rsid w:val="006966C7"/>
    <w:rsid w:val="006968C1"/>
    <w:rsid w:val="006977F6"/>
    <w:rsid w:val="00697A13"/>
    <w:rsid w:val="006A0DD4"/>
    <w:rsid w:val="006A109C"/>
    <w:rsid w:val="006A5F4B"/>
    <w:rsid w:val="006A6565"/>
    <w:rsid w:val="006A7691"/>
    <w:rsid w:val="006A7EE2"/>
    <w:rsid w:val="006B0514"/>
    <w:rsid w:val="006B0F92"/>
    <w:rsid w:val="006B2785"/>
    <w:rsid w:val="006B27C7"/>
    <w:rsid w:val="006B344A"/>
    <w:rsid w:val="006B58C9"/>
    <w:rsid w:val="006B60ED"/>
    <w:rsid w:val="006B6CC5"/>
    <w:rsid w:val="006B74AC"/>
    <w:rsid w:val="006B78D8"/>
    <w:rsid w:val="006B79EA"/>
    <w:rsid w:val="006C0C5D"/>
    <w:rsid w:val="006C113F"/>
    <w:rsid w:val="006C123E"/>
    <w:rsid w:val="006C15A1"/>
    <w:rsid w:val="006C1752"/>
    <w:rsid w:val="006C1DDC"/>
    <w:rsid w:val="006C28CA"/>
    <w:rsid w:val="006C2BBF"/>
    <w:rsid w:val="006C2FBD"/>
    <w:rsid w:val="006C4355"/>
    <w:rsid w:val="006C469D"/>
    <w:rsid w:val="006C46B5"/>
    <w:rsid w:val="006C484F"/>
    <w:rsid w:val="006C52EC"/>
    <w:rsid w:val="006C5506"/>
    <w:rsid w:val="006C56D4"/>
    <w:rsid w:val="006C6681"/>
    <w:rsid w:val="006C683C"/>
    <w:rsid w:val="006C6924"/>
    <w:rsid w:val="006C6C1E"/>
    <w:rsid w:val="006C7076"/>
    <w:rsid w:val="006C7AEC"/>
    <w:rsid w:val="006C7CA6"/>
    <w:rsid w:val="006D18B3"/>
    <w:rsid w:val="006D1E89"/>
    <w:rsid w:val="006D317E"/>
    <w:rsid w:val="006D3E8A"/>
    <w:rsid w:val="006D61F6"/>
    <w:rsid w:val="006E1332"/>
    <w:rsid w:val="006E19CB"/>
    <w:rsid w:val="006E279A"/>
    <w:rsid w:val="006E313B"/>
    <w:rsid w:val="006E34B2"/>
    <w:rsid w:val="006E3A45"/>
    <w:rsid w:val="006E4078"/>
    <w:rsid w:val="006E53AD"/>
    <w:rsid w:val="006E58CB"/>
    <w:rsid w:val="006E7227"/>
    <w:rsid w:val="006E761A"/>
    <w:rsid w:val="006F0741"/>
    <w:rsid w:val="006F1C27"/>
    <w:rsid w:val="006F2A65"/>
    <w:rsid w:val="006F3DD6"/>
    <w:rsid w:val="006F40DF"/>
    <w:rsid w:val="006F42BB"/>
    <w:rsid w:val="006F438E"/>
    <w:rsid w:val="006F440B"/>
    <w:rsid w:val="006F48A3"/>
    <w:rsid w:val="006F4DA4"/>
    <w:rsid w:val="006F5416"/>
    <w:rsid w:val="006F624B"/>
    <w:rsid w:val="006F6D87"/>
    <w:rsid w:val="0070398A"/>
    <w:rsid w:val="00705242"/>
    <w:rsid w:val="007055E0"/>
    <w:rsid w:val="007056ED"/>
    <w:rsid w:val="00705F4E"/>
    <w:rsid w:val="007065C5"/>
    <w:rsid w:val="007068E1"/>
    <w:rsid w:val="00706AA0"/>
    <w:rsid w:val="00706AD4"/>
    <w:rsid w:val="00707150"/>
    <w:rsid w:val="007124D7"/>
    <w:rsid w:val="00712C20"/>
    <w:rsid w:val="00713549"/>
    <w:rsid w:val="007140BE"/>
    <w:rsid w:val="007147AB"/>
    <w:rsid w:val="00715502"/>
    <w:rsid w:val="00715E4D"/>
    <w:rsid w:val="0071677A"/>
    <w:rsid w:val="00716F48"/>
    <w:rsid w:val="00717114"/>
    <w:rsid w:val="0071779F"/>
    <w:rsid w:val="007211F5"/>
    <w:rsid w:val="00721601"/>
    <w:rsid w:val="00722777"/>
    <w:rsid w:val="00723435"/>
    <w:rsid w:val="00723436"/>
    <w:rsid w:val="007240E2"/>
    <w:rsid w:val="0072454C"/>
    <w:rsid w:val="0072583E"/>
    <w:rsid w:val="00725BB5"/>
    <w:rsid w:val="00727C02"/>
    <w:rsid w:val="0073008E"/>
    <w:rsid w:val="00730AE8"/>
    <w:rsid w:val="00730F1B"/>
    <w:rsid w:val="0073186D"/>
    <w:rsid w:val="0073333D"/>
    <w:rsid w:val="007343D9"/>
    <w:rsid w:val="00734F71"/>
    <w:rsid w:val="00735448"/>
    <w:rsid w:val="00736F07"/>
    <w:rsid w:val="007377BD"/>
    <w:rsid w:val="00737DEC"/>
    <w:rsid w:val="0074004D"/>
    <w:rsid w:val="00741493"/>
    <w:rsid w:val="007434E5"/>
    <w:rsid w:val="0074499B"/>
    <w:rsid w:val="007450BF"/>
    <w:rsid w:val="007471A1"/>
    <w:rsid w:val="007477BD"/>
    <w:rsid w:val="00747EE9"/>
    <w:rsid w:val="007520B6"/>
    <w:rsid w:val="00752180"/>
    <w:rsid w:val="00752323"/>
    <w:rsid w:val="007532B7"/>
    <w:rsid w:val="00753CAB"/>
    <w:rsid w:val="00754A70"/>
    <w:rsid w:val="00754BC9"/>
    <w:rsid w:val="00755202"/>
    <w:rsid w:val="00755D3A"/>
    <w:rsid w:val="00757241"/>
    <w:rsid w:val="0075751D"/>
    <w:rsid w:val="0075763E"/>
    <w:rsid w:val="007578D3"/>
    <w:rsid w:val="007602CF"/>
    <w:rsid w:val="00760391"/>
    <w:rsid w:val="007609C6"/>
    <w:rsid w:val="007615F3"/>
    <w:rsid w:val="0076175D"/>
    <w:rsid w:val="00761CB5"/>
    <w:rsid w:val="007629D5"/>
    <w:rsid w:val="007635F8"/>
    <w:rsid w:val="00763B85"/>
    <w:rsid w:val="00764974"/>
    <w:rsid w:val="00764D18"/>
    <w:rsid w:val="0076521E"/>
    <w:rsid w:val="00765BCC"/>
    <w:rsid w:val="0076600D"/>
    <w:rsid w:val="007661E9"/>
    <w:rsid w:val="00766460"/>
    <w:rsid w:val="00767062"/>
    <w:rsid w:val="00767601"/>
    <w:rsid w:val="00767777"/>
    <w:rsid w:val="00770CFC"/>
    <w:rsid w:val="0077130E"/>
    <w:rsid w:val="007715EE"/>
    <w:rsid w:val="00771972"/>
    <w:rsid w:val="00772279"/>
    <w:rsid w:val="00772DAB"/>
    <w:rsid w:val="00772FF9"/>
    <w:rsid w:val="007743DB"/>
    <w:rsid w:val="00774D2C"/>
    <w:rsid w:val="0077605B"/>
    <w:rsid w:val="00776169"/>
    <w:rsid w:val="00776527"/>
    <w:rsid w:val="00777040"/>
    <w:rsid w:val="00777CE6"/>
    <w:rsid w:val="00777D57"/>
    <w:rsid w:val="00780EF1"/>
    <w:rsid w:val="00781A91"/>
    <w:rsid w:val="00781F36"/>
    <w:rsid w:val="00785778"/>
    <w:rsid w:val="00786C87"/>
    <w:rsid w:val="0078755E"/>
    <w:rsid w:val="007877C9"/>
    <w:rsid w:val="00790764"/>
    <w:rsid w:val="0079085F"/>
    <w:rsid w:val="00790E96"/>
    <w:rsid w:val="00791005"/>
    <w:rsid w:val="00793D78"/>
    <w:rsid w:val="0079420B"/>
    <w:rsid w:val="0079453C"/>
    <w:rsid w:val="00794677"/>
    <w:rsid w:val="00795759"/>
    <w:rsid w:val="007A170B"/>
    <w:rsid w:val="007A20EB"/>
    <w:rsid w:val="007A282C"/>
    <w:rsid w:val="007A293C"/>
    <w:rsid w:val="007A2A3A"/>
    <w:rsid w:val="007A33E2"/>
    <w:rsid w:val="007A3CAF"/>
    <w:rsid w:val="007A4664"/>
    <w:rsid w:val="007A4782"/>
    <w:rsid w:val="007A516D"/>
    <w:rsid w:val="007A5E65"/>
    <w:rsid w:val="007A65E1"/>
    <w:rsid w:val="007A6AAA"/>
    <w:rsid w:val="007A7033"/>
    <w:rsid w:val="007A775D"/>
    <w:rsid w:val="007B0834"/>
    <w:rsid w:val="007B0E83"/>
    <w:rsid w:val="007B11FA"/>
    <w:rsid w:val="007B1396"/>
    <w:rsid w:val="007B16D6"/>
    <w:rsid w:val="007B2011"/>
    <w:rsid w:val="007B2CFE"/>
    <w:rsid w:val="007B309B"/>
    <w:rsid w:val="007B3D5E"/>
    <w:rsid w:val="007B3DCB"/>
    <w:rsid w:val="007B5725"/>
    <w:rsid w:val="007B5C1F"/>
    <w:rsid w:val="007B6689"/>
    <w:rsid w:val="007B6747"/>
    <w:rsid w:val="007B6F72"/>
    <w:rsid w:val="007C10BD"/>
    <w:rsid w:val="007C1F0C"/>
    <w:rsid w:val="007C1FFB"/>
    <w:rsid w:val="007C2D94"/>
    <w:rsid w:val="007C4A6B"/>
    <w:rsid w:val="007C5F92"/>
    <w:rsid w:val="007C6227"/>
    <w:rsid w:val="007C6BBD"/>
    <w:rsid w:val="007C6D89"/>
    <w:rsid w:val="007C6F5E"/>
    <w:rsid w:val="007D0382"/>
    <w:rsid w:val="007D14FE"/>
    <w:rsid w:val="007D1A1F"/>
    <w:rsid w:val="007D213B"/>
    <w:rsid w:val="007D2E18"/>
    <w:rsid w:val="007D40DF"/>
    <w:rsid w:val="007D42E5"/>
    <w:rsid w:val="007D4458"/>
    <w:rsid w:val="007D6AF9"/>
    <w:rsid w:val="007E0535"/>
    <w:rsid w:val="007E0D4A"/>
    <w:rsid w:val="007E1788"/>
    <w:rsid w:val="007E1EE3"/>
    <w:rsid w:val="007E29B4"/>
    <w:rsid w:val="007E2F12"/>
    <w:rsid w:val="007E435A"/>
    <w:rsid w:val="007E445C"/>
    <w:rsid w:val="007E49F7"/>
    <w:rsid w:val="007E4C70"/>
    <w:rsid w:val="007E5B5F"/>
    <w:rsid w:val="007E78B6"/>
    <w:rsid w:val="007E7E61"/>
    <w:rsid w:val="007F0845"/>
    <w:rsid w:val="007F0873"/>
    <w:rsid w:val="007F20F3"/>
    <w:rsid w:val="007F2353"/>
    <w:rsid w:val="007F2390"/>
    <w:rsid w:val="007F2CAC"/>
    <w:rsid w:val="007F4740"/>
    <w:rsid w:val="007F595A"/>
    <w:rsid w:val="007F5C38"/>
    <w:rsid w:val="007F708D"/>
    <w:rsid w:val="007F7E3F"/>
    <w:rsid w:val="008006B3"/>
    <w:rsid w:val="00800B63"/>
    <w:rsid w:val="0080158A"/>
    <w:rsid w:val="00801E13"/>
    <w:rsid w:val="00803008"/>
    <w:rsid w:val="00803069"/>
    <w:rsid w:val="0080346B"/>
    <w:rsid w:val="00804155"/>
    <w:rsid w:val="00804C9F"/>
    <w:rsid w:val="0080559E"/>
    <w:rsid w:val="00805AF3"/>
    <w:rsid w:val="00806C9C"/>
    <w:rsid w:val="0080734C"/>
    <w:rsid w:val="00807C82"/>
    <w:rsid w:val="008117CC"/>
    <w:rsid w:val="00813D58"/>
    <w:rsid w:val="00813DCA"/>
    <w:rsid w:val="008161A6"/>
    <w:rsid w:val="008165B8"/>
    <w:rsid w:val="00816905"/>
    <w:rsid w:val="00816D98"/>
    <w:rsid w:val="00816E42"/>
    <w:rsid w:val="00817040"/>
    <w:rsid w:val="00817A17"/>
    <w:rsid w:val="00817EC1"/>
    <w:rsid w:val="0082112D"/>
    <w:rsid w:val="00821FF6"/>
    <w:rsid w:val="00822574"/>
    <w:rsid w:val="00822980"/>
    <w:rsid w:val="00822F08"/>
    <w:rsid w:val="00825C4D"/>
    <w:rsid w:val="00826A08"/>
    <w:rsid w:val="00826AC0"/>
    <w:rsid w:val="00827186"/>
    <w:rsid w:val="00827C8E"/>
    <w:rsid w:val="00830569"/>
    <w:rsid w:val="00830AEA"/>
    <w:rsid w:val="00830E86"/>
    <w:rsid w:val="0083143E"/>
    <w:rsid w:val="008315B8"/>
    <w:rsid w:val="008315D5"/>
    <w:rsid w:val="00831CDE"/>
    <w:rsid w:val="00831F2B"/>
    <w:rsid w:val="008320CF"/>
    <w:rsid w:val="00832F77"/>
    <w:rsid w:val="00834304"/>
    <w:rsid w:val="00834FAA"/>
    <w:rsid w:val="008354FB"/>
    <w:rsid w:val="00835FF1"/>
    <w:rsid w:val="00836086"/>
    <w:rsid w:val="0083630F"/>
    <w:rsid w:val="00836A06"/>
    <w:rsid w:val="008374BC"/>
    <w:rsid w:val="008379D6"/>
    <w:rsid w:val="00837E48"/>
    <w:rsid w:val="00840293"/>
    <w:rsid w:val="008402AD"/>
    <w:rsid w:val="008408D4"/>
    <w:rsid w:val="008417B5"/>
    <w:rsid w:val="00841901"/>
    <w:rsid w:val="008458BD"/>
    <w:rsid w:val="00846121"/>
    <w:rsid w:val="008461C2"/>
    <w:rsid w:val="008462F1"/>
    <w:rsid w:val="008466C6"/>
    <w:rsid w:val="0084708F"/>
    <w:rsid w:val="008477C8"/>
    <w:rsid w:val="008478A6"/>
    <w:rsid w:val="008502F6"/>
    <w:rsid w:val="0085114D"/>
    <w:rsid w:val="008520A8"/>
    <w:rsid w:val="00852217"/>
    <w:rsid w:val="00853282"/>
    <w:rsid w:val="0085334C"/>
    <w:rsid w:val="00855408"/>
    <w:rsid w:val="00855D03"/>
    <w:rsid w:val="00856D65"/>
    <w:rsid w:val="00861B41"/>
    <w:rsid w:val="00861B9F"/>
    <w:rsid w:val="00861BE3"/>
    <w:rsid w:val="008625D3"/>
    <w:rsid w:val="00862C0A"/>
    <w:rsid w:val="00863434"/>
    <w:rsid w:val="0086344F"/>
    <w:rsid w:val="008641AC"/>
    <w:rsid w:val="00865E4C"/>
    <w:rsid w:val="00867546"/>
    <w:rsid w:val="0086796D"/>
    <w:rsid w:val="00867DAB"/>
    <w:rsid w:val="0087000B"/>
    <w:rsid w:val="008701E4"/>
    <w:rsid w:val="008704E9"/>
    <w:rsid w:val="00870ECD"/>
    <w:rsid w:val="0087347C"/>
    <w:rsid w:val="008734E7"/>
    <w:rsid w:val="0087368D"/>
    <w:rsid w:val="008740CC"/>
    <w:rsid w:val="00874FE8"/>
    <w:rsid w:val="00875A32"/>
    <w:rsid w:val="00876086"/>
    <w:rsid w:val="00876651"/>
    <w:rsid w:val="00876E83"/>
    <w:rsid w:val="008772BC"/>
    <w:rsid w:val="00880A0E"/>
    <w:rsid w:val="008817FE"/>
    <w:rsid w:val="00881CD7"/>
    <w:rsid w:val="00882911"/>
    <w:rsid w:val="00882F6E"/>
    <w:rsid w:val="00883202"/>
    <w:rsid w:val="00884E02"/>
    <w:rsid w:val="00885D40"/>
    <w:rsid w:val="008873D4"/>
    <w:rsid w:val="00890CB1"/>
    <w:rsid w:val="00891EDF"/>
    <w:rsid w:val="00892872"/>
    <w:rsid w:val="0089296D"/>
    <w:rsid w:val="00893E85"/>
    <w:rsid w:val="00893EBE"/>
    <w:rsid w:val="00894031"/>
    <w:rsid w:val="00894C5D"/>
    <w:rsid w:val="00895508"/>
    <w:rsid w:val="008967E9"/>
    <w:rsid w:val="00896A5C"/>
    <w:rsid w:val="008972D2"/>
    <w:rsid w:val="0089754C"/>
    <w:rsid w:val="008A0659"/>
    <w:rsid w:val="008A0ADD"/>
    <w:rsid w:val="008A0D27"/>
    <w:rsid w:val="008A1C59"/>
    <w:rsid w:val="008A37E2"/>
    <w:rsid w:val="008A388E"/>
    <w:rsid w:val="008A394E"/>
    <w:rsid w:val="008A3CBA"/>
    <w:rsid w:val="008A4B59"/>
    <w:rsid w:val="008A63E1"/>
    <w:rsid w:val="008A66B7"/>
    <w:rsid w:val="008A68BB"/>
    <w:rsid w:val="008A6AA5"/>
    <w:rsid w:val="008A7127"/>
    <w:rsid w:val="008B0CBA"/>
    <w:rsid w:val="008B2639"/>
    <w:rsid w:val="008B3537"/>
    <w:rsid w:val="008B3690"/>
    <w:rsid w:val="008B3A80"/>
    <w:rsid w:val="008B3AEC"/>
    <w:rsid w:val="008B3C07"/>
    <w:rsid w:val="008B3F7B"/>
    <w:rsid w:val="008B5324"/>
    <w:rsid w:val="008B5C99"/>
    <w:rsid w:val="008B6106"/>
    <w:rsid w:val="008B7C02"/>
    <w:rsid w:val="008B7D2B"/>
    <w:rsid w:val="008B7EF9"/>
    <w:rsid w:val="008C0049"/>
    <w:rsid w:val="008C0314"/>
    <w:rsid w:val="008C0E88"/>
    <w:rsid w:val="008C1717"/>
    <w:rsid w:val="008C1AF8"/>
    <w:rsid w:val="008C3B05"/>
    <w:rsid w:val="008C4B50"/>
    <w:rsid w:val="008C5A37"/>
    <w:rsid w:val="008C7569"/>
    <w:rsid w:val="008C79C3"/>
    <w:rsid w:val="008D006F"/>
    <w:rsid w:val="008D033D"/>
    <w:rsid w:val="008D0DBD"/>
    <w:rsid w:val="008D117E"/>
    <w:rsid w:val="008D127E"/>
    <w:rsid w:val="008D1CA8"/>
    <w:rsid w:val="008D1E0A"/>
    <w:rsid w:val="008D1E6A"/>
    <w:rsid w:val="008D2A16"/>
    <w:rsid w:val="008D33F5"/>
    <w:rsid w:val="008D35E4"/>
    <w:rsid w:val="008D3ACD"/>
    <w:rsid w:val="008D6C3A"/>
    <w:rsid w:val="008D70E2"/>
    <w:rsid w:val="008E0001"/>
    <w:rsid w:val="008E292B"/>
    <w:rsid w:val="008E2C57"/>
    <w:rsid w:val="008E31FF"/>
    <w:rsid w:val="008E3287"/>
    <w:rsid w:val="008E6DCB"/>
    <w:rsid w:val="008E6F06"/>
    <w:rsid w:val="008E7B8E"/>
    <w:rsid w:val="008E7FC9"/>
    <w:rsid w:val="008F0107"/>
    <w:rsid w:val="008F029B"/>
    <w:rsid w:val="008F0589"/>
    <w:rsid w:val="008F2A5D"/>
    <w:rsid w:val="008F3636"/>
    <w:rsid w:val="008F3FC9"/>
    <w:rsid w:val="008F509F"/>
    <w:rsid w:val="008F5383"/>
    <w:rsid w:val="008F585B"/>
    <w:rsid w:val="008F7FB0"/>
    <w:rsid w:val="009003A8"/>
    <w:rsid w:val="009005E4"/>
    <w:rsid w:val="00900977"/>
    <w:rsid w:val="009021DA"/>
    <w:rsid w:val="00902500"/>
    <w:rsid w:val="00902EFF"/>
    <w:rsid w:val="00903A8E"/>
    <w:rsid w:val="0090432C"/>
    <w:rsid w:val="00904F96"/>
    <w:rsid w:val="009052A3"/>
    <w:rsid w:val="00905314"/>
    <w:rsid w:val="009056D7"/>
    <w:rsid w:val="00905B8D"/>
    <w:rsid w:val="00906401"/>
    <w:rsid w:val="009065CB"/>
    <w:rsid w:val="009067EA"/>
    <w:rsid w:val="00906B79"/>
    <w:rsid w:val="0090786F"/>
    <w:rsid w:val="0091001E"/>
    <w:rsid w:val="00910C18"/>
    <w:rsid w:val="009110F7"/>
    <w:rsid w:val="0091155E"/>
    <w:rsid w:val="00912437"/>
    <w:rsid w:val="00912A92"/>
    <w:rsid w:val="0091476D"/>
    <w:rsid w:val="00915D07"/>
    <w:rsid w:val="009162AE"/>
    <w:rsid w:val="00917251"/>
    <w:rsid w:val="0091728D"/>
    <w:rsid w:val="0092036B"/>
    <w:rsid w:val="009203CC"/>
    <w:rsid w:val="00920EC4"/>
    <w:rsid w:val="0092180B"/>
    <w:rsid w:val="00921F14"/>
    <w:rsid w:val="0092292F"/>
    <w:rsid w:val="00922D28"/>
    <w:rsid w:val="00923CB0"/>
    <w:rsid w:val="00923D8C"/>
    <w:rsid w:val="00924871"/>
    <w:rsid w:val="00924AC8"/>
    <w:rsid w:val="00925429"/>
    <w:rsid w:val="00925615"/>
    <w:rsid w:val="0092597A"/>
    <w:rsid w:val="00926520"/>
    <w:rsid w:val="00926CF0"/>
    <w:rsid w:val="009273A9"/>
    <w:rsid w:val="00930251"/>
    <w:rsid w:val="0093033E"/>
    <w:rsid w:val="009305FC"/>
    <w:rsid w:val="00930FB1"/>
    <w:rsid w:val="0093139F"/>
    <w:rsid w:val="00932443"/>
    <w:rsid w:val="00932B32"/>
    <w:rsid w:val="00933F4A"/>
    <w:rsid w:val="009341F1"/>
    <w:rsid w:val="00934FF2"/>
    <w:rsid w:val="009358D7"/>
    <w:rsid w:val="00935BD4"/>
    <w:rsid w:val="00935DFE"/>
    <w:rsid w:val="00935F70"/>
    <w:rsid w:val="0093648B"/>
    <w:rsid w:val="009373B2"/>
    <w:rsid w:val="00937AE2"/>
    <w:rsid w:val="0094061F"/>
    <w:rsid w:val="00940F0F"/>
    <w:rsid w:val="0094416B"/>
    <w:rsid w:val="0094427A"/>
    <w:rsid w:val="00944C7C"/>
    <w:rsid w:val="00945245"/>
    <w:rsid w:val="00945523"/>
    <w:rsid w:val="00950921"/>
    <w:rsid w:val="00951D68"/>
    <w:rsid w:val="00951E5B"/>
    <w:rsid w:val="00952B7B"/>
    <w:rsid w:val="00954F39"/>
    <w:rsid w:val="009555FD"/>
    <w:rsid w:val="0095664B"/>
    <w:rsid w:val="009568DC"/>
    <w:rsid w:val="00957140"/>
    <w:rsid w:val="00957445"/>
    <w:rsid w:val="0095759C"/>
    <w:rsid w:val="009618EE"/>
    <w:rsid w:val="00961DDD"/>
    <w:rsid w:val="009624D2"/>
    <w:rsid w:val="009628D9"/>
    <w:rsid w:val="009637AE"/>
    <w:rsid w:val="00963A06"/>
    <w:rsid w:val="00964068"/>
    <w:rsid w:val="009640F6"/>
    <w:rsid w:val="0096469D"/>
    <w:rsid w:val="00964776"/>
    <w:rsid w:val="00964A4E"/>
    <w:rsid w:val="00964B35"/>
    <w:rsid w:val="009651C7"/>
    <w:rsid w:val="00965797"/>
    <w:rsid w:val="00965A10"/>
    <w:rsid w:val="00965AD0"/>
    <w:rsid w:val="009670A3"/>
    <w:rsid w:val="009674BE"/>
    <w:rsid w:val="00970FB5"/>
    <w:rsid w:val="00971710"/>
    <w:rsid w:val="00971B87"/>
    <w:rsid w:val="00971C77"/>
    <w:rsid w:val="0097203A"/>
    <w:rsid w:val="00972FCD"/>
    <w:rsid w:val="00973324"/>
    <w:rsid w:val="009736DF"/>
    <w:rsid w:val="009741AE"/>
    <w:rsid w:val="009741FC"/>
    <w:rsid w:val="00974782"/>
    <w:rsid w:val="00974923"/>
    <w:rsid w:val="00975909"/>
    <w:rsid w:val="00977C3D"/>
    <w:rsid w:val="00980D3D"/>
    <w:rsid w:val="0098103E"/>
    <w:rsid w:val="0098157D"/>
    <w:rsid w:val="00983101"/>
    <w:rsid w:val="00983E41"/>
    <w:rsid w:val="009845E1"/>
    <w:rsid w:val="00984D1B"/>
    <w:rsid w:val="00986246"/>
    <w:rsid w:val="00987A30"/>
    <w:rsid w:val="00990312"/>
    <w:rsid w:val="0099182E"/>
    <w:rsid w:val="00992BB3"/>
    <w:rsid w:val="00992CF3"/>
    <w:rsid w:val="00993194"/>
    <w:rsid w:val="0099321E"/>
    <w:rsid w:val="00994171"/>
    <w:rsid w:val="00994868"/>
    <w:rsid w:val="00994D28"/>
    <w:rsid w:val="00994F2C"/>
    <w:rsid w:val="009957CC"/>
    <w:rsid w:val="009968D6"/>
    <w:rsid w:val="00997953"/>
    <w:rsid w:val="009A0BFF"/>
    <w:rsid w:val="009A10A0"/>
    <w:rsid w:val="009A1CAB"/>
    <w:rsid w:val="009A2359"/>
    <w:rsid w:val="009A24F1"/>
    <w:rsid w:val="009A27E0"/>
    <w:rsid w:val="009A4D57"/>
    <w:rsid w:val="009A51A5"/>
    <w:rsid w:val="009A60D1"/>
    <w:rsid w:val="009A6225"/>
    <w:rsid w:val="009A64F5"/>
    <w:rsid w:val="009B00D2"/>
    <w:rsid w:val="009B05B3"/>
    <w:rsid w:val="009B1324"/>
    <w:rsid w:val="009B284F"/>
    <w:rsid w:val="009B3764"/>
    <w:rsid w:val="009B52AC"/>
    <w:rsid w:val="009B59EA"/>
    <w:rsid w:val="009B66CE"/>
    <w:rsid w:val="009B6FD3"/>
    <w:rsid w:val="009B72BE"/>
    <w:rsid w:val="009B78A4"/>
    <w:rsid w:val="009B7DB2"/>
    <w:rsid w:val="009C03DB"/>
    <w:rsid w:val="009C15AF"/>
    <w:rsid w:val="009C1750"/>
    <w:rsid w:val="009C2E29"/>
    <w:rsid w:val="009C3E8F"/>
    <w:rsid w:val="009C554B"/>
    <w:rsid w:val="009C5E83"/>
    <w:rsid w:val="009C7126"/>
    <w:rsid w:val="009C719E"/>
    <w:rsid w:val="009C7799"/>
    <w:rsid w:val="009D07A9"/>
    <w:rsid w:val="009D0AE2"/>
    <w:rsid w:val="009D0D9F"/>
    <w:rsid w:val="009D0EBB"/>
    <w:rsid w:val="009D2C46"/>
    <w:rsid w:val="009D3ACD"/>
    <w:rsid w:val="009D4254"/>
    <w:rsid w:val="009D4F21"/>
    <w:rsid w:val="009D587D"/>
    <w:rsid w:val="009D7731"/>
    <w:rsid w:val="009E1120"/>
    <w:rsid w:val="009E1393"/>
    <w:rsid w:val="009E1922"/>
    <w:rsid w:val="009E1A3D"/>
    <w:rsid w:val="009E4715"/>
    <w:rsid w:val="009E4A58"/>
    <w:rsid w:val="009E5273"/>
    <w:rsid w:val="009E57A8"/>
    <w:rsid w:val="009E5B85"/>
    <w:rsid w:val="009E5DDB"/>
    <w:rsid w:val="009F2921"/>
    <w:rsid w:val="009F42CF"/>
    <w:rsid w:val="009F4982"/>
    <w:rsid w:val="009F4CA7"/>
    <w:rsid w:val="009F4F6A"/>
    <w:rsid w:val="009F55BA"/>
    <w:rsid w:val="009F7D36"/>
    <w:rsid w:val="009F7D61"/>
    <w:rsid w:val="00A00E71"/>
    <w:rsid w:val="00A0306F"/>
    <w:rsid w:val="00A03B10"/>
    <w:rsid w:val="00A03E2E"/>
    <w:rsid w:val="00A04616"/>
    <w:rsid w:val="00A04717"/>
    <w:rsid w:val="00A05D8F"/>
    <w:rsid w:val="00A05EE4"/>
    <w:rsid w:val="00A06F99"/>
    <w:rsid w:val="00A1053B"/>
    <w:rsid w:val="00A10D66"/>
    <w:rsid w:val="00A113A4"/>
    <w:rsid w:val="00A14114"/>
    <w:rsid w:val="00A16413"/>
    <w:rsid w:val="00A16545"/>
    <w:rsid w:val="00A16AED"/>
    <w:rsid w:val="00A16C37"/>
    <w:rsid w:val="00A16E1D"/>
    <w:rsid w:val="00A171D5"/>
    <w:rsid w:val="00A17A15"/>
    <w:rsid w:val="00A17D5B"/>
    <w:rsid w:val="00A2016A"/>
    <w:rsid w:val="00A201E1"/>
    <w:rsid w:val="00A20FE1"/>
    <w:rsid w:val="00A21B4D"/>
    <w:rsid w:val="00A22073"/>
    <w:rsid w:val="00A223E0"/>
    <w:rsid w:val="00A22959"/>
    <w:rsid w:val="00A23158"/>
    <w:rsid w:val="00A23847"/>
    <w:rsid w:val="00A23E43"/>
    <w:rsid w:val="00A24726"/>
    <w:rsid w:val="00A24DEB"/>
    <w:rsid w:val="00A24ED9"/>
    <w:rsid w:val="00A251DB"/>
    <w:rsid w:val="00A25216"/>
    <w:rsid w:val="00A2597D"/>
    <w:rsid w:val="00A2628E"/>
    <w:rsid w:val="00A266BF"/>
    <w:rsid w:val="00A2731E"/>
    <w:rsid w:val="00A309AC"/>
    <w:rsid w:val="00A30F65"/>
    <w:rsid w:val="00A3279E"/>
    <w:rsid w:val="00A33DB1"/>
    <w:rsid w:val="00A35900"/>
    <w:rsid w:val="00A40EAC"/>
    <w:rsid w:val="00A418BC"/>
    <w:rsid w:val="00A419FF"/>
    <w:rsid w:val="00A41FCF"/>
    <w:rsid w:val="00A42936"/>
    <w:rsid w:val="00A43CF8"/>
    <w:rsid w:val="00A43DF2"/>
    <w:rsid w:val="00A445A8"/>
    <w:rsid w:val="00A44B0D"/>
    <w:rsid w:val="00A44D21"/>
    <w:rsid w:val="00A45087"/>
    <w:rsid w:val="00A45489"/>
    <w:rsid w:val="00A45CED"/>
    <w:rsid w:val="00A465E9"/>
    <w:rsid w:val="00A468E7"/>
    <w:rsid w:val="00A46DE0"/>
    <w:rsid w:val="00A478BA"/>
    <w:rsid w:val="00A50D73"/>
    <w:rsid w:val="00A518BB"/>
    <w:rsid w:val="00A52A88"/>
    <w:rsid w:val="00A52CAD"/>
    <w:rsid w:val="00A53FC7"/>
    <w:rsid w:val="00A55569"/>
    <w:rsid w:val="00A566A0"/>
    <w:rsid w:val="00A601E7"/>
    <w:rsid w:val="00A60AC1"/>
    <w:rsid w:val="00A626FF"/>
    <w:rsid w:val="00A62CE1"/>
    <w:rsid w:val="00A65469"/>
    <w:rsid w:val="00A65528"/>
    <w:rsid w:val="00A655D3"/>
    <w:rsid w:val="00A662D9"/>
    <w:rsid w:val="00A6741E"/>
    <w:rsid w:val="00A67E29"/>
    <w:rsid w:val="00A7016A"/>
    <w:rsid w:val="00A7018D"/>
    <w:rsid w:val="00A7191D"/>
    <w:rsid w:val="00A722F9"/>
    <w:rsid w:val="00A72D42"/>
    <w:rsid w:val="00A746C9"/>
    <w:rsid w:val="00A74C2A"/>
    <w:rsid w:val="00A75E40"/>
    <w:rsid w:val="00A76818"/>
    <w:rsid w:val="00A77D1D"/>
    <w:rsid w:val="00A81652"/>
    <w:rsid w:val="00A82C91"/>
    <w:rsid w:val="00A83150"/>
    <w:rsid w:val="00A83398"/>
    <w:rsid w:val="00A83D6E"/>
    <w:rsid w:val="00A83FD5"/>
    <w:rsid w:val="00A8521A"/>
    <w:rsid w:val="00A857C0"/>
    <w:rsid w:val="00A85ACB"/>
    <w:rsid w:val="00A90F2C"/>
    <w:rsid w:val="00A90FED"/>
    <w:rsid w:val="00A91482"/>
    <w:rsid w:val="00A9189D"/>
    <w:rsid w:val="00A91E71"/>
    <w:rsid w:val="00A925B1"/>
    <w:rsid w:val="00A92A3E"/>
    <w:rsid w:val="00A934F9"/>
    <w:rsid w:val="00A940E3"/>
    <w:rsid w:val="00A94983"/>
    <w:rsid w:val="00A95F1A"/>
    <w:rsid w:val="00A96116"/>
    <w:rsid w:val="00A9614E"/>
    <w:rsid w:val="00A96422"/>
    <w:rsid w:val="00A96C0F"/>
    <w:rsid w:val="00A97075"/>
    <w:rsid w:val="00AA0E80"/>
    <w:rsid w:val="00AA17CD"/>
    <w:rsid w:val="00AA1D85"/>
    <w:rsid w:val="00AA212F"/>
    <w:rsid w:val="00AA26A9"/>
    <w:rsid w:val="00AA2996"/>
    <w:rsid w:val="00AA2AF4"/>
    <w:rsid w:val="00AA4282"/>
    <w:rsid w:val="00AA43F2"/>
    <w:rsid w:val="00AA4790"/>
    <w:rsid w:val="00AA52BF"/>
    <w:rsid w:val="00AA559A"/>
    <w:rsid w:val="00AA6C31"/>
    <w:rsid w:val="00AA7752"/>
    <w:rsid w:val="00AA7CE8"/>
    <w:rsid w:val="00AB1457"/>
    <w:rsid w:val="00AB2AF1"/>
    <w:rsid w:val="00AB3EC7"/>
    <w:rsid w:val="00AB5A64"/>
    <w:rsid w:val="00AB5CA1"/>
    <w:rsid w:val="00AB6456"/>
    <w:rsid w:val="00AB75C5"/>
    <w:rsid w:val="00AC044E"/>
    <w:rsid w:val="00AC2118"/>
    <w:rsid w:val="00AC2395"/>
    <w:rsid w:val="00AC2960"/>
    <w:rsid w:val="00AC2AC4"/>
    <w:rsid w:val="00AC4284"/>
    <w:rsid w:val="00AC45BD"/>
    <w:rsid w:val="00AC50BB"/>
    <w:rsid w:val="00AD0B22"/>
    <w:rsid w:val="00AD0EE7"/>
    <w:rsid w:val="00AD168E"/>
    <w:rsid w:val="00AD306C"/>
    <w:rsid w:val="00AD44CD"/>
    <w:rsid w:val="00AD5AD2"/>
    <w:rsid w:val="00AD6462"/>
    <w:rsid w:val="00AD66C5"/>
    <w:rsid w:val="00AD68C4"/>
    <w:rsid w:val="00AD71F9"/>
    <w:rsid w:val="00AE09B3"/>
    <w:rsid w:val="00AE1A83"/>
    <w:rsid w:val="00AE30BE"/>
    <w:rsid w:val="00AE3E6A"/>
    <w:rsid w:val="00AE6414"/>
    <w:rsid w:val="00AE7269"/>
    <w:rsid w:val="00AE797C"/>
    <w:rsid w:val="00AE7CE7"/>
    <w:rsid w:val="00AE7FAB"/>
    <w:rsid w:val="00AF0DE4"/>
    <w:rsid w:val="00AF1E87"/>
    <w:rsid w:val="00AF436B"/>
    <w:rsid w:val="00AF5179"/>
    <w:rsid w:val="00AF5CC2"/>
    <w:rsid w:val="00AF6776"/>
    <w:rsid w:val="00AF6F98"/>
    <w:rsid w:val="00B00550"/>
    <w:rsid w:val="00B00913"/>
    <w:rsid w:val="00B01593"/>
    <w:rsid w:val="00B01FF9"/>
    <w:rsid w:val="00B023F2"/>
    <w:rsid w:val="00B026FE"/>
    <w:rsid w:val="00B038CA"/>
    <w:rsid w:val="00B05F00"/>
    <w:rsid w:val="00B06DB4"/>
    <w:rsid w:val="00B0750D"/>
    <w:rsid w:val="00B0799C"/>
    <w:rsid w:val="00B102CE"/>
    <w:rsid w:val="00B10A4D"/>
    <w:rsid w:val="00B10C90"/>
    <w:rsid w:val="00B11002"/>
    <w:rsid w:val="00B1114F"/>
    <w:rsid w:val="00B121B2"/>
    <w:rsid w:val="00B131B1"/>
    <w:rsid w:val="00B141B6"/>
    <w:rsid w:val="00B14BC1"/>
    <w:rsid w:val="00B162C3"/>
    <w:rsid w:val="00B16DD1"/>
    <w:rsid w:val="00B16EB8"/>
    <w:rsid w:val="00B17E71"/>
    <w:rsid w:val="00B17FDE"/>
    <w:rsid w:val="00B20632"/>
    <w:rsid w:val="00B2379C"/>
    <w:rsid w:val="00B23D5D"/>
    <w:rsid w:val="00B23E6E"/>
    <w:rsid w:val="00B2450C"/>
    <w:rsid w:val="00B2687D"/>
    <w:rsid w:val="00B3108D"/>
    <w:rsid w:val="00B32DDB"/>
    <w:rsid w:val="00B32F57"/>
    <w:rsid w:val="00B3345C"/>
    <w:rsid w:val="00B34528"/>
    <w:rsid w:val="00B34CC9"/>
    <w:rsid w:val="00B34CDA"/>
    <w:rsid w:val="00B3563B"/>
    <w:rsid w:val="00B36BDC"/>
    <w:rsid w:val="00B37D3A"/>
    <w:rsid w:val="00B37D96"/>
    <w:rsid w:val="00B402FC"/>
    <w:rsid w:val="00B422E2"/>
    <w:rsid w:val="00B42D5F"/>
    <w:rsid w:val="00B43216"/>
    <w:rsid w:val="00B439DA"/>
    <w:rsid w:val="00B4411A"/>
    <w:rsid w:val="00B45FE8"/>
    <w:rsid w:val="00B46604"/>
    <w:rsid w:val="00B47089"/>
    <w:rsid w:val="00B47587"/>
    <w:rsid w:val="00B52151"/>
    <w:rsid w:val="00B530CD"/>
    <w:rsid w:val="00B53639"/>
    <w:rsid w:val="00B53C7D"/>
    <w:rsid w:val="00B53E56"/>
    <w:rsid w:val="00B55A97"/>
    <w:rsid w:val="00B55F5E"/>
    <w:rsid w:val="00B5642C"/>
    <w:rsid w:val="00B5658D"/>
    <w:rsid w:val="00B56B6F"/>
    <w:rsid w:val="00B5752E"/>
    <w:rsid w:val="00B60AC1"/>
    <w:rsid w:val="00B61FF6"/>
    <w:rsid w:val="00B62316"/>
    <w:rsid w:val="00B63A11"/>
    <w:rsid w:val="00B64425"/>
    <w:rsid w:val="00B64C24"/>
    <w:rsid w:val="00B65CEF"/>
    <w:rsid w:val="00B6608F"/>
    <w:rsid w:val="00B67749"/>
    <w:rsid w:val="00B679FB"/>
    <w:rsid w:val="00B71FBF"/>
    <w:rsid w:val="00B734A0"/>
    <w:rsid w:val="00B73A14"/>
    <w:rsid w:val="00B748BD"/>
    <w:rsid w:val="00B7680F"/>
    <w:rsid w:val="00B76B48"/>
    <w:rsid w:val="00B76D1E"/>
    <w:rsid w:val="00B77543"/>
    <w:rsid w:val="00B77584"/>
    <w:rsid w:val="00B80D89"/>
    <w:rsid w:val="00B80EC6"/>
    <w:rsid w:val="00B81288"/>
    <w:rsid w:val="00B81D70"/>
    <w:rsid w:val="00B833B9"/>
    <w:rsid w:val="00B83AAF"/>
    <w:rsid w:val="00B83E07"/>
    <w:rsid w:val="00B84CF6"/>
    <w:rsid w:val="00B85016"/>
    <w:rsid w:val="00B8561A"/>
    <w:rsid w:val="00B86643"/>
    <w:rsid w:val="00B868F7"/>
    <w:rsid w:val="00B90131"/>
    <w:rsid w:val="00B92951"/>
    <w:rsid w:val="00B92D1D"/>
    <w:rsid w:val="00B92D7E"/>
    <w:rsid w:val="00B930CE"/>
    <w:rsid w:val="00B938C5"/>
    <w:rsid w:val="00B940A8"/>
    <w:rsid w:val="00B9554A"/>
    <w:rsid w:val="00B95940"/>
    <w:rsid w:val="00B95ACA"/>
    <w:rsid w:val="00B96D74"/>
    <w:rsid w:val="00B9720E"/>
    <w:rsid w:val="00B97ACC"/>
    <w:rsid w:val="00B97FE2"/>
    <w:rsid w:val="00BA0E0B"/>
    <w:rsid w:val="00BA201A"/>
    <w:rsid w:val="00BA361D"/>
    <w:rsid w:val="00BA3787"/>
    <w:rsid w:val="00BA403A"/>
    <w:rsid w:val="00BA46E8"/>
    <w:rsid w:val="00BA4AE9"/>
    <w:rsid w:val="00BA4E19"/>
    <w:rsid w:val="00BA6436"/>
    <w:rsid w:val="00BA64F2"/>
    <w:rsid w:val="00BA684E"/>
    <w:rsid w:val="00BA6C2B"/>
    <w:rsid w:val="00BA7B64"/>
    <w:rsid w:val="00BB02A3"/>
    <w:rsid w:val="00BB0351"/>
    <w:rsid w:val="00BB15C3"/>
    <w:rsid w:val="00BB1AF4"/>
    <w:rsid w:val="00BB2202"/>
    <w:rsid w:val="00BB3C6B"/>
    <w:rsid w:val="00BB3FD6"/>
    <w:rsid w:val="00BB453F"/>
    <w:rsid w:val="00BB46F3"/>
    <w:rsid w:val="00BB4A71"/>
    <w:rsid w:val="00BB4CB1"/>
    <w:rsid w:val="00BB4F98"/>
    <w:rsid w:val="00BB5AB2"/>
    <w:rsid w:val="00BB5ABF"/>
    <w:rsid w:val="00BB6EA2"/>
    <w:rsid w:val="00BB7B5B"/>
    <w:rsid w:val="00BB7EB1"/>
    <w:rsid w:val="00BC003F"/>
    <w:rsid w:val="00BC0930"/>
    <w:rsid w:val="00BC327F"/>
    <w:rsid w:val="00BC3512"/>
    <w:rsid w:val="00BC4B35"/>
    <w:rsid w:val="00BC50BE"/>
    <w:rsid w:val="00BC5332"/>
    <w:rsid w:val="00BC5715"/>
    <w:rsid w:val="00BC5C12"/>
    <w:rsid w:val="00BC641B"/>
    <w:rsid w:val="00BC7154"/>
    <w:rsid w:val="00BC731E"/>
    <w:rsid w:val="00BC7614"/>
    <w:rsid w:val="00BD041B"/>
    <w:rsid w:val="00BD25BB"/>
    <w:rsid w:val="00BD2AF8"/>
    <w:rsid w:val="00BD366B"/>
    <w:rsid w:val="00BD3C09"/>
    <w:rsid w:val="00BD410B"/>
    <w:rsid w:val="00BD4A73"/>
    <w:rsid w:val="00BD6C75"/>
    <w:rsid w:val="00BD6D50"/>
    <w:rsid w:val="00BD73D2"/>
    <w:rsid w:val="00BE0AD1"/>
    <w:rsid w:val="00BE0EF9"/>
    <w:rsid w:val="00BE10A1"/>
    <w:rsid w:val="00BE18B9"/>
    <w:rsid w:val="00BE190A"/>
    <w:rsid w:val="00BE2495"/>
    <w:rsid w:val="00BE24DD"/>
    <w:rsid w:val="00BE386D"/>
    <w:rsid w:val="00BE54BF"/>
    <w:rsid w:val="00BE557B"/>
    <w:rsid w:val="00BE7F5F"/>
    <w:rsid w:val="00BF02C8"/>
    <w:rsid w:val="00BF1578"/>
    <w:rsid w:val="00BF15CA"/>
    <w:rsid w:val="00BF1D12"/>
    <w:rsid w:val="00BF1D3A"/>
    <w:rsid w:val="00BF2B5B"/>
    <w:rsid w:val="00BF2D41"/>
    <w:rsid w:val="00BF3274"/>
    <w:rsid w:val="00BF32DC"/>
    <w:rsid w:val="00BF4329"/>
    <w:rsid w:val="00BF4E43"/>
    <w:rsid w:val="00BF5C4C"/>
    <w:rsid w:val="00BF77FC"/>
    <w:rsid w:val="00C006D6"/>
    <w:rsid w:val="00C00BD7"/>
    <w:rsid w:val="00C01410"/>
    <w:rsid w:val="00C04B78"/>
    <w:rsid w:val="00C052AA"/>
    <w:rsid w:val="00C06EE3"/>
    <w:rsid w:val="00C07749"/>
    <w:rsid w:val="00C11244"/>
    <w:rsid w:val="00C11D48"/>
    <w:rsid w:val="00C1246C"/>
    <w:rsid w:val="00C1493E"/>
    <w:rsid w:val="00C15DBD"/>
    <w:rsid w:val="00C2010D"/>
    <w:rsid w:val="00C20CB5"/>
    <w:rsid w:val="00C21430"/>
    <w:rsid w:val="00C216DF"/>
    <w:rsid w:val="00C21E61"/>
    <w:rsid w:val="00C21F94"/>
    <w:rsid w:val="00C234DB"/>
    <w:rsid w:val="00C2479A"/>
    <w:rsid w:val="00C24903"/>
    <w:rsid w:val="00C2590D"/>
    <w:rsid w:val="00C25D9C"/>
    <w:rsid w:val="00C27913"/>
    <w:rsid w:val="00C300E2"/>
    <w:rsid w:val="00C31F21"/>
    <w:rsid w:val="00C32631"/>
    <w:rsid w:val="00C33301"/>
    <w:rsid w:val="00C33311"/>
    <w:rsid w:val="00C33B68"/>
    <w:rsid w:val="00C35570"/>
    <w:rsid w:val="00C35A2A"/>
    <w:rsid w:val="00C36A79"/>
    <w:rsid w:val="00C401A9"/>
    <w:rsid w:val="00C401D2"/>
    <w:rsid w:val="00C4031A"/>
    <w:rsid w:val="00C405D4"/>
    <w:rsid w:val="00C419D5"/>
    <w:rsid w:val="00C41D54"/>
    <w:rsid w:val="00C42EBB"/>
    <w:rsid w:val="00C4513B"/>
    <w:rsid w:val="00C475E8"/>
    <w:rsid w:val="00C50E79"/>
    <w:rsid w:val="00C5197D"/>
    <w:rsid w:val="00C525FB"/>
    <w:rsid w:val="00C5390B"/>
    <w:rsid w:val="00C54257"/>
    <w:rsid w:val="00C54697"/>
    <w:rsid w:val="00C550CE"/>
    <w:rsid w:val="00C553A5"/>
    <w:rsid w:val="00C55402"/>
    <w:rsid w:val="00C5603B"/>
    <w:rsid w:val="00C61F47"/>
    <w:rsid w:val="00C62828"/>
    <w:rsid w:val="00C715CC"/>
    <w:rsid w:val="00C719A3"/>
    <w:rsid w:val="00C71D2F"/>
    <w:rsid w:val="00C72984"/>
    <w:rsid w:val="00C73885"/>
    <w:rsid w:val="00C73C93"/>
    <w:rsid w:val="00C7435A"/>
    <w:rsid w:val="00C747B1"/>
    <w:rsid w:val="00C75510"/>
    <w:rsid w:val="00C755F9"/>
    <w:rsid w:val="00C75752"/>
    <w:rsid w:val="00C770C9"/>
    <w:rsid w:val="00C81070"/>
    <w:rsid w:val="00C8174E"/>
    <w:rsid w:val="00C82191"/>
    <w:rsid w:val="00C83134"/>
    <w:rsid w:val="00C831E7"/>
    <w:rsid w:val="00C832F3"/>
    <w:rsid w:val="00C84307"/>
    <w:rsid w:val="00C845A4"/>
    <w:rsid w:val="00C85545"/>
    <w:rsid w:val="00C855B5"/>
    <w:rsid w:val="00C85F0E"/>
    <w:rsid w:val="00C90CF4"/>
    <w:rsid w:val="00C91C20"/>
    <w:rsid w:val="00C922DE"/>
    <w:rsid w:val="00C92843"/>
    <w:rsid w:val="00C92EB6"/>
    <w:rsid w:val="00C93389"/>
    <w:rsid w:val="00C948E6"/>
    <w:rsid w:val="00C94CDD"/>
    <w:rsid w:val="00C97588"/>
    <w:rsid w:val="00CA0346"/>
    <w:rsid w:val="00CA0DA1"/>
    <w:rsid w:val="00CA1BD6"/>
    <w:rsid w:val="00CA37FF"/>
    <w:rsid w:val="00CA423A"/>
    <w:rsid w:val="00CA47BC"/>
    <w:rsid w:val="00CA5EAD"/>
    <w:rsid w:val="00CA6AB4"/>
    <w:rsid w:val="00CA7255"/>
    <w:rsid w:val="00CB1BEE"/>
    <w:rsid w:val="00CB2351"/>
    <w:rsid w:val="00CB4930"/>
    <w:rsid w:val="00CB4BA9"/>
    <w:rsid w:val="00CB4C63"/>
    <w:rsid w:val="00CB5A48"/>
    <w:rsid w:val="00CB5E10"/>
    <w:rsid w:val="00CB613B"/>
    <w:rsid w:val="00CB6152"/>
    <w:rsid w:val="00CB64E1"/>
    <w:rsid w:val="00CB6E4D"/>
    <w:rsid w:val="00CC0834"/>
    <w:rsid w:val="00CC0AEA"/>
    <w:rsid w:val="00CC20FE"/>
    <w:rsid w:val="00CC2E7D"/>
    <w:rsid w:val="00CC5BE8"/>
    <w:rsid w:val="00CC612B"/>
    <w:rsid w:val="00CC655F"/>
    <w:rsid w:val="00CC66F9"/>
    <w:rsid w:val="00CC6C2A"/>
    <w:rsid w:val="00CC6FE5"/>
    <w:rsid w:val="00CC7458"/>
    <w:rsid w:val="00CC76BD"/>
    <w:rsid w:val="00CC7A87"/>
    <w:rsid w:val="00CD0D6B"/>
    <w:rsid w:val="00CD10A5"/>
    <w:rsid w:val="00CD1129"/>
    <w:rsid w:val="00CD1A80"/>
    <w:rsid w:val="00CD1CB5"/>
    <w:rsid w:val="00CD2076"/>
    <w:rsid w:val="00CD24CE"/>
    <w:rsid w:val="00CD29B5"/>
    <w:rsid w:val="00CD2B78"/>
    <w:rsid w:val="00CD3FAB"/>
    <w:rsid w:val="00CD5456"/>
    <w:rsid w:val="00CD5C3E"/>
    <w:rsid w:val="00CD5C57"/>
    <w:rsid w:val="00CD6331"/>
    <w:rsid w:val="00CE14BE"/>
    <w:rsid w:val="00CE17A4"/>
    <w:rsid w:val="00CE1BA9"/>
    <w:rsid w:val="00CE2D8F"/>
    <w:rsid w:val="00CE3E48"/>
    <w:rsid w:val="00CE47B8"/>
    <w:rsid w:val="00CE62FA"/>
    <w:rsid w:val="00CE670B"/>
    <w:rsid w:val="00CE6833"/>
    <w:rsid w:val="00CF020B"/>
    <w:rsid w:val="00CF2E4D"/>
    <w:rsid w:val="00CF4205"/>
    <w:rsid w:val="00CF4908"/>
    <w:rsid w:val="00CF51EC"/>
    <w:rsid w:val="00CF545D"/>
    <w:rsid w:val="00CF5873"/>
    <w:rsid w:val="00CF73AE"/>
    <w:rsid w:val="00CF7777"/>
    <w:rsid w:val="00D0085A"/>
    <w:rsid w:val="00D0197F"/>
    <w:rsid w:val="00D01B31"/>
    <w:rsid w:val="00D0242D"/>
    <w:rsid w:val="00D02716"/>
    <w:rsid w:val="00D03A72"/>
    <w:rsid w:val="00D040DD"/>
    <w:rsid w:val="00D04134"/>
    <w:rsid w:val="00D05C65"/>
    <w:rsid w:val="00D06B56"/>
    <w:rsid w:val="00D06D68"/>
    <w:rsid w:val="00D075BE"/>
    <w:rsid w:val="00D07AFF"/>
    <w:rsid w:val="00D10C15"/>
    <w:rsid w:val="00D11011"/>
    <w:rsid w:val="00D11476"/>
    <w:rsid w:val="00D12C25"/>
    <w:rsid w:val="00D133B4"/>
    <w:rsid w:val="00D13986"/>
    <w:rsid w:val="00D14C5B"/>
    <w:rsid w:val="00D15FED"/>
    <w:rsid w:val="00D16712"/>
    <w:rsid w:val="00D214EF"/>
    <w:rsid w:val="00D215B0"/>
    <w:rsid w:val="00D21D6D"/>
    <w:rsid w:val="00D21D83"/>
    <w:rsid w:val="00D22A47"/>
    <w:rsid w:val="00D235B7"/>
    <w:rsid w:val="00D23FAE"/>
    <w:rsid w:val="00D25F28"/>
    <w:rsid w:val="00D26071"/>
    <w:rsid w:val="00D260C7"/>
    <w:rsid w:val="00D269B9"/>
    <w:rsid w:val="00D27973"/>
    <w:rsid w:val="00D27F3A"/>
    <w:rsid w:val="00D31537"/>
    <w:rsid w:val="00D31E1E"/>
    <w:rsid w:val="00D322A0"/>
    <w:rsid w:val="00D32824"/>
    <w:rsid w:val="00D334E2"/>
    <w:rsid w:val="00D350B1"/>
    <w:rsid w:val="00D35AD6"/>
    <w:rsid w:val="00D35BBB"/>
    <w:rsid w:val="00D35E1A"/>
    <w:rsid w:val="00D36B0A"/>
    <w:rsid w:val="00D36DFB"/>
    <w:rsid w:val="00D36E1C"/>
    <w:rsid w:val="00D373AF"/>
    <w:rsid w:val="00D40556"/>
    <w:rsid w:val="00D41F74"/>
    <w:rsid w:val="00D428C8"/>
    <w:rsid w:val="00D43034"/>
    <w:rsid w:val="00D43ED2"/>
    <w:rsid w:val="00D50F46"/>
    <w:rsid w:val="00D5384E"/>
    <w:rsid w:val="00D544E7"/>
    <w:rsid w:val="00D5499F"/>
    <w:rsid w:val="00D5560A"/>
    <w:rsid w:val="00D56FBF"/>
    <w:rsid w:val="00D57677"/>
    <w:rsid w:val="00D5781F"/>
    <w:rsid w:val="00D60415"/>
    <w:rsid w:val="00D60E3C"/>
    <w:rsid w:val="00D61FAB"/>
    <w:rsid w:val="00D63BE5"/>
    <w:rsid w:val="00D6475F"/>
    <w:rsid w:val="00D655D4"/>
    <w:rsid w:val="00D66223"/>
    <w:rsid w:val="00D667B8"/>
    <w:rsid w:val="00D70289"/>
    <w:rsid w:val="00D70822"/>
    <w:rsid w:val="00D72076"/>
    <w:rsid w:val="00D721B4"/>
    <w:rsid w:val="00D726A9"/>
    <w:rsid w:val="00D72DBA"/>
    <w:rsid w:val="00D743E0"/>
    <w:rsid w:val="00D7490C"/>
    <w:rsid w:val="00D75AC1"/>
    <w:rsid w:val="00D77252"/>
    <w:rsid w:val="00D8084C"/>
    <w:rsid w:val="00D81809"/>
    <w:rsid w:val="00D82EF1"/>
    <w:rsid w:val="00D84F43"/>
    <w:rsid w:val="00D85114"/>
    <w:rsid w:val="00D85821"/>
    <w:rsid w:val="00D8598C"/>
    <w:rsid w:val="00D87C06"/>
    <w:rsid w:val="00D915EA"/>
    <w:rsid w:val="00D919ED"/>
    <w:rsid w:val="00D922A1"/>
    <w:rsid w:val="00D928BE"/>
    <w:rsid w:val="00D932B8"/>
    <w:rsid w:val="00D95302"/>
    <w:rsid w:val="00D95C5D"/>
    <w:rsid w:val="00D97D00"/>
    <w:rsid w:val="00DA096C"/>
    <w:rsid w:val="00DA1AB6"/>
    <w:rsid w:val="00DA2E65"/>
    <w:rsid w:val="00DA3ADF"/>
    <w:rsid w:val="00DA4174"/>
    <w:rsid w:val="00DA544C"/>
    <w:rsid w:val="00DA5F8E"/>
    <w:rsid w:val="00DA6364"/>
    <w:rsid w:val="00DA7114"/>
    <w:rsid w:val="00DA7C0C"/>
    <w:rsid w:val="00DB03DD"/>
    <w:rsid w:val="00DB08A9"/>
    <w:rsid w:val="00DB0B33"/>
    <w:rsid w:val="00DB0FD9"/>
    <w:rsid w:val="00DB2DFA"/>
    <w:rsid w:val="00DB2EC8"/>
    <w:rsid w:val="00DB321D"/>
    <w:rsid w:val="00DB459B"/>
    <w:rsid w:val="00DB47FD"/>
    <w:rsid w:val="00DB5E3A"/>
    <w:rsid w:val="00DB5E9A"/>
    <w:rsid w:val="00DB613B"/>
    <w:rsid w:val="00DB657E"/>
    <w:rsid w:val="00DB7342"/>
    <w:rsid w:val="00DB7489"/>
    <w:rsid w:val="00DC17D0"/>
    <w:rsid w:val="00DC2B41"/>
    <w:rsid w:val="00DC3128"/>
    <w:rsid w:val="00DC435B"/>
    <w:rsid w:val="00DC53D8"/>
    <w:rsid w:val="00DC56FE"/>
    <w:rsid w:val="00DC5B3B"/>
    <w:rsid w:val="00DC6C2D"/>
    <w:rsid w:val="00DC7B1A"/>
    <w:rsid w:val="00DD04B0"/>
    <w:rsid w:val="00DD129F"/>
    <w:rsid w:val="00DD13FC"/>
    <w:rsid w:val="00DD1A3F"/>
    <w:rsid w:val="00DD29B5"/>
    <w:rsid w:val="00DD32DD"/>
    <w:rsid w:val="00DD33E8"/>
    <w:rsid w:val="00DD5287"/>
    <w:rsid w:val="00DD5B36"/>
    <w:rsid w:val="00DD7849"/>
    <w:rsid w:val="00DE03DE"/>
    <w:rsid w:val="00DE0D8B"/>
    <w:rsid w:val="00DE1237"/>
    <w:rsid w:val="00DE140F"/>
    <w:rsid w:val="00DE17E9"/>
    <w:rsid w:val="00DE2491"/>
    <w:rsid w:val="00DE450F"/>
    <w:rsid w:val="00DE5CA6"/>
    <w:rsid w:val="00DE7AC8"/>
    <w:rsid w:val="00DF0830"/>
    <w:rsid w:val="00DF2C5D"/>
    <w:rsid w:val="00DF3643"/>
    <w:rsid w:val="00DF42FF"/>
    <w:rsid w:val="00DF4369"/>
    <w:rsid w:val="00DF4423"/>
    <w:rsid w:val="00DF4ADF"/>
    <w:rsid w:val="00DF5D1E"/>
    <w:rsid w:val="00DF77E4"/>
    <w:rsid w:val="00DF7F88"/>
    <w:rsid w:val="00E00B88"/>
    <w:rsid w:val="00E01C0E"/>
    <w:rsid w:val="00E0368F"/>
    <w:rsid w:val="00E03D73"/>
    <w:rsid w:val="00E03F9A"/>
    <w:rsid w:val="00E040DA"/>
    <w:rsid w:val="00E04694"/>
    <w:rsid w:val="00E1168B"/>
    <w:rsid w:val="00E12191"/>
    <w:rsid w:val="00E129E7"/>
    <w:rsid w:val="00E12ABE"/>
    <w:rsid w:val="00E12B1E"/>
    <w:rsid w:val="00E13995"/>
    <w:rsid w:val="00E1444C"/>
    <w:rsid w:val="00E17262"/>
    <w:rsid w:val="00E17F36"/>
    <w:rsid w:val="00E20016"/>
    <w:rsid w:val="00E2009B"/>
    <w:rsid w:val="00E20BB9"/>
    <w:rsid w:val="00E20BCC"/>
    <w:rsid w:val="00E2251C"/>
    <w:rsid w:val="00E2363D"/>
    <w:rsid w:val="00E23C6A"/>
    <w:rsid w:val="00E2484B"/>
    <w:rsid w:val="00E253A2"/>
    <w:rsid w:val="00E260F6"/>
    <w:rsid w:val="00E27127"/>
    <w:rsid w:val="00E27233"/>
    <w:rsid w:val="00E30F15"/>
    <w:rsid w:val="00E31771"/>
    <w:rsid w:val="00E3186D"/>
    <w:rsid w:val="00E31A3E"/>
    <w:rsid w:val="00E32080"/>
    <w:rsid w:val="00E3309D"/>
    <w:rsid w:val="00E350B1"/>
    <w:rsid w:val="00E35A53"/>
    <w:rsid w:val="00E3656B"/>
    <w:rsid w:val="00E3724A"/>
    <w:rsid w:val="00E378B1"/>
    <w:rsid w:val="00E417BE"/>
    <w:rsid w:val="00E41CD5"/>
    <w:rsid w:val="00E42054"/>
    <w:rsid w:val="00E4372D"/>
    <w:rsid w:val="00E43A9E"/>
    <w:rsid w:val="00E44243"/>
    <w:rsid w:val="00E453F9"/>
    <w:rsid w:val="00E45D7D"/>
    <w:rsid w:val="00E4623F"/>
    <w:rsid w:val="00E4665D"/>
    <w:rsid w:val="00E47854"/>
    <w:rsid w:val="00E47EBA"/>
    <w:rsid w:val="00E50156"/>
    <w:rsid w:val="00E504EB"/>
    <w:rsid w:val="00E5076C"/>
    <w:rsid w:val="00E50D2E"/>
    <w:rsid w:val="00E50D7D"/>
    <w:rsid w:val="00E51EF0"/>
    <w:rsid w:val="00E53470"/>
    <w:rsid w:val="00E5368D"/>
    <w:rsid w:val="00E539F6"/>
    <w:rsid w:val="00E54698"/>
    <w:rsid w:val="00E54FB4"/>
    <w:rsid w:val="00E5539A"/>
    <w:rsid w:val="00E55791"/>
    <w:rsid w:val="00E55E1A"/>
    <w:rsid w:val="00E578A2"/>
    <w:rsid w:val="00E579ED"/>
    <w:rsid w:val="00E60043"/>
    <w:rsid w:val="00E61740"/>
    <w:rsid w:val="00E61EB5"/>
    <w:rsid w:val="00E6324D"/>
    <w:rsid w:val="00E65084"/>
    <w:rsid w:val="00E6519D"/>
    <w:rsid w:val="00E66062"/>
    <w:rsid w:val="00E6660E"/>
    <w:rsid w:val="00E66768"/>
    <w:rsid w:val="00E67305"/>
    <w:rsid w:val="00E67696"/>
    <w:rsid w:val="00E70C5F"/>
    <w:rsid w:val="00E71A58"/>
    <w:rsid w:val="00E72A26"/>
    <w:rsid w:val="00E72A7A"/>
    <w:rsid w:val="00E7335A"/>
    <w:rsid w:val="00E7467D"/>
    <w:rsid w:val="00E747DC"/>
    <w:rsid w:val="00E74A2D"/>
    <w:rsid w:val="00E75C94"/>
    <w:rsid w:val="00E76A08"/>
    <w:rsid w:val="00E76B9B"/>
    <w:rsid w:val="00E76E61"/>
    <w:rsid w:val="00E77CC0"/>
    <w:rsid w:val="00E80B3D"/>
    <w:rsid w:val="00E80CA3"/>
    <w:rsid w:val="00E82618"/>
    <w:rsid w:val="00E84E09"/>
    <w:rsid w:val="00E90CA8"/>
    <w:rsid w:val="00E930A1"/>
    <w:rsid w:val="00E93820"/>
    <w:rsid w:val="00E94A86"/>
    <w:rsid w:val="00E953F6"/>
    <w:rsid w:val="00E96143"/>
    <w:rsid w:val="00E96833"/>
    <w:rsid w:val="00E97506"/>
    <w:rsid w:val="00E97BB5"/>
    <w:rsid w:val="00E97F14"/>
    <w:rsid w:val="00EA0C68"/>
    <w:rsid w:val="00EA0E39"/>
    <w:rsid w:val="00EA1D0E"/>
    <w:rsid w:val="00EA2072"/>
    <w:rsid w:val="00EA2841"/>
    <w:rsid w:val="00EA32BC"/>
    <w:rsid w:val="00EA35A7"/>
    <w:rsid w:val="00EA3B32"/>
    <w:rsid w:val="00EA3D05"/>
    <w:rsid w:val="00EA4402"/>
    <w:rsid w:val="00EA4B8D"/>
    <w:rsid w:val="00EA513E"/>
    <w:rsid w:val="00EA7419"/>
    <w:rsid w:val="00EB0E32"/>
    <w:rsid w:val="00EB3E60"/>
    <w:rsid w:val="00EB4511"/>
    <w:rsid w:val="00EB48D7"/>
    <w:rsid w:val="00EB4A8E"/>
    <w:rsid w:val="00EB4BC5"/>
    <w:rsid w:val="00EB5BF7"/>
    <w:rsid w:val="00EB5E79"/>
    <w:rsid w:val="00EB6FAC"/>
    <w:rsid w:val="00EB7BAC"/>
    <w:rsid w:val="00EC03D7"/>
    <w:rsid w:val="00EC13A7"/>
    <w:rsid w:val="00EC2EB6"/>
    <w:rsid w:val="00ED0EF0"/>
    <w:rsid w:val="00ED12B9"/>
    <w:rsid w:val="00ED16B8"/>
    <w:rsid w:val="00ED1DF0"/>
    <w:rsid w:val="00ED2386"/>
    <w:rsid w:val="00ED2EA1"/>
    <w:rsid w:val="00ED3851"/>
    <w:rsid w:val="00ED3E51"/>
    <w:rsid w:val="00ED3F10"/>
    <w:rsid w:val="00ED4D04"/>
    <w:rsid w:val="00ED566D"/>
    <w:rsid w:val="00ED5907"/>
    <w:rsid w:val="00ED5F5B"/>
    <w:rsid w:val="00ED62C6"/>
    <w:rsid w:val="00ED64C1"/>
    <w:rsid w:val="00ED781F"/>
    <w:rsid w:val="00EE249F"/>
    <w:rsid w:val="00EE2EB4"/>
    <w:rsid w:val="00EE3446"/>
    <w:rsid w:val="00EE3E78"/>
    <w:rsid w:val="00EE41FD"/>
    <w:rsid w:val="00EE460E"/>
    <w:rsid w:val="00EE4B1B"/>
    <w:rsid w:val="00EE5FBA"/>
    <w:rsid w:val="00EE6E06"/>
    <w:rsid w:val="00EE7179"/>
    <w:rsid w:val="00EF0D90"/>
    <w:rsid w:val="00EF150D"/>
    <w:rsid w:val="00EF1F5A"/>
    <w:rsid w:val="00EF23B5"/>
    <w:rsid w:val="00EF326A"/>
    <w:rsid w:val="00EF47BF"/>
    <w:rsid w:val="00EF59B1"/>
    <w:rsid w:val="00EF5A13"/>
    <w:rsid w:val="00EF5FF9"/>
    <w:rsid w:val="00EF77D4"/>
    <w:rsid w:val="00EF7CC7"/>
    <w:rsid w:val="00F00853"/>
    <w:rsid w:val="00F00866"/>
    <w:rsid w:val="00F00EC8"/>
    <w:rsid w:val="00F0160B"/>
    <w:rsid w:val="00F0193E"/>
    <w:rsid w:val="00F03E2F"/>
    <w:rsid w:val="00F03F8D"/>
    <w:rsid w:val="00F04811"/>
    <w:rsid w:val="00F0488C"/>
    <w:rsid w:val="00F073ED"/>
    <w:rsid w:val="00F07C4C"/>
    <w:rsid w:val="00F10F11"/>
    <w:rsid w:val="00F11159"/>
    <w:rsid w:val="00F115E4"/>
    <w:rsid w:val="00F12CFB"/>
    <w:rsid w:val="00F13E60"/>
    <w:rsid w:val="00F13FDB"/>
    <w:rsid w:val="00F15AAA"/>
    <w:rsid w:val="00F15BEF"/>
    <w:rsid w:val="00F17898"/>
    <w:rsid w:val="00F207C2"/>
    <w:rsid w:val="00F21337"/>
    <w:rsid w:val="00F219A1"/>
    <w:rsid w:val="00F23E20"/>
    <w:rsid w:val="00F24407"/>
    <w:rsid w:val="00F24FAA"/>
    <w:rsid w:val="00F25040"/>
    <w:rsid w:val="00F27071"/>
    <w:rsid w:val="00F27331"/>
    <w:rsid w:val="00F27EE5"/>
    <w:rsid w:val="00F27FB1"/>
    <w:rsid w:val="00F27FD6"/>
    <w:rsid w:val="00F307CB"/>
    <w:rsid w:val="00F30C65"/>
    <w:rsid w:val="00F321D2"/>
    <w:rsid w:val="00F32649"/>
    <w:rsid w:val="00F33523"/>
    <w:rsid w:val="00F3364D"/>
    <w:rsid w:val="00F33914"/>
    <w:rsid w:val="00F349BF"/>
    <w:rsid w:val="00F34DDC"/>
    <w:rsid w:val="00F36191"/>
    <w:rsid w:val="00F3629F"/>
    <w:rsid w:val="00F36DF3"/>
    <w:rsid w:val="00F37EDC"/>
    <w:rsid w:val="00F437CC"/>
    <w:rsid w:val="00F44537"/>
    <w:rsid w:val="00F46185"/>
    <w:rsid w:val="00F46423"/>
    <w:rsid w:val="00F4696A"/>
    <w:rsid w:val="00F47067"/>
    <w:rsid w:val="00F47234"/>
    <w:rsid w:val="00F51ADD"/>
    <w:rsid w:val="00F525AB"/>
    <w:rsid w:val="00F525EB"/>
    <w:rsid w:val="00F52CB5"/>
    <w:rsid w:val="00F53378"/>
    <w:rsid w:val="00F53A68"/>
    <w:rsid w:val="00F54934"/>
    <w:rsid w:val="00F55A92"/>
    <w:rsid w:val="00F575D3"/>
    <w:rsid w:val="00F62BFF"/>
    <w:rsid w:val="00F63AAE"/>
    <w:rsid w:val="00F63DDE"/>
    <w:rsid w:val="00F63FB7"/>
    <w:rsid w:val="00F6421B"/>
    <w:rsid w:val="00F647F1"/>
    <w:rsid w:val="00F649D2"/>
    <w:rsid w:val="00F6602B"/>
    <w:rsid w:val="00F6799D"/>
    <w:rsid w:val="00F7150B"/>
    <w:rsid w:val="00F717E4"/>
    <w:rsid w:val="00F71DE6"/>
    <w:rsid w:val="00F72D71"/>
    <w:rsid w:val="00F7381C"/>
    <w:rsid w:val="00F73A0C"/>
    <w:rsid w:val="00F7549F"/>
    <w:rsid w:val="00F756DB"/>
    <w:rsid w:val="00F767A8"/>
    <w:rsid w:val="00F77590"/>
    <w:rsid w:val="00F82D14"/>
    <w:rsid w:val="00F84E7D"/>
    <w:rsid w:val="00F85066"/>
    <w:rsid w:val="00F87A4D"/>
    <w:rsid w:val="00F93688"/>
    <w:rsid w:val="00F939F3"/>
    <w:rsid w:val="00F93C6E"/>
    <w:rsid w:val="00F93F2C"/>
    <w:rsid w:val="00F962AD"/>
    <w:rsid w:val="00F9644E"/>
    <w:rsid w:val="00FA0105"/>
    <w:rsid w:val="00FA05A0"/>
    <w:rsid w:val="00FA0AEF"/>
    <w:rsid w:val="00FA17CC"/>
    <w:rsid w:val="00FA1CFE"/>
    <w:rsid w:val="00FA1F01"/>
    <w:rsid w:val="00FA26DF"/>
    <w:rsid w:val="00FA32BC"/>
    <w:rsid w:val="00FA4059"/>
    <w:rsid w:val="00FA4574"/>
    <w:rsid w:val="00FA48A4"/>
    <w:rsid w:val="00FA4CB7"/>
    <w:rsid w:val="00FA5112"/>
    <w:rsid w:val="00FA5526"/>
    <w:rsid w:val="00FA5D4D"/>
    <w:rsid w:val="00FA6CB6"/>
    <w:rsid w:val="00FA70D3"/>
    <w:rsid w:val="00FA7AEC"/>
    <w:rsid w:val="00FB0AEA"/>
    <w:rsid w:val="00FB0EE2"/>
    <w:rsid w:val="00FB1A79"/>
    <w:rsid w:val="00FB208B"/>
    <w:rsid w:val="00FB2B2D"/>
    <w:rsid w:val="00FB542E"/>
    <w:rsid w:val="00FB564F"/>
    <w:rsid w:val="00FB7DBB"/>
    <w:rsid w:val="00FC05F8"/>
    <w:rsid w:val="00FC0E5F"/>
    <w:rsid w:val="00FC1266"/>
    <w:rsid w:val="00FC1A95"/>
    <w:rsid w:val="00FC1ED4"/>
    <w:rsid w:val="00FC3BEC"/>
    <w:rsid w:val="00FC440B"/>
    <w:rsid w:val="00FC56DE"/>
    <w:rsid w:val="00FC63D9"/>
    <w:rsid w:val="00FC64DE"/>
    <w:rsid w:val="00FC684B"/>
    <w:rsid w:val="00FC7D98"/>
    <w:rsid w:val="00FD1135"/>
    <w:rsid w:val="00FD3265"/>
    <w:rsid w:val="00FD3CF7"/>
    <w:rsid w:val="00FD4916"/>
    <w:rsid w:val="00FD4D12"/>
    <w:rsid w:val="00FD4F73"/>
    <w:rsid w:val="00FD595E"/>
    <w:rsid w:val="00FD7802"/>
    <w:rsid w:val="00FE27C7"/>
    <w:rsid w:val="00FE2C7E"/>
    <w:rsid w:val="00FE2F78"/>
    <w:rsid w:val="00FE3137"/>
    <w:rsid w:val="00FE346B"/>
    <w:rsid w:val="00FE346F"/>
    <w:rsid w:val="00FE48E4"/>
    <w:rsid w:val="00FE634C"/>
    <w:rsid w:val="00FE6E69"/>
    <w:rsid w:val="00FE6F59"/>
    <w:rsid w:val="00FF01B6"/>
    <w:rsid w:val="00FF1136"/>
    <w:rsid w:val="00FF3D76"/>
    <w:rsid w:val="00FF5B8C"/>
    <w:rsid w:val="00FF63E6"/>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74EEB6EC"/>
  <w15:docId w15:val="{02E7EBF8-5A4E-462D-AC4B-706FC6EE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nadpis">
    <w:name w:val="Subtitle"/>
    <w:link w:val="Podnadpis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nadpisChar">
    <w:name w:val="Podnadpis Char"/>
    <w:link w:val="Podnadpis"/>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semiHidden/>
    <w:unhideWhenUsed/>
    <w:rsid w:val="00E76E61"/>
    <w:pPr>
      <w:spacing w:line="240" w:lineRule="auto"/>
    </w:pPr>
    <w:rPr>
      <w:szCs w:val="20"/>
    </w:rPr>
  </w:style>
  <w:style w:type="character" w:customStyle="1" w:styleId="TextkomenteChar">
    <w:name w:val="Text komentáře Char"/>
    <w:basedOn w:val="Standardnpsmoodstavce"/>
    <w:link w:val="Textkomente"/>
    <w:uiPriority w:val="99"/>
    <w:semiHidden/>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draznn">
    <w:name w:val="Emphasis"/>
    <w:basedOn w:val="Standardnpsmoodstavce"/>
    <w:uiPriority w:val="20"/>
    <w:qFormat/>
    <w:rsid w:val="00965797"/>
    <w:rPr>
      <w:i/>
      <w:iCs/>
    </w:rPr>
  </w:style>
  <w:style w:type="paragraph" w:styleId="Rozloendokumentu">
    <w:name w:val="Document Map"/>
    <w:basedOn w:val="Normln"/>
    <w:link w:val="RozloendokumentuChar"/>
    <w:uiPriority w:val="99"/>
    <w:semiHidden/>
    <w:rsid w:val="00AD5AD2"/>
    <w:pPr>
      <w:spacing w:after="0" w:line="288" w:lineRule="auto"/>
      <w:jc w:val="left"/>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 w:type="character" w:customStyle="1" w:styleId="odkaz-style-wrapper">
    <w:name w:val="odkaz-style-wrapper"/>
    <w:basedOn w:val="Standardnpsmoodstavce"/>
    <w:rsid w:val="00524385"/>
  </w:style>
  <w:style w:type="character" w:customStyle="1" w:styleId="tabulka">
    <w:name w:val="tabulka"/>
    <w:basedOn w:val="Standardnpsmoodstavce"/>
    <w:rsid w:val="0074499B"/>
  </w:style>
  <w:style w:type="paragraph" w:customStyle="1" w:styleId="Default">
    <w:name w:val="Default"/>
    <w:rsid w:val="00100A8B"/>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64961210">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613050718">
      <w:bodyDiv w:val="1"/>
      <w:marLeft w:val="0"/>
      <w:marRight w:val="0"/>
      <w:marTop w:val="0"/>
      <w:marBottom w:val="0"/>
      <w:divBdr>
        <w:top w:val="none" w:sz="0" w:space="0" w:color="auto"/>
        <w:left w:val="none" w:sz="0" w:space="0" w:color="auto"/>
        <w:bottom w:val="none" w:sz="0" w:space="0" w:color="auto"/>
        <w:right w:val="none" w:sz="0" w:space="0" w:color="auto"/>
      </w:divBdr>
    </w:div>
    <w:div w:id="184026964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G:\Q-makro-rok%202020\Odv&#283;tv&#237;\Odv&#283;tv&#237;%20grafy-rok-20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Q-makro-rok%202020\Odv&#283;tv&#237;\Odv&#283;tv&#237;%20grafy-rok-20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Q-makro-rok%202020\Odv&#283;tv&#237;\Odv&#283;tv&#237;%20grafy-rok-20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Q-makro-rok%202020\Odv&#283;tv&#237;\Odv&#283;tv&#237;%20grafy-rok-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3688042665536843E-2"/>
          <c:y val="1.6203544707895996E-2"/>
          <c:w val="0.84974974879787502"/>
          <c:h val="0.71911425331511469"/>
        </c:manualLayout>
      </c:layout>
      <c:barChart>
        <c:barDir val="col"/>
        <c:grouping val="stacked"/>
        <c:varyColors val="0"/>
        <c:ser>
          <c:idx val="0"/>
          <c:order val="0"/>
          <c:tx>
            <c:strRef>
              <c:f>'GRAF příspěvky IPP'!$A$27</c:f>
              <c:strCache>
                <c:ptCount val="1"/>
                <c:pt idx="0">
                  <c:v>Výroba dopravních prostředků (29, 30)</c:v>
                </c:pt>
              </c:strCache>
            </c:strRef>
          </c:tx>
          <c:spPr>
            <a:solidFill>
              <a:srgbClr val="E8AFB2"/>
            </a:solidFill>
          </c:spPr>
          <c:invertIfNegative val="0"/>
          <c:cat>
            <c:multiLvlStrRef>
              <c:f>'GRAF příspěvky IPP'!$R$25:$AP$26</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'GRAF příspěvky IPP'!$R$27:$AP$27</c:f>
              <c:numCache>
                <c:formatCode>0.0</c:formatCode>
                <c:ptCount val="25"/>
                <c:pt idx="0">
                  <c:v>1.5427636659570074</c:v>
                </c:pt>
                <c:pt idx="1">
                  <c:v>2.1744189951095638</c:v>
                </c:pt>
                <c:pt idx="2">
                  <c:v>2.3615471800975762</c:v>
                </c:pt>
                <c:pt idx="3">
                  <c:v>2.8763334479914366</c:v>
                </c:pt>
                <c:pt idx="4">
                  <c:v>3.3202050006794548</c:v>
                </c:pt>
                <c:pt idx="5">
                  <c:v>2.7215746370676146</c:v>
                </c:pt>
                <c:pt idx="6">
                  <c:v>1.4745844536226125</c:v>
                </c:pt>
                <c:pt idx="7">
                  <c:v>1.029783660919984</c:v>
                </c:pt>
                <c:pt idx="8">
                  <c:v>1.7559630278375791</c:v>
                </c:pt>
                <c:pt idx="9">
                  <c:v>2.1219731026483708</c:v>
                </c:pt>
                <c:pt idx="10">
                  <c:v>1.5886047244911885</c:v>
                </c:pt>
                <c:pt idx="11">
                  <c:v>1.6809067081071383</c:v>
                </c:pt>
                <c:pt idx="12">
                  <c:v>0.74493678680711439</c:v>
                </c:pt>
                <c:pt idx="13">
                  <c:v>0.54513887708297193</c:v>
                </c:pt>
                <c:pt idx="14">
                  <c:v>0.23957305284254377</c:v>
                </c:pt>
                <c:pt idx="15">
                  <c:v>0.98330989831368998</c:v>
                </c:pt>
                <c:pt idx="16">
                  <c:v>-0.22713691763850202</c:v>
                </c:pt>
                <c:pt idx="17">
                  <c:v>0.47985653560762392</c:v>
                </c:pt>
                <c:pt idx="18">
                  <c:v>0.8344461496640414</c:v>
                </c:pt>
                <c:pt idx="19">
                  <c:v>-1.0997917317679555</c:v>
                </c:pt>
                <c:pt idx="20">
                  <c:v>-1.5348710107361396</c:v>
                </c:pt>
                <c:pt idx="21">
                  <c:v>-9.4028858120272236</c:v>
                </c:pt>
                <c:pt idx="22">
                  <c:v>-0.19477939440515324</c:v>
                </c:pt>
                <c:pt idx="23">
                  <c:v>2.0397409461843927</c:v>
                </c:pt>
              </c:numCache>
            </c:numRef>
          </c:val>
          <c:extLst>
            <c:ext xmlns:c16="http://schemas.microsoft.com/office/drawing/2014/chart" uri="{C3380CC4-5D6E-409C-BE32-E72D297353CC}">
              <c16:uniqueId val="{00000000-F65E-4DCA-969C-D03CE9F1CEAF}"/>
            </c:ext>
          </c:extLst>
        </c:ser>
        <c:ser>
          <c:idx val="1"/>
          <c:order val="1"/>
          <c:tx>
            <c:strRef>
              <c:f>'GRAF příspěvky IPP'!$A$28</c:f>
              <c:strCache>
                <c:ptCount val="1"/>
                <c:pt idx="0">
                  <c:v>Gumárenství, elektrotechnický pr. (22, 27)</c:v>
                </c:pt>
              </c:strCache>
            </c:strRef>
          </c:tx>
          <c:spPr>
            <a:solidFill>
              <a:srgbClr val="BD1B21"/>
            </a:solidFill>
          </c:spPr>
          <c:invertIfNegative val="0"/>
          <c:cat>
            <c:multiLvlStrRef>
              <c:f>'GRAF příspěvky IPP'!$R$25:$AP$26</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'GRAF příspěvky IPP'!$R$28:$AP$28</c:f>
              <c:numCache>
                <c:formatCode>0.0</c:formatCode>
                <c:ptCount val="25"/>
                <c:pt idx="0">
                  <c:v>1.0347997790234529</c:v>
                </c:pt>
                <c:pt idx="1">
                  <c:v>1.2402910045199831</c:v>
                </c:pt>
                <c:pt idx="2">
                  <c:v>1.3933850782064026</c:v>
                </c:pt>
                <c:pt idx="3">
                  <c:v>0.63791581718355739</c:v>
                </c:pt>
                <c:pt idx="4">
                  <c:v>0.79388932110213228</c:v>
                </c:pt>
                <c:pt idx="5">
                  <c:v>0.2019149020372687</c:v>
                </c:pt>
                <c:pt idx="6">
                  <c:v>0.26167949554629399</c:v>
                </c:pt>
                <c:pt idx="7">
                  <c:v>0.42926870670931194</c:v>
                </c:pt>
                <c:pt idx="8">
                  <c:v>0.85659869546738754</c:v>
                </c:pt>
                <c:pt idx="9">
                  <c:v>1.3986573982823201</c:v>
                </c:pt>
                <c:pt idx="10">
                  <c:v>0.8549510762484176</c:v>
                </c:pt>
                <c:pt idx="11">
                  <c:v>1.6528406324124423</c:v>
                </c:pt>
                <c:pt idx="12">
                  <c:v>0.96832999064458503</c:v>
                </c:pt>
                <c:pt idx="13">
                  <c:v>0.34047285731155275</c:v>
                </c:pt>
                <c:pt idx="14">
                  <c:v>0.42906491790818274</c:v>
                </c:pt>
                <c:pt idx="15">
                  <c:v>-3.9817228444367067E-2</c:v>
                </c:pt>
                <c:pt idx="16">
                  <c:v>0.52468173088796888</c:v>
                </c:pt>
                <c:pt idx="17">
                  <c:v>0.40691877027439094</c:v>
                </c:pt>
                <c:pt idx="18">
                  <c:v>0.23892033299114637</c:v>
                </c:pt>
                <c:pt idx="19">
                  <c:v>0.39269794616476111</c:v>
                </c:pt>
                <c:pt idx="20">
                  <c:v>-0.53345760227133399</c:v>
                </c:pt>
                <c:pt idx="21">
                  <c:v>-4.058016774523308</c:v>
                </c:pt>
                <c:pt idx="22">
                  <c:v>-0.43406125814937391</c:v>
                </c:pt>
                <c:pt idx="23">
                  <c:v>0.56914780428489253</c:v>
                </c:pt>
              </c:numCache>
            </c:numRef>
          </c:val>
          <c:extLst>
            <c:ext xmlns:c16="http://schemas.microsoft.com/office/drawing/2014/chart" uri="{C3380CC4-5D6E-409C-BE32-E72D297353CC}">
              <c16:uniqueId val="{00000001-F65E-4DCA-969C-D03CE9F1CEAF}"/>
            </c:ext>
          </c:extLst>
        </c:ser>
        <c:ser>
          <c:idx val="2"/>
          <c:order val="2"/>
          <c:tx>
            <c:strRef>
              <c:f>'GRAF příspěvky IPP'!$A$29</c:f>
              <c:strCache>
                <c:ptCount val="1"/>
                <c:pt idx="0">
                  <c:v>Strojírenství (28)</c:v>
                </c:pt>
              </c:strCache>
            </c:strRef>
          </c:tx>
          <c:spPr>
            <a:solidFill>
              <a:srgbClr val="BFE3F7"/>
            </a:solidFill>
          </c:spPr>
          <c:invertIfNegative val="0"/>
          <c:cat>
            <c:multiLvlStrRef>
              <c:f>'GRAF příspěvky IPP'!$R$25:$AP$26</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'GRAF příspěvky IPP'!$R$29:$AP$29</c:f>
              <c:numCache>
                <c:formatCode>0.0</c:formatCode>
                <c:ptCount val="25"/>
                <c:pt idx="0">
                  <c:v>0.27270263761758856</c:v>
                </c:pt>
                <c:pt idx="1">
                  <c:v>0.29403078857932563</c:v>
                </c:pt>
                <c:pt idx="2">
                  <c:v>0.39049498716950576</c:v>
                </c:pt>
                <c:pt idx="3">
                  <c:v>1.6706731853184675E-2</c:v>
                </c:pt>
                <c:pt idx="4">
                  <c:v>0.36627927553744222</c:v>
                </c:pt>
                <c:pt idx="5">
                  <c:v>-7.6147331102472113E-2</c:v>
                </c:pt>
                <c:pt idx="6">
                  <c:v>0.19818384395915697</c:v>
                </c:pt>
                <c:pt idx="7">
                  <c:v>0.31987625685574234</c:v>
                </c:pt>
                <c:pt idx="8">
                  <c:v>0.35138012672655355</c:v>
                </c:pt>
                <c:pt idx="9">
                  <c:v>1.0806762781542611</c:v>
                </c:pt>
                <c:pt idx="10">
                  <c:v>0.85235463515891896</c:v>
                </c:pt>
                <c:pt idx="11">
                  <c:v>0.80092971170041016</c:v>
                </c:pt>
                <c:pt idx="12">
                  <c:v>0.47838436231758868</c:v>
                </c:pt>
                <c:pt idx="13">
                  <c:v>0.14272649937017898</c:v>
                </c:pt>
                <c:pt idx="14">
                  <c:v>0.18566799065513268</c:v>
                </c:pt>
                <c:pt idx="15">
                  <c:v>-0.19544287053044684</c:v>
                </c:pt>
                <c:pt idx="16">
                  <c:v>0.1426091932774885</c:v>
                </c:pt>
                <c:pt idx="17">
                  <c:v>-1.8219579710844171E-2</c:v>
                </c:pt>
                <c:pt idx="18">
                  <c:v>-0.26667324098505646</c:v>
                </c:pt>
                <c:pt idx="19">
                  <c:v>-0.13523495726290005</c:v>
                </c:pt>
                <c:pt idx="20">
                  <c:v>-0.69982847866990527</c:v>
                </c:pt>
                <c:pt idx="21">
                  <c:v>-2.143736621030647</c:v>
                </c:pt>
                <c:pt idx="22">
                  <c:v>-0.79829937749052238</c:v>
                </c:pt>
                <c:pt idx="23">
                  <c:v>-0.5332703437119769</c:v>
                </c:pt>
              </c:numCache>
            </c:numRef>
          </c:val>
          <c:extLst>
            <c:ext xmlns:c16="http://schemas.microsoft.com/office/drawing/2014/chart" uri="{C3380CC4-5D6E-409C-BE32-E72D297353CC}">
              <c16:uniqueId val="{00000002-F65E-4DCA-969C-D03CE9F1CEAF}"/>
            </c:ext>
          </c:extLst>
        </c:ser>
        <c:ser>
          <c:idx val="3"/>
          <c:order val="3"/>
          <c:tx>
            <c:strRef>
              <c:f>'GRAF příspěvky IPP'!$A$30</c:f>
              <c:strCache>
                <c:ptCount val="1"/>
                <c:pt idx="0">
                  <c:v>Kovodělný průmysl (25)</c:v>
                </c:pt>
              </c:strCache>
            </c:strRef>
          </c:tx>
          <c:spPr>
            <a:solidFill>
              <a:srgbClr val="48AEE7"/>
            </a:solidFill>
          </c:spPr>
          <c:invertIfNegative val="0"/>
          <c:cat>
            <c:multiLvlStrRef>
              <c:f>'GRAF příspěvky IPP'!$R$25:$AP$26</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'GRAF příspěvky IPP'!$R$30:$AP$30</c:f>
              <c:numCache>
                <c:formatCode>0.0</c:formatCode>
                <c:ptCount val="25"/>
                <c:pt idx="0">
                  <c:v>0.69596551057470069</c:v>
                </c:pt>
                <c:pt idx="1">
                  <c:v>0.78519852193461859</c:v>
                </c:pt>
                <c:pt idx="2">
                  <c:v>0.97872609478998152</c:v>
                </c:pt>
                <c:pt idx="3">
                  <c:v>0.60562900795012453</c:v>
                </c:pt>
                <c:pt idx="4">
                  <c:v>0.79779807743663034</c:v>
                </c:pt>
                <c:pt idx="5">
                  <c:v>0.39331000455464687</c:v>
                </c:pt>
                <c:pt idx="6">
                  <c:v>0.22346669872664385</c:v>
                </c:pt>
                <c:pt idx="7">
                  <c:v>0.2509263227159737</c:v>
                </c:pt>
                <c:pt idx="8">
                  <c:v>0.41949121934029482</c:v>
                </c:pt>
                <c:pt idx="9">
                  <c:v>0.915656554291014</c:v>
                </c:pt>
                <c:pt idx="10">
                  <c:v>0.85101791279413608</c:v>
                </c:pt>
                <c:pt idx="11">
                  <c:v>0.96460683383824763</c:v>
                </c:pt>
                <c:pt idx="12">
                  <c:v>0.6503458160203307</c:v>
                </c:pt>
                <c:pt idx="13">
                  <c:v>0.47166305832842809</c:v>
                </c:pt>
                <c:pt idx="14">
                  <c:v>0.40339784198569495</c:v>
                </c:pt>
                <c:pt idx="15">
                  <c:v>0.15238419304014436</c:v>
                </c:pt>
                <c:pt idx="16">
                  <c:v>0.25794422279958196</c:v>
                </c:pt>
                <c:pt idx="17">
                  <c:v>8.4966698962352285E-3</c:v>
                </c:pt>
                <c:pt idx="18">
                  <c:v>-0.23776981739408756</c:v>
                </c:pt>
                <c:pt idx="19">
                  <c:v>-0.35660248428239738</c:v>
                </c:pt>
                <c:pt idx="20">
                  <c:v>-0.60191683272527741</c:v>
                </c:pt>
                <c:pt idx="21">
                  <c:v>-2.0876186338676583</c:v>
                </c:pt>
                <c:pt idx="22">
                  <c:v>-0.54558510517083125</c:v>
                </c:pt>
                <c:pt idx="23">
                  <c:v>0.14207590001489598</c:v>
                </c:pt>
              </c:numCache>
            </c:numRef>
          </c:val>
          <c:extLst>
            <c:ext xmlns:c16="http://schemas.microsoft.com/office/drawing/2014/chart" uri="{C3380CC4-5D6E-409C-BE32-E72D297353CC}">
              <c16:uniqueId val="{00000003-F65E-4DCA-969C-D03CE9F1CEAF}"/>
            </c:ext>
          </c:extLst>
        </c:ser>
        <c:ser>
          <c:idx val="4"/>
          <c:order val="4"/>
          <c:tx>
            <c:strRef>
              <c:f>'GRAF příspěvky IPP'!$A$31</c:f>
              <c:strCache>
                <c:ptCount val="1"/>
                <c:pt idx="0">
                  <c:v>Výroba PC, elektronic. a optic. přístr. (26)</c:v>
                </c:pt>
              </c:strCache>
            </c:strRef>
          </c:tx>
          <c:spPr>
            <a:solidFill>
              <a:srgbClr val="FDDEB3"/>
            </a:solidFill>
          </c:spPr>
          <c:invertIfNegative val="0"/>
          <c:cat>
            <c:multiLvlStrRef>
              <c:f>'GRAF příspěvky IPP'!$R$25:$AP$26</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'GRAF příspěvky IPP'!$R$31:$AP$31</c:f>
              <c:numCache>
                <c:formatCode>0.0</c:formatCode>
                <c:ptCount val="25"/>
                <c:pt idx="0">
                  <c:v>0.10170488438327828</c:v>
                </c:pt>
                <c:pt idx="1">
                  <c:v>1.5778276536074189E-2</c:v>
                </c:pt>
                <c:pt idx="2">
                  <c:v>4.1438955080881863E-2</c:v>
                </c:pt>
                <c:pt idx="3">
                  <c:v>-7.3024462330519888E-2</c:v>
                </c:pt>
                <c:pt idx="4">
                  <c:v>-4.9806451474101454E-3</c:v>
                </c:pt>
                <c:pt idx="5">
                  <c:v>5.957617604494695E-2</c:v>
                </c:pt>
                <c:pt idx="6">
                  <c:v>5.0898250959063439E-2</c:v>
                </c:pt>
                <c:pt idx="7">
                  <c:v>0.16208766562248597</c:v>
                </c:pt>
                <c:pt idx="8">
                  <c:v>0.14070745650190031</c:v>
                </c:pt>
                <c:pt idx="9">
                  <c:v>0.36181300424777024</c:v>
                </c:pt>
                <c:pt idx="10">
                  <c:v>0.23055137883893681</c:v>
                </c:pt>
                <c:pt idx="11">
                  <c:v>0.23490764813394466</c:v>
                </c:pt>
                <c:pt idx="12">
                  <c:v>0.39572929891866881</c:v>
                </c:pt>
                <c:pt idx="13">
                  <c:v>0.15494190944138145</c:v>
                </c:pt>
                <c:pt idx="14">
                  <c:v>0.63675141042476269</c:v>
                </c:pt>
                <c:pt idx="15">
                  <c:v>0.31197941341144203</c:v>
                </c:pt>
                <c:pt idx="16">
                  <c:v>-0.1138094906464448</c:v>
                </c:pt>
                <c:pt idx="17">
                  <c:v>-4.3015769550027276E-2</c:v>
                </c:pt>
                <c:pt idx="18">
                  <c:v>-0.61199925873530214</c:v>
                </c:pt>
                <c:pt idx="19">
                  <c:v>-0.34608902926122082</c:v>
                </c:pt>
                <c:pt idx="20">
                  <c:v>-9.4244777563469689E-2</c:v>
                </c:pt>
                <c:pt idx="21">
                  <c:v>-0.28016760614498631</c:v>
                </c:pt>
                <c:pt idx="22">
                  <c:v>4.1733310663326162E-3</c:v>
                </c:pt>
                <c:pt idx="23">
                  <c:v>-5.8819144540146794E-3</c:v>
                </c:pt>
              </c:numCache>
            </c:numRef>
          </c:val>
          <c:extLst>
            <c:ext xmlns:c16="http://schemas.microsoft.com/office/drawing/2014/chart" uri="{C3380CC4-5D6E-409C-BE32-E72D297353CC}">
              <c16:uniqueId val="{00000004-F65E-4DCA-969C-D03CE9F1CEAF}"/>
            </c:ext>
          </c:extLst>
        </c:ser>
        <c:ser>
          <c:idx val="5"/>
          <c:order val="5"/>
          <c:tx>
            <c:strRef>
              <c:f>'GRAF příspěvky IPP'!$A$32</c:f>
              <c:strCache>
                <c:ptCount val="1"/>
                <c:pt idx="0">
                  <c:v>Chemický a farmaceutický pr. (20, 21)</c:v>
                </c:pt>
              </c:strCache>
            </c:strRef>
          </c:tx>
          <c:spPr>
            <a:solidFill>
              <a:srgbClr val="F8A124"/>
            </a:solidFill>
          </c:spPr>
          <c:invertIfNegative val="0"/>
          <c:cat>
            <c:multiLvlStrRef>
              <c:f>'GRAF příspěvky IPP'!$R$25:$AP$26</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'GRAF příspěvky IPP'!$R$32:$AP$32</c:f>
              <c:numCache>
                <c:formatCode>0.0</c:formatCode>
                <c:ptCount val="25"/>
                <c:pt idx="0">
                  <c:v>7.7145180063932006E-2</c:v>
                </c:pt>
                <c:pt idx="1">
                  <c:v>0.23592734761971534</c:v>
                </c:pt>
                <c:pt idx="2">
                  <c:v>-0.16190483408394998</c:v>
                </c:pt>
                <c:pt idx="3">
                  <c:v>-0.33492372911335988</c:v>
                </c:pt>
                <c:pt idx="4">
                  <c:v>-0.41681031625325043</c:v>
                </c:pt>
                <c:pt idx="5">
                  <c:v>-0.42807091512785361</c:v>
                </c:pt>
                <c:pt idx="6">
                  <c:v>-0.10710300214484272</c:v>
                </c:pt>
                <c:pt idx="7">
                  <c:v>0.23735256894613982</c:v>
                </c:pt>
                <c:pt idx="8">
                  <c:v>0.52023701192457539</c:v>
                </c:pt>
                <c:pt idx="9">
                  <c:v>0.8265323370449118</c:v>
                </c:pt>
                <c:pt idx="10">
                  <c:v>0.65153742268467851</c:v>
                </c:pt>
                <c:pt idx="11">
                  <c:v>0.50476336901670693</c:v>
                </c:pt>
                <c:pt idx="12">
                  <c:v>0.40498332734603759</c:v>
                </c:pt>
                <c:pt idx="13">
                  <c:v>7.959649597511656E-2</c:v>
                </c:pt>
                <c:pt idx="14">
                  <c:v>-5.3166653427509744E-2</c:v>
                </c:pt>
                <c:pt idx="15">
                  <c:v>-6.9022660855142706E-2</c:v>
                </c:pt>
                <c:pt idx="16">
                  <c:v>0.10388406561335245</c:v>
                </c:pt>
                <c:pt idx="17">
                  <c:v>4.8446934125945446E-2</c:v>
                </c:pt>
                <c:pt idx="18">
                  <c:v>0.22806927156168727</c:v>
                </c:pt>
                <c:pt idx="19">
                  <c:v>3.1408071024151746E-2</c:v>
                </c:pt>
                <c:pt idx="20">
                  <c:v>-3.2158631476948973E-2</c:v>
                </c:pt>
                <c:pt idx="21">
                  <c:v>-0.54857219231072263</c:v>
                </c:pt>
                <c:pt idx="22">
                  <c:v>-0.21329862089654433</c:v>
                </c:pt>
                <c:pt idx="23">
                  <c:v>0.43262887365676678</c:v>
                </c:pt>
              </c:numCache>
            </c:numRef>
          </c:val>
          <c:extLst>
            <c:ext xmlns:c16="http://schemas.microsoft.com/office/drawing/2014/chart" uri="{C3380CC4-5D6E-409C-BE32-E72D297353CC}">
              <c16:uniqueId val="{00000005-F65E-4DCA-969C-D03CE9F1CEAF}"/>
            </c:ext>
          </c:extLst>
        </c:ser>
        <c:ser>
          <c:idx val="6"/>
          <c:order val="6"/>
          <c:tx>
            <c:strRef>
              <c:f>'GRAF příspěvky IPP'!$A$33</c:f>
              <c:strCache>
                <c:ptCount val="1"/>
                <c:pt idx="0">
                  <c:v>Zbývající zpracovatelský průmysl</c:v>
                </c:pt>
              </c:strCache>
            </c:strRef>
          </c:tx>
          <c:spPr>
            <a:solidFill>
              <a:schemeClr val="bg1">
                <a:lumMod val="85000"/>
              </a:schemeClr>
            </a:solidFill>
          </c:spPr>
          <c:invertIfNegative val="0"/>
          <c:cat>
            <c:multiLvlStrRef>
              <c:f>'GRAF příspěvky IPP'!$R$25:$AP$26</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'GRAF příspěvky IPP'!$R$33:$AP$33</c:f>
              <c:numCache>
                <c:formatCode>0.0</c:formatCode>
                <c:ptCount val="25"/>
                <c:pt idx="0">
                  <c:v>0.99791732990160331</c:v>
                </c:pt>
                <c:pt idx="1">
                  <c:v>0.89879889524708523</c:v>
                </c:pt>
                <c:pt idx="2">
                  <c:v>1.0131351242508335</c:v>
                </c:pt>
                <c:pt idx="3">
                  <c:v>-0.23058687737441785</c:v>
                </c:pt>
                <c:pt idx="4">
                  <c:v>0.26302900768530285</c:v>
                </c:pt>
                <c:pt idx="5">
                  <c:v>-0.36259040041020835</c:v>
                </c:pt>
                <c:pt idx="6">
                  <c:v>6.0042066841197061E-2</c:v>
                </c:pt>
                <c:pt idx="7">
                  <c:v>0.57478968559379218</c:v>
                </c:pt>
                <c:pt idx="8">
                  <c:v>7.0362086300343754E-2</c:v>
                </c:pt>
                <c:pt idx="9">
                  <c:v>1.4963530143159023</c:v>
                </c:pt>
                <c:pt idx="10">
                  <c:v>0.75566150983946234</c:v>
                </c:pt>
                <c:pt idx="11">
                  <c:v>0.97333538176673595</c:v>
                </c:pt>
                <c:pt idx="12">
                  <c:v>1.1566595398624029</c:v>
                </c:pt>
                <c:pt idx="13">
                  <c:v>0.67218569394475614</c:v>
                </c:pt>
                <c:pt idx="14">
                  <c:v>1.1044934074231074</c:v>
                </c:pt>
                <c:pt idx="15">
                  <c:v>0.4900555089476254</c:v>
                </c:pt>
                <c:pt idx="16">
                  <c:v>-4.5141994532615914E-2</c:v>
                </c:pt>
                <c:pt idx="17">
                  <c:v>4.2037649083112624E-2</c:v>
                </c:pt>
                <c:pt idx="18">
                  <c:v>-0.66085160777663721</c:v>
                </c:pt>
                <c:pt idx="19">
                  <c:v>-0.22518150415497493</c:v>
                </c:pt>
                <c:pt idx="20">
                  <c:v>7.944029876236916E-2</c:v>
                </c:pt>
                <c:pt idx="21">
                  <c:v>-2.8342049584608784</c:v>
                </c:pt>
                <c:pt idx="22">
                  <c:v>8.3831795339215309E-2</c:v>
                </c:pt>
                <c:pt idx="23">
                  <c:v>9.7608445372536962E-2</c:v>
                </c:pt>
              </c:numCache>
            </c:numRef>
          </c:val>
          <c:extLst>
            <c:ext xmlns:c16="http://schemas.microsoft.com/office/drawing/2014/chart" uri="{C3380CC4-5D6E-409C-BE32-E72D297353CC}">
              <c16:uniqueId val="{00000006-F65E-4DCA-969C-D03CE9F1CEAF}"/>
            </c:ext>
          </c:extLst>
        </c:ser>
        <c:ser>
          <c:idx val="7"/>
          <c:order val="7"/>
          <c:tx>
            <c:strRef>
              <c:f>'GRAF příspěvky IPP'!$A$34</c:f>
              <c:strCache>
                <c:ptCount val="1"/>
                <c:pt idx="0">
                  <c:v>Těžba a energetika (B, D)</c:v>
                </c:pt>
              </c:strCache>
            </c:strRef>
          </c:tx>
          <c:spPr>
            <a:solidFill>
              <a:srgbClr val="808080"/>
            </a:solidFill>
          </c:spPr>
          <c:invertIfNegative val="0"/>
          <c:cat>
            <c:multiLvlStrRef>
              <c:f>'GRAF příspěvky IPP'!$R$25:$AP$26</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'GRAF příspěvky IPP'!$R$34:$AP$34</c:f>
              <c:numCache>
                <c:formatCode>0.0</c:formatCode>
                <c:ptCount val="25"/>
                <c:pt idx="0">
                  <c:v>0.14533349397844122</c:v>
                </c:pt>
                <c:pt idx="1">
                  <c:v>-0.33982009504636901</c:v>
                </c:pt>
                <c:pt idx="2">
                  <c:v>-0.39704286301123137</c:v>
                </c:pt>
                <c:pt idx="3">
                  <c:v>-1.1146952173599984</c:v>
                </c:pt>
                <c:pt idx="4">
                  <c:v>-0.64578884114030577</c:v>
                </c:pt>
                <c:pt idx="5">
                  <c:v>9.8480952736059002E-2</c:v>
                </c:pt>
                <c:pt idx="6">
                  <c:v>-0.47666619461012838</c:v>
                </c:pt>
                <c:pt idx="7">
                  <c:v>0.50387184593657341</c:v>
                </c:pt>
                <c:pt idx="8">
                  <c:v>0.66203458180136321</c:v>
                </c:pt>
                <c:pt idx="9">
                  <c:v>-0.18221417078455418</c:v>
                </c:pt>
                <c:pt idx="10">
                  <c:v>0.77181444314425951</c:v>
                </c:pt>
                <c:pt idx="11">
                  <c:v>0.73266059102437608</c:v>
                </c:pt>
                <c:pt idx="12">
                  <c:v>-0.53877484071672854</c:v>
                </c:pt>
                <c:pt idx="13">
                  <c:v>4.1518654456083465E-3</c:v>
                </c:pt>
                <c:pt idx="14">
                  <c:v>0.7878560558880805</c:v>
                </c:pt>
                <c:pt idx="15">
                  <c:v>0.33112124011704824</c:v>
                </c:pt>
                <c:pt idx="16">
                  <c:v>0.21327689053916421</c:v>
                </c:pt>
                <c:pt idx="17">
                  <c:v>4.5976789373567417E-2</c:v>
                </c:pt>
                <c:pt idx="18">
                  <c:v>-0.66585611552579071</c:v>
                </c:pt>
                <c:pt idx="19">
                  <c:v>-0.33080115525945808</c:v>
                </c:pt>
                <c:pt idx="20">
                  <c:v>-0.97349186051930126</c:v>
                </c:pt>
                <c:pt idx="21">
                  <c:v>-1.5875483871345766</c:v>
                </c:pt>
                <c:pt idx="22">
                  <c:v>-0.71557941839312744</c:v>
                </c:pt>
                <c:pt idx="23">
                  <c:v>-0.69499205914749695</c:v>
                </c:pt>
              </c:numCache>
            </c:numRef>
          </c:val>
          <c:extLst>
            <c:ext xmlns:c16="http://schemas.microsoft.com/office/drawing/2014/chart" uri="{C3380CC4-5D6E-409C-BE32-E72D297353CC}">
              <c16:uniqueId val="{00000007-F65E-4DCA-969C-D03CE9F1CEAF}"/>
            </c:ext>
          </c:extLst>
        </c:ser>
        <c:dLbls>
          <c:showLegendKey val="0"/>
          <c:showVal val="0"/>
          <c:showCatName val="0"/>
          <c:showSerName val="0"/>
          <c:showPercent val="0"/>
          <c:showBubbleSize val="0"/>
        </c:dLbls>
        <c:gapWidth val="15"/>
        <c:overlap val="100"/>
        <c:axId val="112768128"/>
        <c:axId val="112769664"/>
      </c:barChart>
      <c:lineChart>
        <c:grouping val="standard"/>
        <c:varyColors val="0"/>
        <c:ser>
          <c:idx val="8"/>
          <c:order val="8"/>
          <c:tx>
            <c:strRef>
              <c:f>'GRAF příspěvky IPP'!$A$35</c:f>
              <c:strCache>
                <c:ptCount val="1"/>
                <c:pt idx="0">
                  <c:v>Průmysl celkem (NACE B, C, D)</c:v>
                </c:pt>
              </c:strCache>
            </c:strRef>
          </c:tx>
          <c:spPr>
            <a:ln w="19050">
              <a:noFill/>
            </a:ln>
          </c:spPr>
          <c:marker>
            <c:symbol val="circle"/>
            <c:size val="4"/>
            <c:spPr>
              <a:solidFill>
                <a:schemeClr val="bg1"/>
              </a:solidFill>
              <a:ln>
                <a:solidFill>
                  <a:schemeClr val="tx1">
                    <a:lumMod val="95000"/>
                    <a:lumOff val="5000"/>
                  </a:schemeClr>
                </a:solidFill>
              </a:ln>
            </c:spPr>
          </c:marker>
          <c:cat>
            <c:multiLvlStrRef>
              <c:f>'GRAF příspěvky IPP'!$R$25:$AP$26</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'GRAF příspěvky IPP'!$R$35:$AP$35</c:f>
              <c:numCache>
                <c:formatCode>0.0</c:formatCode>
                <c:ptCount val="25"/>
                <c:pt idx="0">
                  <c:v>4.8683324815000049</c:v>
                </c:pt>
                <c:pt idx="1">
                  <c:v>5.304623734499998</c:v>
                </c:pt>
                <c:pt idx="2">
                  <c:v>5.6197797224999988</c:v>
                </c:pt>
                <c:pt idx="3">
                  <c:v>2.3833547188000068</c:v>
                </c:pt>
                <c:pt idx="4">
                  <c:v>4.4736208798999968</c:v>
                </c:pt>
                <c:pt idx="5">
                  <c:v>2.6080480258000023</c:v>
                </c:pt>
                <c:pt idx="6">
                  <c:v>1.6850856128999965</c:v>
                </c:pt>
                <c:pt idx="7">
                  <c:v>3.507956713300004</c:v>
                </c:pt>
                <c:pt idx="8">
                  <c:v>4.7767742058999971</c:v>
                </c:pt>
                <c:pt idx="9">
                  <c:v>8.0194475181999962</c:v>
                </c:pt>
                <c:pt idx="10">
                  <c:v>6.5564931031999976</c:v>
                </c:pt>
                <c:pt idx="11">
                  <c:v>7.5449508760000015</c:v>
                </c:pt>
                <c:pt idx="12">
                  <c:v>4.2605942811999995</c:v>
                </c:pt>
                <c:pt idx="13">
                  <c:v>2.4108772568999939</c:v>
                </c:pt>
                <c:pt idx="14">
                  <c:v>3.7336380236999958</c:v>
                </c:pt>
                <c:pt idx="15">
                  <c:v>1.9645674939999935</c:v>
                </c:pt>
                <c:pt idx="16">
                  <c:v>0.85630770029999326</c:v>
                </c:pt>
                <c:pt idx="17">
                  <c:v>0.97049799910000445</c:v>
                </c:pt>
                <c:pt idx="18">
                  <c:v>-1.1417142861999992</c:v>
                </c:pt>
                <c:pt idx="19">
                  <c:v>-2.0695948447999939</c:v>
                </c:pt>
                <c:pt idx="20">
                  <c:v>-4.3905288952000063</c:v>
                </c:pt>
                <c:pt idx="21">
                  <c:v>-22.942750985499998</c:v>
                </c:pt>
                <c:pt idx="22">
                  <c:v>-2.8135980481000047</c:v>
                </c:pt>
                <c:pt idx="23">
                  <c:v>2.0470576521999959</c:v>
                </c:pt>
              </c:numCache>
            </c:numRef>
          </c:val>
          <c:smooth val="0"/>
          <c:extLst>
            <c:ext xmlns:c16="http://schemas.microsoft.com/office/drawing/2014/chart" uri="{C3380CC4-5D6E-409C-BE32-E72D297353CC}">
              <c16:uniqueId val="{00000008-F65E-4DCA-969C-D03CE9F1CEAF}"/>
            </c:ext>
          </c:extLst>
        </c:ser>
        <c:dLbls>
          <c:showLegendKey val="0"/>
          <c:showVal val="0"/>
          <c:showCatName val="0"/>
          <c:showSerName val="0"/>
          <c:showPercent val="0"/>
          <c:showBubbleSize val="0"/>
        </c:dLbls>
        <c:marker val="1"/>
        <c:smooth val="0"/>
        <c:axId val="112768128"/>
        <c:axId val="112769664"/>
      </c:lineChart>
      <c:lineChart>
        <c:grouping val="standard"/>
        <c:varyColors val="0"/>
        <c:ser>
          <c:idx val="9"/>
          <c:order val="9"/>
          <c:tx>
            <c:strRef>
              <c:f>'GRAF příspěvky IPP'!$A$36</c:f>
              <c:strCache>
                <c:ptCount val="1"/>
                <c:pt idx="0">
                  <c:v>Saldo souhrn. indik. důvěry v průmyslu</c:v>
                </c:pt>
              </c:strCache>
            </c:strRef>
          </c:tx>
          <c:spPr>
            <a:ln w="15875">
              <a:solidFill>
                <a:schemeClr val="bg1">
                  <a:lumMod val="65000"/>
                </a:schemeClr>
              </a:solidFill>
              <a:prstDash val="sysDot"/>
            </a:ln>
          </c:spPr>
          <c:marker>
            <c:symbol val="circle"/>
            <c:size val="5"/>
            <c:spPr>
              <a:solidFill>
                <a:srgbClr val="FFFF00"/>
              </a:solidFill>
              <a:ln>
                <a:solidFill>
                  <a:schemeClr val="tx1">
                    <a:lumMod val="50000"/>
                    <a:lumOff val="50000"/>
                  </a:schemeClr>
                </a:solidFill>
              </a:ln>
            </c:spPr>
          </c:marker>
          <c:cat>
            <c:multiLvlStrRef>
              <c:f>'GRAF příspěvky IPP'!$R$25:$AP$26</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'GRAF příspěvky IPP'!$R$36:$AP$36</c:f>
              <c:numCache>
                <c:formatCode>0.0</c:formatCode>
                <c:ptCount val="25"/>
                <c:pt idx="0">
                  <c:v>2.2999999999999998</c:v>
                </c:pt>
                <c:pt idx="1">
                  <c:v>3.3</c:v>
                </c:pt>
                <c:pt idx="2">
                  <c:v>3</c:v>
                </c:pt>
                <c:pt idx="3">
                  <c:v>1</c:v>
                </c:pt>
                <c:pt idx="4">
                  <c:v>3.7</c:v>
                </c:pt>
                <c:pt idx="5">
                  <c:v>2.7</c:v>
                </c:pt>
                <c:pt idx="6">
                  <c:v>5</c:v>
                </c:pt>
                <c:pt idx="7">
                  <c:v>6.3</c:v>
                </c:pt>
                <c:pt idx="8">
                  <c:v>3.7</c:v>
                </c:pt>
                <c:pt idx="9">
                  <c:v>0.5</c:v>
                </c:pt>
                <c:pt idx="10">
                  <c:v>4</c:v>
                </c:pt>
                <c:pt idx="11">
                  <c:v>4.7</c:v>
                </c:pt>
                <c:pt idx="12">
                  <c:v>3.7</c:v>
                </c:pt>
                <c:pt idx="13">
                  <c:v>2</c:v>
                </c:pt>
                <c:pt idx="14">
                  <c:v>2.2999999999999998</c:v>
                </c:pt>
                <c:pt idx="15">
                  <c:v>2.2999999999999998</c:v>
                </c:pt>
                <c:pt idx="16">
                  <c:v>0.3</c:v>
                </c:pt>
                <c:pt idx="17">
                  <c:v>-2</c:v>
                </c:pt>
                <c:pt idx="18">
                  <c:v>-3</c:v>
                </c:pt>
                <c:pt idx="19">
                  <c:v>-6.7</c:v>
                </c:pt>
                <c:pt idx="20">
                  <c:v>-5</c:v>
                </c:pt>
                <c:pt idx="21">
                  <c:v>-25.3</c:v>
                </c:pt>
                <c:pt idx="22">
                  <c:v>-6.3</c:v>
                </c:pt>
                <c:pt idx="23">
                  <c:v>-10</c:v>
                </c:pt>
                <c:pt idx="24">
                  <c:v>-1.3</c:v>
                </c:pt>
              </c:numCache>
            </c:numRef>
          </c:val>
          <c:smooth val="0"/>
          <c:extLst>
            <c:ext xmlns:c16="http://schemas.microsoft.com/office/drawing/2014/chart" uri="{C3380CC4-5D6E-409C-BE32-E72D297353CC}">
              <c16:uniqueId val="{00000009-F65E-4DCA-969C-D03CE9F1CEAF}"/>
            </c:ext>
          </c:extLst>
        </c:ser>
        <c:dLbls>
          <c:showLegendKey val="0"/>
          <c:showVal val="0"/>
          <c:showCatName val="0"/>
          <c:showSerName val="0"/>
          <c:showPercent val="0"/>
          <c:showBubbleSize val="0"/>
        </c:dLbls>
        <c:marker val="1"/>
        <c:smooth val="0"/>
        <c:axId val="1513731104"/>
        <c:axId val="1513729024"/>
      </c:lineChart>
      <c:catAx>
        <c:axId val="112768128"/>
        <c:scaling>
          <c:orientation val="minMax"/>
        </c:scaling>
        <c:delete val="0"/>
        <c:axPos val="b"/>
        <c:numFmt formatCode="General" sourceLinked="1"/>
        <c:majorTickMark val="out"/>
        <c:minorTickMark val="none"/>
        <c:tickLblPos val="low"/>
        <c:txPr>
          <a:bodyPr/>
          <a:lstStyle/>
          <a:p>
            <a:pPr>
              <a:defRPr sz="800">
                <a:latin typeface="Arial" pitchFamily="34" charset="0"/>
                <a:cs typeface="Arial" pitchFamily="34" charset="0"/>
              </a:defRPr>
            </a:pPr>
            <a:endParaRPr lang="cs-CZ"/>
          </a:p>
        </c:txPr>
        <c:crossAx val="112769664"/>
        <c:crosses val="autoZero"/>
        <c:auto val="1"/>
        <c:lblAlgn val="ctr"/>
        <c:lblOffset val="0"/>
        <c:noMultiLvlLbl val="0"/>
      </c:catAx>
      <c:valAx>
        <c:axId val="112769664"/>
        <c:scaling>
          <c:orientation val="minMax"/>
          <c:max val="9"/>
          <c:min val="-27"/>
        </c:scaling>
        <c:delete val="0"/>
        <c:axPos val="l"/>
        <c:majorGridlines>
          <c:spPr>
            <a:ln>
              <a:solidFill>
                <a:srgbClr val="BEBEBE"/>
              </a:solidFill>
            </a:ln>
          </c:spPr>
        </c:majorGridlines>
        <c:title>
          <c:tx>
            <c:rich>
              <a:bodyPr/>
              <a:lstStyle/>
              <a:p>
                <a:pPr>
                  <a:defRPr sz="700" b="0" i="1">
                    <a:latin typeface="Arial" panose="020B0604020202020204" pitchFamily="34" charset="0"/>
                    <a:cs typeface="Arial" panose="020B0604020202020204" pitchFamily="34" charset="0"/>
                  </a:defRPr>
                </a:pPr>
                <a:r>
                  <a:rPr lang="cs-CZ" sz="700" b="0" i="1">
                    <a:latin typeface="Arial" panose="020B0604020202020204" pitchFamily="34" charset="0"/>
                    <a:cs typeface="Arial" panose="020B0604020202020204" pitchFamily="34" charset="0"/>
                  </a:rPr>
                  <a:t>Průmyslová</a:t>
                </a:r>
                <a:r>
                  <a:rPr lang="cs-CZ" sz="700" b="0" i="1" baseline="0">
                    <a:latin typeface="Arial" panose="020B0604020202020204" pitchFamily="34" charset="0"/>
                    <a:cs typeface="Arial" panose="020B0604020202020204" pitchFamily="34" charset="0"/>
                  </a:rPr>
                  <a:t> produkce</a:t>
                </a:r>
                <a:endParaRPr lang="cs-CZ" sz="700" b="0" i="1">
                  <a:latin typeface="Arial" panose="020B0604020202020204" pitchFamily="34" charset="0"/>
                  <a:cs typeface="Arial" panose="020B0604020202020204" pitchFamily="34" charset="0"/>
                </a:endParaRPr>
              </a:p>
            </c:rich>
          </c:tx>
          <c:layout>
            <c:manualLayout>
              <c:xMode val="edge"/>
              <c:yMode val="edge"/>
              <c:x val="0"/>
              <c:y val="0.20244534603198014"/>
            </c:manualLayout>
          </c:layout>
          <c:overlay val="0"/>
        </c:title>
        <c:numFmt formatCode="0" sourceLinked="0"/>
        <c:majorTickMark val="out"/>
        <c:minorTickMark val="none"/>
        <c:tickLblPos val="nextTo"/>
        <c:txPr>
          <a:bodyPr/>
          <a:lstStyle/>
          <a:p>
            <a:pPr>
              <a:defRPr sz="800">
                <a:latin typeface="Arial" pitchFamily="34" charset="0"/>
                <a:cs typeface="Arial" pitchFamily="34" charset="0"/>
              </a:defRPr>
            </a:pPr>
            <a:endParaRPr lang="cs-CZ"/>
          </a:p>
        </c:txPr>
        <c:crossAx val="112768128"/>
        <c:crosses val="autoZero"/>
        <c:crossBetween val="between"/>
        <c:majorUnit val="3"/>
      </c:valAx>
      <c:valAx>
        <c:axId val="1513729024"/>
        <c:scaling>
          <c:orientation val="minMax"/>
          <c:max val="30"/>
        </c:scaling>
        <c:delete val="0"/>
        <c:axPos val="r"/>
        <c:title>
          <c:tx>
            <c:rich>
              <a:bodyPr/>
              <a:lstStyle/>
              <a:p>
                <a:pPr>
                  <a:defRPr sz="700" b="0" i="1">
                    <a:latin typeface="Arial" panose="020B0604020202020204" pitchFamily="34" charset="0"/>
                    <a:cs typeface="Arial" panose="020B0604020202020204" pitchFamily="34" charset="0"/>
                  </a:defRPr>
                </a:pPr>
                <a:r>
                  <a:rPr lang="cs-CZ" sz="700" b="0" i="1">
                    <a:latin typeface="Arial" panose="020B0604020202020204" pitchFamily="34" charset="0"/>
                    <a:cs typeface="Arial" panose="020B0604020202020204" pitchFamily="34" charset="0"/>
                  </a:rPr>
                  <a:t>Saldo</a:t>
                </a:r>
                <a:r>
                  <a:rPr lang="cs-CZ" sz="700" b="0" i="1" baseline="0">
                    <a:latin typeface="Arial" panose="020B0604020202020204" pitchFamily="34" charset="0"/>
                    <a:cs typeface="Arial" panose="020B0604020202020204" pitchFamily="34" charset="0"/>
                  </a:rPr>
                  <a:t> indikátoru důvěry</a:t>
                </a:r>
                <a:endParaRPr lang="cs-CZ" sz="700" b="0" i="1">
                  <a:latin typeface="Arial" panose="020B0604020202020204" pitchFamily="34" charset="0"/>
                  <a:cs typeface="Arial" panose="020B0604020202020204" pitchFamily="34" charset="0"/>
                </a:endParaRPr>
              </a:p>
            </c:rich>
          </c:tx>
          <c:layout>
            <c:manualLayout>
              <c:xMode val="edge"/>
              <c:yMode val="edge"/>
              <c:x val="0.97073916983354047"/>
              <c:y val="0.1919156077545873"/>
            </c:manualLayout>
          </c:layout>
          <c:overlay val="0"/>
        </c:title>
        <c:numFmt formatCode="0" sourceLinked="0"/>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cs-CZ"/>
          </a:p>
        </c:txPr>
        <c:crossAx val="1513731104"/>
        <c:crosses val="max"/>
        <c:crossBetween val="between"/>
        <c:majorUnit val="5"/>
      </c:valAx>
      <c:catAx>
        <c:axId val="1513731104"/>
        <c:scaling>
          <c:orientation val="minMax"/>
        </c:scaling>
        <c:delete val="1"/>
        <c:axPos val="b"/>
        <c:numFmt formatCode="General" sourceLinked="1"/>
        <c:majorTickMark val="out"/>
        <c:minorTickMark val="none"/>
        <c:tickLblPos val="nextTo"/>
        <c:crossAx val="1513729024"/>
        <c:crosses val="autoZero"/>
        <c:auto val="1"/>
        <c:lblAlgn val="ctr"/>
        <c:lblOffset val="100"/>
        <c:noMultiLvlLbl val="0"/>
      </c:catAx>
      <c:spPr>
        <a:noFill/>
        <a:ln w="6350">
          <a:solidFill>
            <a:prstClr val="black">
              <a:lumMod val="95000"/>
              <a:lumOff val="5000"/>
            </a:prstClr>
          </a:solidFill>
        </a:ln>
      </c:spPr>
    </c:plotArea>
    <c:legend>
      <c:legendPos val="r"/>
      <c:layout>
        <c:manualLayout>
          <c:xMode val="edge"/>
          <c:yMode val="edge"/>
          <c:x val="5.3674313143127631E-3"/>
          <c:y val="0.8208401379824497"/>
          <c:w val="0.99049246182308814"/>
          <c:h val="0.1680903527628885"/>
        </c:manualLayout>
      </c:layout>
      <c:overlay val="0"/>
      <c:spPr>
        <a:ln w="6350">
          <a:solidFill>
            <a:prstClr val="black">
              <a:lumMod val="95000"/>
              <a:lumOff val="5000"/>
            </a:prstClr>
          </a:solidFill>
        </a:ln>
      </c:spPr>
      <c:txPr>
        <a:bodyPr/>
        <a:lstStyle/>
        <a:p>
          <a:pPr>
            <a:defRPr sz="800">
              <a:latin typeface="Arial" pitchFamily="34" charset="0"/>
              <a:cs typeface="Arial" pitchFamily="34" charset="0"/>
            </a:defRPr>
          </a:pPr>
          <a:endParaRPr lang="cs-CZ"/>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9015582501720615E-2"/>
          <c:y val="1.643251153889452E-2"/>
          <c:w val="0.86254083709606399"/>
          <c:h val="0.76336766858043459"/>
        </c:manualLayout>
      </c:layout>
      <c:barChart>
        <c:barDir val="col"/>
        <c:grouping val="clustered"/>
        <c:varyColors val="0"/>
        <c:ser>
          <c:idx val="0"/>
          <c:order val="0"/>
          <c:tx>
            <c:strRef>
              <c:f>'výkonnost odvětví 2'!$A$31</c:f>
              <c:strCache>
                <c:ptCount val="1"/>
                <c:pt idx="0">
                  <c:v>Průmyslové zakázky celkem</c:v>
                </c:pt>
              </c:strCache>
            </c:strRef>
          </c:tx>
          <c:spPr>
            <a:solidFill>
              <a:schemeClr val="bg1">
                <a:lumMod val="65000"/>
              </a:schemeClr>
            </a:solidFill>
            <a:ln w="12700">
              <a:noFill/>
              <a:prstDash val="solid"/>
            </a:ln>
          </c:spPr>
          <c:invertIfNegative val="0"/>
          <c:cat>
            <c:multiLvlStrRef>
              <c:f>'výkonnost odvětví 2'!$R$29:$AP$30</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'výkonnost odvětví 2'!$R$31:$AP$31</c:f>
              <c:numCache>
                <c:formatCode>#,##0.0__</c:formatCode>
                <c:ptCount val="25"/>
                <c:pt idx="0">
                  <c:v>8.5397251010390391</c:v>
                </c:pt>
                <c:pt idx="1">
                  <c:v>6.4894834031568251</c:v>
                </c:pt>
                <c:pt idx="2">
                  <c:v>4.1045761314248068</c:v>
                </c:pt>
                <c:pt idx="3">
                  <c:v>6.0151063810169205</c:v>
                </c:pt>
                <c:pt idx="4">
                  <c:v>1.3550678522953064</c:v>
                </c:pt>
                <c:pt idx="5">
                  <c:v>10.856046878525433</c:v>
                </c:pt>
                <c:pt idx="6">
                  <c:v>1.6431282237439291</c:v>
                </c:pt>
                <c:pt idx="7">
                  <c:v>6.7220844736941103</c:v>
                </c:pt>
                <c:pt idx="8">
                  <c:v>10.841479121555906</c:v>
                </c:pt>
                <c:pt idx="9">
                  <c:v>4.5315942367003714</c:v>
                </c:pt>
                <c:pt idx="10">
                  <c:v>6.9082617878945598</c:v>
                </c:pt>
                <c:pt idx="11">
                  <c:v>7.5112613571588724</c:v>
                </c:pt>
                <c:pt idx="12">
                  <c:v>1.6339188767607453</c:v>
                </c:pt>
                <c:pt idx="13">
                  <c:v>4.6301209797549205</c:v>
                </c:pt>
                <c:pt idx="14">
                  <c:v>3.6945404784506337</c:v>
                </c:pt>
                <c:pt idx="15">
                  <c:v>4.2467023509658759</c:v>
                </c:pt>
                <c:pt idx="16">
                  <c:v>3.2159327201169816</c:v>
                </c:pt>
                <c:pt idx="17">
                  <c:v>0.65858715061426665</c:v>
                </c:pt>
                <c:pt idx="18">
                  <c:v>2.2747163836690305</c:v>
                </c:pt>
                <c:pt idx="19">
                  <c:v>-4.7832000111320241</c:v>
                </c:pt>
                <c:pt idx="20">
                  <c:v>-1.2762466132796817</c:v>
                </c:pt>
                <c:pt idx="21">
                  <c:v>-27.685678861776282</c:v>
                </c:pt>
                <c:pt idx="22">
                  <c:v>-2.0849225069869703</c:v>
                </c:pt>
                <c:pt idx="23">
                  <c:v>6.882954384462451</c:v>
                </c:pt>
              </c:numCache>
            </c:numRef>
          </c:val>
          <c:extLst>
            <c:ext xmlns:c16="http://schemas.microsoft.com/office/drawing/2014/chart" uri="{C3380CC4-5D6E-409C-BE32-E72D297353CC}">
              <c16:uniqueId val="{00000000-30C6-4022-9988-6AFF27169D4A}"/>
            </c:ext>
          </c:extLst>
        </c:ser>
        <c:dLbls>
          <c:showLegendKey val="0"/>
          <c:showVal val="0"/>
          <c:showCatName val="0"/>
          <c:showSerName val="0"/>
          <c:showPercent val="0"/>
          <c:showBubbleSize val="0"/>
        </c:dLbls>
        <c:gapWidth val="34"/>
        <c:overlap val="28"/>
        <c:axId val="139174272"/>
        <c:axId val="139175808"/>
      </c:barChart>
      <c:lineChart>
        <c:grouping val="standard"/>
        <c:varyColors val="0"/>
        <c:ser>
          <c:idx val="2"/>
          <c:order val="1"/>
          <c:tx>
            <c:strRef>
              <c:f>'výkonnost odvětví 2'!$A$32</c:f>
              <c:strCache>
                <c:ptCount val="1"/>
                <c:pt idx="0">
                  <c:v>Průmyslové zakázky z tuzemska</c:v>
                </c:pt>
              </c:strCache>
            </c:strRef>
          </c:tx>
          <c:spPr>
            <a:ln w="15875">
              <a:solidFill>
                <a:srgbClr val="0070C0"/>
              </a:solidFill>
              <a:prstDash val="solid"/>
            </a:ln>
          </c:spPr>
          <c:marker>
            <c:symbol val="none"/>
          </c:marker>
          <c:cat>
            <c:multiLvlStrRef>
              <c:f>'výkonnost odvětví 2'!$R$29:$AP$30</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'výkonnost odvětví 2'!$R$32:$AP$32</c:f>
              <c:numCache>
                <c:formatCode>#,##0.0__</c:formatCode>
                <c:ptCount val="25"/>
                <c:pt idx="0">
                  <c:v>4.341961301010727</c:v>
                </c:pt>
                <c:pt idx="1">
                  <c:v>10.024449168168019</c:v>
                </c:pt>
                <c:pt idx="2">
                  <c:v>-4.7604240586837108</c:v>
                </c:pt>
                <c:pt idx="3">
                  <c:v>0.56107209694786775</c:v>
                </c:pt>
                <c:pt idx="4">
                  <c:v>0.20304376106223287</c:v>
                </c:pt>
                <c:pt idx="5">
                  <c:v>4.9376200007964286</c:v>
                </c:pt>
                <c:pt idx="6">
                  <c:v>-0.65834656713856532</c:v>
                </c:pt>
                <c:pt idx="7">
                  <c:v>2.873089889380708</c:v>
                </c:pt>
                <c:pt idx="8">
                  <c:v>16.722989365311648</c:v>
                </c:pt>
                <c:pt idx="9">
                  <c:v>11.567742610098009</c:v>
                </c:pt>
                <c:pt idx="10">
                  <c:v>14.702871802754672</c:v>
                </c:pt>
                <c:pt idx="11">
                  <c:v>15.641374658030259</c:v>
                </c:pt>
                <c:pt idx="12">
                  <c:v>-0.54655499165191657</c:v>
                </c:pt>
                <c:pt idx="13">
                  <c:v>3.3862320433243838</c:v>
                </c:pt>
                <c:pt idx="14">
                  <c:v>4.5707977831681177</c:v>
                </c:pt>
                <c:pt idx="15">
                  <c:v>4.8009732818449038</c:v>
                </c:pt>
                <c:pt idx="16">
                  <c:v>8.0074778782798006</c:v>
                </c:pt>
                <c:pt idx="17">
                  <c:v>4.3685672275757952</c:v>
                </c:pt>
                <c:pt idx="18">
                  <c:v>3.2795252635021939</c:v>
                </c:pt>
                <c:pt idx="19">
                  <c:v>-2.4886565019466786</c:v>
                </c:pt>
                <c:pt idx="20">
                  <c:v>6.4934467246087451</c:v>
                </c:pt>
                <c:pt idx="21">
                  <c:v>-25.916734002239323</c:v>
                </c:pt>
                <c:pt idx="22">
                  <c:v>-3.9678211678045017</c:v>
                </c:pt>
                <c:pt idx="23">
                  <c:v>6.667164135045283</c:v>
                </c:pt>
              </c:numCache>
            </c:numRef>
          </c:val>
          <c:smooth val="0"/>
          <c:extLst>
            <c:ext xmlns:c16="http://schemas.microsoft.com/office/drawing/2014/chart" uri="{C3380CC4-5D6E-409C-BE32-E72D297353CC}">
              <c16:uniqueId val="{00000001-30C6-4022-9988-6AFF27169D4A}"/>
            </c:ext>
          </c:extLst>
        </c:ser>
        <c:ser>
          <c:idx val="5"/>
          <c:order val="2"/>
          <c:tx>
            <c:strRef>
              <c:f>'výkonnost odvětví 2'!$A$33</c:f>
              <c:strCache>
                <c:ptCount val="1"/>
                <c:pt idx="0">
                  <c:v>Celk. zakázky ve výrobě motor. voz.</c:v>
                </c:pt>
              </c:strCache>
            </c:strRef>
          </c:tx>
          <c:spPr>
            <a:ln w="15875">
              <a:solidFill>
                <a:srgbClr val="BD1B21"/>
              </a:solidFill>
              <a:prstDash val="solid"/>
            </a:ln>
          </c:spPr>
          <c:marker>
            <c:symbol val="none"/>
          </c:marker>
          <c:cat>
            <c:multiLvlStrRef>
              <c:f>'výkonnost odvětví 2'!$R$29:$AP$30</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'výkonnost odvětví 2'!$R$33:$AP$33</c:f>
              <c:numCache>
                <c:formatCode>#,##0.0__</c:formatCode>
                <c:ptCount val="25"/>
                <c:pt idx="0">
                  <c:v>15.316352438277931</c:v>
                </c:pt>
                <c:pt idx="1">
                  <c:v>5.584343456517459</c:v>
                </c:pt>
                <c:pt idx="2">
                  <c:v>13.898535777390734</c:v>
                </c:pt>
                <c:pt idx="3">
                  <c:v>18.975191723154538</c:v>
                </c:pt>
                <c:pt idx="4">
                  <c:v>11.460497347422447</c:v>
                </c:pt>
                <c:pt idx="5">
                  <c:v>33.085131031292235</c:v>
                </c:pt>
                <c:pt idx="6">
                  <c:v>5.912380139380474</c:v>
                </c:pt>
                <c:pt idx="7">
                  <c:v>12.001000805244416</c:v>
                </c:pt>
                <c:pt idx="8">
                  <c:v>7.9804719471503205</c:v>
                </c:pt>
                <c:pt idx="9">
                  <c:v>-1.7592612473364966</c:v>
                </c:pt>
                <c:pt idx="10">
                  <c:v>3.8626497182263222</c:v>
                </c:pt>
                <c:pt idx="11">
                  <c:v>0.37376710568412364</c:v>
                </c:pt>
                <c:pt idx="12">
                  <c:v>0.60861960894675349</c:v>
                </c:pt>
                <c:pt idx="13">
                  <c:v>3.6675371997157811</c:v>
                </c:pt>
                <c:pt idx="14">
                  <c:v>0.69699979014031044</c:v>
                </c:pt>
                <c:pt idx="15">
                  <c:v>1.0371076901644045</c:v>
                </c:pt>
                <c:pt idx="16">
                  <c:v>2.3844519038519962</c:v>
                </c:pt>
                <c:pt idx="17">
                  <c:v>3.1505861553301884</c:v>
                </c:pt>
                <c:pt idx="18">
                  <c:v>7.8772894879504776</c:v>
                </c:pt>
                <c:pt idx="19">
                  <c:v>-0.27078960340936931</c:v>
                </c:pt>
                <c:pt idx="20">
                  <c:v>-6.5941090261626556</c:v>
                </c:pt>
                <c:pt idx="21">
                  <c:v>-43.297757603226039</c:v>
                </c:pt>
                <c:pt idx="22">
                  <c:v>3.6539438072891244</c:v>
                </c:pt>
                <c:pt idx="23">
                  <c:v>8.0597939162845336</c:v>
                </c:pt>
              </c:numCache>
            </c:numRef>
          </c:val>
          <c:smooth val="0"/>
          <c:extLst>
            <c:ext xmlns:c16="http://schemas.microsoft.com/office/drawing/2014/chart" uri="{C3380CC4-5D6E-409C-BE32-E72D297353CC}">
              <c16:uniqueId val="{00000002-30C6-4022-9988-6AFF27169D4A}"/>
            </c:ext>
          </c:extLst>
        </c:ser>
        <c:dLbls>
          <c:showLegendKey val="0"/>
          <c:showVal val="0"/>
          <c:showCatName val="0"/>
          <c:showSerName val="0"/>
          <c:showPercent val="0"/>
          <c:showBubbleSize val="0"/>
        </c:dLbls>
        <c:marker val="1"/>
        <c:smooth val="0"/>
        <c:axId val="139174272"/>
        <c:axId val="139175808"/>
      </c:lineChart>
      <c:lineChart>
        <c:grouping val="standard"/>
        <c:varyColors val="0"/>
        <c:ser>
          <c:idx val="3"/>
          <c:order val="3"/>
          <c:tx>
            <c:strRef>
              <c:f>'výkonnost odvětví 2'!$A$34</c:f>
              <c:strCache>
                <c:ptCount val="1"/>
                <c:pt idx="0">
                  <c:v>Využití výrob. kapacit v prům. (pr. osa)</c:v>
                </c:pt>
              </c:strCache>
            </c:strRef>
          </c:tx>
          <c:spPr>
            <a:ln w="19050">
              <a:solidFill>
                <a:srgbClr val="00B050"/>
              </a:solidFill>
              <a:prstDash val="solid"/>
            </a:ln>
          </c:spPr>
          <c:marker>
            <c:symbol val="none"/>
          </c:marker>
          <c:cat>
            <c:multiLvlStrRef>
              <c:f>'výkonnost odvětví 2'!$R$29:$AP$30</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'výkonnost odvětví 2'!$R$34:$AP$34</c:f>
              <c:numCache>
                <c:formatCode>#,##0.0</c:formatCode>
                <c:ptCount val="25"/>
                <c:pt idx="0">
                  <c:v>86.2</c:v>
                </c:pt>
                <c:pt idx="1">
                  <c:v>85</c:v>
                </c:pt>
                <c:pt idx="2">
                  <c:v>85.6</c:v>
                </c:pt>
                <c:pt idx="3">
                  <c:v>83.9</c:v>
                </c:pt>
                <c:pt idx="4">
                  <c:v>84.5</c:v>
                </c:pt>
                <c:pt idx="5">
                  <c:v>84.7</c:v>
                </c:pt>
                <c:pt idx="6">
                  <c:v>84.7</c:v>
                </c:pt>
                <c:pt idx="7">
                  <c:v>84.1</c:v>
                </c:pt>
                <c:pt idx="8">
                  <c:v>84.9</c:v>
                </c:pt>
                <c:pt idx="9">
                  <c:v>83.1</c:v>
                </c:pt>
                <c:pt idx="10">
                  <c:v>84.4</c:v>
                </c:pt>
                <c:pt idx="11">
                  <c:v>84.3</c:v>
                </c:pt>
                <c:pt idx="12">
                  <c:v>85.8</c:v>
                </c:pt>
                <c:pt idx="13">
                  <c:v>85.4</c:v>
                </c:pt>
                <c:pt idx="14">
                  <c:v>86.2</c:v>
                </c:pt>
                <c:pt idx="15">
                  <c:v>85.8</c:v>
                </c:pt>
                <c:pt idx="16">
                  <c:v>85.8</c:v>
                </c:pt>
                <c:pt idx="17">
                  <c:v>85.9</c:v>
                </c:pt>
                <c:pt idx="18">
                  <c:v>84.8</c:v>
                </c:pt>
                <c:pt idx="19">
                  <c:v>84.1</c:v>
                </c:pt>
                <c:pt idx="20">
                  <c:v>84.2</c:v>
                </c:pt>
                <c:pt idx="21">
                  <c:v>71</c:v>
                </c:pt>
                <c:pt idx="22">
                  <c:v>75.5</c:v>
                </c:pt>
                <c:pt idx="23">
                  <c:v>81.099999999999994</c:v>
                </c:pt>
                <c:pt idx="24">
                  <c:v>83.4</c:v>
                </c:pt>
              </c:numCache>
            </c:numRef>
          </c:val>
          <c:smooth val="0"/>
          <c:extLst>
            <c:ext xmlns:c16="http://schemas.microsoft.com/office/drawing/2014/chart" uri="{C3380CC4-5D6E-409C-BE32-E72D297353CC}">
              <c16:uniqueId val="{00000003-30C6-4022-9988-6AFF27169D4A}"/>
            </c:ext>
          </c:extLst>
        </c:ser>
        <c:ser>
          <c:idx val="1"/>
          <c:order val="4"/>
          <c:tx>
            <c:strRef>
              <c:f>'výkonnost odvětví 2'!$A$35</c:f>
              <c:strCache>
                <c:ptCount val="1"/>
                <c:pt idx="0">
                  <c:v>Využití kapac. v automobil. pr. (pr. osa)</c:v>
                </c:pt>
              </c:strCache>
            </c:strRef>
          </c:tx>
          <c:spPr>
            <a:ln w="15875">
              <a:solidFill>
                <a:srgbClr val="00B050"/>
              </a:solidFill>
              <a:prstDash val="sysDash"/>
            </a:ln>
          </c:spPr>
          <c:marker>
            <c:symbol val="none"/>
          </c:marker>
          <c:cat>
            <c:multiLvlStrRef>
              <c:f>'výkonnost odvětví 2'!$R$29:$AP$30</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'výkonnost odvětví 2'!$R$35:$AP$35</c:f>
              <c:numCache>
                <c:formatCode>0.0</c:formatCode>
                <c:ptCount val="25"/>
                <c:pt idx="0">
                  <c:v>92.8</c:v>
                </c:pt>
                <c:pt idx="1">
                  <c:v>91.1</c:v>
                </c:pt>
                <c:pt idx="2">
                  <c:v>93.1</c:v>
                </c:pt>
                <c:pt idx="3">
                  <c:v>88.7</c:v>
                </c:pt>
                <c:pt idx="4">
                  <c:v>91.6</c:v>
                </c:pt>
                <c:pt idx="5">
                  <c:v>90.3</c:v>
                </c:pt>
                <c:pt idx="6">
                  <c:v>93.1</c:v>
                </c:pt>
                <c:pt idx="7">
                  <c:v>90.9</c:v>
                </c:pt>
                <c:pt idx="8">
                  <c:v>93.2</c:v>
                </c:pt>
                <c:pt idx="9">
                  <c:v>87.3</c:v>
                </c:pt>
                <c:pt idx="10">
                  <c:v>90.7</c:v>
                </c:pt>
                <c:pt idx="11">
                  <c:v>90.5</c:v>
                </c:pt>
                <c:pt idx="12">
                  <c:v>91.1</c:v>
                </c:pt>
                <c:pt idx="13">
                  <c:v>91.6</c:v>
                </c:pt>
                <c:pt idx="14">
                  <c:v>92.1</c:v>
                </c:pt>
                <c:pt idx="15">
                  <c:v>93</c:v>
                </c:pt>
                <c:pt idx="16">
                  <c:v>92.8</c:v>
                </c:pt>
                <c:pt idx="17">
                  <c:v>93.6</c:v>
                </c:pt>
                <c:pt idx="18">
                  <c:v>92.3</c:v>
                </c:pt>
                <c:pt idx="19">
                  <c:v>93.4</c:v>
                </c:pt>
                <c:pt idx="20">
                  <c:v>90.5</c:v>
                </c:pt>
                <c:pt idx="21">
                  <c:v>50.8</c:v>
                </c:pt>
                <c:pt idx="22" formatCode="General">
                  <c:v>75.3</c:v>
                </c:pt>
                <c:pt idx="23" formatCode="General">
                  <c:v>90.9</c:v>
                </c:pt>
                <c:pt idx="24" formatCode="General">
                  <c:v>90.3</c:v>
                </c:pt>
              </c:numCache>
            </c:numRef>
          </c:val>
          <c:smooth val="0"/>
          <c:extLst>
            <c:ext xmlns:c16="http://schemas.microsoft.com/office/drawing/2014/chart" uri="{C3380CC4-5D6E-409C-BE32-E72D297353CC}">
              <c16:uniqueId val="{00000004-30C6-4022-9988-6AFF27169D4A}"/>
            </c:ext>
          </c:extLst>
        </c:ser>
        <c:ser>
          <c:idx val="4"/>
          <c:order val="5"/>
          <c:tx>
            <c:strRef>
              <c:f>'výkonnost odvětví 2'!$A$36</c:f>
              <c:strCache>
                <c:ptCount val="1"/>
                <c:pt idx="0">
                  <c:v>Bariéra růstu: nedost. poptávka (pr. osa)</c:v>
                </c:pt>
              </c:strCache>
            </c:strRef>
          </c:tx>
          <c:spPr>
            <a:ln w="15875">
              <a:solidFill>
                <a:srgbClr val="D2CD00"/>
              </a:solidFill>
              <a:prstDash val="solid"/>
            </a:ln>
          </c:spPr>
          <c:marker>
            <c:symbol val="none"/>
          </c:marker>
          <c:cat>
            <c:multiLvlStrRef>
              <c:f>'výkonnost odvětví 2'!$R$29:$AP$30</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'výkonnost odvětví 2'!$R$36:$AP$36</c:f>
              <c:numCache>
                <c:formatCode>#,##0.0</c:formatCode>
                <c:ptCount val="25"/>
                <c:pt idx="0">
                  <c:v>43.6</c:v>
                </c:pt>
                <c:pt idx="1">
                  <c:v>49.6</c:v>
                </c:pt>
                <c:pt idx="2">
                  <c:v>47.8</c:v>
                </c:pt>
                <c:pt idx="3">
                  <c:v>47.8</c:v>
                </c:pt>
                <c:pt idx="4">
                  <c:v>45.7</c:v>
                </c:pt>
                <c:pt idx="5">
                  <c:v>45.5</c:v>
                </c:pt>
                <c:pt idx="6">
                  <c:v>43</c:v>
                </c:pt>
                <c:pt idx="7">
                  <c:v>43.8</c:v>
                </c:pt>
                <c:pt idx="8">
                  <c:v>42.7</c:v>
                </c:pt>
                <c:pt idx="9">
                  <c:v>41.6</c:v>
                </c:pt>
                <c:pt idx="10">
                  <c:v>40.299999999999997</c:v>
                </c:pt>
                <c:pt idx="11">
                  <c:v>37.299999999999997</c:v>
                </c:pt>
                <c:pt idx="12">
                  <c:v>35.4</c:v>
                </c:pt>
                <c:pt idx="13">
                  <c:v>36</c:v>
                </c:pt>
                <c:pt idx="14">
                  <c:v>31.6</c:v>
                </c:pt>
                <c:pt idx="15">
                  <c:v>33.4</c:v>
                </c:pt>
                <c:pt idx="16">
                  <c:v>33.700000000000003</c:v>
                </c:pt>
                <c:pt idx="17">
                  <c:v>35.299999999999997</c:v>
                </c:pt>
                <c:pt idx="18">
                  <c:v>40.1</c:v>
                </c:pt>
                <c:pt idx="19">
                  <c:v>47.3</c:v>
                </c:pt>
                <c:pt idx="20">
                  <c:v>50.4</c:v>
                </c:pt>
                <c:pt idx="21">
                  <c:v>58.4</c:v>
                </c:pt>
                <c:pt idx="22">
                  <c:v>63.2</c:v>
                </c:pt>
                <c:pt idx="23">
                  <c:v>47.9</c:v>
                </c:pt>
                <c:pt idx="24">
                  <c:v>48.7</c:v>
                </c:pt>
              </c:numCache>
            </c:numRef>
          </c:val>
          <c:smooth val="0"/>
          <c:extLst>
            <c:ext xmlns:c16="http://schemas.microsoft.com/office/drawing/2014/chart" uri="{C3380CC4-5D6E-409C-BE32-E72D297353CC}">
              <c16:uniqueId val="{00000005-30C6-4022-9988-6AFF27169D4A}"/>
            </c:ext>
          </c:extLst>
        </c:ser>
        <c:ser>
          <c:idx val="6"/>
          <c:order val="6"/>
          <c:tx>
            <c:strRef>
              <c:f>'výkonnost odvětví 2'!$A$37</c:f>
              <c:strCache>
                <c:ptCount val="1"/>
                <c:pt idx="0">
                  <c:v>Bariéra růstu: nedost. pracovníků (pr. osa)</c:v>
                </c:pt>
              </c:strCache>
            </c:strRef>
          </c:tx>
          <c:spPr>
            <a:ln w="19050">
              <a:solidFill>
                <a:srgbClr val="D2CD00"/>
              </a:solidFill>
              <a:prstDash val="sysDash"/>
            </a:ln>
          </c:spPr>
          <c:marker>
            <c:symbol val="none"/>
          </c:marker>
          <c:cat>
            <c:multiLvlStrRef>
              <c:f>'výkonnost odvětví 2'!$R$29:$AP$30</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'výkonnost odvětví 2'!$R$37:$AP$37</c:f>
              <c:numCache>
                <c:formatCode>#,##0.0</c:formatCode>
                <c:ptCount val="25"/>
                <c:pt idx="0">
                  <c:v>6.7</c:v>
                </c:pt>
                <c:pt idx="1">
                  <c:v>6.9</c:v>
                </c:pt>
                <c:pt idx="2">
                  <c:v>8.1</c:v>
                </c:pt>
                <c:pt idx="3">
                  <c:v>13.9</c:v>
                </c:pt>
                <c:pt idx="4">
                  <c:v>15.4</c:v>
                </c:pt>
                <c:pt idx="5">
                  <c:v>16.899999999999999</c:v>
                </c:pt>
                <c:pt idx="6">
                  <c:v>18.8</c:v>
                </c:pt>
                <c:pt idx="7">
                  <c:v>28.8</c:v>
                </c:pt>
                <c:pt idx="8">
                  <c:v>32.799999999999997</c:v>
                </c:pt>
                <c:pt idx="9">
                  <c:v>34.700000000000003</c:v>
                </c:pt>
                <c:pt idx="10">
                  <c:v>41.3</c:v>
                </c:pt>
                <c:pt idx="11">
                  <c:v>38.299999999999997</c:v>
                </c:pt>
                <c:pt idx="12">
                  <c:v>43.4</c:v>
                </c:pt>
                <c:pt idx="13">
                  <c:v>43.7</c:v>
                </c:pt>
                <c:pt idx="14">
                  <c:v>43.7</c:v>
                </c:pt>
                <c:pt idx="15">
                  <c:v>44.8</c:v>
                </c:pt>
                <c:pt idx="16">
                  <c:v>38.799999999999997</c:v>
                </c:pt>
                <c:pt idx="17">
                  <c:v>36.4</c:v>
                </c:pt>
                <c:pt idx="18">
                  <c:v>39.5</c:v>
                </c:pt>
                <c:pt idx="19">
                  <c:v>37.200000000000003</c:v>
                </c:pt>
                <c:pt idx="20">
                  <c:v>28.2</c:v>
                </c:pt>
                <c:pt idx="21">
                  <c:v>16.600000000000001</c:v>
                </c:pt>
                <c:pt idx="22">
                  <c:v>15.1</c:v>
                </c:pt>
                <c:pt idx="23">
                  <c:v>13.7</c:v>
                </c:pt>
                <c:pt idx="24">
                  <c:v>20.3</c:v>
                </c:pt>
              </c:numCache>
            </c:numRef>
          </c:val>
          <c:smooth val="0"/>
          <c:extLst>
            <c:ext xmlns:c16="http://schemas.microsoft.com/office/drawing/2014/chart" uri="{C3380CC4-5D6E-409C-BE32-E72D297353CC}">
              <c16:uniqueId val="{00000006-30C6-4022-9988-6AFF27169D4A}"/>
            </c:ext>
          </c:extLst>
        </c:ser>
        <c:dLbls>
          <c:showLegendKey val="0"/>
          <c:showVal val="0"/>
          <c:showCatName val="0"/>
          <c:showSerName val="0"/>
          <c:showPercent val="0"/>
          <c:showBubbleSize val="0"/>
        </c:dLbls>
        <c:marker val="1"/>
        <c:smooth val="0"/>
        <c:axId val="146478208"/>
        <c:axId val="139177344"/>
      </c:lineChart>
      <c:catAx>
        <c:axId val="139174272"/>
        <c:scaling>
          <c:orientation val="minMax"/>
        </c:scaling>
        <c:delete val="0"/>
        <c:axPos val="b"/>
        <c:numFmt formatCode="General" sourceLinked="1"/>
        <c:majorTickMark val="out"/>
        <c:minorTickMark val="none"/>
        <c:tickLblPos val="low"/>
        <c:spPr>
          <a:ln w="9525">
            <a:solidFill>
              <a:schemeClr val="tx1"/>
            </a:solidFill>
            <a:prstDash val="solid"/>
          </a:ln>
        </c:spPr>
        <c:txPr>
          <a:bodyPr rot="0" vert="horz"/>
          <a:lstStyle/>
          <a:p>
            <a:pPr>
              <a:defRPr/>
            </a:pPr>
            <a:endParaRPr lang="cs-CZ"/>
          </a:p>
        </c:txPr>
        <c:crossAx val="139175808"/>
        <c:crossesAt val="0"/>
        <c:auto val="0"/>
        <c:lblAlgn val="ctr"/>
        <c:lblOffset val="0"/>
        <c:tickLblSkip val="1"/>
        <c:tickMarkSkip val="4"/>
        <c:noMultiLvlLbl val="0"/>
      </c:catAx>
      <c:valAx>
        <c:axId val="139175808"/>
        <c:scaling>
          <c:orientation val="minMax"/>
          <c:max val="50"/>
          <c:min val="-50"/>
        </c:scaling>
        <c:delete val="0"/>
        <c:axPos val="l"/>
        <c:majorGridlines>
          <c:spPr>
            <a:ln w="6350">
              <a:solidFill>
                <a:schemeClr val="bg1">
                  <a:lumMod val="75000"/>
                </a:schemeClr>
              </a:solidFill>
            </a:ln>
          </c:spPr>
        </c:majorGridlines>
        <c:title>
          <c:tx>
            <c:rich>
              <a:bodyPr/>
              <a:lstStyle/>
              <a:p>
                <a:pPr>
                  <a:defRPr sz="700" i="1"/>
                </a:pPr>
                <a:r>
                  <a:rPr lang="cs-CZ" sz="700" i="1"/>
                  <a:t>Zakázky</a:t>
                </a:r>
              </a:p>
            </c:rich>
          </c:tx>
          <c:layout/>
          <c:overlay val="0"/>
        </c:title>
        <c:numFmt formatCode="0" sourceLinked="0"/>
        <c:majorTickMark val="out"/>
        <c:minorTickMark val="none"/>
        <c:tickLblPos val="nextTo"/>
        <c:spPr>
          <a:ln w="9525">
            <a:solidFill>
              <a:schemeClr val="tx1"/>
            </a:solidFill>
            <a:prstDash val="solid"/>
          </a:ln>
        </c:spPr>
        <c:txPr>
          <a:bodyPr rot="0" vert="horz"/>
          <a:lstStyle/>
          <a:p>
            <a:pPr>
              <a:defRPr/>
            </a:pPr>
            <a:endParaRPr lang="cs-CZ"/>
          </a:p>
        </c:txPr>
        <c:crossAx val="139174272"/>
        <c:crosses val="autoZero"/>
        <c:crossBetween val="between"/>
        <c:majorUnit val="10"/>
      </c:valAx>
      <c:valAx>
        <c:axId val="139177344"/>
        <c:scaling>
          <c:orientation val="minMax"/>
          <c:max val="100"/>
          <c:min val="0"/>
        </c:scaling>
        <c:delete val="0"/>
        <c:axPos val="r"/>
        <c:title>
          <c:tx>
            <c:rich>
              <a:bodyPr/>
              <a:lstStyle/>
              <a:p>
                <a:pPr>
                  <a:defRPr sz="700" b="0" i="1"/>
                </a:pPr>
                <a:r>
                  <a:rPr lang="cs-CZ" sz="700" b="0" i="1"/>
                  <a:t>Využití výrobních kapacit, bariéry</a:t>
                </a:r>
                <a:r>
                  <a:rPr lang="cs-CZ" sz="700" b="0" i="1" baseline="0"/>
                  <a:t> růstu</a:t>
                </a:r>
                <a:endParaRPr lang="cs-CZ" sz="700" b="0" i="1"/>
              </a:p>
            </c:rich>
          </c:tx>
          <c:layout>
            <c:manualLayout>
              <c:xMode val="edge"/>
              <c:yMode val="edge"/>
              <c:x val="0.97051506350706762"/>
              <c:y val="0.16321710007880222"/>
            </c:manualLayout>
          </c:layout>
          <c:overlay val="0"/>
        </c:title>
        <c:numFmt formatCode="0" sourceLinked="0"/>
        <c:majorTickMark val="out"/>
        <c:minorTickMark val="none"/>
        <c:tickLblPos val="nextTo"/>
        <c:crossAx val="146478208"/>
        <c:crosses val="max"/>
        <c:crossBetween val="between"/>
      </c:valAx>
      <c:catAx>
        <c:axId val="146478208"/>
        <c:scaling>
          <c:orientation val="minMax"/>
        </c:scaling>
        <c:delete val="1"/>
        <c:axPos val="b"/>
        <c:numFmt formatCode="General" sourceLinked="1"/>
        <c:majorTickMark val="out"/>
        <c:minorTickMark val="none"/>
        <c:tickLblPos val="none"/>
        <c:crossAx val="139177344"/>
        <c:crosses val="autoZero"/>
        <c:auto val="1"/>
        <c:lblAlgn val="ctr"/>
        <c:lblOffset val="100"/>
        <c:noMultiLvlLbl val="0"/>
      </c:catAx>
      <c:spPr>
        <a:solidFill>
          <a:srgbClr val="FFFFFF"/>
        </a:solidFill>
        <a:ln w="9525">
          <a:solidFill>
            <a:schemeClr val="tx1"/>
          </a:solidFill>
        </a:ln>
      </c:spPr>
    </c:plotArea>
    <c:legend>
      <c:legendPos val="b"/>
      <c:layout>
        <c:manualLayout>
          <c:xMode val="edge"/>
          <c:yMode val="edge"/>
          <c:x val="8.1990961748686711E-3"/>
          <c:y val="0.86823820781267591"/>
          <c:w val="0.98379594369130352"/>
          <c:h val="0.12461330631543398"/>
        </c:manualLayout>
      </c:layout>
      <c:overlay val="0"/>
      <c:spPr>
        <a:noFill/>
        <a:ln w="6350">
          <a:solidFill>
            <a:schemeClr val="tx1"/>
          </a:solidFill>
        </a:ln>
      </c:spPr>
    </c:legend>
    <c:plotVisOnly val="1"/>
    <c:dispBlanksAs val="gap"/>
    <c:showDLblsOverMax val="0"/>
  </c:chart>
  <c:spPr>
    <a:solidFill>
      <a:srgbClr val="FFFFFF"/>
    </a:solidFill>
    <a:ln w="3175">
      <a:noFill/>
      <a:prstDash val="solid"/>
    </a:ln>
  </c:spPr>
  <c:txPr>
    <a:bodyPr/>
    <a:lstStyle/>
    <a:p>
      <a:pPr>
        <a:defRPr sz="800" b="0" i="0" u="none" strike="noStrike" baseline="0">
          <a:solidFill>
            <a:srgbClr val="000000"/>
          </a:solidFill>
          <a:latin typeface="Arial CE"/>
          <a:ea typeface="Arial CE"/>
          <a:cs typeface="Arial CE"/>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9528655934435024E-2"/>
          <c:y val="1.6563187842952781E-2"/>
          <c:w val="0.85309492009152854"/>
          <c:h val="0.75433571654769893"/>
        </c:manualLayout>
      </c:layout>
      <c:barChart>
        <c:barDir val="col"/>
        <c:grouping val="stacked"/>
        <c:varyColors val="0"/>
        <c:ser>
          <c:idx val="1"/>
          <c:order val="1"/>
          <c:tx>
            <c:strRef>
              <c:f>'výkonnost odvětví 3'!$Y$10</c:f>
              <c:strCache>
                <c:ptCount val="1"/>
                <c:pt idx="0">
                  <c:v>Pozemní stavitelství (příspěvek v p. b.)</c:v>
                </c:pt>
              </c:strCache>
            </c:strRef>
          </c:tx>
          <c:spPr>
            <a:solidFill>
              <a:srgbClr val="A6CDE9"/>
            </a:solidFill>
            <a:ln w="19050">
              <a:noFill/>
              <a:prstDash val="solid"/>
            </a:ln>
          </c:spPr>
          <c:invertIfNegative val="0"/>
          <c:cat>
            <c:multiLvlStrRef>
              <c:f>'výkonnost odvětví 3'!$V$31:$W$55</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'výkonnost odvětví 3'!$Y$31:$Y$55</c:f>
              <c:numCache>
                <c:formatCode>0.0</c:formatCode>
                <c:ptCount val="25"/>
                <c:pt idx="0">
                  <c:v>6.0472691415550308</c:v>
                </c:pt>
                <c:pt idx="1">
                  <c:v>5.0361785279850331</c:v>
                </c:pt>
                <c:pt idx="2">
                  <c:v>0.79284647800469443</c:v>
                </c:pt>
                <c:pt idx="3">
                  <c:v>-1.7469503076723902</c:v>
                </c:pt>
                <c:pt idx="4">
                  <c:v>-4.9966395973466113</c:v>
                </c:pt>
                <c:pt idx="5">
                  <c:v>-4.9257017459251742</c:v>
                </c:pt>
                <c:pt idx="6">
                  <c:v>0.77276571096827207</c:v>
                </c:pt>
                <c:pt idx="7">
                  <c:v>3.9335414535585005</c:v>
                </c:pt>
                <c:pt idx="8">
                  <c:v>2.3671560586056022</c:v>
                </c:pt>
                <c:pt idx="9">
                  <c:v>9.8680621909171364</c:v>
                </c:pt>
                <c:pt idx="10">
                  <c:v>3.4017933101817137</c:v>
                </c:pt>
                <c:pt idx="11">
                  <c:v>2.6470410387980881</c:v>
                </c:pt>
                <c:pt idx="12">
                  <c:v>13.566805669626437</c:v>
                </c:pt>
                <c:pt idx="13">
                  <c:v>6.3014309761028438</c:v>
                </c:pt>
                <c:pt idx="14">
                  <c:v>7.6955191405999477</c:v>
                </c:pt>
                <c:pt idx="15">
                  <c:v>2.4925933032829257</c:v>
                </c:pt>
                <c:pt idx="16">
                  <c:v>2.8991265346082757</c:v>
                </c:pt>
                <c:pt idx="17">
                  <c:v>2.4161064271216639</c:v>
                </c:pt>
                <c:pt idx="18">
                  <c:v>-0.67044140108437589</c:v>
                </c:pt>
                <c:pt idx="19">
                  <c:v>2.416093622463102</c:v>
                </c:pt>
                <c:pt idx="20">
                  <c:v>-0.33918173121542228</c:v>
                </c:pt>
                <c:pt idx="21">
                  <c:v>-7.4193975140058424</c:v>
                </c:pt>
                <c:pt idx="22">
                  <c:v>-7.1727603765696051</c:v>
                </c:pt>
                <c:pt idx="23">
                  <c:v>-8.5628260982408833</c:v>
                </c:pt>
              </c:numCache>
            </c:numRef>
          </c:val>
          <c:extLst>
            <c:ext xmlns:c16="http://schemas.microsoft.com/office/drawing/2014/chart" uri="{C3380CC4-5D6E-409C-BE32-E72D297353CC}">
              <c16:uniqueId val="{00000000-7F69-4D89-A858-EE58419949AF}"/>
            </c:ext>
          </c:extLst>
        </c:ser>
        <c:ser>
          <c:idx val="2"/>
          <c:order val="2"/>
          <c:tx>
            <c:strRef>
              <c:f>'výkonnost odvětví 3'!$Z$10</c:f>
              <c:strCache>
                <c:ptCount val="1"/>
                <c:pt idx="0">
                  <c:v>Inženýrské stavitelství  (příspěvek v p. b.)</c:v>
                </c:pt>
              </c:strCache>
            </c:strRef>
          </c:tx>
          <c:spPr>
            <a:solidFill>
              <a:srgbClr val="E8AFB2"/>
            </a:solidFill>
            <a:ln w="19050">
              <a:noFill/>
              <a:prstDash val="solid"/>
            </a:ln>
          </c:spPr>
          <c:invertIfNegative val="0"/>
          <c:cat>
            <c:multiLvlStrRef>
              <c:f>'výkonnost odvětví 3'!$V$31:$W$55</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'výkonnost odvětví 3'!$Z$31:$Z$55</c:f>
              <c:numCache>
                <c:formatCode>0.0</c:formatCode>
                <c:ptCount val="25"/>
                <c:pt idx="0">
                  <c:v>3.2371734793492286</c:v>
                </c:pt>
                <c:pt idx="1">
                  <c:v>7.2133653363142445</c:v>
                </c:pt>
                <c:pt idx="2">
                  <c:v>7.3965728347939308</c:v>
                </c:pt>
                <c:pt idx="3">
                  <c:v>2.855138673774563</c:v>
                </c:pt>
                <c:pt idx="4">
                  <c:v>-1.2748612346910093</c:v>
                </c:pt>
                <c:pt idx="5">
                  <c:v>-5.414778412052824</c:v>
                </c:pt>
                <c:pt idx="6">
                  <c:v>-7.0615948905346464</c:v>
                </c:pt>
                <c:pt idx="7">
                  <c:v>-5.9113799674669414</c:v>
                </c:pt>
                <c:pt idx="8">
                  <c:v>-3.3927259981365467</c:v>
                </c:pt>
                <c:pt idx="9">
                  <c:v>-1.198952761717637</c:v>
                </c:pt>
                <c:pt idx="10">
                  <c:v>-1.5292517461591122</c:v>
                </c:pt>
                <c:pt idx="11">
                  <c:v>0.24904908942130594</c:v>
                </c:pt>
                <c:pt idx="12">
                  <c:v>1.7517060590922457</c:v>
                </c:pt>
                <c:pt idx="13">
                  <c:v>1.2046321635544115</c:v>
                </c:pt>
                <c:pt idx="14">
                  <c:v>4.7152862062363932</c:v>
                </c:pt>
                <c:pt idx="15">
                  <c:v>1.8992954479389978</c:v>
                </c:pt>
                <c:pt idx="16">
                  <c:v>0.73586870212531541</c:v>
                </c:pt>
                <c:pt idx="17">
                  <c:v>1.8713674836205678</c:v>
                </c:pt>
                <c:pt idx="18">
                  <c:v>0.75615189920903703</c:v>
                </c:pt>
                <c:pt idx="19">
                  <c:v>0.84449513778573204</c:v>
                </c:pt>
                <c:pt idx="20">
                  <c:v>3.2042596941285559</c:v>
                </c:pt>
                <c:pt idx="21">
                  <c:v>1.2156790684783816</c:v>
                </c:pt>
                <c:pt idx="22">
                  <c:v>-1.8725018139646268</c:v>
                </c:pt>
                <c:pt idx="23">
                  <c:v>0.35005818727718746</c:v>
                </c:pt>
              </c:numCache>
            </c:numRef>
          </c:val>
          <c:extLst>
            <c:ext xmlns:c16="http://schemas.microsoft.com/office/drawing/2014/chart" uri="{C3380CC4-5D6E-409C-BE32-E72D297353CC}">
              <c16:uniqueId val="{00000001-7F69-4D89-A858-EE58419949AF}"/>
            </c:ext>
          </c:extLst>
        </c:ser>
        <c:dLbls>
          <c:showLegendKey val="0"/>
          <c:showVal val="0"/>
          <c:showCatName val="0"/>
          <c:showSerName val="0"/>
          <c:showPercent val="0"/>
          <c:showBubbleSize val="0"/>
        </c:dLbls>
        <c:gapWidth val="24"/>
        <c:overlap val="100"/>
        <c:axId val="147432960"/>
        <c:axId val="147434496"/>
      </c:barChart>
      <c:lineChart>
        <c:grouping val="standard"/>
        <c:varyColors val="0"/>
        <c:ser>
          <c:idx val="0"/>
          <c:order val="0"/>
          <c:tx>
            <c:strRef>
              <c:f>'výkonnost odvětví 3'!$X$10</c:f>
              <c:strCache>
                <c:ptCount val="1"/>
                <c:pt idx="0">
                  <c:v>Celková stavební produkce</c:v>
                </c:pt>
              </c:strCache>
            </c:strRef>
          </c:tx>
          <c:spPr>
            <a:ln>
              <a:noFill/>
            </a:ln>
          </c:spPr>
          <c:marker>
            <c:symbol val="dash"/>
            <c:size val="9"/>
            <c:spPr>
              <a:solidFill>
                <a:schemeClr val="tx1">
                  <a:lumMod val="95000"/>
                  <a:lumOff val="5000"/>
                </a:schemeClr>
              </a:solidFill>
              <a:ln>
                <a:noFill/>
              </a:ln>
            </c:spPr>
          </c:marker>
          <c:cat>
            <c:multiLvlStrRef>
              <c:f>'výkonnost odvětví 3'!$V$31:$W$55</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'výkonnost odvětví 3'!$X$31:$X$55</c:f>
              <c:numCache>
                <c:formatCode>0.0</c:formatCode>
                <c:ptCount val="25"/>
                <c:pt idx="0">
                  <c:v>9.2017765228224988</c:v>
                </c:pt>
                <c:pt idx="1">
                  <c:v>11.980043538808332</c:v>
                </c:pt>
                <c:pt idx="2">
                  <c:v>7.8286342656312939</c:v>
                </c:pt>
                <c:pt idx="3">
                  <c:v>0.94557774780092529</c:v>
                </c:pt>
                <c:pt idx="4">
                  <c:v>-6.2824122661548785</c:v>
                </c:pt>
                <c:pt idx="5">
                  <c:v>-10.194427090117628</c:v>
                </c:pt>
                <c:pt idx="6">
                  <c:v>-5.917849407755682</c:v>
                </c:pt>
                <c:pt idx="7">
                  <c:v>-1.6490685502181321</c:v>
                </c:pt>
                <c:pt idx="8">
                  <c:v>-0.79880269419055594</c:v>
                </c:pt>
                <c:pt idx="9">
                  <c:v>8.9534675343638526</c:v>
                </c:pt>
                <c:pt idx="10">
                  <c:v>2.0444749820850632</c:v>
                </c:pt>
                <c:pt idx="11">
                  <c:v>2.9396785672127379</c:v>
                </c:pt>
                <c:pt idx="12">
                  <c:v>15.317302207920179</c:v>
                </c:pt>
                <c:pt idx="13">
                  <c:v>7.5063094273893398</c:v>
                </c:pt>
                <c:pt idx="14">
                  <c:v>12.406544540651936</c:v>
                </c:pt>
                <c:pt idx="15">
                  <c:v>4.3180623617480762</c:v>
                </c:pt>
                <c:pt idx="16">
                  <c:v>3.6346322356212539</c:v>
                </c:pt>
                <c:pt idx="17">
                  <c:v>4.2888988271298842</c:v>
                </c:pt>
                <c:pt idx="18">
                  <c:v>8.6862748706039383E-2</c:v>
                </c:pt>
                <c:pt idx="19">
                  <c:v>3.2606251776515762</c:v>
                </c:pt>
                <c:pt idx="20">
                  <c:v>2.8649648216544392</c:v>
                </c:pt>
                <c:pt idx="21">
                  <c:v>-6.2024596600145259</c:v>
                </c:pt>
                <c:pt idx="22">
                  <c:v>-9.0466947127630135</c:v>
                </c:pt>
                <c:pt idx="23">
                  <c:v>-8.2756255759856003</c:v>
                </c:pt>
              </c:numCache>
            </c:numRef>
          </c:val>
          <c:smooth val="0"/>
          <c:extLst>
            <c:ext xmlns:c16="http://schemas.microsoft.com/office/drawing/2014/chart" uri="{C3380CC4-5D6E-409C-BE32-E72D297353CC}">
              <c16:uniqueId val="{00000002-7F69-4D89-A858-EE58419949AF}"/>
            </c:ext>
          </c:extLst>
        </c:ser>
        <c:dLbls>
          <c:showLegendKey val="0"/>
          <c:showVal val="0"/>
          <c:showCatName val="0"/>
          <c:showSerName val="0"/>
          <c:showPercent val="0"/>
          <c:showBubbleSize val="0"/>
        </c:dLbls>
        <c:marker val="1"/>
        <c:smooth val="0"/>
        <c:axId val="147432960"/>
        <c:axId val="147434496"/>
      </c:lineChart>
      <c:lineChart>
        <c:grouping val="standard"/>
        <c:varyColors val="0"/>
        <c:ser>
          <c:idx val="3"/>
          <c:order val="3"/>
          <c:tx>
            <c:strRef>
              <c:f>'výkonnost odvětví 3'!$AA$10</c:f>
              <c:strCache>
                <c:ptCount val="1"/>
                <c:pt idx="0">
                  <c:v>Nové stavební zakázky (pravá osa)</c:v>
                </c:pt>
              </c:strCache>
            </c:strRef>
          </c:tx>
          <c:spPr>
            <a:ln w="15875">
              <a:solidFill>
                <a:srgbClr val="663300"/>
              </a:solidFill>
              <a:prstDash val="solid"/>
            </a:ln>
          </c:spPr>
          <c:marker>
            <c:symbol val="none"/>
          </c:marker>
          <c:cat>
            <c:multiLvlStrRef>
              <c:f>'výkonnost odvětví 3'!$V$31:$W$55</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'výkonnost odvětví 3'!$AA$31:$AA$55</c:f>
              <c:numCache>
                <c:formatCode>0.0</c:formatCode>
                <c:ptCount val="25"/>
                <c:pt idx="0">
                  <c:v>-3.1547956675580053</c:v>
                </c:pt>
                <c:pt idx="1">
                  <c:v>9.7504961091663205</c:v>
                </c:pt>
                <c:pt idx="2">
                  <c:v>-1.097606022761255</c:v>
                </c:pt>
                <c:pt idx="3">
                  <c:v>-2.3987783410040464</c:v>
                </c:pt>
                <c:pt idx="4">
                  <c:v>-6.6406358945753823</c:v>
                </c:pt>
                <c:pt idx="5">
                  <c:v>-0.49977652269311079</c:v>
                </c:pt>
                <c:pt idx="6">
                  <c:v>-7.0322087253454839</c:v>
                </c:pt>
                <c:pt idx="7">
                  <c:v>10.122126124559955</c:v>
                </c:pt>
                <c:pt idx="8">
                  <c:v>16.177217458847437</c:v>
                </c:pt>
                <c:pt idx="9">
                  <c:v>9.5350878984013008</c:v>
                </c:pt>
                <c:pt idx="10">
                  <c:v>-1.2817324431350698</c:v>
                </c:pt>
                <c:pt idx="11">
                  <c:v>15.620806693503823</c:v>
                </c:pt>
                <c:pt idx="12">
                  <c:v>30.10697387368856</c:v>
                </c:pt>
                <c:pt idx="13">
                  <c:v>32.836878110611963</c:v>
                </c:pt>
                <c:pt idx="14">
                  <c:v>5.2768249907951201</c:v>
                </c:pt>
                <c:pt idx="15">
                  <c:v>1.8944565811032277</c:v>
                </c:pt>
                <c:pt idx="16">
                  <c:v>14.157245632065781</c:v>
                </c:pt>
                <c:pt idx="17">
                  <c:v>-9.3849543241233135</c:v>
                </c:pt>
                <c:pt idx="18">
                  <c:v>17.407871000993993</c:v>
                </c:pt>
                <c:pt idx="19">
                  <c:v>5.8323004254463768</c:v>
                </c:pt>
                <c:pt idx="20">
                  <c:v>-12.441635069859245</c:v>
                </c:pt>
                <c:pt idx="21">
                  <c:v>7.497345722028669</c:v>
                </c:pt>
                <c:pt idx="22">
                  <c:v>2.0599736606932879</c:v>
                </c:pt>
                <c:pt idx="23">
                  <c:v>7.5507850088630164</c:v>
                </c:pt>
              </c:numCache>
            </c:numRef>
          </c:val>
          <c:smooth val="0"/>
          <c:extLst>
            <c:ext xmlns:c16="http://schemas.microsoft.com/office/drawing/2014/chart" uri="{C3380CC4-5D6E-409C-BE32-E72D297353CC}">
              <c16:uniqueId val="{00000003-7F69-4D89-A858-EE58419949AF}"/>
            </c:ext>
          </c:extLst>
        </c:ser>
        <c:ser>
          <c:idx val="4"/>
          <c:order val="4"/>
          <c:tx>
            <c:strRef>
              <c:f>'výkonnost odvětví 3'!$AB$10</c:f>
              <c:strCache>
                <c:ptCount val="1"/>
                <c:pt idx="0">
                  <c:v>Bariéra růstu: nedost. poptávka (pr. osa)</c:v>
                </c:pt>
              </c:strCache>
            </c:strRef>
          </c:tx>
          <c:spPr>
            <a:ln w="15875">
              <a:solidFill>
                <a:srgbClr val="00B050"/>
              </a:solidFill>
            </a:ln>
          </c:spPr>
          <c:marker>
            <c:symbol val="none"/>
          </c:marker>
          <c:cat>
            <c:multiLvlStrRef>
              <c:f>'výkonnost odvětví 3'!$V$31:$W$55</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'výkonnost odvětví 3'!$AB$31:$AB$55</c:f>
              <c:numCache>
                <c:formatCode>#,##0.0</c:formatCode>
                <c:ptCount val="25"/>
                <c:pt idx="0">
                  <c:v>65.8</c:v>
                </c:pt>
                <c:pt idx="1">
                  <c:v>60.4</c:v>
                </c:pt>
                <c:pt idx="2">
                  <c:v>58.9</c:v>
                </c:pt>
                <c:pt idx="3">
                  <c:v>57.6</c:v>
                </c:pt>
                <c:pt idx="4">
                  <c:v>54.5</c:v>
                </c:pt>
                <c:pt idx="5">
                  <c:v>61.1</c:v>
                </c:pt>
                <c:pt idx="6">
                  <c:v>60.4</c:v>
                </c:pt>
                <c:pt idx="7">
                  <c:v>57</c:v>
                </c:pt>
                <c:pt idx="8">
                  <c:v>53.9</c:v>
                </c:pt>
                <c:pt idx="9">
                  <c:v>54.3</c:v>
                </c:pt>
                <c:pt idx="10">
                  <c:v>50</c:v>
                </c:pt>
                <c:pt idx="11">
                  <c:v>48.3</c:v>
                </c:pt>
                <c:pt idx="12">
                  <c:v>40.299999999999997</c:v>
                </c:pt>
                <c:pt idx="13">
                  <c:v>38.200000000000003</c:v>
                </c:pt>
                <c:pt idx="14">
                  <c:v>33.4</c:v>
                </c:pt>
                <c:pt idx="15">
                  <c:v>24.1</c:v>
                </c:pt>
                <c:pt idx="16">
                  <c:v>25.4</c:v>
                </c:pt>
                <c:pt idx="17">
                  <c:v>23.3</c:v>
                </c:pt>
                <c:pt idx="18">
                  <c:v>17.899999999999999</c:v>
                </c:pt>
                <c:pt idx="19">
                  <c:v>20.9</c:v>
                </c:pt>
                <c:pt idx="20">
                  <c:v>30.3</c:v>
                </c:pt>
                <c:pt idx="21">
                  <c:v>29.3</c:v>
                </c:pt>
                <c:pt idx="22">
                  <c:v>38.799999999999997</c:v>
                </c:pt>
                <c:pt idx="23" formatCode="General">
                  <c:v>41.2</c:v>
                </c:pt>
                <c:pt idx="24">
                  <c:v>31.3</c:v>
                </c:pt>
              </c:numCache>
            </c:numRef>
          </c:val>
          <c:smooth val="0"/>
          <c:extLst>
            <c:ext xmlns:c16="http://schemas.microsoft.com/office/drawing/2014/chart" uri="{C3380CC4-5D6E-409C-BE32-E72D297353CC}">
              <c16:uniqueId val="{00000004-7F69-4D89-A858-EE58419949AF}"/>
            </c:ext>
          </c:extLst>
        </c:ser>
        <c:ser>
          <c:idx val="5"/>
          <c:order val="5"/>
          <c:tx>
            <c:strRef>
              <c:f>'výkonnost odvětví 3'!$AC$10</c:f>
              <c:strCache>
                <c:ptCount val="1"/>
                <c:pt idx="0">
                  <c:v>Bariéra růstu: nedost. pracovníků (pr. osa)</c:v>
                </c:pt>
              </c:strCache>
            </c:strRef>
          </c:tx>
          <c:spPr>
            <a:ln w="15875">
              <a:solidFill>
                <a:srgbClr val="00B050"/>
              </a:solidFill>
              <a:prstDash val="sysDash"/>
            </a:ln>
          </c:spPr>
          <c:marker>
            <c:symbol val="none"/>
          </c:marker>
          <c:cat>
            <c:multiLvlStrRef>
              <c:f>'výkonnost odvětví 3'!$V$31:$W$55</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'výkonnost odvětví 3'!$AC$31:$AC$55</c:f>
              <c:numCache>
                <c:formatCode>#,##0.0</c:formatCode>
                <c:ptCount val="25"/>
                <c:pt idx="0">
                  <c:v>6.8</c:v>
                </c:pt>
                <c:pt idx="1">
                  <c:v>7.9</c:v>
                </c:pt>
                <c:pt idx="2">
                  <c:v>7.2</c:v>
                </c:pt>
                <c:pt idx="3">
                  <c:v>7</c:v>
                </c:pt>
                <c:pt idx="4">
                  <c:v>5.8</c:v>
                </c:pt>
                <c:pt idx="5">
                  <c:v>6.7</c:v>
                </c:pt>
                <c:pt idx="6">
                  <c:v>7.8</c:v>
                </c:pt>
                <c:pt idx="7">
                  <c:v>10.7</c:v>
                </c:pt>
                <c:pt idx="8">
                  <c:v>11.5</c:v>
                </c:pt>
                <c:pt idx="9">
                  <c:v>14</c:v>
                </c:pt>
                <c:pt idx="10">
                  <c:v>22.7</c:v>
                </c:pt>
                <c:pt idx="11">
                  <c:v>23.1</c:v>
                </c:pt>
                <c:pt idx="12">
                  <c:v>23.5</c:v>
                </c:pt>
                <c:pt idx="13">
                  <c:v>29.3</c:v>
                </c:pt>
                <c:pt idx="14">
                  <c:v>30.4</c:v>
                </c:pt>
                <c:pt idx="15">
                  <c:v>40.799999999999997</c:v>
                </c:pt>
                <c:pt idx="16">
                  <c:v>34.299999999999997</c:v>
                </c:pt>
                <c:pt idx="17">
                  <c:v>43</c:v>
                </c:pt>
                <c:pt idx="18">
                  <c:v>55</c:v>
                </c:pt>
                <c:pt idx="19">
                  <c:v>49.7</c:v>
                </c:pt>
                <c:pt idx="20">
                  <c:v>50</c:v>
                </c:pt>
                <c:pt idx="21">
                  <c:v>46.3</c:v>
                </c:pt>
                <c:pt idx="22">
                  <c:v>38.200000000000003</c:v>
                </c:pt>
                <c:pt idx="23" formatCode="0.0">
                  <c:v>34</c:v>
                </c:pt>
                <c:pt idx="24">
                  <c:v>43.6</c:v>
                </c:pt>
              </c:numCache>
            </c:numRef>
          </c:val>
          <c:smooth val="0"/>
          <c:extLst>
            <c:ext xmlns:c16="http://schemas.microsoft.com/office/drawing/2014/chart" uri="{C3380CC4-5D6E-409C-BE32-E72D297353CC}">
              <c16:uniqueId val="{00000005-7F69-4D89-A858-EE58419949AF}"/>
            </c:ext>
          </c:extLst>
        </c:ser>
        <c:ser>
          <c:idx val="6"/>
          <c:order val="6"/>
          <c:tx>
            <c:strRef>
              <c:f>'výkonnost odvětví 3'!$AD$10</c:f>
              <c:strCache>
                <c:ptCount val="1"/>
                <c:pt idx="0">
                  <c:v>Saldo indik.důvěry ve stavebnictví (pr.osa)</c:v>
                </c:pt>
              </c:strCache>
            </c:strRef>
          </c:tx>
          <c:spPr>
            <a:ln w="6350">
              <a:solidFill>
                <a:schemeClr val="bg1">
                  <a:lumMod val="50000"/>
                </a:schemeClr>
              </a:solidFill>
              <a:prstDash val="sysDash"/>
            </a:ln>
          </c:spPr>
          <c:marker>
            <c:symbol val="diamond"/>
            <c:size val="5"/>
            <c:spPr>
              <a:solidFill>
                <a:srgbClr val="FFFF00"/>
              </a:solidFill>
              <a:ln>
                <a:solidFill>
                  <a:prstClr val="black">
                    <a:lumMod val="95000"/>
                    <a:lumOff val="5000"/>
                  </a:prstClr>
                </a:solidFill>
              </a:ln>
            </c:spPr>
          </c:marker>
          <c:cat>
            <c:multiLvlStrRef>
              <c:f>'výkonnost odvětví 3'!$V$31:$W$55</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'výkonnost odvětví 3'!$AD$31:$AD$55</c:f>
              <c:numCache>
                <c:formatCode>0.0</c:formatCode>
                <c:ptCount val="25"/>
                <c:pt idx="0">
                  <c:v>-21</c:v>
                </c:pt>
                <c:pt idx="1">
                  <c:v>-16</c:v>
                </c:pt>
                <c:pt idx="2">
                  <c:v>-20</c:v>
                </c:pt>
                <c:pt idx="3">
                  <c:v>-14.5</c:v>
                </c:pt>
                <c:pt idx="4">
                  <c:v>-14.5</c:v>
                </c:pt>
                <c:pt idx="5">
                  <c:v>-25.5</c:v>
                </c:pt>
                <c:pt idx="6">
                  <c:v>-24.5</c:v>
                </c:pt>
                <c:pt idx="7">
                  <c:v>-23</c:v>
                </c:pt>
                <c:pt idx="8">
                  <c:v>-22.5</c:v>
                </c:pt>
                <c:pt idx="9">
                  <c:v>-24.5</c:v>
                </c:pt>
                <c:pt idx="10">
                  <c:v>-18.5</c:v>
                </c:pt>
                <c:pt idx="11">
                  <c:v>-15</c:v>
                </c:pt>
                <c:pt idx="12">
                  <c:v>-9</c:v>
                </c:pt>
                <c:pt idx="13">
                  <c:v>-6</c:v>
                </c:pt>
                <c:pt idx="14">
                  <c:v>-2</c:v>
                </c:pt>
                <c:pt idx="15">
                  <c:v>1</c:v>
                </c:pt>
                <c:pt idx="16">
                  <c:v>3.5</c:v>
                </c:pt>
                <c:pt idx="17">
                  <c:v>4</c:v>
                </c:pt>
                <c:pt idx="18">
                  <c:v>-1</c:v>
                </c:pt>
                <c:pt idx="19">
                  <c:v>1</c:v>
                </c:pt>
                <c:pt idx="20">
                  <c:v>-3</c:v>
                </c:pt>
                <c:pt idx="21">
                  <c:v>-15</c:v>
                </c:pt>
                <c:pt idx="22">
                  <c:v>-13</c:v>
                </c:pt>
                <c:pt idx="23">
                  <c:v>-11.5</c:v>
                </c:pt>
                <c:pt idx="24">
                  <c:v>-6</c:v>
                </c:pt>
              </c:numCache>
            </c:numRef>
          </c:val>
          <c:smooth val="0"/>
          <c:extLst>
            <c:ext xmlns:c16="http://schemas.microsoft.com/office/drawing/2014/chart" uri="{C3380CC4-5D6E-409C-BE32-E72D297353CC}">
              <c16:uniqueId val="{00000006-7F69-4D89-A858-EE58419949AF}"/>
            </c:ext>
          </c:extLst>
        </c:ser>
        <c:dLbls>
          <c:showLegendKey val="0"/>
          <c:showVal val="0"/>
          <c:showCatName val="0"/>
          <c:showSerName val="0"/>
          <c:showPercent val="0"/>
          <c:showBubbleSize val="0"/>
        </c:dLbls>
        <c:marker val="1"/>
        <c:smooth val="0"/>
        <c:axId val="147650816"/>
        <c:axId val="147649280"/>
      </c:lineChart>
      <c:catAx>
        <c:axId val="147432960"/>
        <c:scaling>
          <c:orientation val="minMax"/>
        </c:scaling>
        <c:delete val="0"/>
        <c:axPos val="b"/>
        <c:numFmt formatCode="General" sourceLinked="1"/>
        <c:majorTickMark val="out"/>
        <c:minorTickMark val="none"/>
        <c:tickLblPos val="low"/>
        <c:spPr>
          <a:ln w="9525">
            <a:solidFill>
              <a:schemeClr val="tx1"/>
            </a:solidFill>
            <a:prstDash val="solid"/>
          </a:ln>
        </c:spPr>
        <c:txPr>
          <a:bodyPr rot="0" vert="horz"/>
          <a:lstStyle/>
          <a:p>
            <a:pPr>
              <a:defRPr/>
            </a:pPr>
            <a:endParaRPr lang="cs-CZ"/>
          </a:p>
        </c:txPr>
        <c:crossAx val="147434496"/>
        <c:crossesAt val="0"/>
        <c:auto val="0"/>
        <c:lblAlgn val="ctr"/>
        <c:lblOffset val="0"/>
        <c:tickLblSkip val="1"/>
        <c:tickMarkSkip val="4"/>
        <c:noMultiLvlLbl val="0"/>
      </c:catAx>
      <c:valAx>
        <c:axId val="147434496"/>
        <c:scaling>
          <c:orientation val="minMax"/>
          <c:max val="30"/>
          <c:min val="-20"/>
        </c:scaling>
        <c:delete val="0"/>
        <c:axPos val="l"/>
        <c:majorGridlines>
          <c:spPr>
            <a:ln w="6350">
              <a:solidFill>
                <a:schemeClr val="bg1">
                  <a:lumMod val="75000"/>
                </a:schemeClr>
              </a:solidFill>
            </a:ln>
          </c:spPr>
        </c:majorGridlines>
        <c:title>
          <c:tx>
            <c:rich>
              <a:bodyPr/>
              <a:lstStyle/>
              <a:p>
                <a:pPr>
                  <a:defRPr sz="700" i="1"/>
                </a:pPr>
                <a:r>
                  <a:rPr lang="cs-CZ"/>
                  <a:t>Stavební</a:t>
                </a:r>
                <a:r>
                  <a:rPr lang="cs-CZ" baseline="0"/>
                  <a:t> produkce, p</a:t>
                </a:r>
                <a:r>
                  <a:rPr lang="cs-CZ"/>
                  <a:t>říspěvky</a:t>
                </a:r>
                <a:r>
                  <a:rPr lang="cs-CZ" baseline="0"/>
                  <a:t> k</a:t>
                </a:r>
                <a:r>
                  <a:rPr lang="cs-CZ" sz="700" b="0" i="1" u="none" strike="noStrike" kern="1200" baseline="0">
                    <a:solidFill>
                      <a:srgbClr val="000000"/>
                    </a:solidFill>
                    <a:latin typeface="Arial CE"/>
                    <a:cs typeface="Arial CE"/>
                  </a:rPr>
                  <a:t> </a:t>
                </a:r>
                <a:r>
                  <a:rPr lang="cs-CZ" baseline="0"/>
                  <a:t>růstu </a:t>
                </a:r>
                <a:endParaRPr lang="cs-CZ"/>
              </a:p>
            </c:rich>
          </c:tx>
          <c:layout>
            <c:manualLayout>
              <c:xMode val="edge"/>
              <c:yMode val="edge"/>
              <c:x val="2.6741790744013471E-3"/>
              <c:y val="0.18222167882907486"/>
            </c:manualLayout>
          </c:layout>
          <c:overlay val="0"/>
        </c:title>
        <c:numFmt formatCode="0" sourceLinked="0"/>
        <c:majorTickMark val="out"/>
        <c:minorTickMark val="none"/>
        <c:tickLblPos val="nextTo"/>
        <c:spPr>
          <a:ln w="9525">
            <a:solidFill>
              <a:schemeClr val="tx1"/>
            </a:solidFill>
            <a:prstDash val="solid"/>
          </a:ln>
        </c:spPr>
        <c:txPr>
          <a:bodyPr rot="0" vert="horz"/>
          <a:lstStyle/>
          <a:p>
            <a:pPr>
              <a:defRPr/>
            </a:pPr>
            <a:endParaRPr lang="cs-CZ"/>
          </a:p>
        </c:txPr>
        <c:crossAx val="147432960"/>
        <c:crosses val="autoZero"/>
        <c:crossBetween val="between"/>
        <c:majorUnit val="5"/>
      </c:valAx>
      <c:valAx>
        <c:axId val="147649280"/>
        <c:scaling>
          <c:orientation val="minMax"/>
          <c:max val="90"/>
          <c:min val="-60"/>
        </c:scaling>
        <c:delete val="0"/>
        <c:axPos val="r"/>
        <c:title>
          <c:tx>
            <c:rich>
              <a:bodyPr/>
              <a:lstStyle/>
              <a:p>
                <a:pPr>
                  <a:defRPr sz="700" i="1"/>
                </a:pPr>
                <a:r>
                  <a:rPr lang="cs-CZ" sz="700" b="0" i="1" u="none" strike="noStrike" baseline="0">
                    <a:effectLst/>
                  </a:rPr>
                  <a:t>Zakázky, s</a:t>
                </a:r>
                <a:r>
                  <a:rPr lang="cs-CZ"/>
                  <a:t>aldo indikátoru důvěry, bariéry růstu</a:t>
                </a:r>
              </a:p>
            </c:rich>
          </c:tx>
          <c:layout/>
          <c:overlay val="0"/>
        </c:title>
        <c:numFmt formatCode="0" sourceLinked="0"/>
        <c:majorTickMark val="out"/>
        <c:minorTickMark val="none"/>
        <c:tickLblPos val="nextTo"/>
        <c:crossAx val="147650816"/>
        <c:crosses val="max"/>
        <c:crossBetween val="between"/>
        <c:majorUnit val="15"/>
      </c:valAx>
      <c:catAx>
        <c:axId val="147650816"/>
        <c:scaling>
          <c:orientation val="minMax"/>
        </c:scaling>
        <c:delete val="1"/>
        <c:axPos val="b"/>
        <c:numFmt formatCode="General" sourceLinked="1"/>
        <c:majorTickMark val="out"/>
        <c:minorTickMark val="none"/>
        <c:tickLblPos val="none"/>
        <c:crossAx val="147649280"/>
        <c:crosses val="autoZero"/>
        <c:auto val="0"/>
        <c:lblAlgn val="ctr"/>
        <c:lblOffset val="100"/>
        <c:noMultiLvlLbl val="0"/>
      </c:catAx>
      <c:spPr>
        <a:solidFill>
          <a:srgbClr val="FFFFFF"/>
        </a:solidFill>
        <a:ln w="9525">
          <a:solidFill>
            <a:schemeClr val="tx1"/>
          </a:solidFill>
        </a:ln>
      </c:spPr>
    </c:plotArea>
    <c:legend>
      <c:legendPos val="b"/>
      <c:layout>
        <c:manualLayout>
          <c:xMode val="edge"/>
          <c:yMode val="edge"/>
          <c:x val="1.0707509324541281E-2"/>
          <c:y val="0.85664470868256781"/>
          <c:w val="0.97857802116403014"/>
          <c:h val="0.13635475415022985"/>
        </c:manualLayout>
      </c:layout>
      <c:overlay val="0"/>
      <c:spPr>
        <a:noFill/>
        <a:ln w="6350">
          <a:solidFill>
            <a:schemeClr val="tx1"/>
          </a:solidFill>
        </a:ln>
      </c:spPr>
    </c:legend>
    <c:plotVisOnly val="1"/>
    <c:dispBlanksAs val="gap"/>
    <c:showDLblsOverMax val="0"/>
  </c:chart>
  <c:spPr>
    <a:solidFill>
      <a:srgbClr val="FFFFFF"/>
    </a:solidFill>
    <a:ln w="3175">
      <a:noFill/>
      <a:prstDash val="solid"/>
    </a:ln>
  </c:spPr>
  <c:txPr>
    <a:bodyPr/>
    <a:lstStyle/>
    <a:p>
      <a:pPr>
        <a:defRPr sz="800" b="0" i="0" u="none" strike="noStrike" baseline="0">
          <a:solidFill>
            <a:srgbClr val="000000"/>
          </a:solidFill>
          <a:latin typeface="Arial CE"/>
          <a:ea typeface="Arial CE"/>
          <a:cs typeface="Arial CE"/>
        </a:defRPr>
      </a:pPr>
      <a:endParaRPr lang="cs-CZ"/>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121841398004213E-2"/>
          <c:y val="1.5803328678987455E-2"/>
          <c:w val="0.86647319020345381"/>
          <c:h val="0.72096235494860583"/>
        </c:manualLayout>
      </c:layout>
      <c:barChart>
        <c:barDir val="col"/>
        <c:grouping val="stacked"/>
        <c:varyColors val="0"/>
        <c:ser>
          <c:idx val="0"/>
          <c:order val="1"/>
          <c:tx>
            <c:strRef>
              <c:f>'Služby-příspěvkyk růstu'!$D$25</c:f>
              <c:strCache>
                <c:ptCount val="1"/>
                <c:pt idx="0">
                  <c:v>Doprava a skladování</c:v>
                </c:pt>
              </c:strCache>
            </c:strRef>
          </c:tx>
          <c:spPr>
            <a:solidFill>
              <a:srgbClr val="92D050"/>
            </a:solidFill>
            <a:ln>
              <a:noFill/>
            </a:ln>
          </c:spPr>
          <c:invertIfNegative val="0"/>
          <c:cat>
            <c:multiLvlStrRef>
              <c:f>'Služby-příspěvkyk růstu'!$A$38:$B$62</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'Služby-příspěvkyk růstu'!$D$38:$D$62</c:f>
              <c:numCache>
                <c:formatCode>0.0</c:formatCode>
                <c:ptCount val="25"/>
                <c:pt idx="0">
                  <c:v>0.17784702542993272</c:v>
                </c:pt>
                <c:pt idx="1">
                  <c:v>-4.1153953747014721E-2</c:v>
                </c:pt>
                <c:pt idx="2">
                  <c:v>0.1967550766692415</c:v>
                </c:pt>
                <c:pt idx="3">
                  <c:v>4.4524497072685416E-2</c:v>
                </c:pt>
                <c:pt idx="4">
                  <c:v>0.13946448474091597</c:v>
                </c:pt>
                <c:pt idx="5">
                  <c:v>0.20828573782199397</c:v>
                </c:pt>
                <c:pt idx="6">
                  <c:v>0.13789199804325733</c:v>
                </c:pt>
                <c:pt idx="7">
                  <c:v>0.86068515065368634</c:v>
                </c:pt>
                <c:pt idx="8">
                  <c:v>1.7974934694994784</c:v>
                </c:pt>
                <c:pt idx="9">
                  <c:v>1.0846625367336171</c:v>
                </c:pt>
                <c:pt idx="10">
                  <c:v>1.1351852460965488</c:v>
                </c:pt>
                <c:pt idx="11">
                  <c:v>0.60468209395083738</c:v>
                </c:pt>
                <c:pt idx="12">
                  <c:v>1.7465012842772922</c:v>
                </c:pt>
                <c:pt idx="13">
                  <c:v>1.9213841074038147</c:v>
                </c:pt>
                <c:pt idx="14">
                  <c:v>1.4689302857885012</c:v>
                </c:pt>
                <c:pt idx="15">
                  <c:v>0.50117729901127261</c:v>
                </c:pt>
                <c:pt idx="16">
                  <c:v>0.75263240481802895</c:v>
                </c:pt>
                <c:pt idx="17">
                  <c:v>-8.1211369973804459E-2</c:v>
                </c:pt>
                <c:pt idx="18">
                  <c:v>-0.66994925852896292</c:v>
                </c:pt>
                <c:pt idx="19">
                  <c:v>-0.54145747843689973</c:v>
                </c:pt>
                <c:pt idx="20">
                  <c:v>-1.8981031905810553</c:v>
                </c:pt>
                <c:pt idx="21">
                  <c:v>-6.879134227851365</c:v>
                </c:pt>
                <c:pt idx="22">
                  <c:v>-4.2174759998821578</c:v>
                </c:pt>
                <c:pt idx="23">
                  <c:v>-1.7598038755132173</c:v>
                </c:pt>
              </c:numCache>
            </c:numRef>
          </c:val>
          <c:extLst>
            <c:ext xmlns:c16="http://schemas.microsoft.com/office/drawing/2014/chart" uri="{C3380CC4-5D6E-409C-BE32-E72D297353CC}">
              <c16:uniqueId val="{00000000-184F-4C1E-A661-50BC816F2164}"/>
            </c:ext>
          </c:extLst>
        </c:ser>
        <c:ser>
          <c:idx val="1"/>
          <c:order val="2"/>
          <c:tx>
            <c:strRef>
              <c:f>'Služby-příspěvkyk růstu'!$E$25</c:f>
              <c:strCache>
                <c:ptCount val="1"/>
                <c:pt idx="0">
                  <c:v>Ubytování, stravování a pohostinství</c:v>
                </c:pt>
              </c:strCache>
            </c:strRef>
          </c:tx>
          <c:spPr>
            <a:solidFill>
              <a:srgbClr val="00B0F0"/>
            </a:solidFill>
            <a:ln>
              <a:noFill/>
            </a:ln>
          </c:spPr>
          <c:invertIfNegative val="0"/>
          <c:cat>
            <c:multiLvlStrRef>
              <c:f>'Služby-příspěvkyk růstu'!$A$38:$B$62</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'Služby-příspěvkyk růstu'!$E$38:$E$62</c:f>
              <c:numCache>
                <c:formatCode>0.0</c:formatCode>
                <c:ptCount val="25"/>
                <c:pt idx="0">
                  <c:v>0.23068727887100596</c:v>
                </c:pt>
                <c:pt idx="1">
                  <c:v>0.65500430571454682</c:v>
                </c:pt>
                <c:pt idx="2">
                  <c:v>0.65445127331779929</c:v>
                </c:pt>
                <c:pt idx="3">
                  <c:v>0.40295088991967137</c:v>
                </c:pt>
                <c:pt idx="4">
                  <c:v>0.46667218537685373</c:v>
                </c:pt>
                <c:pt idx="5">
                  <c:v>0.1710444437848046</c:v>
                </c:pt>
                <c:pt idx="6">
                  <c:v>0.56704693433553988</c:v>
                </c:pt>
                <c:pt idx="7">
                  <c:v>0.60083208250080533</c:v>
                </c:pt>
                <c:pt idx="8">
                  <c:v>0.91455838503774378</c:v>
                </c:pt>
                <c:pt idx="9">
                  <c:v>1.2316072542389023</c:v>
                </c:pt>
                <c:pt idx="10">
                  <c:v>0.55345109158871542</c:v>
                </c:pt>
                <c:pt idx="11">
                  <c:v>0.45394811365368137</c:v>
                </c:pt>
                <c:pt idx="12">
                  <c:v>0.20369258797505621</c:v>
                </c:pt>
                <c:pt idx="13">
                  <c:v>4.7235696662607296E-2</c:v>
                </c:pt>
                <c:pt idx="14">
                  <c:v>5.8750890432180687E-2</c:v>
                </c:pt>
                <c:pt idx="15">
                  <c:v>-3.836634960552178E-2</c:v>
                </c:pt>
                <c:pt idx="16">
                  <c:v>0.19921780943455034</c:v>
                </c:pt>
                <c:pt idx="17">
                  <c:v>0.19028430973131449</c:v>
                </c:pt>
                <c:pt idx="18">
                  <c:v>-1.9166901240237025E-2</c:v>
                </c:pt>
                <c:pt idx="19">
                  <c:v>-1.9723740013199119E-2</c:v>
                </c:pt>
                <c:pt idx="20">
                  <c:v>-1.1617708262346884</c:v>
                </c:pt>
                <c:pt idx="21">
                  <c:v>-4.9674745183469904</c:v>
                </c:pt>
                <c:pt idx="22">
                  <c:v>-1.9525847727872179</c:v>
                </c:pt>
                <c:pt idx="23">
                  <c:v>-4.5015896466310741</c:v>
                </c:pt>
              </c:numCache>
            </c:numRef>
          </c:val>
          <c:extLst>
            <c:ext xmlns:c16="http://schemas.microsoft.com/office/drawing/2014/chart" uri="{C3380CC4-5D6E-409C-BE32-E72D297353CC}">
              <c16:uniqueId val="{00000001-184F-4C1E-A661-50BC816F2164}"/>
            </c:ext>
          </c:extLst>
        </c:ser>
        <c:ser>
          <c:idx val="2"/>
          <c:order val="3"/>
          <c:tx>
            <c:strRef>
              <c:f>'Služby-příspěvkyk růstu'!$F$25</c:f>
              <c:strCache>
                <c:ptCount val="1"/>
                <c:pt idx="0">
                  <c:v>Informační a komunikační činnosti</c:v>
                </c:pt>
              </c:strCache>
            </c:strRef>
          </c:tx>
          <c:spPr>
            <a:solidFill>
              <a:srgbClr val="E6E100"/>
            </a:solidFill>
            <a:ln>
              <a:noFill/>
            </a:ln>
          </c:spPr>
          <c:invertIfNegative val="0"/>
          <c:cat>
            <c:multiLvlStrRef>
              <c:f>'Služby-příspěvkyk růstu'!$A$38:$B$62</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'Služby-příspěvkyk růstu'!$F$38:$F$62</c:f>
              <c:numCache>
                <c:formatCode>0.0</c:formatCode>
                <c:ptCount val="25"/>
                <c:pt idx="0">
                  <c:v>1.407889808621178</c:v>
                </c:pt>
                <c:pt idx="1">
                  <c:v>0.82525906253417192</c:v>
                </c:pt>
                <c:pt idx="2">
                  <c:v>0.80495762866674458</c:v>
                </c:pt>
                <c:pt idx="3">
                  <c:v>1.3162338144239947</c:v>
                </c:pt>
                <c:pt idx="4">
                  <c:v>0.36033487592174906</c:v>
                </c:pt>
                <c:pt idx="5">
                  <c:v>0.15638027594739867</c:v>
                </c:pt>
                <c:pt idx="6">
                  <c:v>0.32610885545485901</c:v>
                </c:pt>
                <c:pt idx="7">
                  <c:v>0.17762627918062024</c:v>
                </c:pt>
                <c:pt idx="8">
                  <c:v>0.76282426049190521</c:v>
                </c:pt>
                <c:pt idx="9">
                  <c:v>0.9830688573717753</c:v>
                </c:pt>
                <c:pt idx="10">
                  <c:v>0.77131825130347442</c:v>
                </c:pt>
                <c:pt idx="11">
                  <c:v>0.5843204333200237</c:v>
                </c:pt>
                <c:pt idx="12">
                  <c:v>1.4410506369436735</c:v>
                </c:pt>
                <c:pt idx="13">
                  <c:v>0.76544503754725868</c:v>
                </c:pt>
                <c:pt idx="14">
                  <c:v>1.4164775777579539</c:v>
                </c:pt>
                <c:pt idx="15">
                  <c:v>0.98719747202455899</c:v>
                </c:pt>
                <c:pt idx="16">
                  <c:v>1.2347847875298792</c:v>
                </c:pt>
                <c:pt idx="17">
                  <c:v>1.1610055812776692</c:v>
                </c:pt>
                <c:pt idx="18">
                  <c:v>0.91432301571880847</c:v>
                </c:pt>
                <c:pt idx="19">
                  <c:v>1.1617923843637676</c:v>
                </c:pt>
                <c:pt idx="20">
                  <c:v>0.81875762052345991</c:v>
                </c:pt>
                <c:pt idx="21">
                  <c:v>1.2709144306749125E-2</c:v>
                </c:pt>
                <c:pt idx="22">
                  <c:v>-0.20800867793652372</c:v>
                </c:pt>
                <c:pt idx="23">
                  <c:v>-0.54275021624738551</c:v>
                </c:pt>
              </c:numCache>
            </c:numRef>
          </c:val>
          <c:extLst>
            <c:ext xmlns:c16="http://schemas.microsoft.com/office/drawing/2014/chart" uri="{C3380CC4-5D6E-409C-BE32-E72D297353CC}">
              <c16:uniqueId val="{00000002-184F-4C1E-A661-50BC816F2164}"/>
            </c:ext>
          </c:extLst>
        </c:ser>
        <c:ser>
          <c:idx val="4"/>
          <c:order val="4"/>
          <c:tx>
            <c:strRef>
              <c:f>'Služby-příspěvkyk růstu'!$G$25</c:f>
              <c:strCache>
                <c:ptCount val="1"/>
                <c:pt idx="0">
                  <c:v>Činnosti v oblasti nemovitostí</c:v>
                </c:pt>
              </c:strCache>
            </c:strRef>
          </c:tx>
          <c:spPr>
            <a:solidFill>
              <a:schemeClr val="accent5">
                <a:lumMod val="60000"/>
                <a:lumOff val="40000"/>
              </a:schemeClr>
            </a:solidFill>
            <a:ln>
              <a:noFill/>
              <a:prstDash val="sysDash"/>
            </a:ln>
          </c:spPr>
          <c:invertIfNegative val="0"/>
          <c:cat>
            <c:multiLvlStrRef>
              <c:f>'Služby-příspěvkyk růstu'!$A$38:$B$62</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'Služby-příspěvkyk růstu'!$G$38:$G$62</c:f>
              <c:numCache>
                <c:formatCode>0.0</c:formatCode>
                <c:ptCount val="25"/>
                <c:pt idx="0">
                  <c:v>4.5114687433560306E-2</c:v>
                </c:pt>
                <c:pt idx="1">
                  <c:v>-4.6332035268016221E-3</c:v>
                </c:pt>
                <c:pt idx="2">
                  <c:v>8.5015739391012091E-2</c:v>
                </c:pt>
                <c:pt idx="3">
                  <c:v>4.2208307641240138E-2</c:v>
                </c:pt>
                <c:pt idx="4">
                  <c:v>0.22367935721226123</c:v>
                </c:pt>
                <c:pt idx="5">
                  <c:v>6.8179121742595258E-2</c:v>
                </c:pt>
                <c:pt idx="6">
                  <c:v>0.11569139985311286</c:v>
                </c:pt>
                <c:pt idx="7">
                  <c:v>-7.0466111576954538E-2</c:v>
                </c:pt>
                <c:pt idx="8">
                  <c:v>0.2817034743166883</c:v>
                </c:pt>
                <c:pt idx="9">
                  <c:v>0.36183937473684985</c:v>
                </c:pt>
                <c:pt idx="10">
                  <c:v>-3.8722622280749804E-2</c:v>
                </c:pt>
                <c:pt idx="11">
                  <c:v>0.1375178635065378</c:v>
                </c:pt>
                <c:pt idx="12">
                  <c:v>-1.6524920487738199E-2</c:v>
                </c:pt>
                <c:pt idx="13">
                  <c:v>-0.22648211116742281</c:v>
                </c:pt>
                <c:pt idx="14">
                  <c:v>-0.12424593654845113</c:v>
                </c:pt>
                <c:pt idx="15">
                  <c:v>-0.20693626252291025</c:v>
                </c:pt>
                <c:pt idx="16">
                  <c:v>0.14696794955742462</c:v>
                </c:pt>
                <c:pt idx="17">
                  <c:v>-2.7570979439452199E-2</c:v>
                </c:pt>
                <c:pt idx="18">
                  <c:v>-0.16565733752607226</c:v>
                </c:pt>
                <c:pt idx="19">
                  <c:v>-0.11837811882672172</c:v>
                </c:pt>
                <c:pt idx="20">
                  <c:v>0.4333949544812507</c:v>
                </c:pt>
                <c:pt idx="21">
                  <c:v>-0.29664667827714641</c:v>
                </c:pt>
                <c:pt idx="22">
                  <c:v>-0.27589755106802255</c:v>
                </c:pt>
                <c:pt idx="23">
                  <c:v>-0.22603611624101408</c:v>
                </c:pt>
              </c:numCache>
            </c:numRef>
          </c:val>
          <c:extLst>
            <c:ext xmlns:c16="http://schemas.microsoft.com/office/drawing/2014/chart" uri="{C3380CC4-5D6E-409C-BE32-E72D297353CC}">
              <c16:uniqueId val="{00000003-184F-4C1E-A661-50BC816F2164}"/>
            </c:ext>
          </c:extLst>
        </c:ser>
        <c:ser>
          <c:idx val="5"/>
          <c:order val="5"/>
          <c:tx>
            <c:strRef>
              <c:f>'Služby-příspěvkyk růstu'!$H$25</c:f>
              <c:strCache>
                <c:ptCount val="1"/>
                <c:pt idx="0">
                  <c:v>Profesní, vědecké a technické činnosti</c:v>
                </c:pt>
              </c:strCache>
            </c:strRef>
          </c:tx>
          <c:spPr>
            <a:solidFill>
              <a:schemeClr val="accent6">
                <a:lumMod val="60000"/>
                <a:lumOff val="40000"/>
              </a:schemeClr>
            </a:solidFill>
            <a:ln>
              <a:noFill/>
            </a:ln>
          </c:spPr>
          <c:invertIfNegative val="0"/>
          <c:cat>
            <c:multiLvlStrRef>
              <c:f>'Služby-příspěvkyk růstu'!$A$38:$B$62</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'Služby-příspěvkyk růstu'!$H$38:$H$62</c:f>
              <c:numCache>
                <c:formatCode>0.0</c:formatCode>
                <c:ptCount val="25"/>
                <c:pt idx="0">
                  <c:v>1.0484383487899711</c:v>
                </c:pt>
                <c:pt idx="1">
                  <c:v>0.72052999545577168</c:v>
                </c:pt>
                <c:pt idx="2">
                  <c:v>1.0868604151162005</c:v>
                </c:pt>
                <c:pt idx="3">
                  <c:v>-4.0322082415785492E-2</c:v>
                </c:pt>
                <c:pt idx="4">
                  <c:v>-0.43449187968361835</c:v>
                </c:pt>
                <c:pt idx="5">
                  <c:v>-1.3323038963027927</c:v>
                </c:pt>
                <c:pt idx="6">
                  <c:v>-3.9552148164600709E-3</c:v>
                </c:pt>
                <c:pt idx="7">
                  <c:v>-0.31462694060722485</c:v>
                </c:pt>
                <c:pt idx="8">
                  <c:v>0.96902063867400445</c:v>
                </c:pt>
                <c:pt idx="9">
                  <c:v>0.58685346999817534</c:v>
                </c:pt>
                <c:pt idx="10">
                  <c:v>0.30367671908798494</c:v>
                </c:pt>
                <c:pt idx="11">
                  <c:v>0.4272378328972698</c:v>
                </c:pt>
                <c:pt idx="12">
                  <c:v>1.046516660206382</c:v>
                </c:pt>
                <c:pt idx="13">
                  <c:v>0.55031892838577978</c:v>
                </c:pt>
                <c:pt idx="14">
                  <c:v>0.3606269063463074</c:v>
                </c:pt>
                <c:pt idx="15">
                  <c:v>-0.26282042656827093</c:v>
                </c:pt>
                <c:pt idx="16">
                  <c:v>0.70683419450667839</c:v>
                </c:pt>
                <c:pt idx="17">
                  <c:v>0.58909336817613034</c:v>
                </c:pt>
                <c:pt idx="18">
                  <c:v>-0.76655146650449768</c:v>
                </c:pt>
                <c:pt idx="19">
                  <c:v>-0.57034880427530998</c:v>
                </c:pt>
                <c:pt idx="20">
                  <c:v>-0.862671202284087</c:v>
                </c:pt>
                <c:pt idx="21">
                  <c:v>-3.1824030086585093</c:v>
                </c:pt>
                <c:pt idx="22">
                  <c:v>-1.4967172567562528</c:v>
                </c:pt>
                <c:pt idx="23">
                  <c:v>-1.5494143142687984</c:v>
                </c:pt>
              </c:numCache>
            </c:numRef>
          </c:val>
          <c:extLst>
            <c:ext xmlns:c16="http://schemas.microsoft.com/office/drawing/2014/chart" uri="{C3380CC4-5D6E-409C-BE32-E72D297353CC}">
              <c16:uniqueId val="{00000004-184F-4C1E-A661-50BC816F2164}"/>
            </c:ext>
          </c:extLst>
        </c:ser>
        <c:ser>
          <c:idx val="6"/>
          <c:order val="6"/>
          <c:tx>
            <c:strRef>
              <c:f>'Služby-příspěvkyk růstu'!$I$25</c:f>
              <c:strCache>
                <c:ptCount val="1"/>
                <c:pt idx="0">
                  <c:v>Administrativní a podpůrné činnosti</c:v>
                </c:pt>
              </c:strCache>
            </c:strRef>
          </c:tx>
          <c:spPr>
            <a:solidFill>
              <a:schemeClr val="accent1">
                <a:lumMod val="20000"/>
                <a:lumOff val="80000"/>
              </a:schemeClr>
            </a:solidFill>
            <a:ln>
              <a:noFill/>
            </a:ln>
          </c:spPr>
          <c:invertIfNegative val="0"/>
          <c:cat>
            <c:multiLvlStrRef>
              <c:f>'Služby-příspěvkyk růstu'!$A$38:$B$62</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'Služby-příspěvkyk růstu'!$I$38:$I$62</c:f>
              <c:numCache>
                <c:formatCode>0.0</c:formatCode>
                <c:ptCount val="25"/>
                <c:pt idx="0">
                  <c:v>0.51529021782059092</c:v>
                </c:pt>
                <c:pt idx="1">
                  <c:v>0.62103855114509265</c:v>
                </c:pt>
                <c:pt idx="2">
                  <c:v>0.43595933844001955</c:v>
                </c:pt>
                <c:pt idx="3">
                  <c:v>0.50146244094602455</c:v>
                </c:pt>
                <c:pt idx="4">
                  <c:v>0.46409597349779164</c:v>
                </c:pt>
                <c:pt idx="5">
                  <c:v>0.16302808064014088</c:v>
                </c:pt>
                <c:pt idx="6">
                  <c:v>0.26998446358589956</c:v>
                </c:pt>
                <c:pt idx="7">
                  <c:v>0.51404132409576386</c:v>
                </c:pt>
                <c:pt idx="8">
                  <c:v>1.3081284681462071</c:v>
                </c:pt>
                <c:pt idx="9">
                  <c:v>1.0890272614101544</c:v>
                </c:pt>
                <c:pt idx="10">
                  <c:v>0.64167805580696791</c:v>
                </c:pt>
                <c:pt idx="11">
                  <c:v>0.30494507513789598</c:v>
                </c:pt>
                <c:pt idx="12">
                  <c:v>0.53369642451270716</c:v>
                </c:pt>
                <c:pt idx="13">
                  <c:v>0.37812124449670165</c:v>
                </c:pt>
                <c:pt idx="14">
                  <c:v>0.43585539244585964</c:v>
                </c:pt>
                <c:pt idx="15">
                  <c:v>-1.3565740352544766E-2</c:v>
                </c:pt>
                <c:pt idx="16">
                  <c:v>0.47293200739556923</c:v>
                </c:pt>
                <c:pt idx="17">
                  <c:v>0.12985986482803277</c:v>
                </c:pt>
                <c:pt idx="18">
                  <c:v>-0.12378098729050785</c:v>
                </c:pt>
                <c:pt idx="19">
                  <c:v>-0.21478965355329299</c:v>
                </c:pt>
                <c:pt idx="20">
                  <c:v>-1.095647450588088</c:v>
                </c:pt>
                <c:pt idx="21">
                  <c:v>-4.3129378306473711</c:v>
                </c:pt>
                <c:pt idx="22">
                  <c:v>-4.4460381962393489</c:v>
                </c:pt>
                <c:pt idx="23">
                  <c:v>-2.3718014371067651</c:v>
                </c:pt>
              </c:numCache>
            </c:numRef>
          </c:val>
          <c:extLst>
            <c:ext xmlns:c16="http://schemas.microsoft.com/office/drawing/2014/chart" uri="{C3380CC4-5D6E-409C-BE32-E72D297353CC}">
              <c16:uniqueId val="{00000005-184F-4C1E-A661-50BC816F2164}"/>
            </c:ext>
          </c:extLst>
        </c:ser>
        <c:dLbls>
          <c:showLegendKey val="0"/>
          <c:showVal val="0"/>
          <c:showCatName val="0"/>
          <c:showSerName val="0"/>
          <c:showPercent val="0"/>
          <c:showBubbleSize val="0"/>
        </c:dLbls>
        <c:gapWidth val="20"/>
        <c:overlap val="100"/>
        <c:axId val="156100864"/>
        <c:axId val="156573696"/>
      </c:barChart>
      <c:lineChart>
        <c:grouping val="standard"/>
        <c:varyColors val="0"/>
        <c:ser>
          <c:idx val="3"/>
          <c:order val="0"/>
          <c:tx>
            <c:strRef>
              <c:f>'Služby-příspěvkyk růstu'!$C$25</c:f>
              <c:strCache>
                <c:ptCount val="1"/>
                <c:pt idx="0">
                  <c:v>Služby celkem</c:v>
                </c:pt>
              </c:strCache>
            </c:strRef>
          </c:tx>
          <c:spPr>
            <a:ln>
              <a:noFill/>
            </a:ln>
          </c:spPr>
          <c:marker>
            <c:symbol val="dash"/>
            <c:size val="9"/>
            <c:spPr>
              <a:solidFill>
                <a:schemeClr val="tx1">
                  <a:lumMod val="95000"/>
                  <a:lumOff val="5000"/>
                </a:schemeClr>
              </a:solidFill>
              <a:ln>
                <a:noFill/>
              </a:ln>
            </c:spPr>
          </c:marker>
          <c:cat>
            <c:multiLvlStrRef>
              <c:f>'Služby-příspěvkyk růstu'!$A$38:$B$62</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'Služby-příspěvkyk růstu'!$C$38:$C$62</c:f>
              <c:numCache>
                <c:formatCode>0.0</c:formatCode>
                <c:ptCount val="25"/>
                <c:pt idx="0">
                  <c:v>3.3382433958668543</c:v>
                </c:pt>
                <c:pt idx="1">
                  <c:v>2.7103361232655629</c:v>
                </c:pt>
                <c:pt idx="2">
                  <c:v>3.2239950369824015</c:v>
                </c:pt>
                <c:pt idx="3">
                  <c:v>2.2290744901698503</c:v>
                </c:pt>
                <c:pt idx="4">
                  <c:v>1.1705942890214658</c:v>
                </c:pt>
                <c:pt idx="5">
                  <c:v>-0.79617382977255602</c:v>
                </c:pt>
                <c:pt idx="6">
                  <c:v>1.3957902293238789</c:v>
                </c:pt>
                <c:pt idx="7">
                  <c:v>1.6187710130799218</c:v>
                </c:pt>
                <c:pt idx="8">
                  <c:v>5.8784103471439551</c:v>
                </c:pt>
                <c:pt idx="9">
                  <c:v>5.3482581398495768</c:v>
                </c:pt>
                <c:pt idx="10">
                  <c:v>3.3779943282277998</c:v>
                </c:pt>
                <c:pt idx="11">
                  <c:v>2.5043716791567761</c:v>
                </c:pt>
                <c:pt idx="12">
                  <c:v>5.0156711008346235</c:v>
                </c:pt>
                <c:pt idx="13">
                  <c:v>3.5070069269133626</c:v>
                </c:pt>
                <c:pt idx="14">
                  <c:v>3.6980923847765013</c:v>
                </c:pt>
                <c:pt idx="15">
                  <c:v>1.088994618978063</c:v>
                </c:pt>
                <c:pt idx="16">
                  <c:v>3.5749845208334534</c:v>
                </c:pt>
                <c:pt idx="17">
                  <c:v>1.954576538323721</c:v>
                </c:pt>
                <c:pt idx="18">
                  <c:v>-0.74453870345746509</c:v>
                </c:pt>
                <c:pt idx="19">
                  <c:v>-0.17451544055846568</c:v>
                </c:pt>
                <c:pt idx="20">
                  <c:v>-3.8008841756984992</c:v>
                </c:pt>
                <c:pt idx="21">
                  <c:v>-19.645885010863395</c:v>
                </c:pt>
                <c:pt idx="22">
                  <c:v>-12.616731539536957</c:v>
                </c:pt>
                <c:pt idx="23">
                  <c:v>-10.908003215270696</c:v>
                </c:pt>
              </c:numCache>
            </c:numRef>
          </c:val>
          <c:smooth val="0"/>
          <c:extLst>
            <c:ext xmlns:c16="http://schemas.microsoft.com/office/drawing/2014/chart" uri="{C3380CC4-5D6E-409C-BE32-E72D297353CC}">
              <c16:uniqueId val="{00000006-184F-4C1E-A661-50BC816F2164}"/>
            </c:ext>
          </c:extLst>
        </c:ser>
        <c:dLbls>
          <c:showLegendKey val="0"/>
          <c:showVal val="0"/>
          <c:showCatName val="0"/>
          <c:showSerName val="0"/>
          <c:showPercent val="0"/>
          <c:showBubbleSize val="0"/>
        </c:dLbls>
        <c:marker val="1"/>
        <c:smooth val="0"/>
        <c:axId val="156100864"/>
        <c:axId val="156573696"/>
      </c:lineChart>
      <c:lineChart>
        <c:grouping val="standard"/>
        <c:varyColors val="0"/>
        <c:ser>
          <c:idx val="7"/>
          <c:order val="7"/>
          <c:tx>
            <c:strRef>
              <c:f>'Služby-příspěvkyk růstu'!$J$25</c:f>
              <c:strCache>
                <c:ptCount val="1"/>
                <c:pt idx="0">
                  <c:v>Saldo indik.důvěry ve službách (pr. osa)</c:v>
                </c:pt>
              </c:strCache>
            </c:strRef>
          </c:tx>
          <c:spPr>
            <a:ln w="3175">
              <a:solidFill>
                <a:schemeClr val="bg1">
                  <a:lumMod val="50000"/>
                </a:schemeClr>
              </a:solidFill>
              <a:prstDash val="sysDash"/>
            </a:ln>
          </c:spPr>
          <c:marker>
            <c:symbol val="diamond"/>
            <c:size val="5"/>
            <c:spPr>
              <a:solidFill>
                <a:srgbClr val="FFFF00"/>
              </a:solidFill>
              <a:ln w="6350">
                <a:solidFill>
                  <a:schemeClr val="tx1">
                    <a:lumMod val="95000"/>
                    <a:lumOff val="5000"/>
                  </a:schemeClr>
                </a:solidFill>
              </a:ln>
            </c:spPr>
          </c:marker>
          <c:cat>
            <c:multiLvlStrRef>
              <c:f>'Služby-příspěvkyk růstu'!$A$38:$B$62</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'Služby-příspěvkyk růstu'!$J$38:$J$62</c:f>
              <c:numCache>
                <c:formatCode>0.0</c:formatCode>
                <c:ptCount val="25"/>
                <c:pt idx="0">
                  <c:v>29.7</c:v>
                </c:pt>
                <c:pt idx="1">
                  <c:v>28.7</c:v>
                </c:pt>
                <c:pt idx="2">
                  <c:v>31.3</c:v>
                </c:pt>
                <c:pt idx="3">
                  <c:v>32.700000000000003</c:v>
                </c:pt>
                <c:pt idx="4">
                  <c:v>32.299999999999997</c:v>
                </c:pt>
                <c:pt idx="5">
                  <c:v>33</c:v>
                </c:pt>
                <c:pt idx="6">
                  <c:v>33</c:v>
                </c:pt>
                <c:pt idx="7">
                  <c:v>37.700000000000003</c:v>
                </c:pt>
                <c:pt idx="8">
                  <c:v>35.299999999999997</c:v>
                </c:pt>
                <c:pt idx="9">
                  <c:v>37.700000000000003</c:v>
                </c:pt>
                <c:pt idx="10">
                  <c:v>37.299999999999997</c:v>
                </c:pt>
                <c:pt idx="11">
                  <c:v>35.700000000000003</c:v>
                </c:pt>
                <c:pt idx="12">
                  <c:v>38.299999999999997</c:v>
                </c:pt>
                <c:pt idx="13">
                  <c:v>37</c:v>
                </c:pt>
                <c:pt idx="14">
                  <c:v>38.299999999999997</c:v>
                </c:pt>
                <c:pt idx="15">
                  <c:v>40.700000000000003</c:v>
                </c:pt>
                <c:pt idx="16">
                  <c:v>39.299999999999997</c:v>
                </c:pt>
                <c:pt idx="17">
                  <c:v>33.700000000000003</c:v>
                </c:pt>
                <c:pt idx="18">
                  <c:v>35</c:v>
                </c:pt>
                <c:pt idx="19">
                  <c:v>32.700000000000003</c:v>
                </c:pt>
                <c:pt idx="20">
                  <c:v>29</c:v>
                </c:pt>
                <c:pt idx="21">
                  <c:v>-13.3</c:v>
                </c:pt>
                <c:pt idx="22">
                  <c:v>1</c:v>
                </c:pt>
                <c:pt idx="23">
                  <c:v>-5</c:v>
                </c:pt>
                <c:pt idx="24">
                  <c:v>8</c:v>
                </c:pt>
              </c:numCache>
            </c:numRef>
          </c:val>
          <c:smooth val="0"/>
          <c:extLst>
            <c:ext xmlns:c16="http://schemas.microsoft.com/office/drawing/2014/chart" uri="{C3380CC4-5D6E-409C-BE32-E72D297353CC}">
              <c16:uniqueId val="{00000007-184F-4C1E-A661-50BC816F2164}"/>
            </c:ext>
          </c:extLst>
        </c:ser>
        <c:ser>
          <c:idx val="8"/>
          <c:order val="8"/>
          <c:tx>
            <c:strRef>
              <c:f>'Služby-příspěvkyk růstu'!$K$25</c:f>
              <c:strCache>
                <c:ptCount val="1"/>
                <c:pt idx="0">
                  <c:v>Bariéra růstu: nedost. poptávka (pr. osa)</c:v>
                </c:pt>
              </c:strCache>
            </c:strRef>
          </c:tx>
          <c:spPr>
            <a:ln w="19050">
              <a:solidFill>
                <a:srgbClr val="00B050"/>
              </a:solidFill>
            </a:ln>
          </c:spPr>
          <c:marker>
            <c:symbol val="none"/>
          </c:marker>
          <c:cat>
            <c:multiLvlStrRef>
              <c:f>'Služby-příspěvkyk růstu'!$A$38:$B$62</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'Služby-příspěvkyk růstu'!$K$38:$K$62</c:f>
              <c:numCache>
                <c:formatCode>#,##0.0</c:formatCode>
                <c:ptCount val="25"/>
                <c:pt idx="0">
                  <c:v>26.2</c:v>
                </c:pt>
                <c:pt idx="1">
                  <c:v>29</c:v>
                </c:pt>
                <c:pt idx="2">
                  <c:v>26.9</c:v>
                </c:pt>
                <c:pt idx="3">
                  <c:v>23.3</c:v>
                </c:pt>
                <c:pt idx="4">
                  <c:v>24</c:v>
                </c:pt>
                <c:pt idx="5">
                  <c:v>24.5</c:v>
                </c:pt>
                <c:pt idx="6">
                  <c:v>21</c:v>
                </c:pt>
                <c:pt idx="7">
                  <c:v>23.3</c:v>
                </c:pt>
                <c:pt idx="8">
                  <c:v>26.2</c:v>
                </c:pt>
                <c:pt idx="9">
                  <c:v>20.5</c:v>
                </c:pt>
                <c:pt idx="10">
                  <c:v>19.899999999999999</c:v>
                </c:pt>
                <c:pt idx="11">
                  <c:v>20.9</c:v>
                </c:pt>
                <c:pt idx="12">
                  <c:v>17.3</c:v>
                </c:pt>
                <c:pt idx="13">
                  <c:v>18.600000000000001</c:v>
                </c:pt>
                <c:pt idx="14">
                  <c:v>18.899999999999999</c:v>
                </c:pt>
                <c:pt idx="15">
                  <c:v>19.8</c:v>
                </c:pt>
                <c:pt idx="16">
                  <c:v>20.7</c:v>
                </c:pt>
                <c:pt idx="17">
                  <c:v>17.100000000000001</c:v>
                </c:pt>
                <c:pt idx="18">
                  <c:v>21.7</c:v>
                </c:pt>
                <c:pt idx="19">
                  <c:v>14.1</c:v>
                </c:pt>
                <c:pt idx="20">
                  <c:v>20.399999999999999</c:v>
                </c:pt>
                <c:pt idx="21">
                  <c:v>29.1</c:v>
                </c:pt>
                <c:pt idx="22">
                  <c:v>30.9</c:v>
                </c:pt>
                <c:pt idx="23">
                  <c:v>39</c:v>
                </c:pt>
                <c:pt idx="24">
                  <c:v>35.799999999999997</c:v>
                </c:pt>
              </c:numCache>
            </c:numRef>
          </c:val>
          <c:smooth val="0"/>
          <c:extLst>
            <c:ext xmlns:c16="http://schemas.microsoft.com/office/drawing/2014/chart" uri="{C3380CC4-5D6E-409C-BE32-E72D297353CC}">
              <c16:uniqueId val="{00000008-184F-4C1E-A661-50BC816F2164}"/>
            </c:ext>
          </c:extLst>
        </c:ser>
        <c:ser>
          <c:idx val="9"/>
          <c:order val="9"/>
          <c:tx>
            <c:strRef>
              <c:f>'Služby-příspěvkyk růstu'!$L$25</c:f>
              <c:strCache>
                <c:ptCount val="1"/>
                <c:pt idx="0">
                  <c:v>Bariéra růstu: nedost. pracovníků (pr. osa)</c:v>
                </c:pt>
              </c:strCache>
            </c:strRef>
          </c:tx>
          <c:spPr>
            <a:ln w="19050">
              <a:solidFill>
                <a:srgbClr val="00B050"/>
              </a:solidFill>
              <a:prstDash val="sysDash"/>
            </a:ln>
          </c:spPr>
          <c:marker>
            <c:symbol val="none"/>
          </c:marker>
          <c:cat>
            <c:multiLvlStrRef>
              <c:f>'Služby-příspěvkyk růstu'!$A$38:$B$62</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'Služby-příspěvkyk růstu'!$L$38:$L$62</c:f>
              <c:numCache>
                <c:formatCode>#,##0.0</c:formatCode>
                <c:ptCount val="25"/>
                <c:pt idx="0">
                  <c:v>2.8</c:v>
                </c:pt>
                <c:pt idx="1">
                  <c:v>5.7</c:v>
                </c:pt>
                <c:pt idx="2">
                  <c:v>5.9</c:v>
                </c:pt>
                <c:pt idx="3">
                  <c:v>5.8</c:v>
                </c:pt>
                <c:pt idx="4">
                  <c:v>8.6999999999999993</c:v>
                </c:pt>
                <c:pt idx="5">
                  <c:v>4.5999999999999996</c:v>
                </c:pt>
                <c:pt idx="6">
                  <c:v>7.1</c:v>
                </c:pt>
                <c:pt idx="7">
                  <c:v>9.1</c:v>
                </c:pt>
                <c:pt idx="8">
                  <c:v>10.1</c:v>
                </c:pt>
                <c:pt idx="9">
                  <c:v>10</c:v>
                </c:pt>
                <c:pt idx="10">
                  <c:v>9.3000000000000007</c:v>
                </c:pt>
                <c:pt idx="11">
                  <c:v>12.2</c:v>
                </c:pt>
                <c:pt idx="12">
                  <c:v>14.2</c:v>
                </c:pt>
                <c:pt idx="13">
                  <c:v>16.600000000000001</c:v>
                </c:pt>
                <c:pt idx="14">
                  <c:v>17.3</c:v>
                </c:pt>
                <c:pt idx="15">
                  <c:v>18.600000000000001</c:v>
                </c:pt>
                <c:pt idx="16">
                  <c:v>19.600000000000001</c:v>
                </c:pt>
                <c:pt idx="17">
                  <c:v>16.600000000000001</c:v>
                </c:pt>
                <c:pt idx="18">
                  <c:v>21.2</c:v>
                </c:pt>
                <c:pt idx="19">
                  <c:v>19.100000000000001</c:v>
                </c:pt>
                <c:pt idx="20">
                  <c:v>19.7</c:v>
                </c:pt>
                <c:pt idx="21">
                  <c:v>12.1</c:v>
                </c:pt>
                <c:pt idx="22">
                  <c:v>9.8000000000000007</c:v>
                </c:pt>
                <c:pt idx="23">
                  <c:v>11.1</c:v>
                </c:pt>
                <c:pt idx="24">
                  <c:v>11.2</c:v>
                </c:pt>
              </c:numCache>
            </c:numRef>
          </c:val>
          <c:smooth val="0"/>
          <c:extLst>
            <c:ext xmlns:c16="http://schemas.microsoft.com/office/drawing/2014/chart" uri="{C3380CC4-5D6E-409C-BE32-E72D297353CC}">
              <c16:uniqueId val="{00000009-184F-4C1E-A661-50BC816F2164}"/>
            </c:ext>
          </c:extLst>
        </c:ser>
        <c:ser>
          <c:idx val="10"/>
          <c:order val="10"/>
          <c:tx>
            <c:strRef>
              <c:f>'Služby-příspěvkyk růstu'!$M$25</c:f>
              <c:strCache>
                <c:ptCount val="1"/>
                <c:pt idx="0">
                  <c:v>Bariéry růstu podniků: žádné (pravá osa)</c:v>
                </c:pt>
              </c:strCache>
            </c:strRef>
          </c:tx>
          <c:spPr>
            <a:ln w="19050">
              <a:solidFill>
                <a:srgbClr val="00B050"/>
              </a:solidFill>
              <a:prstDash val="sysDot"/>
            </a:ln>
          </c:spPr>
          <c:marker>
            <c:symbol val="none"/>
          </c:marker>
          <c:cat>
            <c:multiLvlStrRef>
              <c:f>'Služby-příspěvkyk růstu'!$A$38:$B$62</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'Služby-příspěvkyk růstu'!$M$38:$M$62</c:f>
              <c:numCache>
                <c:formatCode>#,##0.0</c:formatCode>
                <c:ptCount val="25"/>
                <c:pt idx="0">
                  <c:v>43.8</c:v>
                </c:pt>
                <c:pt idx="1">
                  <c:v>42.8</c:v>
                </c:pt>
                <c:pt idx="2">
                  <c:v>46.2</c:v>
                </c:pt>
                <c:pt idx="3">
                  <c:v>50.3</c:v>
                </c:pt>
                <c:pt idx="4">
                  <c:v>47</c:v>
                </c:pt>
                <c:pt idx="5">
                  <c:v>46.5</c:v>
                </c:pt>
                <c:pt idx="6">
                  <c:v>51.8</c:v>
                </c:pt>
                <c:pt idx="7">
                  <c:v>48.6</c:v>
                </c:pt>
                <c:pt idx="8">
                  <c:v>45.5</c:v>
                </c:pt>
                <c:pt idx="9">
                  <c:v>47.7</c:v>
                </c:pt>
                <c:pt idx="10">
                  <c:v>48.2</c:v>
                </c:pt>
                <c:pt idx="11">
                  <c:v>46.6</c:v>
                </c:pt>
                <c:pt idx="12">
                  <c:v>49.6</c:v>
                </c:pt>
                <c:pt idx="13">
                  <c:v>45.4</c:v>
                </c:pt>
                <c:pt idx="14">
                  <c:v>43.4</c:v>
                </c:pt>
                <c:pt idx="15">
                  <c:v>46.4</c:v>
                </c:pt>
                <c:pt idx="16">
                  <c:v>45</c:v>
                </c:pt>
                <c:pt idx="17">
                  <c:v>46.4</c:v>
                </c:pt>
                <c:pt idx="18">
                  <c:v>45.9</c:v>
                </c:pt>
                <c:pt idx="19">
                  <c:v>47.5</c:v>
                </c:pt>
                <c:pt idx="20">
                  <c:v>44.4</c:v>
                </c:pt>
                <c:pt idx="21">
                  <c:v>32.9</c:v>
                </c:pt>
                <c:pt idx="22">
                  <c:v>27.1</c:v>
                </c:pt>
                <c:pt idx="23">
                  <c:v>26.4</c:v>
                </c:pt>
                <c:pt idx="24">
                  <c:v>26.4</c:v>
                </c:pt>
              </c:numCache>
            </c:numRef>
          </c:val>
          <c:smooth val="0"/>
          <c:extLst>
            <c:ext xmlns:c16="http://schemas.microsoft.com/office/drawing/2014/chart" uri="{C3380CC4-5D6E-409C-BE32-E72D297353CC}">
              <c16:uniqueId val="{0000000A-184F-4C1E-A661-50BC816F2164}"/>
            </c:ext>
          </c:extLst>
        </c:ser>
        <c:dLbls>
          <c:showLegendKey val="0"/>
          <c:showVal val="0"/>
          <c:showCatName val="0"/>
          <c:showSerName val="0"/>
          <c:showPercent val="0"/>
          <c:showBubbleSize val="0"/>
        </c:dLbls>
        <c:marker val="1"/>
        <c:smooth val="0"/>
        <c:axId val="156576768"/>
        <c:axId val="156575232"/>
      </c:lineChart>
      <c:catAx>
        <c:axId val="156100864"/>
        <c:scaling>
          <c:orientation val="minMax"/>
        </c:scaling>
        <c:delete val="0"/>
        <c:axPos val="b"/>
        <c:numFmt formatCode="General" sourceLinked="0"/>
        <c:majorTickMark val="out"/>
        <c:minorTickMark val="none"/>
        <c:tickLblPos val="low"/>
        <c:txPr>
          <a:bodyPr/>
          <a:lstStyle/>
          <a:p>
            <a:pPr>
              <a:defRPr sz="800"/>
            </a:pPr>
            <a:endParaRPr lang="cs-CZ"/>
          </a:p>
        </c:txPr>
        <c:crossAx val="156573696"/>
        <c:crosses val="autoZero"/>
        <c:auto val="1"/>
        <c:lblAlgn val="ctr"/>
        <c:lblOffset val="0"/>
        <c:noMultiLvlLbl val="0"/>
      </c:catAx>
      <c:valAx>
        <c:axId val="156573696"/>
        <c:scaling>
          <c:orientation val="minMax"/>
          <c:max val="6"/>
          <c:min val="-24"/>
        </c:scaling>
        <c:delete val="0"/>
        <c:axPos val="l"/>
        <c:majorGridlines>
          <c:spPr>
            <a:ln w="6350">
              <a:solidFill>
                <a:schemeClr val="bg1">
                  <a:lumMod val="75000"/>
                </a:schemeClr>
              </a:solidFill>
            </a:ln>
          </c:spPr>
        </c:majorGridlines>
        <c:title>
          <c:tx>
            <c:rich>
              <a:bodyPr/>
              <a:lstStyle/>
              <a:p>
                <a:pPr>
                  <a:defRPr sz="700" b="0" i="1"/>
                </a:pPr>
                <a:r>
                  <a:rPr lang="cs-CZ" sz="700" b="0" i="1"/>
                  <a:t>Příspěvky k</a:t>
                </a:r>
                <a:r>
                  <a:rPr lang="cs-CZ" sz="700" b="0" i="1" u="none" strike="noStrike" kern="1200" baseline="0">
                    <a:solidFill>
                      <a:sysClr val="windowText" lastClr="000000"/>
                    </a:solidFill>
                    <a:latin typeface="Arial" pitchFamily="34" charset="0"/>
                    <a:ea typeface="+mn-ea"/>
                    <a:cs typeface="+mn-cs"/>
                  </a:rPr>
                  <a:t> </a:t>
                </a:r>
                <a:r>
                  <a:rPr lang="cs-CZ" sz="700" b="0" i="1"/>
                  <a:t>růstu tržeb</a:t>
                </a:r>
              </a:p>
            </c:rich>
          </c:tx>
          <c:layout>
            <c:manualLayout>
              <c:xMode val="edge"/>
              <c:yMode val="edge"/>
              <c:x val="0"/>
              <c:y val="0.21427956658597461"/>
            </c:manualLayout>
          </c:layout>
          <c:overlay val="0"/>
        </c:title>
        <c:numFmt formatCode="0" sourceLinked="0"/>
        <c:majorTickMark val="out"/>
        <c:minorTickMark val="none"/>
        <c:tickLblPos val="nextTo"/>
        <c:txPr>
          <a:bodyPr/>
          <a:lstStyle/>
          <a:p>
            <a:pPr>
              <a:defRPr sz="800"/>
            </a:pPr>
            <a:endParaRPr lang="cs-CZ"/>
          </a:p>
        </c:txPr>
        <c:crossAx val="156100864"/>
        <c:crosses val="autoZero"/>
        <c:crossBetween val="between"/>
        <c:majorUnit val="3"/>
      </c:valAx>
      <c:valAx>
        <c:axId val="156575232"/>
        <c:scaling>
          <c:orientation val="minMax"/>
          <c:max val="80"/>
          <c:min val="-15"/>
        </c:scaling>
        <c:delete val="0"/>
        <c:axPos val="r"/>
        <c:title>
          <c:tx>
            <c:rich>
              <a:bodyPr/>
              <a:lstStyle/>
              <a:p>
                <a:pPr>
                  <a:defRPr sz="700" b="0" i="1"/>
                </a:pPr>
                <a:r>
                  <a:rPr lang="cs-CZ" sz="700" b="0" i="1"/>
                  <a:t>Saldo indikátoru důvěry,bBariéry růstu</a:t>
                </a:r>
              </a:p>
            </c:rich>
          </c:tx>
          <c:layout/>
          <c:overlay val="0"/>
        </c:title>
        <c:numFmt formatCode="0" sourceLinked="0"/>
        <c:majorTickMark val="out"/>
        <c:minorTickMark val="none"/>
        <c:tickLblPos val="nextTo"/>
        <c:txPr>
          <a:bodyPr/>
          <a:lstStyle/>
          <a:p>
            <a:pPr>
              <a:defRPr sz="800"/>
            </a:pPr>
            <a:endParaRPr lang="cs-CZ"/>
          </a:p>
        </c:txPr>
        <c:crossAx val="156576768"/>
        <c:crosses val="max"/>
        <c:crossBetween val="between"/>
        <c:majorUnit val="10"/>
      </c:valAx>
      <c:catAx>
        <c:axId val="156576768"/>
        <c:scaling>
          <c:orientation val="minMax"/>
        </c:scaling>
        <c:delete val="1"/>
        <c:axPos val="b"/>
        <c:numFmt formatCode="General" sourceLinked="1"/>
        <c:majorTickMark val="out"/>
        <c:minorTickMark val="none"/>
        <c:tickLblPos val="none"/>
        <c:crossAx val="156575232"/>
        <c:crosses val="autoZero"/>
        <c:auto val="1"/>
        <c:lblAlgn val="ctr"/>
        <c:lblOffset val="100"/>
        <c:noMultiLvlLbl val="0"/>
      </c:catAx>
      <c:spPr>
        <a:ln>
          <a:solidFill>
            <a:schemeClr val="tx1"/>
          </a:solidFill>
        </a:ln>
      </c:spPr>
    </c:plotArea>
    <c:legend>
      <c:legendPos val="r"/>
      <c:layout>
        <c:manualLayout>
          <c:xMode val="edge"/>
          <c:yMode val="edge"/>
          <c:x val="6.4054887921738678E-5"/>
          <c:y val="0.82175247960207154"/>
          <c:w val="0.98850193828834876"/>
          <c:h val="0.16763527754636032"/>
        </c:manualLayout>
      </c:layout>
      <c:overlay val="0"/>
      <c:spPr>
        <a:ln w="6350">
          <a:solidFill>
            <a:schemeClr val="tx1"/>
          </a:solidFill>
        </a:ln>
      </c:spPr>
      <c:txPr>
        <a:bodyPr/>
        <a:lstStyle/>
        <a:p>
          <a:pPr>
            <a:defRPr sz="800"/>
          </a:pPr>
          <a:endParaRPr lang="cs-CZ"/>
        </a:p>
      </c:txPr>
    </c:legend>
    <c:plotVisOnly val="1"/>
    <c:dispBlanksAs val="gap"/>
    <c:showDLblsOverMax val="0"/>
  </c:chart>
  <c:spPr>
    <a:ln>
      <a:noFill/>
    </a:ln>
  </c:spPr>
  <c:txPr>
    <a:bodyPr/>
    <a:lstStyle/>
    <a:p>
      <a:pPr>
        <a:defRPr sz="1500" baseline="0">
          <a:latin typeface="Arial" pitchFamily="34" charset="0"/>
        </a:defRPr>
      </a:pPr>
      <a:endParaRPr lang="cs-CZ"/>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C2740-A1AA-46D6-B148-6EE6D591ECF0}">
  <ds:schemaRefs>
    <ds:schemaRef ds:uri="http://schemas.openxmlformats.org/officeDocument/2006/bibliography"/>
  </ds:schemaRefs>
</ds:datastoreItem>
</file>

<file path=customXml/itemProps2.xml><?xml version="1.0" encoding="utf-8"?>
<ds:datastoreItem xmlns:ds="http://schemas.openxmlformats.org/officeDocument/2006/customXml" ds:itemID="{CA7D27E1-4121-4C83-8E49-2BBDE4030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Q_analyza_Q12018.dotx</Template>
  <TotalTime>3</TotalTime>
  <Pages>8</Pages>
  <Words>3286</Words>
  <Characters>19390</Characters>
  <Application>Microsoft Office Word</Application>
  <DocSecurity>0</DocSecurity>
  <Lines>161</Lines>
  <Paragraphs>45</Paragraphs>
  <ScaleCrop>false</ScaleCrop>
  <HeadingPairs>
    <vt:vector size="6" baseType="variant">
      <vt:variant>
        <vt:lpstr>Název</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Styl: Nadpis 1</vt:lpstr>
      <vt:lpstr>    Styl: Nadpis 2</vt:lpstr>
      <vt:lpstr>        Styl: Nadpis 3</vt:lpstr>
      <vt:lpstr>        Styl: Nadpis 3</vt:lpstr>
      <vt:lpstr>    Styl: Nadpis 2</vt:lpstr>
      <vt:lpstr>        Styl: Nadpis 3</vt:lpstr>
      <vt:lpstr>    Styl: Nadpis 2</vt:lpstr>
      <vt:lpstr>        Styl: Nadpis 3</vt:lpstr>
    </vt:vector>
  </TitlesOfParts>
  <Company>CSU</Company>
  <LinksUpToDate>false</LinksUpToDate>
  <CharactersWithSpaces>22631</CharactersWithSpaces>
  <SharedDoc>false</SharedDoc>
  <HLinks>
    <vt:vector size="18" baseType="variant">
      <vt:variant>
        <vt:i4>7602181</vt:i4>
      </vt:variant>
      <vt:variant>
        <vt:i4>11092</vt:i4>
      </vt:variant>
      <vt:variant>
        <vt:i4>1025</vt:i4>
      </vt:variant>
      <vt:variant>
        <vt:i4>1</vt:i4>
      </vt:variant>
      <vt:variant>
        <vt:lpwstr>msoFAAF</vt:lpwstr>
      </vt:variant>
      <vt:variant>
        <vt:lpwstr/>
      </vt:variant>
      <vt:variant>
        <vt:i4>7995509</vt:i4>
      </vt:variant>
      <vt:variant>
        <vt:i4>-1</vt:i4>
      </vt:variant>
      <vt:variant>
        <vt:i4>2058</vt:i4>
      </vt:variant>
      <vt:variant>
        <vt:i4>1</vt:i4>
      </vt:variant>
      <vt:variant>
        <vt:lpwstr>CSU RGB CZ logo-02</vt:lpwstr>
      </vt:variant>
      <vt:variant>
        <vt:lpwstr/>
      </vt:variant>
      <vt:variant>
        <vt:i4>7929973</vt:i4>
      </vt:variant>
      <vt:variant>
        <vt:i4>-1</vt:i4>
      </vt:variant>
      <vt:variant>
        <vt:i4>2059</vt:i4>
      </vt:variant>
      <vt:variant>
        <vt:i4>1</vt:i4>
      </vt:variant>
      <vt:variant>
        <vt:lpwstr>CSU RGB CZ logo-01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Karolína Súkupová</dc:creator>
  <cp:lastModifiedBy>Mgr. Karolína Zábojníková</cp:lastModifiedBy>
  <cp:revision>3</cp:revision>
  <cp:lastPrinted>2019-04-08T10:52:00Z</cp:lastPrinted>
  <dcterms:created xsi:type="dcterms:W3CDTF">2021-03-18T08:13:00Z</dcterms:created>
  <dcterms:modified xsi:type="dcterms:W3CDTF">2021-03-18T08:48:00Z</dcterms:modified>
</cp:coreProperties>
</file>