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34" w:rsidRDefault="00EC064F">
      <w:pPr>
        <w:rPr>
          <w:rFonts w:ascii="Arial" w:hAnsi="Arial" w:cs="Arial"/>
          <w:b/>
          <w:sz w:val="20"/>
          <w:szCs w:val="20"/>
        </w:rPr>
      </w:pPr>
      <w:r w:rsidRPr="00D651E6">
        <w:rPr>
          <w:rFonts w:ascii="Arial" w:hAnsi="Arial" w:cs="Arial"/>
          <w:b/>
          <w:sz w:val="20"/>
          <w:szCs w:val="20"/>
        </w:rPr>
        <w:t>Zahraniční obchod</w:t>
      </w:r>
      <w:r w:rsidR="00F33777" w:rsidRPr="00D651E6">
        <w:rPr>
          <w:rFonts w:ascii="Arial" w:hAnsi="Arial" w:cs="Arial"/>
          <w:b/>
          <w:sz w:val="20"/>
          <w:szCs w:val="20"/>
        </w:rPr>
        <w:t xml:space="preserve"> </w:t>
      </w:r>
      <w:r w:rsidR="009932A8">
        <w:rPr>
          <w:rFonts w:ascii="Arial" w:hAnsi="Arial" w:cs="Arial"/>
          <w:b/>
          <w:sz w:val="20"/>
          <w:szCs w:val="20"/>
        </w:rPr>
        <w:t>České republiky</w:t>
      </w:r>
      <w:r w:rsidR="00A27E14">
        <w:rPr>
          <w:rFonts w:ascii="Arial" w:hAnsi="Arial" w:cs="Arial"/>
          <w:b/>
          <w:sz w:val="20"/>
          <w:szCs w:val="20"/>
        </w:rPr>
        <w:t xml:space="preserve"> podle pohybu zboží</w:t>
      </w:r>
      <w:r w:rsidR="000216F4" w:rsidRPr="00D651E6">
        <w:rPr>
          <w:rFonts w:ascii="Arial" w:hAnsi="Arial" w:cs="Arial"/>
          <w:b/>
          <w:sz w:val="20"/>
          <w:szCs w:val="20"/>
        </w:rPr>
        <w:t xml:space="preserve"> </w:t>
      </w:r>
      <w:r w:rsidR="00F33777" w:rsidRPr="00D651E6">
        <w:rPr>
          <w:rFonts w:ascii="Arial" w:hAnsi="Arial" w:cs="Arial"/>
          <w:b/>
          <w:sz w:val="20"/>
          <w:szCs w:val="20"/>
        </w:rPr>
        <w:t>v</w:t>
      </w:r>
      <w:r w:rsidR="003818DB" w:rsidRPr="00D651E6">
        <w:rPr>
          <w:rFonts w:ascii="Arial" w:hAnsi="Arial" w:cs="Arial"/>
          <w:b/>
          <w:sz w:val="20"/>
          <w:szCs w:val="20"/>
        </w:rPr>
        <w:t xml:space="preserve"> </w:t>
      </w:r>
      <w:r w:rsidR="00C40432" w:rsidRPr="00D651E6">
        <w:rPr>
          <w:rFonts w:ascii="Arial" w:hAnsi="Arial" w:cs="Arial"/>
          <w:b/>
          <w:sz w:val="20"/>
          <w:szCs w:val="20"/>
        </w:rPr>
        <w:t>roce 201</w:t>
      </w:r>
      <w:r w:rsidR="00D651E6" w:rsidRPr="00D651E6">
        <w:rPr>
          <w:rFonts w:ascii="Arial" w:hAnsi="Arial" w:cs="Arial"/>
          <w:b/>
          <w:sz w:val="20"/>
          <w:szCs w:val="20"/>
        </w:rPr>
        <w:t>3</w:t>
      </w:r>
    </w:p>
    <w:p w:rsidR="008856D9" w:rsidRPr="008856D9" w:rsidRDefault="005A15B4" w:rsidP="008856D9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  <w:b/>
          <w:sz w:val="19"/>
          <w:szCs w:val="19"/>
        </w:rPr>
      </w:pPr>
      <w:r w:rsidRPr="008856D9">
        <w:rPr>
          <w:rFonts w:ascii="Arial" w:hAnsi="Arial" w:cs="Arial"/>
          <w:b/>
          <w:sz w:val="19"/>
          <w:szCs w:val="19"/>
        </w:rPr>
        <w:t xml:space="preserve">Charakteristika vývoje </w:t>
      </w:r>
      <w:r w:rsidR="008856D9" w:rsidRPr="008856D9">
        <w:rPr>
          <w:rFonts w:ascii="Arial" w:hAnsi="Arial" w:cs="Arial"/>
          <w:b/>
          <w:sz w:val="19"/>
          <w:szCs w:val="19"/>
        </w:rPr>
        <w:t>zahraničního obchodu</w:t>
      </w:r>
      <w:r w:rsidRPr="008856D9">
        <w:rPr>
          <w:rFonts w:ascii="Arial" w:hAnsi="Arial" w:cs="Arial"/>
          <w:b/>
          <w:sz w:val="19"/>
          <w:szCs w:val="19"/>
        </w:rPr>
        <w:t xml:space="preserve"> </w:t>
      </w:r>
    </w:p>
    <w:p w:rsidR="008856D9" w:rsidRPr="00D651E6" w:rsidRDefault="008856D9" w:rsidP="008856D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D651E6">
        <w:rPr>
          <w:rFonts w:ascii="Arial" w:hAnsi="Arial" w:cs="Arial"/>
          <w:sz w:val="18"/>
          <w:szCs w:val="18"/>
        </w:rPr>
        <w:t xml:space="preserve">Růst zahraničního obchodu </w:t>
      </w:r>
      <w:r w:rsidR="00837A19">
        <w:rPr>
          <w:rFonts w:ascii="Arial" w:hAnsi="Arial" w:cs="Arial"/>
          <w:sz w:val="18"/>
          <w:szCs w:val="18"/>
        </w:rPr>
        <w:t>České republiky</w:t>
      </w:r>
      <w:r>
        <w:rPr>
          <w:rFonts w:ascii="Arial" w:hAnsi="Arial" w:cs="Arial"/>
          <w:sz w:val="18"/>
          <w:szCs w:val="18"/>
        </w:rPr>
        <w:t xml:space="preserve"> </w:t>
      </w:r>
      <w:r w:rsidRPr="00D651E6">
        <w:rPr>
          <w:rFonts w:ascii="Arial" w:hAnsi="Arial" w:cs="Arial"/>
          <w:sz w:val="18"/>
          <w:szCs w:val="18"/>
        </w:rPr>
        <w:t>pokračoval i v roce 2013</w:t>
      </w:r>
      <w:r>
        <w:rPr>
          <w:rStyle w:val="Znakapoznpodarou"/>
          <w:rFonts w:ascii="Arial" w:hAnsi="Arial" w:cs="Arial"/>
          <w:sz w:val="18"/>
          <w:szCs w:val="18"/>
        </w:rPr>
        <w:footnoteReference w:id="1"/>
      </w:r>
      <w:r w:rsidRPr="00D651E6">
        <w:rPr>
          <w:rFonts w:ascii="Arial" w:hAnsi="Arial" w:cs="Arial"/>
          <w:sz w:val="18"/>
          <w:szCs w:val="18"/>
        </w:rPr>
        <w:t>. V porovnání s předcho</w:t>
      </w:r>
      <w:r>
        <w:rPr>
          <w:rFonts w:ascii="Arial" w:hAnsi="Arial" w:cs="Arial"/>
          <w:sz w:val="18"/>
          <w:szCs w:val="18"/>
        </w:rPr>
        <w:t>zími třemi lety ale došlo k</w:t>
      </w:r>
      <w:r w:rsidR="00837A19">
        <w:rPr>
          <w:rFonts w:ascii="Arial" w:hAnsi="Arial" w:cs="Arial"/>
          <w:sz w:val="18"/>
          <w:szCs w:val="18"/>
        </w:rPr>
        <w:t> </w:t>
      </w:r>
      <w:r w:rsidR="000C63B5">
        <w:rPr>
          <w:rFonts w:ascii="Arial" w:hAnsi="Arial" w:cs="Arial"/>
          <w:sz w:val="18"/>
          <w:szCs w:val="18"/>
        </w:rPr>
        <w:t>jeho zpomalení</w:t>
      </w:r>
      <w:r w:rsidRPr="00D651E6">
        <w:rPr>
          <w:rFonts w:ascii="Arial" w:hAnsi="Arial" w:cs="Arial"/>
          <w:sz w:val="18"/>
          <w:szCs w:val="18"/>
        </w:rPr>
        <w:t xml:space="preserve">. Absolutní meziroční přírůstek </w:t>
      </w:r>
      <w:r w:rsidR="000C63B5" w:rsidRPr="000C63B5">
        <w:rPr>
          <w:rFonts w:ascii="Arial" w:hAnsi="Arial" w:cs="Arial"/>
          <w:b/>
          <w:sz w:val="18"/>
          <w:szCs w:val="18"/>
        </w:rPr>
        <w:t>obratu zahraničního obchodu</w:t>
      </w:r>
      <w:r w:rsidR="000C63B5">
        <w:rPr>
          <w:rFonts w:ascii="Arial" w:hAnsi="Arial" w:cs="Arial"/>
          <w:sz w:val="18"/>
          <w:szCs w:val="18"/>
        </w:rPr>
        <w:t xml:space="preserve"> </w:t>
      </w:r>
      <w:r w:rsidRPr="00D651E6">
        <w:rPr>
          <w:rFonts w:ascii="Arial" w:hAnsi="Arial" w:cs="Arial"/>
          <w:sz w:val="18"/>
          <w:szCs w:val="18"/>
        </w:rPr>
        <w:t xml:space="preserve">v roce 2010 o </w:t>
      </w:r>
      <w:r w:rsidRPr="00F04291">
        <w:rPr>
          <w:rFonts w:ascii="Arial" w:hAnsi="Arial" w:cs="Arial"/>
          <w:sz w:val="18"/>
          <w:szCs w:val="18"/>
        </w:rPr>
        <w:t>816,7</w:t>
      </w:r>
      <w:r w:rsidRPr="00D651E6">
        <w:rPr>
          <w:rFonts w:ascii="Arial" w:hAnsi="Arial" w:cs="Arial"/>
          <w:sz w:val="18"/>
          <w:szCs w:val="18"/>
        </w:rPr>
        <w:t xml:space="preserve"> mld. Kč, v roce 2011 </w:t>
      </w:r>
      <w:r w:rsidR="005D427E">
        <w:rPr>
          <w:rFonts w:ascii="Arial" w:hAnsi="Arial" w:cs="Arial"/>
          <w:sz w:val="18"/>
          <w:szCs w:val="18"/>
        </w:rPr>
        <w:t>o </w:t>
      </w:r>
      <w:r w:rsidRPr="00F04291">
        <w:rPr>
          <w:rFonts w:ascii="Arial" w:hAnsi="Arial" w:cs="Arial"/>
          <w:sz w:val="18"/>
          <w:szCs w:val="18"/>
        </w:rPr>
        <w:t>621,9 mld.</w:t>
      </w:r>
      <w:r>
        <w:rPr>
          <w:rFonts w:ascii="Arial" w:hAnsi="Arial" w:cs="Arial"/>
          <w:sz w:val="18"/>
          <w:szCs w:val="18"/>
        </w:rPr>
        <w:t xml:space="preserve"> Kč a v </w:t>
      </w:r>
      <w:r w:rsidRPr="00D651E6">
        <w:rPr>
          <w:rFonts w:ascii="Arial" w:hAnsi="Arial" w:cs="Arial"/>
          <w:sz w:val="18"/>
          <w:szCs w:val="18"/>
        </w:rPr>
        <w:t xml:space="preserve">roce 2012 </w:t>
      </w:r>
      <w:r w:rsidRPr="00F04291">
        <w:rPr>
          <w:rFonts w:ascii="Arial" w:hAnsi="Arial" w:cs="Arial"/>
          <w:sz w:val="18"/>
          <w:szCs w:val="18"/>
        </w:rPr>
        <w:t>o 273,2</w:t>
      </w:r>
      <w:r w:rsidRPr="00D651E6">
        <w:rPr>
          <w:rFonts w:ascii="Arial" w:hAnsi="Arial" w:cs="Arial"/>
          <w:sz w:val="18"/>
          <w:szCs w:val="18"/>
        </w:rPr>
        <w:t xml:space="preserve"> mld. Kč byl následován v roce 2013 růstem o </w:t>
      </w:r>
      <w:r w:rsidR="00F7014A" w:rsidRPr="00F7014A">
        <w:rPr>
          <w:rFonts w:ascii="Arial" w:hAnsi="Arial" w:cs="Arial"/>
          <w:sz w:val="18"/>
          <w:szCs w:val="18"/>
        </w:rPr>
        <w:t>2,7</w:t>
      </w:r>
      <w:r w:rsidRPr="00D651E6">
        <w:rPr>
          <w:rFonts w:ascii="Arial" w:hAnsi="Arial" w:cs="Arial"/>
          <w:sz w:val="18"/>
          <w:szCs w:val="18"/>
        </w:rPr>
        <w:t xml:space="preserve"> %, tj. </w:t>
      </w:r>
      <w:r w:rsidRPr="00871F56">
        <w:rPr>
          <w:rFonts w:ascii="Arial" w:hAnsi="Arial" w:cs="Arial"/>
          <w:sz w:val="18"/>
          <w:szCs w:val="18"/>
        </w:rPr>
        <w:t xml:space="preserve">o </w:t>
      </w:r>
      <w:r w:rsidR="00871F56" w:rsidRPr="00871F56">
        <w:rPr>
          <w:rFonts w:ascii="Arial" w:hAnsi="Arial" w:cs="Arial"/>
          <w:sz w:val="18"/>
          <w:szCs w:val="18"/>
        </w:rPr>
        <w:t>158,7</w:t>
      </w:r>
      <w:r w:rsidRPr="00D651E6">
        <w:rPr>
          <w:rFonts w:ascii="Arial" w:hAnsi="Arial" w:cs="Arial"/>
          <w:sz w:val="18"/>
          <w:szCs w:val="18"/>
        </w:rPr>
        <w:t xml:space="preserve"> mld. Kč. </w:t>
      </w:r>
      <w:r>
        <w:rPr>
          <w:rFonts w:ascii="Arial" w:hAnsi="Arial" w:cs="Arial"/>
          <w:sz w:val="18"/>
          <w:szCs w:val="18"/>
        </w:rPr>
        <w:t xml:space="preserve">Hodnota obratu dosáhla </w:t>
      </w:r>
      <w:r w:rsidR="00871F56" w:rsidRPr="00871F56">
        <w:rPr>
          <w:rFonts w:ascii="Arial" w:hAnsi="Arial" w:cs="Arial"/>
          <w:sz w:val="18"/>
          <w:szCs w:val="18"/>
        </w:rPr>
        <w:t>5 998</w:t>
      </w:r>
      <w:r w:rsidR="00E82A89">
        <w:rPr>
          <w:rFonts w:ascii="Arial" w:hAnsi="Arial" w:cs="Arial"/>
          <w:sz w:val="18"/>
          <w:szCs w:val="18"/>
        </w:rPr>
        <w:t>,2</w:t>
      </w:r>
      <w:r w:rsidRPr="00D651E6">
        <w:rPr>
          <w:rFonts w:ascii="Arial" w:hAnsi="Arial" w:cs="Arial"/>
          <w:sz w:val="18"/>
          <w:szCs w:val="18"/>
        </w:rPr>
        <w:t xml:space="preserve"> mld. Kč.</w:t>
      </w:r>
    </w:p>
    <w:p w:rsidR="008856D9" w:rsidRDefault="008856D9" w:rsidP="008856D9">
      <w:pPr>
        <w:spacing w:after="80"/>
        <w:jc w:val="both"/>
        <w:rPr>
          <w:rFonts w:ascii="Arial" w:hAnsi="Arial" w:cs="Arial"/>
          <w:b/>
          <w:i/>
          <w:sz w:val="18"/>
          <w:szCs w:val="18"/>
        </w:rPr>
      </w:pPr>
      <w:r w:rsidRPr="00D651E6">
        <w:rPr>
          <w:rFonts w:ascii="Arial" w:hAnsi="Arial" w:cs="Arial"/>
          <w:b/>
          <w:i/>
          <w:sz w:val="18"/>
          <w:szCs w:val="18"/>
        </w:rPr>
        <w:t>Graf 1</w:t>
      </w:r>
      <w:r>
        <w:rPr>
          <w:rFonts w:ascii="Arial" w:hAnsi="Arial" w:cs="Arial"/>
          <w:b/>
          <w:i/>
          <w:sz w:val="18"/>
          <w:szCs w:val="18"/>
        </w:rPr>
        <w:t xml:space="preserve"> -</w:t>
      </w:r>
      <w:r w:rsidRPr="00D651E6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Obrat z</w:t>
      </w:r>
      <w:r w:rsidRPr="00D651E6">
        <w:rPr>
          <w:rFonts w:ascii="Arial" w:hAnsi="Arial" w:cs="Arial"/>
          <w:b/>
          <w:i/>
          <w:sz w:val="18"/>
          <w:szCs w:val="18"/>
        </w:rPr>
        <w:t>ahraničn</w:t>
      </w:r>
      <w:r>
        <w:rPr>
          <w:rFonts w:ascii="Arial" w:hAnsi="Arial" w:cs="Arial"/>
          <w:b/>
          <w:i/>
          <w:sz w:val="18"/>
          <w:szCs w:val="18"/>
        </w:rPr>
        <w:t>ího</w:t>
      </w:r>
      <w:r w:rsidRPr="00D651E6">
        <w:rPr>
          <w:rFonts w:ascii="Arial" w:hAnsi="Arial" w:cs="Arial"/>
          <w:b/>
          <w:i/>
          <w:sz w:val="18"/>
          <w:szCs w:val="18"/>
        </w:rPr>
        <w:t xml:space="preserve"> obchod</w:t>
      </w:r>
      <w:r>
        <w:rPr>
          <w:rFonts w:ascii="Arial" w:hAnsi="Arial" w:cs="Arial"/>
          <w:b/>
          <w:i/>
          <w:sz w:val="18"/>
          <w:szCs w:val="18"/>
        </w:rPr>
        <w:t>u</w:t>
      </w:r>
      <w:r w:rsidRPr="00D651E6">
        <w:rPr>
          <w:rFonts w:ascii="Arial" w:hAnsi="Arial" w:cs="Arial"/>
          <w:b/>
          <w:i/>
          <w:sz w:val="18"/>
          <w:szCs w:val="18"/>
        </w:rPr>
        <w:t xml:space="preserve"> v letech 2000 až 201</w:t>
      </w:r>
      <w:r>
        <w:rPr>
          <w:rFonts w:ascii="Arial" w:hAnsi="Arial" w:cs="Arial"/>
          <w:b/>
          <w:i/>
          <w:sz w:val="18"/>
          <w:szCs w:val="18"/>
        </w:rPr>
        <w:t>3</w:t>
      </w:r>
    </w:p>
    <w:p w:rsidR="008856D9" w:rsidRPr="007C5401" w:rsidRDefault="00F8628E" w:rsidP="008856D9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  <w:r w:rsidRPr="00F8628E">
        <w:rPr>
          <w:rFonts w:ascii="Arial" w:hAnsi="Arial" w:cs="Arial"/>
          <w:b/>
          <w:i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75pt;height:169.8pt">
            <v:imagedata r:id="rId8" o:title=""/>
          </v:shape>
        </w:pict>
      </w:r>
    </w:p>
    <w:p w:rsidR="008856D9" w:rsidRPr="00664E56" w:rsidRDefault="008856D9" w:rsidP="00801044">
      <w:pPr>
        <w:spacing w:before="20" w:after="120"/>
        <w:jc w:val="both"/>
        <w:rPr>
          <w:rFonts w:ascii="Arial" w:hAnsi="Arial" w:cs="Arial"/>
          <w:sz w:val="18"/>
          <w:szCs w:val="18"/>
        </w:rPr>
      </w:pPr>
      <w:r w:rsidRPr="000C63B5">
        <w:rPr>
          <w:rFonts w:ascii="Arial" w:hAnsi="Arial" w:cs="Arial"/>
          <w:b/>
          <w:sz w:val="18"/>
          <w:szCs w:val="18"/>
        </w:rPr>
        <w:t>Přebytek</w:t>
      </w:r>
      <w:r w:rsidRPr="00664E56">
        <w:rPr>
          <w:rFonts w:ascii="Arial" w:hAnsi="Arial" w:cs="Arial"/>
          <w:sz w:val="18"/>
          <w:szCs w:val="18"/>
        </w:rPr>
        <w:t xml:space="preserve"> zahraničního obchodu (</w:t>
      </w:r>
      <w:r w:rsidR="00056F66" w:rsidRPr="00056F66">
        <w:rPr>
          <w:rFonts w:ascii="Arial" w:hAnsi="Arial" w:cs="Arial"/>
          <w:sz w:val="18"/>
          <w:szCs w:val="18"/>
        </w:rPr>
        <w:t>351,2</w:t>
      </w:r>
      <w:r w:rsidRPr="00056F66">
        <w:rPr>
          <w:rFonts w:ascii="Arial" w:hAnsi="Arial" w:cs="Arial"/>
          <w:sz w:val="18"/>
          <w:szCs w:val="18"/>
        </w:rPr>
        <w:t xml:space="preserve"> mld. Kč) byl nejvyšší od roku 2005, kdy zahraniční obchod České republiky poprvé od jejího vzniku zaznamenal</w:t>
      </w:r>
      <w:r w:rsidRPr="00664E56">
        <w:rPr>
          <w:rFonts w:ascii="Arial" w:hAnsi="Arial" w:cs="Arial"/>
          <w:sz w:val="18"/>
          <w:szCs w:val="18"/>
        </w:rPr>
        <w:t xml:space="preserve"> kladnou bilanci,</w:t>
      </w:r>
      <w:r>
        <w:rPr>
          <w:rFonts w:ascii="Arial" w:hAnsi="Arial" w:cs="Arial"/>
          <w:sz w:val="18"/>
          <w:szCs w:val="18"/>
        </w:rPr>
        <w:t xml:space="preserve"> </w:t>
      </w:r>
      <w:r w:rsidRPr="00664E56">
        <w:rPr>
          <w:rFonts w:ascii="Arial" w:hAnsi="Arial" w:cs="Arial"/>
          <w:sz w:val="18"/>
          <w:szCs w:val="18"/>
        </w:rPr>
        <w:t xml:space="preserve">která byla charakteristická </w:t>
      </w:r>
      <w:r>
        <w:rPr>
          <w:rFonts w:ascii="Arial" w:hAnsi="Arial" w:cs="Arial"/>
          <w:sz w:val="18"/>
          <w:szCs w:val="18"/>
        </w:rPr>
        <w:t>pro všechny následující rok</w:t>
      </w:r>
      <w:r w:rsidR="00A30FF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. V </w:t>
      </w:r>
      <w:r w:rsidRPr="00664E56">
        <w:rPr>
          <w:rFonts w:ascii="Arial" w:hAnsi="Arial" w:cs="Arial"/>
          <w:sz w:val="18"/>
          <w:szCs w:val="18"/>
        </w:rPr>
        <w:t xml:space="preserve">porovnání s rokem 2005 bylo kladné saldo zahraničního obchodu v roce 2013 </w:t>
      </w:r>
      <w:r w:rsidRPr="00376EC3">
        <w:rPr>
          <w:rFonts w:ascii="Arial" w:hAnsi="Arial" w:cs="Arial"/>
          <w:sz w:val="18"/>
          <w:szCs w:val="18"/>
        </w:rPr>
        <w:t>více jak 9krát</w:t>
      </w:r>
      <w:r w:rsidRPr="00664E56">
        <w:rPr>
          <w:rFonts w:ascii="Arial" w:hAnsi="Arial" w:cs="Arial"/>
          <w:sz w:val="18"/>
          <w:szCs w:val="18"/>
        </w:rPr>
        <w:t xml:space="preserve"> vyšší.</w:t>
      </w:r>
    </w:p>
    <w:p w:rsidR="008856D9" w:rsidRDefault="008856D9" w:rsidP="008856D9">
      <w:pPr>
        <w:spacing w:after="80"/>
        <w:jc w:val="both"/>
        <w:rPr>
          <w:rFonts w:ascii="Arial" w:hAnsi="Arial" w:cs="Arial"/>
          <w:b/>
          <w:i/>
          <w:sz w:val="18"/>
          <w:szCs w:val="18"/>
        </w:rPr>
      </w:pPr>
      <w:r w:rsidRPr="00D651E6">
        <w:rPr>
          <w:rFonts w:ascii="Arial" w:hAnsi="Arial" w:cs="Arial"/>
          <w:b/>
          <w:i/>
          <w:sz w:val="18"/>
          <w:szCs w:val="18"/>
        </w:rPr>
        <w:t>Graf 2 - Zahraniční obchod v letech 2000 až 201</w:t>
      </w:r>
      <w:r>
        <w:rPr>
          <w:rFonts w:ascii="Arial" w:hAnsi="Arial" w:cs="Arial"/>
          <w:b/>
          <w:i/>
          <w:sz w:val="18"/>
          <w:szCs w:val="18"/>
        </w:rPr>
        <w:t>3</w:t>
      </w:r>
    </w:p>
    <w:p w:rsidR="008856D9" w:rsidRPr="008856D9" w:rsidRDefault="00F8628E" w:rsidP="00AE6C88">
      <w:pPr>
        <w:spacing w:after="120"/>
        <w:jc w:val="both"/>
        <w:rPr>
          <w:rFonts w:ascii="Arial" w:hAnsi="Arial" w:cs="Arial"/>
          <w:color w:val="FF0000"/>
          <w:sz w:val="2"/>
          <w:szCs w:val="2"/>
        </w:rPr>
      </w:pPr>
      <w:r w:rsidRPr="00F8628E">
        <w:rPr>
          <w:rFonts w:ascii="Arial" w:hAnsi="Arial" w:cs="Arial"/>
          <w:color w:val="FF0000"/>
          <w:sz w:val="2"/>
          <w:szCs w:val="2"/>
        </w:rPr>
        <w:pict>
          <v:shape id="_x0000_i1026" type="#_x0000_t75" style="width:491.75pt;height:169.8pt">
            <v:imagedata r:id="rId9" o:title=""/>
          </v:shape>
        </w:pict>
      </w:r>
    </w:p>
    <w:p w:rsidR="008856D9" w:rsidRDefault="008856D9" w:rsidP="008D11F0">
      <w:pPr>
        <w:spacing w:before="40" w:after="80"/>
        <w:jc w:val="both"/>
        <w:rPr>
          <w:rFonts w:ascii="Arial" w:hAnsi="Arial" w:cs="Arial"/>
          <w:b/>
          <w:i/>
          <w:sz w:val="18"/>
          <w:szCs w:val="18"/>
        </w:rPr>
      </w:pPr>
      <w:r w:rsidRPr="00D651E6">
        <w:rPr>
          <w:rFonts w:ascii="Arial" w:hAnsi="Arial" w:cs="Arial"/>
          <w:b/>
          <w:i/>
          <w:sz w:val="18"/>
          <w:szCs w:val="18"/>
        </w:rPr>
        <w:t xml:space="preserve">Graf </w:t>
      </w:r>
      <w:r>
        <w:rPr>
          <w:rFonts w:ascii="Arial" w:hAnsi="Arial" w:cs="Arial"/>
          <w:b/>
          <w:i/>
          <w:sz w:val="18"/>
          <w:szCs w:val="18"/>
        </w:rPr>
        <w:t>3</w:t>
      </w:r>
      <w:r w:rsidRPr="00D651E6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-</w:t>
      </w:r>
      <w:r w:rsidRPr="00D651E6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Meziroční změny vývozu a dovozu v %</w:t>
      </w:r>
      <w:r w:rsidRPr="00D651E6">
        <w:rPr>
          <w:rFonts w:ascii="Arial" w:hAnsi="Arial" w:cs="Arial"/>
          <w:b/>
          <w:i/>
          <w:sz w:val="18"/>
          <w:szCs w:val="18"/>
        </w:rPr>
        <w:t xml:space="preserve"> v letech 2000 až 201</w:t>
      </w:r>
      <w:r>
        <w:rPr>
          <w:rFonts w:ascii="Arial" w:hAnsi="Arial" w:cs="Arial"/>
          <w:b/>
          <w:i/>
          <w:sz w:val="18"/>
          <w:szCs w:val="18"/>
        </w:rPr>
        <w:t>3</w:t>
      </w:r>
    </w:p>
    <w:p w:rsidR="008856D9" w:rsidRPr="007C5401" w:rsidRDefault="00837A19" w:rsidP="008856D9">
      <w:pPr>
        <w:spacing w:after="0"/>
        <w:jc w:val="both"/>
        <w:rPr>
          <w:rFonts w:ascii="Arial" w:hAnsi="Arial" w:cs="Arial"/>
          <w:b/>
          <w:i/>
          <w:sz w:val="2"/>
          <w:szCs w:val="2"/>
        </w:rPr>
      </w:pPr>
      <w:r w:rsidRPr="00F8628E">
        <w:rPr>
          <w:rFonts w:ascii="Arial" w:hAnsi="Arial" w:cs="Arial"/>
          <w:b/>
          <w:i/>
          <w:sz w:val="18"/>
          <w:szCs w:val="18"/>
        </w:rPr>
        <w:pict>
          <v:shape id="_x0000_i1027" type="#_x0000_t75" style="width:491.75pt;height:158.95pt">
            <v:imagedata r:id="rId10" o:title=""/>
          </v:shape>
        </w:pict>
      </w:r>
    </w:p>
    <w:p w:rsidR="008856D9" w:rsidRDefault="008856D9" w:rsidP="008856D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2015E3">
        <w:rPr>
          <w:rFonts w:ascii="Arial" w:hAnsi="Arial" w:cs="Arial"/>
          <w:b/>
          <w:sz w:val="18"/>
          <w:szCs w:val="18"/>
        </w:rPr>
        <w:lastRenderedPageBreak/>
        <w:t>Vývoz</w:t>
      </w:r>
      <w:r w:rsidRPr="002015E3">
        <w:rPr>
          <w:rFonts w:ascii="Arial" w:hAnsi="Arial" w:cs="Arial"/>
          <w:sz w:val="18"/>
          <w:szCs w:val="18"/>
        </w:rPr>
        <w:t xml:space="preserve"> meziročně vzrostl </w:t>
      </w:r>
      <w:r w:rsidRPr="006B35D2">
        <w:rPr>
          <w:rFonts w:ascii="Arial" w:hAnsi="Arial" w:cs="Arial"/>
          <w:sz w:val="18"/>
          <w:szCs w:val="18"/>
        </w:rPr>
        <w:t>o 3,</w:t>
      </w:r>
      <w:r w:rsidR="006B35D2">
        <w:rPr>
          <w:rFonts w:ascii="Arial" w:hAnsi="Arial" w:cs="Arial"/>
          <w:sz w:val="18"/>
          <w:szCs w:val="18"/>
        </w:rPr>
        <w:t>3</w:t>
      </w:r>
      <w:r w:rsidRPr="002015E3">
        <w:rPr>
          <w:rFonts w:ascii="Arial" w:hAnsi="Arial" w:cs="Arial"/>
          <w:sz w:val="18"/>
          <w:szCs w:val="18"/>
        </w:rPr>
        <w:t xml:space="preserve"> % a </w:t>
      </w:r>
      <w:r w:rsidRPr="006B35D2">
        <w:rPr>
          <w:rFonts w:ascii="Arial" w:hAnsi="Arial" w:cs="Arial"/>
          <w:sz w:val="18"/>
          <w:szCs w:val="18"/>
        </w:rPr>
        <w:t xml:space="preserve">dosáhl 3 </w:t>
      </w:r>
      <w:r w:rsidR="006B35D2" w:rsidRPr="006B35D2">
        <w:rPr>
          <w:rFonts w:ascii="Arial" w:hAnsi="Arial" w:cs="Arial"/>
          <w:sz w:val="18"/>
          <w:szCs w:val="18"/>
        </w:rPr>
        <w:t>174</w:t>
      </w:r>
      <w:r w:rsidRPr="006B35D2">
        <w:rPr>
          <w:rFonts w:ascii="Arial" w:hAnsi="Arial" w:cs="Arial"/>
          <w:sz w:val="18"/>
          <w:szCs w:val="18"/>
        </w:rPr>
        <w:t>,</w:t>
      </w:r>
      <w:r w:rsidR="006B35D2" w:rsidRPr="006B35D2">
        <w:rPr>
          <w:rFonts w:ascii="Arial" w:hAnsi="Arial" w:cs="Arial"/>
          <w:sz w:val="18"/>
          <w:szCs w:val="18"/>
        </w:rPr>
        <w:t>7</w:t>
      </w:r>
      <w:r w:rsidRPr="002015E3">
        <w:rPr>
          <w:rFonts w:ascii="Arial" w:hAnsi="Arial" w:cs="Arial"/>
          <w:sz w:val="18"/>
          <w:szCs w:val="18"/>
        </w:rPr>
        <w:t xml:space="preserve"> mld. Kč. Docílený meziroční přírůstek </w:t>
      </w:r>
      <w:r w:rsidRPr="00A37D04">
        <w:rPr>
          <w:rFonts w:ascii="Arial" w:hAnsi="Arial" w:cs="Arial"/>
          <w:sz w:val="18"/>
          <w:szCs w:val="18"/>
        </w:rPr>
        <w:t>vývozu (</w:t>
      </w:r>
      <w:r w:rsidR="00A37D04" w:rsidRPr="00A37D04">
        <w:rPr>
          <w:rFonts w:ascii="Arial" w:hAnsi="Arial" w:cs="Arial"/>
          <w:sz w:val="18"/>
          <w:szCs w:val="18"/>
        </w:rPr>
        <w:t>102,1</w:t>
      </w:r>
      <w:r w:rsidRPr="002015E3">
        <w:rPr>
          <w:rFonts w:ascii="Arial" w:hAnsi="Arial" w:cs="Arial"/>
          <w:sz w:val="18"/>
          <w:szCs w:val="18"/>
        </w:rPr>
        <w:t xml:space="preserve"> mld. Kč) byl v porovnání s navýšením vývozu v roce 201</w:t>
      </w:r>
      <w:r>
        <w:rPr>
          <w:rFonts w:ascii="Arial" w:hAnsi="Arial" w:cs="Arial"/>
          <w:sz w:val="18"/>
          <w:szCs w:val="18"/>
        </w:rPr>
        <w:t>3</w:t>
      </w:r>
      <w:r w:rsidRPr="002015E3">
        <w:rPr>
          <w:rFonts w:ascii="Arial" w:hAnsi="Arial" w:cs="Arial"/>
          <w:sz w:val="18"/>
          <w:szCs w:val="18"/>
        </w:rPr>
        <w:t xml:space="preserve"> proti roku 201</w:t>
      </w:r>
      <w:r>
        <w:rPr>
          <w:rFonts w:ascii="Arial" w:hAnsi="Arial" w:cs="Arial"/>
          <w:sz w:val="18"/>
          <w:szCs w:val="18"/>
        </w:rPr>
        <w:t>2</w:t>
      </w:r>
      <w:r w:rsidRPr="002015E3">
        <w:rPr>
          <w:rFonts w:ascii="Arial" w:hAnsi="Arial" w:cs="Arial"/>
          <w:sz w:val="18"/>
          <w:szCs w:val="18"/>
        </w:rPr>
        <w:t xml:space="preserve"> o </w:t>
      </w:r>
      <w:r w:rsidR="002C4329" w:rsidRPr="002C4329">
        <w:rPr>
          <w:rFonts w:ascii="Arial" w:hAnsi="Arial" w:cs="Arial"/>
          <w:sz w:val="18"/>
          <w:szCs w:val="18"/>
        </w:rPr>
        <w:t>91,8</w:t>
      </w:r>
      <w:r w:rsidRPr="002C4329">
        <w:rPr>
          <w:rFonts w:ascii="Arial" w:hAnsi="Arial" w:cs="Arial"/>
          <w:sz w:val="18"/>
          <w:szCs w:val="18"/>
        </w:rPr>
        <w:t xml:space="preserve"> mld. Kč nižší.</w:t>
      </w:r>
      <w:r w:rsidRPr="002015E3">
        <w:rPr>
          <w:rFonts w:ascii="Arial" w:hAnsi="Arial" w:cs="Arial"/>
          <w:sz w:val="18"/>
          <w:szCs w:val="18"/>
        </w:rPr>
        <w:t xml:space="preserve"> V roce 201</w:t>
      </w:r>
      <w:r>
        <w:rPr>
          <w:rFonts w:ascii="Arial" w:hAnsi="Arial" w:cs="Arial"/>
          <w:sz w:val="18"/>
          <w:szCs w:val="18"/>
        </w:rPr>
        <w:t>3</w:t>
      </w:r>
      <w:r w:rsidRPr="002015E3">
        <w:rPr>
          <w:rFonts w:ascii="Arial" w:hAnsi="Arial" w:cs="Arial"/>
          <w:sz w:val="18"/>
          <w:szCs w:val="18"/>
        </w:rPr>
        <w:t xml:space="preserve"> se proti roku 2000 vývoz zvýšil </w:t>
      </w:r>
      <w:r w:rsidRPr="006104FF">
        <w:rPr>
          <w:rFonts w:ascii="Arial" w:hAnsi="Arial" w:cs="Arial"/>
          <w:sz w:val="18"/>
          <w:szCs w:val="18"/>
        </w:rPr>
        <w:t xml:space="preserve">o </w:t>
      </w:r>
      <w:r w:rsidR="006104FF" w:rsidRPr="006104FF">
        <w:rPr>
          <w:rFonts w:ascii="Arial" w:hAnsi="Arial" w:cs="Arial"/>
          <w:sz w:val="18"/>
          <w:szCs w:val="18"/>
        </w:rPr>
        <w:t>183,2</w:t>
      </w:r>
      <w:r w:rsidRPr="002015E3">
        <w:rPr>
          <w:rFonts w:ascii="Arial" w:hAnsi="Arial" w:cs="Arial"/>
          <w:sz w:val="18"/>
          <w:szCs w:val="18"/>
        </w:rPr>
        <w:t xml:space="preserve"> % </w:t>
      </w:r>
      <w:r w:rsidRPr="006104FF">
        <w:rPr>
          <w:rFonts w:ascii="Arial" w:hAnsi="Arial" w:cs="Arial"/>
          <w:sz w:val="18"/>
          <w:szCs w:val="18"/>
        </w:rPr>
        <w:t>(</w:t>
      </w:r>
      <w:r w:rsidR="006104FF" w:rsidRPr="006104FF">
        <w:rPr>
          <w:rFonts w:ascii="Arial" w:hAnsi="Arial" w:cs="Arial"/>
          <w:sz w:val="18"/>
          <w:szCs w:val="18"/>
        </w:rPr>
        <w:t>2 053,6</w:t>
      </w:r>
      <w:r w:rsidRPr="002015E3">
        <w:rPr>
          <w:rFonts w:ascii="Arial" w:hAnsi="Arial" w:cs="Arial"/>
          <w:sz w:val="18"/>
          <w:szCs w:val="18"/>
        </w:rPr>
        <w:t xml:space="preserve"> mld. Kč) a ve srovnání s rokem 2004, kdy se Česká republika stala členem </w:t>
      </w:r>
      <w:r>
        <w:rPr>
          <w:rFonts w:ascii="Arial" w:hAnsi="Arial" w:cs="Arial"/>
          <w:sz w:val="18"/>
          <w:szCs w:val="18"/>
        </w:rPr>
        <w:t>Evropské unie</w:t>
      </w:r>
      <w:r w:rsidRPr="002015E3">
        <w:rPr>
          <w:rFonts w:ascii="Arial" w:hAnsi="Arial" w:cs="Arial"/>
          <w:sz w:val="18"/>
          <w:szCs w:val="18"/>
        </w:rPr>
        <w:t xml:space="preserve">, se navýšil </w:t>
      </w:r>
      <w:r w:rsidRPr="006104FF">
        <w:rPr>
          <w:rFonts w:ascii="Arial" w:hAnsi="Arial" w:cs="Arial"/>
          <w:sz w:val="18"/>
          <w:szCs w:val="18"/>
        </w:rPr>
        <w:t xml:space="preserve">o </w:t>
      </w:r>
      <w:r w:rsidR="006104FF" w:rsidRPr="006104FF">
        <w:rPr>
          <w:rFonts w:ascii="Arial" w:hAnsi="Arial" w:cs="Arial"/>
          <w:sz w:val="18"/>
          <w:szCs w:val="18"/>
        </w:rPr>
        <w:t>84,3</w:t>
      </w:r>
      <w:r w:rsidRPr="002015E3">
        <w:rPr>
          <w:rFonts w:ascii="Arial" w:hAnsi="Arial" w:cs="Arial"/>
          <w:sz w:val="18"/>
          <w:szCs w:val="18"/>
        </w:rPr>
        <w:t xml:space="preserve"> % (</w:t>
      </w:r>
      <w:r w:rsidRPr="006104FF">
        <w:rPr>
          <w:rFonts w:ascii="Arial" w:hAnsi="Arial" w:cs="Arial"/>
          <w:sz w:val="18"/>
          <w:szCs w:val="18"/>
        </w:rPr>
        <w:t>1 </w:t>
      </w:r>
      <w:r w:rsidR="006104FF" w:rsidRPr="006104FF">
        <w:rPr>
          <w:rFonts w:ascii="Arial" w:hAnsi="Arial" w:cs="Arial"/>
          <w:sz w:val="18"/>
          <w:szCs w:val="18"/>
        </w:rPr>
        <w:t>452,0</w:t>
      </w:r>
      <w:r w:rsidRPr="006104FF">
        <w:rPr>
          <w:rFonts w:ascii="Arial" w:hAnsi="Arial" w:cs="Arial"/>
          <w:sz w:val="18"/>
          <w:szCs w:val="18"/>
        </w:rPr>
        <w:t xml:space="preserve"> mld</w:t>
      </w:r>
      <w:r w:rsidRPr="002015E3">
        <w:rPr>
          <w:rFonts w:ascii="Arial" w:hAnsi="Arial" w:cs="Arial"/>
          <w:sz w:val="18"/>
          <w:szCs w:val="18"/>
        </w:rPr>
        <w:t xml:space="preserve">. Kč). </w:t>
      </w:r>
      <w:r>
        <w:rPr>
          <w:rFonts w:ascii="Arial" w:hAnsi="Arial" w:cs="Arial"/>
          <w:sz w:val="18"/>
          <w:szCs w:val="18"/>
        </w:rPr>
        <w:t xml:space="preserve">Za vývojem vývozu v roce 2013 se však skrývá odlišná dynamika v jednotlivých čtvrtletích. Meziroční pokles vývozu o </w:t>
      </w:r>
      <w:r w:rsidRPr="002C4329">
        <w:rPr>
          <w:rFonts w:ascii="Arial" w:hAnsi="Arial" w:cs="Arial"/>
          <w:sz w:val="18"/>
          <w:szCs w:val="18"/>
        </w:rPr>
        <w:t>4,4</w:t>
      </w:r>
      <w:r>
        <w:rPr>
          <w:rFonts w:ascii="Arial" w:hAnsi="Arial" w:cs="Arial"/>
          <w:sz w:val="18"/>
          <w:szCs w:val="18"/>
        </w:rPr>
        <w:t xml:space="preserve"> % v 1. čtvrtletí byl v následujících třech čtvrtletích vystřídán meziročními přírůstky (od </w:t>
      </w:r>
      <w:r w:rsidRPr="00E9340C">
        <w:rPr>
          <w:rFonts w:ascii="Arial" w:hAnsi="Arial" w:cs="Arial"/>
          <w:sz w:val="18"/>
          <w:szCs w:val="18"/>
        </w:rPr>
        <w:t>1,9</w:t>
      </w:r>
      <w:r>
        <w:rPr>
          <w:rFonts w:ascii="Arial" w:hAnsi="Arial" w:cs="Arial"/>
          <w:sz w:val="18"/>
          <w:szCs w:val="18"/>
        </w:rPr>
        <w:t xml:space="preserve"> % v 2. čtvrtletí přes </w:t>
      </w:r>
      <w:r w:rsidR="00E9340C" w:rsidRPr="00E9340C">
        <w:rPr>
          <w:rFonts w:ascii="Arial" w:hAnsi="Arial" w:cs="Arial"/>
          <w:sz w:val="18"/>
          <w:szCs w:val="18"/>
        </w:rPr>
        <w:t>5,7</w:t>
      </w:r>
      <w:r>
        <w:rPr>
          <w:rFonts w:ascii="Arial" w:hAnsi="Arial" w:cs="Arial"/>
          <w:sz w:val="18"/>
          <w:szCs w:val="18"/>
        </w:rPr>
        <w:t xml:space="preserve"> % v </w:t>
      </w:r>
      <w:r w:rsidR="009932A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. čtvrtletí </w:t>
      </w:r>
      <w:r w:rsidRPr="00E9340C">
        <w:rPr>
          <w:rFonts w:ascii="Arial" w:hAnsi="Arial" w:cs="Arial"/>
          <w:sz w:val="18"/>
          <w:szCs w:val="18"/>
        </w:rPr>
        <w:t xml:space="preserve">na </w:t>
      </w:r>
      <w:r w:rsidR="00E9340C" w:rsidRPr="00E9340C">
        <w:rPr>
          <w:rFonts w:ascii="Arial" w:hAnsi="Arial" w:cs="Arial"/>
          <w:sz w:val="18"/>
          <w:szCs w:val="18"/>
        </w:rPr>
        <w:t>10,3</w:t>
      </w:r>
      <w:r w:rsidRPr="00E9340C">
        <w:rPr>
          <w:rFonts w:ascii="Arial" w:hAnsi="Arial" w:cs="Arial"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ve 4. čtvrtletí). </w:t>
      </w:r>
    </w:p>
    <w:p w:rsidR="002C680E" w:rsidRDefault="002C680E" w:rsidP="008856D9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Nejnižší měsíční vývoz roku 2013 by</w:t>
      </w:r>
      <w:r w:rsidR="009932A8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zaznamenán v </w:t>
      </w:r>
      <w:r w:rsidR="009B73CE" w:rsidRPr="006B35D2">
        <w:rPr>
          <w:rFonts w:ascii="Arial" w:hAnsi="Arial" w:cs="Arial"/>
          <w:sz w:val="18"/>
          <w:szCs w:val="18"/>
        </w:rPr>
        <w:t>únoru</w:t>
      </w:r>
      <w:r w:rsidRPr="006B35D2">
        <w:rPr>
          <w:rFonts w:ascii="Arial" w:hAnsi="Arial" w:cs="Arial"/>
          <w:sz w:val="18"/>
          <w:szCs w:val="18"/>
        </w:rPr>
        <w:t xml:space="preserve"> (</w:t>
      </w:r>
      <w:r w:rsidR="009B73CE" w:rsidRPr="006B35D2">
        <w:rPr>
          <w:rFonts w:ascii="Arial" w:hAnsi="Arial" w:cs="Arial"/>
          <w:sz w:val="18"/>
          <w:szCs w:val="18"/>
        </w:rPr>
        <w:t>243,8</w:t>
      </w:r>
      <w:r w:rsidRPr="006B35D2">
        <w:rPr>
          <w:rFonts w:ascii="Arial" w:hAnsi="Arial" w:cs="Arial"/>
          <w:sz w:val="18"/>
          <w:szCs w:val="18"/>
        </w:rPr>
        <w:t xml:space="preserve"> mld.</w:t>
      </w:r>
      <w:r>
        <w:rPr>
          <w:rFonts w:ascii="Arial" w:hAnsi="Arial" w:cs="Arial"/>
          <w:sz w:val="18"/>
          <w:szCs w:val="18"/>
        </w:rPr>
        <w:t xml:space="preserve"> Kč). Na druhé straně nejvyšší hodnotová úroveň vývozu byla </w:t>
      </w:r>
      <w:r w:rsidR="005534AD" w:rsidRPr="006B35D2">
        <w:rPr>
          <w:rFonts w:ascii="Arial" w:hAnsi="Arial" w:cs="Arial"/>
          <w:sz w:val="18"/>
          <w:szCs w:val="18"/>
        </w:rPr>
        <w:t xml:space="preserve">dosažena v </w:t>
      </w:r>
      <w:r w:rsidR="009B73CE" w:rsidRPr="006B35D2">
        <w:rPr>
          <w:rFonts w:ascii="Arial" w:hAnsi="Arial" w:cs="Arial"/>
          <w:sz w:val="18"/>
          <w:szCs w:val="18"/>
        </w:rPr>
        <w:t>listopadu</w:t>
      </w:r>
      <w:r w:rsidR="005534AD" w:rsidRPr="006B35D2">
        <w:rPr>
          <w:rFonts w:ascii="Arial" w:hAnsi="Arial" w:cs="Arial"/>
          <w:sz w:val="18"/>
          <w:szCs w:val="18"/>
        </w:rPr>
        <w:t xml:space="preserve"> (</w:t>
      </w:r>
      <w:r w:rsidR="006B35D2" w:rsidRPr="006B35D2">
        <w:rPr>
          <w:rFonts w:ascii="Arial" w:hAnsi="Arial" w:cs="Arial"/>
          <w:sz w:val="18"/>
          <w:szCs w:val="18"/>
        </w:rPr>
        <w:t>301,3</w:t>
      </w:r>
      <w:r w:rsidR="005534AD" w:rsidRPr="006B35D2">
        <w:rPr>
          <w:rFonts w:ascii="Arial" w:hAnsi="Arial" w:cs="Arial"/>
          <w:sz w:val="18"/>
          <w:szCs w:val="18"/>
        </w:rPr>
        <w:t xml:space="preserve"> mld.</w:t>
      </w:r>
      <w:r w:rsidR="005534AD">
        <w:rPr>
          <w:rFonts w:ascii="Arial" w:hAnsi="Arial" w:cs="Arial"/>
          <w:sz w:val="18"/>
          <w:szCs w:val="18"/>
        </w:rPr>
        <w:t xml:space="preserve"> Kč).</w:t>
      </w:r>
    </w:p>
    <w:p w:rsidR="008856D9" w:rsidRPr="00A27962" w:rsidRDefault="008856D9" w:rsidP="008856D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A27962">
        <w:rPr>
          <w:rFonts w:ascii="Arial" w:hAnsi="Arial" w:cs="Arial"/>
          <w:sz w:val="18"/>
          <w:szCs w:val="18"/>
        </w:rPr>
        <w:t>Vývoz</w:t>
      </w:r>
      <w:r w:rsidRPr="00A27962">
        <w:rPr>
          <w:rStyle w:val="Znakapoznpodarou"/>
          <w:rFonts w:ascii="Arial" w:hAnsi="Arial" w:cs="Arial"/>
          <w:sz w:val="18"/>
          <w:szCs w:val="18"/>
        </w:rPr>
        <w:footnoteReference w:id="2"/>
      </w:r>
      <w:r w:rsidRPr="00A27962">
        <w:rPr>
          <w:rFonts w:ascii="Arial" w:hAnsi="Arial" w:cs="Arial"/>
          <w:sz w:val="18"/>
          <w:szCs w:val="18"/>
        </w:rPr>
        <w:t xml:space="preserve"> vyjádřený v EUR zaznamenal v roce 2013 </w:t>
      </w:r>
      <w:r w:rsidR="00632497">
        <w:rPr>
          <w:rFonts w:ascii="Arial" w:hAnsi="Arial" w:cs="Arial"/>
          <w:sz w:val="18"/>
          <w:szCs w:val="18"/>
        </w:rPr>
        <w:t>nepatrn</w:t>
      </w:r>
      <w:r w:rsidR="006B7E34">
        <w:rPr>
          <w:rFonts w:ascii="Arial" w:hAnsi="Arial" w:cs="Arial"/>
          <w:sz w:val="18"/>
          <w:szCs w:val="18"/>
        </w:rPr>
        <w:t>ý pokles</w:t>
      </w:r>
      <w:r w:rsidRPr="00A27962">
        <w:rPr>
          <w:rFonts w:ascii="Arial" w:hAnsi="Arial" w:cs="Arial"/>
          <w:sz w:val="18"/>
          <w:szCs w:val="18"/>
        </w:rPr>
        <w:t xml:space="preserve"> </w:t>
      </w:r>
      <w:r w:rsidR="006B7E34">
        <w:rPr>
          <w:rFonts w:ascii="Arial" w:hAnsi="Arial" w:cs="Arial"/>
          <w:sz w:val="18"/>
          <w:szCs w:val="18"/>
        </w:rPr>
        <w:t xml:space="preserve">proti roku 2012 </w:t>
      </w:r>
      <w:r w:rsidRPr="00A27962">
        <w:rPr>
          <w:rFonts w:ascii="Arial" w:hAnsi="Arial" w:cs="Arial"/>
          <w:sz w:val="18"/>
          <w:szCs w:val="18"/>
        </w:rPr>
        <w:t xml:space="preserve">a v USD meziroční </w:t>
      </w:r>
      <w:r w:rsidR="006B7E34">
        <w:rPr>
          <w:rFonts w:ascii="Arial" w:hAnsi="Arial" w:cs="Arial"/>
          <w:sz w:val="18"/>
          <w:szCs w:val="18"/>
        </w:rPr>
        <w:t>růst</w:t>
      </w:r>
      <w:r w:rsidRPr="00A27962">
        <w:rPr>
          <w:rFonts w:ascii="Arial" w:hAnsi="Arial" w:cs="Arial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> </w:t>
      </w:r>
      <w:r w:rsidR="006B7E34" w:rsidRPr="006B7E34">
        <w:rPr>
          <w:rFonts w:ascii="Arial" w:hAnsi="Arial" w:cs="Arial"/>
          <w:sz w:val="18"/>
          <w:szCs w:val="18"/>
        </w:rPr>
        <w:t>3,3</w:t>
      </w:r>
      <w:r w:rsidRPr="00A27962">
        <w:rPr>
          <w:rFonts w:ascii="Arial" w:hAnsi="Arial" w:cs="Arial"/>
          <w:sz w:val="18"/>
          <w:szCs w:val="18"/>
        </w:rPr>
        <w:t xml:space="preserve"> %.</w:t>
      </w:r>
    </w:p>
    <w:p w:rsidR="008856D9" w:rsidRPr="007C5401" w:rsidRDefault="008856D9" w:rsidP="00AE6C88">
      <w:pPr>
        <w:spacing w:after="80"/>
        <w:jc w:val="both"/>
        <w:rPr>
          <w:rFonts w:ascii="Arial" w:hAnsi="Arial" w:cs="Arial"/>
          <w:b/>
          <w:i/>
          <w:sz w:val="18"/>
          <w:szCs w:val="18"/>
        </w:rPr>
      </w:pPr>
      <w:r w:rsidRPr="007C5401">
        <w:rPr>
          <w:rFonts w:ascii="Arial" w:hAnsi="Arial" w:cs="Arial"/>
          <w:b/>
          <w:i/>
          <w:sz w:val="18"/>
          <w:szCs w:val="18"/>
        </w:rPr>
        <w:t xml:space="preserve">Graf </w:t>
      </w:r>
      <w:r>
        <w:rPr>
          <w:rFonts w:ascii="Arial" w:hAnsi="Arial" w:cs="Arial"/>
          <w:b/>
          <w:i/>
          <w:sz w:val="18"/>
          <w:szCs w:val="18"/>
        </w:rPr>
        <w:t>4</w:t>
      </w:r>
      <w:r w:rsidRPr="007C5401">
        <w:rPr>
          <w:rFonts w:ascii="Arial" w:hAnsi="Arial" w:cs="Arial"/>
          <w:b/>
          <w:i/>
          <w:sz w:val="18"/>
          <w:szCs w:val="18"/>
        </w:rPr>
        <w:t xml:space="preserve"> - Meziroční změny vývozu a dovozu v % v jednotlivých čtvrtletích roku 201</w:t>
      </w:r>
      <w:r>
        <w:rPr>
          <w:rFonts w:ascii="Arial" w:hAnsi="Arial" w:cs="Arial"/>
          <w:b/>
          <w:i/>
          <w:sz w:val="18"/>
          <w:szCs w:val="18"/>
        </w:rPr>
        <w:t>2</w:t>
      </w:r>
      <w:r w:rsidRPr="007C5401">
        <w:rPr>
          <w:rFonts w:ascii="Arial" w:hAnsi="Arial" w:cs="Arial"/>
          <w:b/>
          <w:i/>
          <w:sz w:val="18"/>
          <w:szCs w:val="18"/>
        </w:rPr>
        <w:t xml:space="preserve"> a 201</w:t>
      </w:r>
      <w:r>
        <w:rPr>
          <w:rFonts w:ascii="Arial" w:hAnsi="Arial" w:cs="Arial"/>
          <w:b/>
          <w:i/>
          <w:sz w:val="18"/>
          <w:szCs w:val="18"/>
        </w:rPr>
        <w:t>3</w:t>
      </w:r>
    </w:p>
    <w:p w:rsidR="008856D9" w:rsidRPr="007C5401" w:rsidRDefault="008856D9" w:rsidP="00AE6C88">
      <w:pPr>
        <w:spacing w:after="40"/>
        <w:jc w:val="both"/>
        <w:rPr>
          <w:rFonts w:ascii="Arial" w:hAnsi="Arial" w:cs="Arial"/>
          <w:i/>
          <w:sz w:val="18"/>
          <w:szCs w:val="18"/>
        </w:rPr>
      </w:pPr>
      <w:r w:rsidRPr="00D651E6">
        <w:rPr>
          <w:rFonts w:ascii="Arial" w:hAnsi="Arial" w:cs="Arial"/>
          <w:color w:val="FF0000"/>
          <w:sz w:val="18"/>
          <w:szCs w:val="18"/>
        </w:rPr>
        <w:tab/>
      </w:r>
      <w:r w:rsidRPr="00D651E6">
        <w:rPr>
          <w:rFonts w:ascii="Arial" w:hAnsi="Arial" w:cs="Arial"/>
          <w:color w:val="FF0000"/>
          <w:sz w:val="18"/>
          <w:szCs w:val="18"/>
        </w:rPr>
        <w:tab/>
      </w:r>
      <w:r w:rsidRPr="00D651E6">
        <w:rPr>
          <w:rFonts w:ascii="Arial" w:hAnsi="Arial" w:cs="Arial"/>
          <w:color w:val="FF0000"/>
          <w:sz w:val="18"/>
          <w:szCs w:val="18"/>
        </w:rPr>
        <w:tab/>
      </w:r>
      <w:r w:rsidRPr="007C5401">
        <w:rPr>
          <w:rFonts w:ascii="Arial" w:hAnsi="Arial" w:cs="Arial"/>
          <w:i/>
          <w:sz w:val="18"/>
          <w:szCs w:val="18"/>
        </w:rPr>
        <w:t xml:space="preserve"> vývoz</w:t>
      </w:r>
      <w:r w:rsidRPr="007C5401">
        <w:rPr>
          <w:rFonts w:ascii="Arial" w:hAnsi="Arial" w:cs="Arial"/>
          <w:i/>
          <w:sz w:val="18"/>
          <w:szCs w:val="18"/>
        </w:rPr>
        <w:tab/>
      </w:r>
      <w:r w:rsidRPr="007C5401">
        <w:rPr>
          <w:rFonts w:ascii="Arial" w:hAnsi="Arial" w:cs="Arial"/>
          <w:i/>
          <w:sz w:val="18"/>
          <w:szCs w:val="18"/>
        </w:rPr>
        <w:tab/>
      </w:r>
      <w:r w:rsidRPr="007C5401">
        <w:rPr>
          <w:rFonts w:ascii="Arial" w:hAnsi="Arial" w:cs="Arial"/>
          <w:i/>
          <w:sz w:val="18"/>
          <w:szCs w:val="18"/>
        </w:rPr>
        <w:tab/>
      </w:r>
      <w:r w:rsidRPr="007C5401">
        <w:rPr>
          <w:rFonts w:ascii="Arial" w:hAnsi="Arial" w:cs="Arial"/>
          <w:i/>
          <w:sz w:val="18"/>
          <w:szCs w:val="18"/>
        </w:rPr>
        <w:tab/>
      </w:r>
      <w:r w:rsidRPr="007C5401">
        <w:rPr>
          <w:rFonts w:ascii="Arial" w:hAnsi="Arial" w:cs="Arial"/>
          <w:i/>
          <w:sz w:val="18"/>
          <w:szCs w:val="18"/>
        </w:rPr>
        <w:tab/>
      </w:r>
      <w:r w:rsidRPr="007C5401">
        <w:rPr>
          <w:rFonts w:ascii="Arial" w:hAnsi="Arial" w:cs="Arial"/>
          <w:i/>
          <w:sz w:val="18"/>
          <w:szCs w:val="18"/>
        </w:rPr>
        <w:tab/>
      </w:r>
      <w:r w:rsidRPr="007C5401">
        <w:rPr>
          <w:rFonts w:ascii="Arial" w:hAnsi="Arial" w:cs="Arial"/>
          <w:i/>
          <w:sz w:val="18"/>
          <w:szCs w:val="18"/>
        </w:rPr>
        <w:tab/>
        <w:t>dovoz</w:t>
      </w:r>
    </w:p>
    <w:p w:rsidR="008856D9" w:rsidRDefault="00837A19" w:rsidP="00AE6C88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28" type="#_x0000_t75" style="width:238.4pt;height:181.35pt">
            <v:imagedata r:id="rId11" o:title=""/>
          </v:shape>
        </w:pict>
      </w:r>
      <w:r w:rsidR="00F74A04">
        <w:rPr>
          <w:rFonts w:ascii="Arial" w:hAnsi="Arial" w:cs="Arial"/>
          <w:color w:val="FF0000"/>
          <w:sz w:val="18"/>
          <w:szCs w:val="18"/>
        </w:rPr>
        <w:t xml:space="preserve"> </w:t>
      </w: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29" type="#_x0000_t75" style="width:238.4pt;height:181.35pt">
            <v:imagedata r:id="rId12" o:title=""/>
          </v:shape>
        </w:pict>
      </w:r>
    </w:p>
    <w:p w:rsidR="008856D9" w:rsidRDefault="008856D9" w:rsidP="008856D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2015E3">
        <w:rPr>
          <w:rFonts w:ascii="Arial" w:hAnsi="Arial" w:cs="Arial"/>
          <w:b/>
          <w:sz w:val="18"/>
          <w:szCs w:val="18"/>
        </w:rPr>
        <w:t xml:space="preserve">Dovoz </w:t>
      </w:r>
      <w:r w:rsidRPr="002015E3">
        <w:rPr>
          <w:rFonts w:ascii="Arial" w:hAnsi="Arial" w:cs="Arial"/>
          <w:sz w:val="18"/>
          <w:szCs w:val="18"/>
        </w:rPr>
        <w:t xml:space="preserve">byl meziročně vyšší o </w:t>
      </w:r>
      <w:r w:rsidR="006B35D2" w:rsidRPr="006B35D2">
        <w:rPr>
          <w:rFonts w:ascii="Arial" w:hAnsi="Arial" w:cs="Arial"/>
          <w:sz w:val="18"/>
          <w:szCs w:val="18"/>
        </w:rPr>
        <w:t>2,0</w:t>
      </w:r>
      <w:r w:rsidRPr="006B35D2">
        <w:rPr>
          <w:rFonts w:ascii="Arial" w:hAnsi="Arial" w:cs="Arial"/>
          <w:sz w:val="18"/>
          <w:szCs w:val="18"/>
        </w:rPr>
        <w:t xml:space="preserve"> %</w:t>
      </w:r>
      <w:r w:rsidRPr="002015E3">
        <w:rPr>
          <w:rFonts w:ascii="Arial" w:hAnsi="Arial" w:cs="Arial"/>
          <w:sz w:val="18"/>
          <w:szCs w:val="18"/>
        </w:rPr>
        <w:t xml:space="preserve"> (</w:t>
      </w:r>
      <w:r w:rsidR="002C4329" w:rsidRPr="002C4329">
        <w:rPr>
          <w:rFonts w:ascii="Arial" w:hAnsi="Arial" w:cs="Arial"/>
          <w:sz w:val="18"/>
          <w:szCs w:val="18"/>
        </w:rPr>
        <w:t>56,6</w:t>
      </w:r>
      <w:r w:rsidRPr="002C4329">
        <w:rPr>
          <w:rFonts w:ascii="Arial" w:hAnsi="Arial" w:cs="Arial"/>
          <w:sz w:val="18"/>
          <w:szCs w:val="18"/>
        </w:rPr>
        <w:t xml:space="preserve"> mld</w:t>
      </w:r>
      <w:r w:rsidRPr="002015E3">
        <w:rPr>
          <w:rFonts w:ascii="Arial" w:hAnsi="Arial" w:cs="Arial"/>
          <w:sz w:val="18"/>
          <w:szCs w:val="18"/>
        </w:rPr>
        <w:t xml:space="preserve">. Kč) a činil </w:t>
      </w:r>
      <w:r w:rsidRPr="006B35D2">
        <w:rPr>
          <w:rFonts w:ascii="Arial" w:hAnsi="Arial" w:cs="Arial"/>
          <w:sz w:val="18"/>
          <w:szCs w:val="18"/>
        </w:rPr>
        <w:t>2 </w:t>
      </w:r>
      <w:r w:rsidR="006B35D2" w:rsidRPr="006B35D2">
        <w:rPr>
          <w:rFonts w:ascii="Arial" w:hAnsi="Arial" w:cs="Arial"/>
          <w:sz w:val="18"/>
          <w:szCs w:val="18"/>
        </w:rPr>
        <w:t>823,5</w:t>
      </w:r>
      <w:r w:rsidRPr="002015E3">
        <w:rPr>
          <w:rFonts w:ascii="Arial" w:hAnsi="Arial" w:cs="Arial"/>
          <w:sz w:val="18"/>
          <w:szCs w:val="18"/>
        </w:rPr>
        <w:t xml:space="preserve"> mld. Kč. V roce 201</w:t>
      </w:r>
      <w:r>
        <w:rPr>
          <w:rFonts w:ascii="Arial" w:hAnsi="Arial" w:cs="Arial"/>
          <w:sz w:val="18"/>
          <w:szCs w:val="18"/>
        </w:rPr>
        <w:t>3</w:t>
      </w:r>
      <w:r w:rsidRPr="002015E3">
        <w:rPr>
          <w:rFonts w:ascii="Arial" w:hAnsi="Arial" w:cs="Arial"/>
          <w:sz w:val="18"/>
          <w:szCs w:val="18"/>
        </w:rPr>
        <w:t xml:space="preserve"> proti roku 2000 vzrostl dovoz o </w:t>
      </w:r>
      <w:r w:rsidR="006104FF" w:rsidRPr="006104FF">
        <w:rPr>
          <w:rFonts w:ascii="Arial" w:hAnsi="Arial" w:cs="Arial"/>
          <w:sz w:val="18"/>
          <w:szCs w:val="18"/>
        </w:rPr>
        <w:t>127,3</w:t>
      </w:r>
      <w:r w:rsidRPr="002015E3">
        <w:rPr>
          <w:rFonts w:ascii="Arial" w:hAnsi="Arial" w:cs="Arial"/>
          <w:sz w:val="18"/>
          <w:szCs w:val="18"/>
        </w:rPr>
        <w:t xml:space="preserve"> % </w:t>
      </w:r>
      <w:r w:rsidRPr="006104FF">
        <w:rPr>
          <w:rFonts w:ascii="Arial" w:hAnsi="Arial" w:cs="Arial"/>
          <w:sz w:val="18"/>
          <w:szCs w:val="18"/>
        </w:rPr>
        <w:t>(1 </w:t>
      </w:r>
      <w:r w:rsidR="006104FF" w:rsidRPr="006104FF">
        <w:rPr>
          <w:rFonts w:ascii="Arial" w:hAnsi="Arial" w:cs="Arial"/>
          <w:sz w:val="18"/>
          <w:szCs w:val="18"/>
        </w:rPr>
        <w:t>581,6</w:t>
      </w:r>
      <w:r w:rsidRPr="006104FF">
        <w:rPr>
          <w:rFonts w:ascii="Arial" w:hAnsi="Arial" w:cs="Arial"/>
          <w:sz w:val="18"/>
          <w:szCs w:val="18"/>
        </w:rPr>
        <w:t xml:space="preserve"> mld</w:t>
      </w:r>
      <w:r w:rsidRPr="002015E3">
        <w:rPr>
          <w:rFonts w:ascii="Arial" w:hAnsi="Arial" w:cs="Arial"/>
          <w:sz w:val="18"/>
          <w:szCs w:val="18"/>
        </w:rPr>
        <w:t xml:space="preserve">. Kč) a ve srovnání s rokem vstupu České republiky do EU byl vyšší </w:t>
      </w:r>
      <w:r w:rsidRPr="006104FF">
        <w:rPr>
          <w:rFonts w:ascii="Arial" w:hAnsi="Arial" w:cs="Arial"/>
          <w:sz w:val="18"/>
          <w:szCs w:val="18"/>
        </w:rPr>
        <w:t xml:space="preserve">o </w:t>
      </w:r>
      <w:r w:rsidR="006104FF" w:rsidRPr="006104FF">
        <w:rPr>
          <w:rFonts w:ascii="Arial" w:hAnsi="Arial" w:cs="Arial"/>
          <w:sz w:val="18"/>
          <w:szCs w:val="18"/>
        </w:rPr>
        <w:t>61,4</w:t>
      </w:r>
      <w:r w:rsidRPr="002015E3">
        <w:rPr>
          <w:rFonts w:ascii="Arial" w:hAnsi="Arial" w:cs="Arial"/>
          <w:sz w:val="18"/>
          <w:szCs w:val="18"/>
        </w:rPr>
        <w:t xml:space="preserve"> % (</w:t>
      </w:r>
      <w:r w:rsidRPr="006104FF">
        <w:rPr>
          <w:rFonts w:ascii="Arial" w:hAnsi="Arial" w:cs="Arial"/>
          <w:sz w:val="18"/>
          <w:szCs w:val="18"/>
        </w:rPr>
        <w:t>1 </w:t>
      </w:r>
      <w:r w:rsidR="006104FF" w:rsidRPr="006104FF">
        <w:rPr>
          <w:rFonts w:ascii="Arial" w:hAnsi="Arial" w:cs="Arial"/>
          <w:sz w:val="18"/>
          <w:szCs w:val="18"/>
        </w:rPr>
        <w:t>074,4</w:t>
      </w:r>
      <w:r w:rsidRPr="002015E3">
        <w:rPr>
          <w:rFonts w:ascii="Arial" w:hAnsi="Arial" w:cs="Arial"/>
          <w:sz w:val="18"/>
          <w:szCs w:val="18"/>
        </w:rPr>
        <w:t xml:space="preserve"> mld. Kč). </w:t>
      </w:r>
      <w:r>
        <w:rPr>
          <w:rFonts w:ascii="Arial" w:hAnsi="Arial" w:cs="Arial"/>
          <w:sz w:val="18"/>
          <w:szCs w:val="18"/>
        </w:rPr>
        <w:t xml:space="preserve">Obdobně jako u vývozu byl i celoroční vývoj dovozu ovlivněn rozdílnou dynamikou v jednotlivých čtvrtletích. Meziroční pokles o </w:t>
      </w:r>
      <w:r w:rsidR="00377092" w:rsidRPr="00377092">
        <w:rPr>
          <w:rFonts w:ascii="Arial" w:hAnsi="Arial" w:cs="Arial"/>
          <w:sz w:val="18"/>
          <w:szCs w:val="18"/>
        </w:rPr>
        <w:t>5,3</w:t>
      </w:r>
      <w:r>
        <w:rPr>
          <w:rFonts w:ascii="Arial" w:hAnsi="Arial" w:cs="Arial"/>
          <w:sz w:val="18"/>
          <w:szCs w:val="18"/>
        </w:rPr>
        <w:t xml:space="preserve"> % v 1. čtvrtletí pokračující i v 2. čtvrtletí </w:t>
      </w:r>
      <w:r w:rsidRPr="00377092">
        <w:rPr>
          <w:rFonts w:ascii="Arial" w:hAnsi="Arial" w:cs="Arial"/>
          <w:sz w:val="18"/>
          <w:szCs w:val="18"/>
        </w:rPr>
        <w:t xml:space="preserve">o </w:t>
      </w:r>
      <w:r w:rsidR="00377092" w:rsidRPr="00377092">
        <w:rPr>
          <w:rFonts w:ascii="Arial" w:hAnsi="Arial" w:cs="Arial"/>
          <w:sz w:val="18"/>
          <w:szCs w:val="18"/>
        </w:rPr>
        <w:t>1,5</w:t>
      </w:r>
      <w:r>
        <w:rPr>
          <w:rFonts w:ascii="Arial" w:hAnsi="Arial" w:cs="Arial"/>
          <w:sz w:val="18"/>
          <w:szCs w:val="18"/>
        </w:rPr>
        <w:t xml:space="preserve"> % byl přerušen meziročním růstem o </w:t>
      </w:r>
      <w:r w:rsidR="00377092" w:rsidRPr="00377092">
        <w:rPr>
          <w:rFonts w:ascii="Arial" w:hAnsi="Arial" w:cs="Arial"/>
          <w:sz w:val="18"/>
          <w:szCs w:val="18"/>
        </w:rPr>
        <w:t>4,4</w:t>
      </w:r>
      <w:r>
        <w:rPr>
          <w:rFonts w:ascii="Arial" w:hAnsi="Arial" w:cs="Arial"/>
          <w:sz w:val="18"/>
          <w:szCs w:val="18"/>
        </w:rPr>
        <w:t xml:space="preserve"> % v 3. čtvrtletí a ve 4. čtvrtletí dokonce o </w:t>
      </w:r>
      <w:r w:rsidR="00377092" w:rsidRPr="00377092">
        <w:rPr>
          <w:rFonts w:ascii="Arial" w:hAnsi="Arial" w:cs="Arial"/>
          <w:sz w:val="18"/>
          <w:szCs w:val="18"/>
        </w:rPr>
        <w:t>10,6</w:t>
      </w:r>
      <w:r>
        <w:rPr>
          <w:rFonts w:ascii="Arial" w:hAnsi="Arial" w:cs="Arial"/>
          <w:sz w:val="18"/>
          <w:szCs w:val="18"/>
        </w:rPr>
        <w:t xml:space="preserve"> %.</w:t>
      </w:r>
    </w:p>
    <w:p w:rsidR="005534AD" w:rsidRDefault="000A2857" w:rsidP="008856D9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Stejně jako na vývozu byla n</w:t>
      </w:r>
      <w:r w:rsidR="005534AD">
        <w:rPr>
          <w:rFonts w:ascii="Arial" w:hAnsi="Arial" w:cs="Arial"/>
          <w:sz w:val="18"/>
          <w:szCs w:val="18"/>
        </w:rPr>
        <w:t>ejnižší měsíční hodnot</w:t>
      </w:r>
      <w:r>
        <w:rPr>
          <w:rFonts w:ascii="Arial" w:hAnsi="Arial" w:cs="Arial"/>
          <w:sz w:val="18"/>
          <w:szCs w:val="18"/>
        </w:rPr>
        <w:t>a</w:t>
      </w:r>
      <w:r w:rsidR="005534AD">
        <w:rPr>
          <w:rFonts w:ascii="Arial" w:hAnsi="Arial" w:cs="Arial"/>
          <w:sz w:val="18"/>
          <w:szCs w:val="18"/>
        </w:rPr>
        <w:t xml:space="preserve"> dovozu v roce 2013 dosažena </w:t>
      </w:r>
      <w:r w:rsidR="005534AD" w:rsidRPr="006B35D2">
        <w:rPr>
          <w:rFonts w:ascii="Arial" w:hAnsi="Arial" w:cs="Arial"/>
          <w:sz w:val="18"/>
          <w:szCs w:val="18"/>
        </w:rPr>
        <w:t xml:space="preserve">v </w:t>
      </w:r>
      <w:r w:rsidR="009B73CE" w:rsidRPr="006B35D2">
        <w:rPr>
          <w:rFonts w:ascii="Arial" w:hAnsi="Arial" w:cs="Arial"/>
          <w:sz w:val="18"/>
          <w:szCs w:val="18"/>
        </w:rPr>
        <w:t>únoru</w:t>
      </w:r>
      <w:r w:rsidR="005534AD" w:rsidRPr="006B35D2">
        <w:rPr>
          <w:rFonts w:ascii="Arial" w:hAnsi="Arial" w:cs="Arial"/>
          <w:sz w:val="18"/>
          <w:szCs w:val="18"/>
        </w:rPr>
        <w:t xml:space="preserve"> (</w:t>
      </w:r>
      <w:r w:rsidR="009B73CE" w:rsidRPr="006B35D2">
        <w:rPr>
          <w:rFonts w:ascii="Arial" w:hAnsi="Arial" w:cs="Arial"/>
          <w:sz w:val="18"/>
          <w:szCs w:val="18"/>
        </w:rPr>
        <w:t>212,</w:t>
      </w:r>
      <w:r w:rsidR="006B35D2" w:rsidRPr="006B35D2">
        <w:rPr>
          <w:rFonts w:ascii="Arial" w:hAnsi="Arial" w:cs="Arial"/>
          <w:sz w:val="18"/>
          <w:szCs w:val="18"/>
        </w:rPr>
        <w:t>0</w:t>
      </w:r>
      <w:r w:rsidR="005534AD" w:rsidRPr="006B35D2">
        <w:rPr>
          <w:rFonts w:ascii="Arial" w:hAnsi="Arial" w:cs="Arial"/>
          <w:sz w:val="18"/>
          <w:szCs w:val="18"/>
        </w:rPr>
        <w:t xml:space="preserve"> mld</w:t>
      </w:r>
      <w:r w:rsidR="005534AD">
        <w:rPr>
          <w:rFonts w:ascii="Arial" w:hAnsi="Arial" w:cs="Arial"/>
          <w:sz w:val="18"/>
          <w:szCs w:val="18"/>
        </w:rPr>
        <w:t xml:space="preserve">. Kč), zatímco nejvyšší pak </w:t>
      </w:r>
      <w:r w:rsidR="005534AD" w:rsidRPr="006B35D2">
        <w:rPr>
          <w:rFonts w:ascii="Arial" w:hAnsi="Arial" w:cs="Arial"/>
          <w:sz w:val="18"/>
          <w:szCs w:val="18"/>
        </w:rPr>
        <w:t>v</w:t>
      </w:r>
      <w:r w:rsidR="009B73CE" w:rsidRPr="006B35D2">
        <w:rPr>
          <w:rFonts w:ascii="Arial" w:hAnsi="Arial" w:cs="Arial"/>
          <w:sz w:val="18"/>
          <w:szCs w:val="18"/>
        </w:rPr>
        <w:t> říjnu</w:t>
      </w:r>
      <w:r w:rsidR="005534AD" w:rsidRPr="006B35D2">
        <w:rPr>
          <w:rFonts w:ascii="Arial" w:hAnsi="Arial" w:cs="Arial"/>
          <w:sz w:val="18"/>
          <w:szCs w:val="18"/>
        </w:rPr>
        <w:t xml:space="preserve"> (</w:t>
      </w:r>
      <w:r w:rsidR="006B35D2" w:rsidRPr="006B35D2">
        <w:rPr>
          <w:rFonts w:ascii="Arial" w:hAnsi="Arial" w:cs="Arial"/>
          <w:sz w:val="18"/>
          <w:szCs w:val="18"/>
        </w:rPr>
        <w:t>268,2</w:t>
      </w:r>
      <w:r w:rsidR="005534AD">
        <w:rPr>
          <w:rFonts w:ascii="Arial" w:hAnsi="Arial" w:cs="Arial"/>
          <w:sz w:val="18"/>
          <w:szCs w:val="18"/>
        </w:rPr>
        <w:t xml:space="preserve"> mld. Kč).</w:t>
      </w:r>
    </w:p>
    <w:p w:rsidR="008856D9" w:rsidRPr="002015E3" w:rsidRDefault="00231A8B" w:rsidP="008856D9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roce 2013 </w:t>
      </w:r>
      <w:r w:rsidR="005B578F">
        <w:rPr>
          <w:rFonts w:ascii="Arial" w:hAnsi="Arial" w:cs="Arial"/>
          <w:sz w:val="18"/>
          <w:szCs w:val="18"/>
        </w:rPr>
        <w:t xml:space="preserve">byl </w:t>
      </w:r>
      <w:r>
        <w:rPr>
          <w:rFonts w:ascii="Arial" w:hAnsi="Arial" w:cs="Arial"/>
          <w:sz w:val="18"/>
          <w:szCs w:val="18"/>
        </w:rPr>
        <w:t>pr</w:t>
      </w:r>
      <w:r w:rsidR="008856D9" w:rsidRPr="002015E3">
        <w:rPr>
          <w:rFonts w:ascii="Arial" w:hAnsi="Arial" w:cs="Arial"/>
          <w:sz w:val="18"/>
          <w:szCs w:val="18"/>
        </w:rPr>
        <w:t xml:space="preserve">o dovoz vyjádřený v </w:t>
      </w:r>
      <w:r w:rsidR="006B7E34">
        <w:rPr>
          <w:rFonts w:ascii="Arial" w:hAnsi="Arial" w:cs="Arial"/>
          <w:sz w:val="18"/>
          <w:szCs w:val="18"/>
        </w:rPr>
        <w:t>USD</w:t>
      </w:r>
      <w:r w:rsidR="008856D9" w:rsidRPr="002015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zřejmý</w:t>
      </w:r>
      <w:r w:rsidR="008856D9" w:rsidRPr="002015E3">
        <w:rPr>
          <w:rFonts w:ascii="Arial" w:hAnsi="Arial" w:cs="Arial"/>
          <w:sz w:val="18"/>
          <w:szCs w:val="18"/>
        </w:rPr>
        <w:t xml:space="preserve"> </w:t>
      </w:r>
      <w:r w:rsidR="008856D9" w:rsidRPr="00231A8B">
        <w:rPr>
          <w:rFonts w:ascii="Arial" w:hAnsi="Arial" w:cs="Arial"/>
          <w:sz w:val="18"/>
          <w:szCs w:val="18"/>
        </w:rPr>
        <w:t>meziroční růst o</w:t>
      </w:r>
      <w:r w:rsidR="008856D9" w:rsidRPr="005D748F">
        <w:rPr>
          <w:rFonts w:ascii="Arial" w:hAnsi="Arial" w:cs="Arial"/>
          <w:color w:val="FF0000"/>
          <w:sz w:val="18"/>
          <w:szCs w:val="18"/>
        </w:rPr>
        <w:t xml:space="preserve"> </w:t>
      </w:r>
      <w:r w:rsidR="006B7E34" w:rsidRPr="006B7E34">
        <w:rPr>
          <w:rFonts w:ascii="Arial" w:hAnsi="Arial" w:cs="Arial"/>
          <w:sz w:val="18"/>
          <w:szCs w:val="18"/>
        </w:rPr>
        <w:t>2,0</w:t>
      </w:r>
      <w:r w:rsidR="008856D9" w:rsidRPr="002015E3">
        <w:rPr>
          <w:rFonts w:ascii="Arial" w:hAnsi="Arial" w:cs="Arial"/>
          <w:sz w:val="18"/>
          <w:szCs w:val="18"/>
        </w:rPr>
        <w:t xml:space="preserve"> %</w:t>
      </w:r>
      <w:r w:rsidR="006B7E34">
        <w:rPr>
          <w:rFonts w:ascii="Arial" w:hAnsi="Arial" w:cs="Arial"/>
          <w:sz w:val="18"/>
          <w:szCs w:val="18"/>
        </w:rPr>
        <w:t xml:space="preserve">, zatímco v </w:t>
      </w:r>
      <w:proofErr w:type="gramStart"/>
      <w:r w:rsidR="006B7E34">
        <w:rPr>
          <w:rFonts w:ascii="Arial" w:hAnsi="Arial" w:cs="Arial"/>
          <w:sz w:val="18"/>
          <w:szCs w:val="18"/>
        </w:rPr>
        <w:t>EUR</w:t>
      </w:r>
      <w:proofErr w:type="gramEnd"/>
      <w:r w:rsidR="008856D9" w:rsidRPr="002015E3">
        <w:rPr>
          <w:rFonts w:ascii="Arial" w:hAnsi="Arial" w:cs="Arial"/>
          <w:sz w:val="18"/>
          <w:szCs w:val="18"/>
        </w:rPr>
        <w:t xml:space="preserve"> meziroční </w:t>
      </w:r>
      <w:r w:rsidRPr="006B7E34">
        <w:rPr>
          <w:rFonts w:ascii="Arial" w:hAnsi="Arial" w:cs="Arial"/>
          <w:sz w:val="18"/>
          <w:szCs w:val="18"/>
        </w:rPr>
        <w:t>pokles</w:t>
      </w:r>
      <w:r w:rsidR="008856D9" w:rsidRPr="006B7E34">
        <w:rPr>
          <w:rFonts w:ascii="Arial" w:hAnsi="Arial" w:cs="Arial"/>
          <w:sz w:val="18"/>
          <w:szCs w:val="18"/>
        </w:rPr>
        <w:t xml:space="preserve"> o </w:t>
      </w:r>
      <w:r w:rsidR="006B7E34" w:rsidRPr="006B7E34">
        <w:rPr>
          <w:rFonts w:ascii="Arial" w:hAnsi="Arial" w:cs="Arial"/>
          <w:sz w:val="18"/>
          <w:szCs w:val="18"/>
        </w:rPr>
        <w:t>1,3</w:t>
      </w:r>
      <w:r w:rsidR="008856D9" w:rsidRPr="002015E3">
        <w:rPr>
          <w:rFonts w:ascii="Arial" w:hAnsi="Arial" w:cs="Arial"/>
          <w:sz w:val="18"/>
          <w:szCs w:val="18"/>
        </w:rPr>
        <w:t xml:space="preserve"> %.</w:t>
      </w:r>
    </w:p>
    <w:p w:rsidR="008856D9" w:rsidRPr="00A27962" w:rsidRDefault="008856D9" w:rsidP="009B73C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A27962">
        <w:rPr>
          <w:rFonts w:ascii="Arial" w:hAnsi="Arial" w:cs="Arial"/>
          <w:b/>
          <w:sz w:val="18"/>
          <w:szCs w:val="18"/>
        </w:rPr>
        <w:t>Přebytek zahraničního obchodu</w:t>
      </w:r>
      <w:r w:rsidRPr="00A27962">
        <w:rPr>
          <w:rFonts w:ascii="Arial" w:hAnsi="Arial" w:cs="Arial"/>
          <w:sz w:val="18"/>
          <w:szCs w:val="18"/>
        </w:rPr>
        <w:t xml:space="preserve"> </w:t>
      </w:r>
      <w:r w:rsidRPr="006B35D2">
        <w:rPr>
          <w:rFonts w:ascii="Arial" w:hAnsi="Arial" w:cs="Arial"/>
          <w:sz w:val="18"/>
          <w:szCs w:val="18"/>
        </w:rPr>
        <w:t xml:space="preserve">dosáhl </w:t>
      </w:r>
      <w:r w:rsidR="006B35D2" w:rsidRPr="006B35D2">
        <w:rPr>
          <w:rFonts w:ascii="Arial" w:hAnsi="Arial" w:cs="Arial"/>
          <w:sz w:val="18"/>
          <w:szCs w:val="18"/>
        </w:rPr>
        <w:t>351,2</w:t>
      </w:r>
      <w:r w:rsidRPr="006B35D2">
        <w:rPr>
          <w:rFonts w:ascii="Arial" w:hAnsi="Arial" w:cs="Arial"/>
          <w:sz w:val="18"/>
          <w:szCs w:val="18"/>
        </w:rPr>
        <w:t xml:space="preserve"> mld</w:t>
      </w:r>
      <w:r w:rsidRPr="00A27962">
        <w:rPr>
          <w:rFonts w:ascii="Arial" w:hAnsi="Arial" w:cs="Arial"/>
          <w:sz w:val="18"/>
          <w:szCs w:val="18"/>
        </w:rPr>
        <w:t>. Kč a proti roku 201</w:t>
      </w:r>
      <w:r>
        <w:rPr>
          <w:rFonts w:ascii="Arial" w:hAnsi="Arial" w:cs="Arial"/>
          <w:sz w:val="18"/>
          <w:szCs w:val="18"/>
        </w:rPr>
        <w:t>2</w:t>
      </w:r>
      <w:r w:rsidRPr="00A27962">
        <w:rPr>
          <w:rFonts w:ascii="Arial" w:hAnsi="Arial" w:cs="Arial"/>
          <w:sz w:val="18"/>
          <w:szCs w:val="18"/>
        </w:rPr>
        <w:t xml:space="preserve"> </w:t>
      </w:r>
      <w:r w:rsidR="005B578F">
        <w:rPr>
          <w:rFonts w:ascii="Arial" w:hAnsi="Arial" w:cs="Arial"/>
          <w:sz w:val="18"/>
          <w:szCs w:val="18"/>
        </w:rPr>
        <w:t xml:space="preserve">byl </w:t>
      </w:r>
      <w:r w:rsidRPr="00377092">
        <w:rPr>
          <w:rFonts w:ascii="Arial" w:hAnsi="Arial" w:cs="Arial"/>
          <w:sz w:val="18"/>
          <w:szCs w:val="18"/>
        </w:rPr>
        <w:t xml:space="preserve">o </w:t>
      </w:r>
      <w:r w:rsidR="00377092" w:rsidRPr="00377092">
        <w:rPr>
          <w:rFonts w:ascii="Arial" w:hAnsi="Arial" w:cs="Arial"/>
          <w:sz w:val="18"/>
          <w:szCs w:val="18"/>
        </w:rPr>
        <w:t>45,5</w:t>
      </w:r>
      <w:r w:rsidRPr="00377092">
        <w:rPr>
          <w:rFonts w:ascii="Arial" w:hAnsi="Arial" w:cs="Arial"/>
          <w:sz w:val="18"/>
          <w:szCs w:val="18"/>
        </w:rPr>
        <w:t xml:space="preserve"> mld</w:t>
      </w:r>
      <w:r w:rsidRPr="00A27962">
        <w:rPr>
          <w:rFonts w:ascii="Arial" w:hAnsi="Arial" w:cs="Arial"/>
          <w:sz w:val="18"/>
          <w:szCs w:val="18"/>
        </w:rPr>
        <w:t xml:space="preserve">. Kč vyšší. Krytí dovozu vývozem se tak zvýšilo </w:t>
      </w:r>
      <w:proofErr w:type="gramStart"/>
      <w:r w:rsidRPr="00377092">
        <w:rPr>
          <w:rFonts w:ascii="Arial" w:hAnsi="Arial" w:cs="Arial"/>
          <w:sz w:val="18"/>
          <w:szCs w:val="18"/>
        </w:rPr>
        <w:t>z</w:t>
      </w:r>
      <w:r w:rsidR="001377B3">
        <w:rPr>
          <w:rFonts w:ascii="Arial" w:hAnsi="Arial" w:cs="Arial"/>
          <w:sz w:val="18"/>
          <w:szCs w:val="18"/>
        </w:rPr>
        <w:t>e</w:t>
      </w:r>
      <w:proofErr w:type="gramEnd"/>
      <w:r w:rsidRPr="00377092">
        <w:rPr>
          <w:rFonts w:ascii="Arial" w:hAnsi="Arial" w:cs="Arial"/>
          <w:sz w:val="18"/>
          <w:szCs w:val="18"/>
        </w:rPr>
        <w:t xml:space="preserve"> </w:t>
      </w:r>
      <w:r w:rsidR="00377092" w:rsidRPr="00377092">
        <w:rPr>
          <w:rFonts w:ascii="Arial" w:hAnsi="Arial" w:cs="Arial"/>
          <w:sz w:val="18"/>
          <w:szCs w:val="18"/>
        </w:rPr>
        <w:t>111,0</w:t>
      </w:r>
      <w:r w:rsidRPr="00377092">
        <w:rPr>
          <w:rFonts w:ascii="Arial" w:hAnsi="Arial" w:cs="Arial"/>
          <w:sz w:val="18"/>
          <w:szCs w:val="18"/>
        </w:rPr>
        <w:t xml:space="preserve"> % v roce 2012 na </w:t>
      </w:r>
      <w:r w:rsidR="00377092" w:rsidRPr="00377092">
        <w:rPr>
          <w:rFonts w:ascii="Arial" w:hAnsi="Arial" w:cs="Arial"/>
          <w:sz w:val="18"/>
          <w:szCs w:val="18"/>
        </w:rPr>
        <w:t>112,4</w:t>
      </w:r>
      <w:r w:rsidRPr="00377092">
        <w:rPr>
          <w:rFonts w:ascii="Arial" w:hAnsi="Arial" w:cs="Arial"/>
          <w:sz w:val="18"/>
          <w:szCs w:val="18"/>
        </w:rPr>
        <w:t xml:space="preserve"> %</w:t>
      </w:r>
      <w:r w:rsidRPr="00A27962">
        <w:rPr>
          <w:rFonts w:ascii="Arial" w:hAnsi="Arial" w:cs="Arial"/>
          <w:sz w:val="18"/>
          <w:szCs w:val="18"/>
        </w:rPr>
        <w:t xml:space="preserve"> v roce 201</w:t>
      </w:r>
      <w:r>
        <w:rPr>
          <w:rFonts w:ascii="Arial" w:hAnsi="Arial" w:cs="Arial"/>
          <w:sz w:val="18"/>
          <w:szCs w:val="18"/>
        </w:rPr>
        <w:t>3</w:t>
      </w:r>
      <w:r w:rsidRPr="00A27962">
        <w:rPr>
          <w:rFonts w:ascii="Arial" w:hAnsi="Arial" w:cs="Arial"/>
          <w:sz w:val="18"/>
          <w:szCs w:val="18"/>
        </w:rPr>
        <w:t>. Docílená aktivní bilance byla výsledkem kladných sald ve všech čtvrtletích</w:t>
      </w:r>
      <w:r>
        <w:rPr>
          <w:rFonts w:ascii="Arial" w:hAnsi="Arial" w:cs="Arial"/>
          <w:sz w:val="18"/>
          <w:szCs w:val="18"/>
        </w:rPr>
        <w:t>, která postupně klesala</w:t>
      </w:r>
      <w:r w:rsidRPr="00A27962">
        <w:rPr>
          <w:rFonts w:ascii="Arial" w:hAnsi="Arial" w:cs="Arial"/>
          <w:sz w:val="18"/>
          <w:szCs w:val="18"/>
        </w:rPr>
        <w:t>. Nejvyšší přebytek obchodní bi</w:t>
      </w:r>
      <w:r w:rsidR="00377092">
        <w:rPr>
          <w:rFonts w:ascii="Arial" w:hAnsi="Arial" w:cs="Arial"/>
          <w:sz w:val="18"/>
          <w:szCs w:val="18"/>
        </w:rPr>
        <w:t>lance byl zřejmý v 1. čtvrtletí </w:t>
      </w:r>
      <w:r w:rsidRPr="00A27962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3</w:t>
      </w:r>
      <w:r w:rsidRPr="00A27962">
        <w:rPr>
          <w:rFonts w:ascii="Arial" w:hAnsi="Arial" w:cs="Arial"/>
          <w:sz w:val="18"/>
          <w:szCs w:val="18"/>
        </w:rPr>
        <w:t xml:space="preserve"> (</w:t>
      </w:r>
      <w:r w:rsidR="00377092" w:rsidRPr="00377092">
        <w:rPr>
          <w:rFonts w:ascii="Arial" w:hAnsi="Arial" w:cs="Arial"/>
          <w:sz w:val="18"/>
          <w:szCs w:val="18"/>
        </w:rPr>
        <w:t>96,8</w:t>
      </w:r>
      <w:r w:rsidRPr="00A27962">
        <w:rPr>
          <w:rFonts w:ascii="Arial" w:hAnsi="Arial" w:cs="Arial"/>
          <w:sz w:val="18"/>
          <w:szCs w:val="18"/>
        </w:rPr>
        <w:t xml:space="preserve"> mld. Kč)</w:t>
      </w:r>
      <w:r>
        <w:rPr>
          <w:rFonts w:ascii="Arial" w:hAnsi="Arial" w:cs="Arial"/>
          <w:sz w:val="18"/>
          <w:szCs w:val="18"/>
        </w:rPr>
        <w:t>. V</w:t>
      </w:r>
      <w:r w:rsidRPr="00A27962">
        <w:rPr>
          <w:rFonts w:ascii="Arial" w:hAnsi="Arial" w:cs="Arial"/>
          <w:sz w:val="18"/>
          <w:szCs w:val="18"/>
        </w:rPr>
        <w:t>e 2. čtvrtletí 201</w:t>
      </w:r>
      <w:r>
        <w:rPr>
          <w:rFonts w:ascii="Arial" w:hAnsi="Arial" w:cs="Arial"/>
          <w:sz w:val="18"/>
          <w:szCs w:val="18"/>
        </w:rPr>
        <w:t>3</w:t>
      </w:r>
      <w:r w:rsidRPr="00A27962">
        <w:rPr>
          <w:rFonts w:ascii="Arial" w:hAnsi="Arial" w:cs="Arial"/>
          <w:sz w:val="18"/>
          <w:szCs w:val="18"/>
        </w:rPr>
        <w:t xml:space="preserve"> aktivum obchodní bilance činilo </w:t>
      </w:r>
      <w:r w:rsidR="00377092" w:rsidRPr="00377092">
        <w:rPr>
          <w:rFonts w:ascii="Arial" w:hAnsi="Arial" w:cs="Arial"/>
          <w:sz w:val="18"/>
          <w:szCs w:val="18"/>
        </w:rPr>
        <w:t>94,7</w:t>
      </w:r>
      <w:r w:rsidRPr="00377092">
        <w:rPr>
          <w:rFonts w:ascii="Arial" w:hAnsi="Arial" w:cs="Arial"/>
          <w:sz w:val="18"/>
          <w:szCs w:val="18"/>
        </w:rPr>
        <w:t> mld</w:t>
      </w:r>
      <w:r w:rsidRPr="00A27962">
        <w:rPr>
          <w:rFonts w:ascii="Arial" w:hAnsi="Arial" w:cs="Arial"/>
          <w:sz w:val="18"/>
          <w:szCs w:val="18"/>
        </w:rPr>
        <w:t>. Kč, ve 3. čtvrtletí 201</w:t>
      </w:r>
      <w:r>
        <w:rPr>
          <w:rFonts w:ascii="Arial" w:hAnsi="Arial" w:cs="Arial"/>
          <w:sz w:val="18"/>
          <w:szCs w:val="18"/>
        </w:rPr>
        <w:t>3</w:t>
      </w:r>
      <w:r w:rsidRPr="00A27962">
        <w:rPr>
          <w:rFonts w:ascii="Arial" w:hAnsi="Arial" w:cs="Arial"/>
          <w:sz w:val="18"/>
          <w:szCs w:val="18"/>
        </w:rPr>
        <w:t xml:space="preserve"> dosáhlo </w:t>
      </w:r>
      <w:r w:rsidR="00377092" w:rsidRPr="00377092">
        <w:rPr>
          <w:rFonts w:ascii="Arial" w:hAnsi="Arial" w:cs="Arial"/>
          <w:sz w:val="18"/>
          <w:szCs w:val="18"/>
        </w:rPr>
        <w:t>82,4</w:t>
      </w:r>
      <w:r w:rsidRPr="00A27962">
        <w:rPr>
          <w:rFonts w:ascii="Arial" w:hAnsi="Arial" w:cs="Arial"/>
          <w:sz w:val="18"/>
          <w:szCs w:val="18"/>
        </w:rPr>
        <w:t xml:space="preserve"> mld. Kč a ve 4. čtvrtletí 201</w:t>
      </w:r>
      <w:r>
        <w:rPr>
          <w:rFonts w:ascii="Arial" w:hAnsi="Arial" w:cs="Arial"/>
          <w:sz w:val="18"/>
          <w:szCs w:val="18"/>
        </w:rPr>
        <w:t>3</w:t>
      </w:r>
      <w:r w:rsidRPr="00A27962">
        <w:rPr>
          <w:rFonts w:ascii="Arial" w:hAnsi="Arial" w:cs="Arial"/>
          <w:sz w:val="18"/>
          <w:szCs w:val="18"/>
        </w:rPr>
        <w:t xml:space="preserve"> zaznamenalo </w:t>
      </w:r>
      <w:r w:rsidR="00377092" w:rsidRPr="00377092">
        <w:rPr>
          <w:rFonts w:ascii="Arial" w:hAnsi="Arial" w:cs="Arial"/>
          <w:sz w:val="18"/>
          <w:szCs w:val="18"/>
        </w:rPr>
        <w:t>77,2</w:t>
      </w:r>
      <w:r w:rsidRPr="00A27962">
        <w:rPr>
          <w:rFonts w:ascii="Arial" w:hAnsi="Arial" w:cs="Arial"/>
          <w:sz w:val="18"/>
          <w:szCs w:val="18"/>
        </w:rPr>
        <w:t xml:space="preserve"> mld. Kč. </w:t>
      </w:r>
    </w:p>
    <w:p w:rsidR="008856D9" w:rsidRDefault="008856D9" w:rsidP="009B73CE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A27962">
        <w:rPr>
          <w:rFonts w:ascii="Arial" w:hAnsi="Arial" w:cs="Arial"/>
          <w:b/>
          <w:i/>
          <w:sz w:val="18"/>
          <w:szCs w:val="18"/>
        </w:rPr>
        <w:t xml:space="preserve">Graf </w:t>
      </w:r>
      <w:r>
        <w:rPr>
          <w:rFonts w:ascii="Arial" w:hAnsi="Arial" w:cs="Arial"/>
          <w:b/>
          <w:i/>
          <w:sz w:val="18"/>
          <w:szCs w:val="18"/>
        </w:rPr>
        <w:t>5</w:t>
      </w:r>
      <w:r w:rsidRPr="00A27962">
        <w:rPr>
          <w:rFonts w:ascii="Arial" w:hAnsi="Arial" w:cs="Arial"/>
          <w:b/>
          <w:i/>
          <w:sz w:val="18"/>
          <w:szCs w:val="18"/>
        </w:rPr>
        <w:t xml:space="preserve"> - Zahraniční obchod v jednotlivých čtvrtletích roku 201</w:t>
      </w:r>
      <w:r>
        <w:rPr>
          <w:rFonts w:ascii="Arial" w:hAnsi="Arial" w:cs="Arial"/>
          <w:b/>
          <w:i/>
          <w:sz w:val="18"/>
          <w:szCs w:val="18"/>
        </w:rPr>
        <w:t>2</w:t>
      </w:r>
      <w:r w:rsidRPr="00A27962">
        <w:rPr>
          <w:rFonts w:ascii="Arial" w:hAnsi="Arial" w:cs="Arial"/>
          <w:b/>
          <w:i/>
          <w:sz w:val="18"/>
          <w:szCs w:val="18"/>
        </w:rPr>
        <w:t xml:space="preserve"> a 201</w:t>
      </w:r>
      <w:r>
        <w:rPr>
          <w:rFonts w:ascii="Arial" w:hAnsi="Arial" w:cs="Arial"/>
          <w:b/>
          <w:i/>
          <w:sz w:val="18"/>
          <w:szCs w:val="18"/>
        </w:rPr>
        <w:t>3</w:t>
      </w:r>
    </w:p>
    <w:p w:rsidR="00AE6C88" w:rsidRPr="009B73CE" w:rsidRDefault="00837A19" w:rsidP="009B73CE">
      <w:pPr>
        <w:spacing w:after="0"/>
        <w:jc w:val="both"/>
        <w:rPr>
          <w:rFonts w:ascii="Arial" w:hAnsi="Arial" w:cs="Arial"/>
          <w:b/>
          <w:i/>
          <w:sz w:val="2"/>
          <w:szCs w:val="2"/>
        </w:rPr>
      </w:pPr>
      <w:r w:rsidRPr="00F8628E">
        <w:rPr>
          <w:rFonts w:ascii="Arial" w:hAnsi="Arial" w:cs="Arial"/>
          <w:b/>
          <w:i/>
          <w:sz w:val="18"/>
          <w:szCs w:val="18"/>
        </w:rPr>
        <w:pict>
          <v:shape id="_x0000_i1030" type="#_x0000_t75" style="width:486.35pt;height:146.7pt">
            <v:imagedata r:id="rId13" o:title=""/>
          </v:shape>
        </w:pict>
      </w:r>
    </w:p>
    <w:p w:rsidR="005A15B4" w:rsidRDefault="00B2160A" w:rsidP="00F36784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Teritoriální struktura</w:t>
      </w:r>
    </w:p>
    <w:p w:rsidR="00B2160A" w:rsidRDefault="00B2160A" w:rsidP="00B2160A">
      <w:pPr>
        <w:numPr>
          <w:ilvl w:val="1"/>
          <w:numId w:val="1"/>
        </w:numPr>
        <w:spacing w:after="120"/>
        <w:ind w:left="426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Zahraniční obchod </w:t>
      </w:r>
      <w:r w:rsidR="001243B7">
        <w:rPr>
          <w:rFonts w:ascii="Arial" w:hAnsi="Arial" w:cs="Arial"/>
          <w:b/>
          <w:sz w:val="19"/>
          <w:szCs w:val="19"/>
        </w:rPr>
        <w:t xml:space="preserve">České republiky </w:t>
      </w:r>
      <w:r>
        <w:rPr>
          <w:rFonts w:ascii="Arial" w:hAnsi="Arial" w:cs="Arial"/>
          <w:b/>
          <w:sz w:val="19"/>
          <w:szCs w:val="19"/>
        </w:rPr>
        <w:t>se státy EU</w:t>
      </w:r>
      <w:r w:rsidRPr="008E5DDB">
        <w:rPr>
          <w:rStyle w:val="Znakapoznpodarou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b/>
          <w:sz w:val="19"/>
          <w:szCs w:val="19"/>
        </w:rPr>
        <w:t xml:space="preserve"> a mimo EU</w:t>
      </w:r>
    </w:p>
    <w:p w:rsidR="003B7C15" w:rsidRDefault="00F36784" w:rsidP="00F36784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Podíl zahraničního obchodu se státy EU na celkovém </w:t>
      </w:r>
      <w:r w:rsidRPr="009143C7">
        <w:rPr>
          <w:rFonts w:ascii="Arial" w:hAnsi="Arial" w:cs="Arial"/>
          <w:b/>
          <w:sz w:val="18"/>
          <w:szCs w:val="18"/>
        </w:rPr>
        <w:t>obratu</w:t>
      </w:r>
      <w:r>
        <w:rPr>
          <w:rFonts w:ascii="Arial" w:hAnsi="Arial" w:cs="Arial"/>
          <w:sz w:val="18"/>
          <w:szCs w:val="18"/>
        </w:rPr>
        <w:t xml:space="preserve"> zahraničního obchodu České republiky v roce 2013 </w:t>
      </w:r>
      <w:r w:rsidR="003B7C15">
        <w:rPr>
          <w:rFonts w:ascii="Arial" w:hAnsi="Arial" w:cs="Arial"/>
          <w:sz w:val="18"/>
          <w:szCs w:val="18"/>
        </w:rPr>
        <w:t>dosáhl</w:t>
      </w:r>
      <w:r>
        <w:rPr>
          <w:rFonts w:ascii="Arial" w:hAnsi="Arial" w:cs="Arial"/>
          <w:sz w:val="18"/>
          <w:szCs w:val="18"/>
        </w:rPr>
        <w:t xml:space="preserve"> </w:t>
      </w:r>
      <w:r w:rsidR="000764F0" w:rsidRPr="000764F0">
        <w:rPr>
          <w:rFonts w:ascii="Arial" w:hAnsi="Arial" w:cs="Arial"/>
          <w:sz w:val="18"/>
          <w:szCs w:val="18"/>
        </w:rPr>
        <w:t>73,6</w:t>
      </w:r>
      <w:r>
        <w:rPr>
          <w:rFonts w:ascii="Arial" w:hAnsi="Arial" w:cs="Arial"/>
          <w:sz w:val="18"/>
          <w:szCs w:val="18"/>
        </w:rPr>
        <w:t xml:space="preserve"> %</w:t>
      </w:r>
      <w:r w:rsidR="003B7C15">
        <w:rPr>
          <w:rFonts w:ascii="Arial" w:hAnsi="Arial" w:cs="Arial"/>
          <w:sz w:val="18"/>
          <w:szCs w:val="18"/>
        </w:rPr>
        <w:t xml:space="preserve"> </w:t>
      </w:r>
      <w:r w:rsidR="003B7C15" w:rsidRPr="000764F0">
        <w:rPr>
          <w:rFonts w:ascii="Arial" w:hAnsi="Arial" w:cs="Arial"/>
          <w:sz w:val="18"/>
          <w:szCs w:val="18"/>
        </w:rPr>
        <w:t xml:space="preserve">(4 </w:t>
      </w:r>
      <w:r w:rsidR="000764F0" w:rsidRPr="000764F0">
        <w:rPr>
          <w:rFonts w:ascii="Arial" w:hAnsi="Arial" w:cs="Arial"/>
          <w:sz w:val="18"/>
          <w:szCs w:val="18"/>
        </w:rPr>
        <w:t>413,9</w:t>
      </w:r>
      <w:r w:rsidR="003B7C15" w:rsidRPr="000764F0">
        <w:rPr>
          <w:rFonts w:ascii="Arial" w:hAnsi="Arial" w:cs="Arial"/>
          <w:sz w:val="18"/>
          <w:szCs w:val="18"/>
        </w:rPr>
        <w:t xml:space="preserve"> mld</w:t>
      </w:r>
      <w:r w:rsidR="003B7C15">
        <w:rPr>
          <w:rFonts w:ascii="Arial" w:hAnsi="Arial" w:cs="Arial"/>
          <w:sz w:val="18"/>
          <w:szCs w:val="18"/>
        </w:rPr>
        <w:t>. Kč)</w:t>
      </w:r>
      <w:r w:rsidR="00A856AE">
        <w:rPr>
          <w:rFonts w:ascii="Arial" w:hAnsi="Arial" w:cs="Arial"/>
          <w:sz w:val="18"/>
          <w:szCs w:val="18"/>
        </w:rPr>
        <w:t xml:space="preserve"> proti podílu </w:t>
      </w:r>
      <w:r w:rsidR="005B578F">
        <w:rPr>
          <w:rFonts w:ascii="Arial" w:hAnsi="Arial" w:cs="Arial"/>
          <w:sz w:val="18"/>
          <w:szCs w:val="18"/>
        </w:rPr>
        <w:t>předchozího</w:t>
      </w:r>
      <w:r w:rsidR="00A856AE">
        <w:rPr>
          <w:rFonts w:ascii="Arial" w:hAnsi="Arial" w:cs="Arial"/>
          <w:sz w:val="18"/>
          <w:szCs w:val="18"/>
        </w:rPr>
        <w:t xml:space="preserve"> roku 73,2 % (4 275,3 mld. Kč)</w:t>
      </w:r>
      <w:r>
        <w:rPr>
          <w:rFonts w:ascii="Arial" w:hAnsi="Arial" w:cs="Arial"/>
          <w:sz w:val="18"/>
          <w:szCs w:val="18"/>
        </w:rPr>
        <w:t xml:space="preserve">, přičemž na obchod se státy mimo EU </w:t>
      </w:r>
      <w:r w:rsidRPr="000764F0">
        <w:rPr>
          <w:rFonts w:ascii="Arial" w:hAnsi="Arial" w:cs="Arial"/>
          <w:sz w:val="18"/>
          <w:szCs w:val="18"/>
        </w:rPr>
        <w:t xml:space="preserve">připadlo </w:t>
      </w:r>
      <w:r w:rsidR="003B7C15" w:rsidRPr="000764F0">
        <w:rPr>
          <w:rFonts w:ascii="Arial" w:hAnsi="Arial" w:cs="Arial"/>
          <w:sz w:val="18"/>
          <w:szCs w:val="18"/>
        </w:rPr>
        <w:t>26,</w:t>
      </w:r>
      <w:r w:rsidR="000764F0" w:rsidRPr="000764F0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%</w:t>
      </w:r>
      <w:r w:rsidR="003B7C15">
        <w:rPr>
          <w:rStyle w:val="Znakapoznpodarou"/>
          <w:rFonts w:ascii="Arial" w:hAnsi="Arial" w:cs="Arial"/>
          <w:sz w:val="18"/>
          <w:szCs w:val="18"/>
        </w:rPr>
        <w:footnoteReference w:id="4"/>
      </w:r>
      <w:r w:rsidR="003B7C15">
        <w:rPr>
          <w:rFonts w:ascii="Arial" w:hAnsi="Arial" w:cs="Arial"/>
          <w:sz w:val="18"/>
          <w:szCs w:val="18"/>
        </w:rPr>
        <w:t xml:space="preserve"> </w:t>
      </w:r>
      <w:r w:rsidR="003B7C15" w:rsidRPr="000764F0">
        <w:rPr>
          <w:rFonts w:ascii="Arial" w:hAnsi="Arial" w:cs="Arial"/>
          <w:sz w:val="18"/>
          <w:szCs w:val="18"/>
        </w:rPr>
        <w:t xml:space="preserve">(1 </w:t>
      </w:r>
      <w:r w:rsidR="000764F0" w:rsidRPr="000764F0">
        <w:rPr>
          <w:rFonts w:ascii="Arial" w:hAnsi="Arial" w:cs="Arial"/>
          <w:sz w:val="18"/>
          <w:szCs w:val="18"/>
        </w:rPr>
        <w:t>567,7</w:t>
      </w:r>
      <w:r w:rsidR="003B7C15" w:rsidRPr="000764F0">
        <w:rPr>
          <w:rFonts w:ascii="Arial" w:hAnsi="Arial" w:cs="Arial"/>
          <w:sz w:val="18"/>
          <w:szCs w:val="18"/>
        </w:rPr>
        <w:t xml:space="preserve"> mld.</w:t>
      </w:r>
      <w:r w:rsidR="003B7C15">
        <w:rPr>
          <w:rFonts w:ascii="Arial" w:hAnsi="Arial" w:cs="Arial"/>
          <w:sz w:val="18"/>
          <w:szCs w:val="18"/>
        </w:rPr>
        <w:t xml:space="preserve"> Kč)</w:t>
      </w:r>
      <w:r w:rsidR="00A856AE">
        <w:rPr>
          <w:rFonts w:ascii="Arial" w:hAnsi="Arial" w:cs="Arial"/>
          <w:sz w:val="18"/>
          <w:szCs w:val="18"/>
        </w:rPr>
        <w:t xml:space="preserve"> proti 26,5 % (1 549,3 mld. Kč) v roce 2012</w:t>
      </w:r>
      <w:r w:rsidR="003B7C15">
        <w:rPr>
          <w:rFonts w:ascii="Arial" w:hAnsi="Arial" w:cs="Arial"/>
          <w:sz w:val="18"/>
          <w:szCs w:val="18"/>
        </w:rPr>
        <w:t>.</w:t>
      </w:r>
    </w:p>
    <w:p w:rsidR="00DD2489" w:rsidRDefault="004D04D0" w:rsidP="009A574F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8E5DDB">
        <w:rPr>
          <w:rFonts w:ascii="Arial" w:hAnsi="Arial" w:cs="Arial"/>
          <w:b/>
          <w:sz w:val="18"/>
          <w:szCs w:val="18"/>
        </w:rPr>
        <w:t xml:space="preserve">Vývoz </w:t>
      </w:r>
      <w:r w:rsidRPr="008E5DDB">
        <w:rPr>
          <w:rFonts w:ascii="Arial" w:hAnsi="Arial" w:cs="Arial"/>
          <w:sz w:val="18"/>
          <w:szCs w:val="18"/>
        </w:rPr>
        <w:t xml:space="preserve">byl meziročně vyšší do států EU i mimo EU. Meziročně relativně vzrostl </w:t>
      </w:r>
      <w:r w:rsidR="000764F0">
        <w:rPr>
          <w:rFonts w:ascii="Arial" w:hAnsi="Arial" w:cs="Arial"/>
          <w:sz w:val="18"/>
          <w:szCs w:val="18"/>
        </w:rPr>
        <w:t>v</w:t>
      </w:r>
      <w:r w:rsidRPr="008E5DDB">
        <w:rPr>
          <w:rFonts w:ascii="Arial" w:hAnsi="Arial" w:cs="Arial"/>
          <w:sz w:val="18"/>
          <w:szCs w:val="18"/>
        </w:rPr>
        <w:t>ývoz do států EU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0764F0">
        <w:rPr>
          <w:rFonts w:ascii="Arial" w:hAnsi="Arial" w:cs="Arial"/>
          <w:sz w:val="18"/>
          <w:szCs w:val="18"/>
        </w:rPr>
        <w:t xml:space="preserve">o </w:t>
      </w:r>
      <w:r w:rsidR="000764F0" w:rsidRPr="000764F0">
        <w:rPr>
          <w:rFonts w:ascii="Arial" w:hAnsi="Arial" w:cs="Arial"/>
          <w:sz w:val="18"/>
          <w:szCs w:val="18"/>
        </w:rPr>
        <w:t>3,1</w:t>
      </w:r>
      <w:r w:rsidRPr="000764F0">
        <w:rPr>
          <w:rFonts w:ascii="Arial" w:hAnsi="Arial" w:cs="Arial"/>
          <w:sz w:val="18"/>
          <w:szCs w:val="18"/>
        </w:rPr>
        <w:t xml:space="preserve"> %</w:t>
      </w:r>
      <w:r w:rsidR="00287B43">
        <w:rPr>
          <w:rFonts w:ascii="Arial" w:hAnsi="Arial" w:cs="Arial"/>
          <w:sz w:val="18"/>
          <w:szCs w:val="18"/>
        </w:rPr>
        <w:t xml:space="preserve"> (77,3 mld. Kč) </w:t>
      </w:r>
      <w:r w:rsidRPr="000764F0">
        <w:rPr>
          <w:rFonts w:ascii="Arial" w:hAnsi="Arial" w:cs="Arial"/>
          <w:sz w:val="18"/>
          <w:szCs w:val="18"/>
        </w:rPr>
        <w:t>a</w:t>
      </w:r>
      <w:r w:rsidRPr="008E5DDB">
        <w:rPr>
          <w:rFonts w:ascii="Arial" w:hAnsi="Arial" w:cs="Arial"/>
          <w:sz w:val="18"/>
          <w:szCs w:val="18"/>
        </w:rPr>
        <w:t xml:space="preserve"> do států mimo EU </w:t>
      </w:r>
      <w:r w:rsidRPr="000764F0">
        <w:rPr>
          <w:rFonts w:ascii="Arial" w:hAnsi="Arial" w:cs="Arial"/>
          <w:sz w:val="18"/>
          <w:szCs w:val="18"/>
        </w:rPr>
        <w:t xml:space="preserve">o </w:t>
      </w:r>
      <w:r w:rsidR="000764F0" w:rsidRPr="000764F0">
        <w:rPr>
          <w:rFonts w:ascii="Arial" w:hAnsi="Arial" w:cs="Arial"/>
          <w:sz w:val="18"/>
          <w:szCs w:val="18"/>
        </w:rPr>
        <w:t>4,4</w:t>
      </w:r>
      <w:r w:rsidRPr="000764F0">
        <w:rPr>
          <w:rFonts w:ascii="Arial" w:hAnsi="Arial" w:cs="Arial"/>
          <w:sz w:val="18"/>
          <w:szCs w:val="18"/>
        </w:rPr>
        <w:t xml:space="preserve"> %</w:t>
      </w:r>
      <w:r w:rsidR="00287B43">
        <w:rPr>
          <w:rFonts w:ascii="Arial" w:hAnsi="Arial" w:cs="Arial"/>
          <w:sz w:val="18"/>
          <w:szCs w:val="18"/>
        </w:rPr>
        <w:t xml:space="preserve"> (25,0 mld. Kč)</w:t>
      </w:r>
      <w:r w:rsidRPr="000764F0">
        <w:rPr>
          <w:rFonts w:ascii="Arial" w:hAnsi="Arial" w:cs="Arial"/>
          <w:sz w:val="18"/>
          <w:szCs w:val="18"/>
        </w:rPr>
        <w:t>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4D04D0" w:rsidRPr="00047DAF" w:rsidRDefault="004D04D0" w:rsidP="009A574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143C7">
        <w:rPr>
          <w:rFonts w:ascii="Arial" w:hAnsi="Arial" w:cs="Arial"/>
          <w:sz w:val="18"/>
          <w:szCs w:val="18"/>
        </w:rPr>
        <w:t>Ze států EU byl nadprůměrný meziroční růst zřejmý např. u vývozu do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2D30B5" w:rsidRPr="008379BD">
        <w:rPr>
          <w:rFonts w:ascii="Arial" w:hAnsi="Arial" w:cs="Arial"/>
          <w:sz w:val="18"/>
          <w:szCs w:val="18"/>
        </w:rPr>
        <w:t>Lotyšska</w:t>
      </w:r>
      <w:r w:rsidRPr="008379BD">
        <w:rPr>
          <w:rFonts w:ascii="Arial" w:hAnsi="Arial" w:cs="Arial"/>
          <w:sz w:val="18"/>
          <w:szCs w:val="18"/>
        </w:rPr>
        <w:t xml:space="preserve"> (</w:t>
      </w:r>
      <w:r w:rsidR="002D30B5" w:rsidRPr="008379BD">
        <w:rPr>
          <w:rFonts w:ascii="Arial" w:hAnsi="Arial" w:cs="Arial"/>
          <w:sz w:val="18"/>
          <w:szCs w:val="18"/>
        </w:rPr>
        <w:t>17,</w:t>
      </w:r>
      <w:r w:rsidR="008379BD" w:rsidRPr="008379BD">
        <w:rPr>
          <w:rFonts w:ascii="Arial" w:hAnsi="Arial" w:cs="Arial"/>
          <w:sz w:val="18"/>
          <w:szCs w:val="18"/>
        </w:rPr>
        <w:t>5</w:t>
      </w:r>
      <w:r w:rsidRPr="008379BD">
        <w:rPr>
          <w:rFonts w:ascii="Arial" w:hAnsi="Arial" w:cs="Arial"/>
          <w:sz w:val="18"/>
          <w:szCs w:val="18"/>
        </w:rPr>
        <w:t xml:space="preserve"> %),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8379BD" w:rsidRPr="008379BD">
        <w:rPr>
          <w:rFonts w:ascii="Arial" w:hAnsi="Arial" w:cs="Arial"/>
          <w:sz w:val="18"/>
          <w:szCs w:val="18"/>
        </w:rPr>
        <w:t>Maďarska</w:t>
      </w:r>
      <w:r w:rsidRPr="008379BD">
        <w:rPr>
          <w:rFonts w:ascii="Arial" w:hAnsi="Arial" w:cs="Arial"/>
          <w:sz w:val="18"/>
          <w:szCs w:val="18"/>
        </w:rPr>
        <w:t xml:space="preserve"> (</w:t>
      </w:r>
      <w:r w:rsidR="008379BD" w:rsidRPr="008379BD">
        <w:rPr>
          <w:rFonts w:ascii="Arial" w:hAnsi="Arial" w:cs="Arial"/>
          <w:sz w:val="18"/>
          <w:szCs w:val="18"/>
        </w:rPr>
        <w:t>16,9</w:t>
      </w:r>
      <w:r w:rsidRPr="008379BD">
        <w:rPr>
          <w:rFonts w:ascii="Arial" w:hAnsi="Arial" w:cs="Arial"/>
          <w:sz w:val="18"/>
          <w:szCs w:val="18"/>
        </w:rPr>
        <w:t xml:space="preserve"> %),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8379BD">
        <w:rPr>
          <w:rFonts w:ascii="Arial" w:hAnsi="Arial" w:cs="Arial"/>
          <w:sz w:val="18"/>
          <w:szCs w:val="18"/>
        </w:rPr>
        <w:t>Rumunska (</w:t>
      </w:r>
      <w:r w:rsidR="008379BD" w:rsidRPr="008379BD">
        <w:rPr>
          <w:rFonts w:ascii="Arial" w:hAnsi="Arial" w:cs="Arial"/>
          <w:sz w:val="18"/>
          <w:szCs w:val="18"/>
        </w:rPr>
        <w:t>14,4</w:t>
      </w:r>
      <w:r w:rsidRPr="008379BD">
        <w:rPr>
          <w:rFonts w:ascii="Arial" w:hAnsi="Arial" w:cs="Arial"/>
          <w:sz w:val="18"/>
          <w:szCs w:val="18"/>
        </w:rPr>
        <w:t xml:space="preserve"> %)</w:t>
      </w:r>
      <w:r w:rsidR="008379BD" w:rsidRPr="008379BD">
        <w:rPr>
          <w:rFonts w:ascii="Arial" w:hAnsi="Arial" w:cs="Arial"/>
          <w:sz w:val="18"/>
          <w:szCs w:val="18"/>
        </w:rPr>
        <w:t>, Španělska (10,9 %)</w:t>
      </w:r>
      <w:r w:rsidR="008379BD">
        <w:rPr>
          <w:rFonts w:ascii="Arial" w:hAnsi="Arial" w:cs="Arial"/>
          <w:sz w:val="18"/>
          <w:szCs w:val="18"/>
        </w:rPr>
        <w:t>, Bulharska (9,9 %)</w:t>
      </w:r>
      <w:r w:rsidRPr="008379BD">
        <w:rPr>
          <w:rFonts w:ascii="Arial" w:hAnsi="Arial" w:cs="Arial"/>
          <w:sz w:val="18"/>
          <w:szCs w:val="18"/>
        </w:rPr>
        <w:t xml:space="preserve"> a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8379BD">
        <w:rPr>
          <w:rFonts w:ascii="Arial" w:hAnsi="Arial" w:cs="Arial"/>
          <w:sz w:val="18"/>
          <w:szCs w:val="18"/>
        </w:rPr>
        <w:t xml:space="preserve">do </w:t>
      </w:r>
      <w:r w:rsidR="008379BD" w:rsidRPr="008379BD">
        <w:rPr>
          <w:rFonts w:ascii="Arial" w:hAnsi="Arial" w:cs="Arial"/>
          <w:sz w:val="18"/>
          <w:szCs w:val="18"/>
        </w:rPr>
        <w:t>Litvy</w:t>
      </w:r>
      <w:r w:rsidRPr="008379BD">
        <w:rPr>
          <w:rFonts w:ascii="Arial" w:hAnsi="Arial" w:cs="Arial"/>
          <w:sz w:val="18"/>
          <w:szCs w:val="18"/>
        </w:rPr>
        <w:t xml:space="preserve"> (</w:t>
      </w:r>
      <w:r w:rsidR="008379BD" w:rsidRPr="008379BD">
        <w:rPr>
          <w:rFonts w:ascii="Arial" w:hAnsi="Arial" w:cs="Arial"/>
          <w:sz w:val="18"/>
          <w:szCs w:val="18"/>
        </w:rPr>
        <w:t>8,5</w:t>
      </w:r>
      <w:r w:rsidRPr="008379BD">
        <w:rPr>
          <w:rFonts w:ascii="Arial" w:hAnsi="Arial" w:cs="Arial"/>
          <w:sz w:val="18"/>
          <w:szCs w:val="18"/>
        </w:rPr>
        <w:t xml:space="preserve"> %).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E4319">
        <w:rPr>
          <w:rFonts w:ascii="Arial" w:hAnsi="Arial" w:cs="Arial"/>
          <w:sz w:val="18"/>
          <w:szCs w:val="18"/>
        </w:rPr>
        <w:t xml:space="preserve">Meziročním poklesem </w:t>
      </w:r>
      <w:r w:rsidR="00AE4319" w:rsidRPr="00AE4319">
        <w:rPr>
          <w:rFonts w:ascii="Arial" w:hAnsi="Arial" w:cs="Arial"/>
          <w:sz w:val="18"/>
          <w:szCs w:val="18"/>
        </w:rPr>
        <w:t xml:space="preserve">či podprůměrným růstem </w:t>
      </w:r>
      <w:r w:rsidRPr="00AE4319">
        <w:rPr>
          <w:rFonts w:ascii="Arial" w:hAnsi="Arial" w:cs="Arial"/>
          <w:sz w:val="18"/>
          <w:szCs w:val="18"/>
        </w:rPr>
        <w:t xml:space="preserve">byl naopak postižen vývoz do </w:t>
      </w:r>
      <w:r w:rsidR="00AE4319" w:rsidRPr="00AE4319">
        <w:rPr>
          <w:rFonts w:ascii="Arial" w:hAnsi="Arial" w:cs="Arial"/>
          <w:sz w:val="18"/>
          <w:szCs w:val="18"/>
        </w:rPr>
        <w:t>menšího</w:t>
      </w:r>
      <w:r w:rsidRPr="00AE4319">
        <w:rPr>
          <w:rFonts w:ascii="Arial" w:hAnsi="Arial" w:cs="Arial"/>
          <w:sz w:val="18"/>
          <w:szCs w:val="18"/>
        </w:rPr>
        <w:t xml:space="preserve"> počtu států EU (např. </w:t>
      </w:r>
      <w:r w:rsidR="00AE4319">
        <w:rPr>
          <w:rFonts w:ascii="Arial" w:hAnsi="Arial" w:cs="Arial"/>
          <w:sz w:val="18"/>
          <w:szCs w:val="18"/>
        </w:rPr>
        <w:t>Rakouska</w:t>
      </w:r>
      <w:r w:rsidR="00AE4319" w:rsidRPr="00AE4319">
        <w:rPr>
          <w:rFonts w:ascii="Arial" w:hAnsi="Arial" w:cs="Arial"/>
          <w:sz w:val="18"/>
          <w:szCs w:val="18"/>
        </w:rPr>
        <w:t xml:space="preserve">, </w:t>
      </w:r>
      <w:r w:rsidRPr="00AE4319">
        <w:rPr>
          <w:rFonts w:ascii="Arial" w:hAnsi="Arial" w:cs="Arial"/>
          <w:sz w:val="18"/>
          <w:szCs w:val="18"/>
        </w:rPr>
        <w:t xml:space="preserve">Francie, </w:t>
      </w:r>
      <w:r w:rsidR="00AE4319" w:rsidRPr="00AE4319">
        <w:rPr>
          <w:rFonts w:ascii="Arial" w:hAnsi="Arial" w:cs="Arial"/>
          <w:sz w:val="18"/>
          <w:szCs w:val="18"/>
        </w:rPr>
        <w:t>Slovenska, Nizozemska</w:t>
      </w:r>
      <w:r w:rsidR="005D427E">
        <w:rPr>
          <w:rFonts w:ascii="Arial" w:hAnsi="Arial" w:cs="Arial"/>
          <w:sz w:val="18"/>
          <w:szCs w:val="18"/>
        </w:rPr>
        <w:t xml:space="preserve"> a </w:t>
      </w:r>
      <w:r w:rsidRPr="00AE4319">
        <w:rPr>
          <w:rFonts w:ascii="Arial" w:hAnsi="Arial" w:cs="Arial"/>
          <w:sz w:val="18"/>
          <w:szCs w:val="18"/>
        </w:rPr>
        <w:t>Finska).</w:t>
      </w:r>
      <w:r w:rsidR="00B2160A" w:rsidRPr="00AE4319">
        <w:rPr>
          <w:rFonts w:ascii="Arial" w:hAnsi="Arial" w:cs="Arial"/>
          <w:sz w:val="18"/>
          <w:szCs w:val="18"/>
        </w:rPr>
        <w:t xml:space="preserve"> </w:t>
      </w:r>
      <w:r w:rsidRPr="009143C7">
        <w:rPr>
          <w:rFonts w:ascii="Arial" w:hAnsi="Arial" w:cs="Arial"/>
          <w:sz w:val="18"/>
          <w:szCs w:val="18"/>
        </w:rPr>
        <w:t xml:space="preserve">Ze států mimo EU stojí za zaznamenání </w:t>
      </w:r>
      <w:r w:rsidR="00AE4319">
        <w:rPr>
          <w:rFonts w:ascii="Arial" w:hAnsi="Arial" w:cs="Arial"/>
          <w:sz w:val="18"/>
          <w:szCs w:val="18"/>
        </w:rPr>
        <w:t xml:space="preserve">výrazné meziroční změny </w:t>
      </w:r>
      <w:r w:rsidRPr="009143C7">
        <w:rPr>
          <w:rFonts w:ascii="Arial" w:hAnsi="Arial" w:cs="Arial"/>
          <w:sz w:val="18"/>
          <w:szCs w:val="18"/>
        </w:rPr>
        <w:t xml:space="preserve">vývozu </w:t>
      </w:r>
      <w:r w:rsidR="00AE4319">
        <w:rPr>
          <w:rFonts w:ascii="Arial" w:hAnsi="Arial" w:cs="Arial"/>
          <w:sz w:val="18"/>
          <w:szCs w:val="18"/>
        </w:rPr>
        <w:t xml:space="preserve">v roce 2013 proti roku 2012 </w:t>
      </w:r>
      <w:r w:rsidR="00047DAF">
        <w:rPr>
          <w:rFonts w:ascii="Arial" w:hAnsi="Arial" w:cs="Arial"/>
          <w:sz w:val="18"/>
          <w:szCs w:val="18"/>
        </w:rPr>
        <w:t>u</w:t>
      </w:r>
      <w:r w:rsidR="005D427E">
        <w:rPr>
          <w:rFonts w:ascii="Arial" w:hAnsi="Arial" w:cs="Arial"/>
          <w:color w:val="FF0000"/>
          <w:sz w:val="18"/>
          <w:szCs w:val="18"/>
        </w:rPr>
        <w:t> </w:t>
      </w:r>
      <w:r w:rsidRPr="00AE4319">
        <w:rPr>
          <w:rFonts w:ascii="Arial" w:hAnsi="Arial" w:cs="Arial"/>
          <w:sz w:val="18"/>
          <w:szCs w:val="18"/>
        </w:rPr>
        <w:t>Korejské republiky (</w:t>
      </w:r>
      <w:r w:rsidR="00047DAF">
        <w:rPr>
          <w:rFonts w:ascii="Arial" w:hAnsi="Arial" w:cs="Arial"/>
          <w:sz w:val="18"/>
          <w:szCs w:val="18"/>
        </w:rPr>
        <w:t xml:space="preserve">přírůstek </w:t>
      </w:r>
      <w:r w:rsidR="00AE4319" w:rsidRPr="00AE4319">
        <w:rPr>
          <w:rFonts w:ascii="Arial" w:hAnsi="Arial" w:cs="Arial"/>
          <w:sz w:val="18"/>
          <w:szCs w:val="18"/>
        </w:rPr>
        <w:t>4,2</w:t>
      </w:r>
      <w:r w:rsidRPr="00AE4319">
        <w:rPr>
          <w:rFonts w:ascii="Arial" w:hAnsi="Arial" w:cs="Arial"/>
          <w:sz w:val="18"/>
          <w:szCs w:val="18"/>
        </w:rPr>
        <w:t xml:space="preserve"> %</w:t>
      </w:r>
      <w:r w:rsidR="00AE4319">
        <w:rPr>
          <w:rFonts w:ascii="Arial" w:hAnsi="Arial" w:cs="Arial"/>
          <w:sz w:val="18"/>
          <w:szCs w:val="18"/>
        </w:rPr>
        <w:t xml:space="preserve"> v roce 2013 proti 37,8 % v roce 2012</w:t>
      </w:r>
      <w:r w:rsidRPr="00047DAF">
        <w:rPr>
          <w:rFonts w:ascii="Arial" w:hAnsi="Arial" w:cs="Arial"/>
          <w:sz w:val="18"/>
          <w:szCs w:val="18"/>
        </w:rPr>
        <w:t xml:space="preserve">), </w:t>
      </w:r>
      <w:r w:rsidR="00A12A83">
        <w:rPr>
          <w:rFonts w:ascii="Arial" w:hAnsi="Arial" w:cs="Arial"/>
          <w:sz w:val="18"/>
          <w:szCs w:val="18"/>
        </w:rPr>
        <w:t>u</w:t>
      </w:r>
      <w:r w:rsidRPr="00047DAF">
        <w:rPr>
          <w:rFonts w:ascii="Arial" w:hAnsi="Arial" w:cs="Arial"/>
          <w:sz w:val="18"/>
          <w:szCs w:val="18"/>
        </w:rPr>
        <w:t xml:space="preserve"> Ukrajin</w:t>
      </w:r>
      <w:r w:rsidR="00A12A83">
        <w:rPr>
          <w:rFonts w:ascii="Arial" w:hAnsi="Arial" w:cs="Arial"/>
          <w:sz w:val="18"/>
          <w:szCs w:val="18"/>
        </w:rPr>
        <w:t>y</w:t>
      </w:r>
      <w:r w:rsidRPr="00047DAF">
        <w:rPr>
          <w:rFonts w:ascii="Arial" w:hAnsi="Arial" w:cs="Arial"/>
          <w:sz w:val="18"/>
          <w:szCs w:val="18"/>
        </w:rPr>
        <w:t xml:space="preserve"> (</w:t>
      </w:r>
      <w:r w:rsidR="00AE4319" w:rsidRPr="00047DAF">
        <w:rPr>
          <w:rFonts w:ascii="Arial" w:hAnsi="Arial" w:cs="Arial"/>
          <w:sz w:val="18"/>
          <w:szCs w:val="18"/>
        </w:rPr>
        <w:t>pokles o 0,3</w:t>
      </w:r>
      <w:r w:rsidR="00AA3E9A">
        <w:rPr>
          <w:rFonts w:ascii="Arial" w:hAnsi="Arial" w:cs="Arial"/>
          <w:sz w:val="18"/>
          <w:szCs w:val="18"/>
        </w:rPr>
        <w:t xml:space="preserve"> </w:t>
      </w:r>
      <w:r w:rsidR="00AE4319" w:rsidRPr="00047DAF">
        <w:rPr>
          <w:rFonts w:ascii="Arial" w:hAnsi="Arial" w:cs="Arial"/>
          <w:sz w:val="18"/>
          <w:szCs w:val="18"/>
        </w:rPr>
        <w:t xml:space="preserve">% proti přírůstku </w:t>
      </w:r>
      <w:r w:rsidRPr="00047DAF">
        <w:rPr>
          <w:rFonts w:ascii="Arial" w:hAnsi="Arial" w:cs="Arial"/>
          <w:sz w:val="18"/>
          <w:szCs w:val="18"/>
        </w:rPr>
        <w:t>36,6 %), Ruska (</w:t>
      </w:r>
      <w:r w:rsidR="00AE4319" w:rsidRPr="00047DAF">
        <w:rPr>
          <w:rFonts w:ascii="Arial" w:hAnsi="Arial" w:cs="Arial"/>
          <w:sz w:val="18"/>
          <w:szCs w:val="18"/>
        </w:rPr>
        <w:t>pokles o 1,6</w:t>
      </w:r>
      <w:r w:rsidR="00AA3E9A">
        <w:rPr>
          <w:rFonts w:ascii="Arial" w:hAnsi="Arial" w:cs="Arial"/>
          <w:sz w:val="18"/>
          <w:szCs w:val="18"/>
        </w:rPr>
        <w:t xml:space="preserve"> </w:t>
      </w:r>
      <w:r w:rsidR="00AE4319" w:rsidRPr="00047DAF">
        <w:rPr>
          <w:rFonts w:ascii="Arial" w:hAnsi="Arial" w:cs="Arial"/>
          <w:sz w:val="18"/>
          <w:szCs w:val="18"/>
        </w:rPr>
        <w:t xml:space="preserve">% proti </w:t>
      </w:r>
      <w:r w:rsidR="00047DAF" w:rsidRPr="00047DAF">
        <w:rPr>
          <w:rFonts w:ascii="Arial" w:hAnsi="Arial" w:cs="Arial"/>
          <w:sz w:val="18"/>
          <w:szCs w:val="18"/>
        </w:rPr>
        <w:t xml:space="preserve">přírůstku </w:t>
      </w:r>
      <w:r w:rsidRPr="00047DAF">
        <w:rPr>
          <w:rFonts w:ascii="Arial" w:hAnsi="Arial" w:cs="Arial"/>
          <w:sz w:val="18"/>
          <w:szCs w:val="18"/>
        </w:rPr>
        <w:t>27,4 %), Spojených států (</w:t>
      </w:r>
      <w:r w:rsidR="00047DAF" w:rsidRPr="00047DAF">
        <w:rPr>
          <w:rFonts w:ascii="Arial" w:hAnsi="Arial" w:cs="Arial"/>
          <w:sz w:val="18"/>
          <w:szCs w:val="18"/>
        </w:rPr>
        <w:t>pokles o 1,4 % proti přírůstku 25,4 %).</w:t>
      </w:r>
    </w:p>
    <w:p w:rsidR="004D04D0" w:rsidRPr="006C2CE0" w:rsidRDefault="004D04D0" w:rsidP="00163982">
      <w:pPr>
        <w:spacing w:after="80"/>
        <w:jc w:val="both"/>
        <w:rPr>
          <w:rFonts w:ascii="Arial" w:hAnsi="Arial" w:cs="Arial"/>
          <w:b/>
          <w:i/>
          <w:sz w:val="18"/>
          <w:szCs w:val="18"/>
        </w:rPr>
      </w:pPr>
      <w:r w:rsidRPr="006C2CE0">
        <w:rPr>
          <w:rFonts w:ascii="Arial" w:hAnsi="Arial" w:cs="Arial"/>
          <w:b/>
          <w:i/>
          <w:sz w:val="18"/>
          <w:szCs w:val="18"/>
        </w:rPr>
        <w:t xml:space="preserve">Graf </w:t>
      </w:r>
      <w:r w:rsidR="00FB5A36">
        <w:rPr>
          <w:rFonts w:ascii="Arial" w:hAnsi="Arial" w:cs="Arial"/>
          <w:b/>
          <w:i/>
          <w:sz w:val="18"/>
          <w:szCs w:val="18"/>
        </w:rPr>
        <w:t>6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- Teritoriální struktura vývozu a dovozu v roce 201</w:t>
      </w:r>
      <w:r>
        <w:rPr>
          <w:rFonts w:ascii="Arial" w:hAnsi="Arial" w:cs="Arial"/>
          <w:b/>
          <w:i/>
          <w:sz w:val="18"/>
          <w:szCs w:val="18"/>
        </w:rPr>
        <w:t>3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(podíly v %)</w:t>
      </w:r>
    </w:p>
    <w:p w:rsidR="004D04D0" w:rsidRPr="006C2CE0" w:rsidRDefault="004D04D0" w:rsidP="00163982">
      <w:pPr>
        <w:spacing w:after="80"/>
        <w:jc w:val="both"/>
        <w:rPr>
          <w:rFonts w:ascii="Arial" w:hAnsi="Arial" w:cs="Arial"/>
          <w:i/>
          <w:sz w:val="18"/>
          <w:szCs w:val="18"/>
        </w:rPr>
      </w:pPr>
      <w:r w:rsidRPr="00D651E6">
        <w:rPr>
          <w:rFonts w:ascii="Arial" w:hAnsi="Arial" w:cs="Arial"/>
          <w:i/>
          <w:color w:val="FF0000"/>
          <w:sz w:val="18"/>
          <w:szCs w:val="18"/>
        </w:rPr>
        <w:tab/>
      </w:r>
      <w:r w:rsidRPr="00D651E6">
        <w:rPr>
          <w:rFonts w:ascii="Arial" w:hAnsi="Arial" w:cs="Arial"/>
          <w:i/>
          <w:color w:val="FF0000"/>
          <w:sz w:val="18"/>
          <w:szCs w:val="18"/>
        </w:rPr>
        <w:tab/>
      </w:r>
      <w:r w:rsidRPr="00D651E6">
        <w:rPr>
          <w:rFonts w:ascii="Arial" w:hAnsi="Arial" w:cs="Arial"/>
          <w:i/>
          <w:color w:val="FF0000"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 xml:space="preserve">        vývoz</w:t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  <w:t xml:space="preserve">          dovoz</w:t>
      </w:r>
    </w:p>
    <w:p w:rsidR="004D04D0" w:rsidRPr="00D651E6" w:rsidRDefault="004D04D0" w:rsidP="00776ACB">
      <w:pPr>
        <w:spacing w:after="80"/>
        <w:jc w:val="both"/>
        <w:rPr>
          <w:rFonts w:ascii="Arial" w:hAnsi="Arial" w:cs="Arial"/>
          <w:color w:val="FF0000"/>
          <w:sz w:val="18"/>
          <w:szCs w:val="18"/>
        </w:rPr>
      </w:pPr>
      <w:r w:rsidRPr="00D651E6">
        <w:rPr>
          <w:rFonts w:ascii="Arial" w:hAnsi="Arial" w:cs="Arial"/>
          <w:color w:val="FF0000"/>
          <w:sz w:val="18"/>
          <w:szCs w:val="18"/>
        </w:rPr>
        <w:t xml:space="preserve">            </w:t>
      </w:r>
      <w:r w:rsidR="00837A19" w:rsidRPr="00F8628E">
        <w:rPr>
          <w:rFonts w:ascii="Arial" w:hAnsi="Arial" w:cs="Arial"/>
          <w:color w:val="FF0000"/>
          <w:sz w:val="18"/>
          <w:szCs w:val="18"/>
        </w:rPr>
        <w:pict>
          <v:shape id="_x0000_i1031" type="#_x0000_t75" style="width:177.3pt;height:130.4pt">
            <v:imagedata r:id="rId14" o:title=""/>
          </v:shape>
        </w:pict>
      </w:r>
      <w:r w:rsidR="00EC3152">
        <w:rPr>
          <w:rFonts w:ascii="Arial" w:hAnsi="Arial" w:cs="Arial"/>
          <w:color w:val="FF0000"/>
          <w:sz w:val="18"/>
          <w:szCs w:val="18"/>
        </w:rPr>
        <w:t xml:space="preserve">                </w:t>
      </w:r>
      <w:r w:rsidR="00837A19" w:rsidRPr="00F8628E">
        <w:rPr>
          <w:rFonts w:ascii="Arial" w:hAnsi="Arial" w:cs="Arial"/>
          <w:color w:val="FF0000"/>
          <w:sz w:val="18"/>
          <w:szCs w:val="18"/>
        </w:rPr>
        <w:pict>
          <v:shape id="_x0000_i1032" type="#_x0000_t75" style="width:177.3pt;height:130.4pt">
            <v:imagedata r:id="rId15" o:title=""/>
          </v:shape>
        </w:pict>
      </w:r>
    </w:p>
    <w:p w:rsidR="00DD2489" w:rsidRDefault="004D04D0" w:rsidP="00163982">
      <w:pPr>
        <w:spacing w:before="160"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8703AB">
        <w:rPr>
          <w:rFonts w:ascii="Arial" w:hAnsi="Arial" w:cs="Arial"/>
          <w:b/>
          <w:sz w:val="18"/>
          <w:szCs w:val="18"/>
        </w:rPr>
        <w:t xml:space="preserve">Dovoz </w:t>
      </w:r>
      <w:r w:rsidRPr="008703AB">
        <w:rPr>
          <w:rFonts w:ascii="Arial" w:hAnsi="Arial" w:cs="Arial"/>
          <w:sz w:val="18"/>
          <w:szCs w:val="18"/>
        </w:rPr>
        <w:t>ze států EU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703AB">
        <w:rPr>
          <w:rFonts w:ascii="Arial" w:hAnsi="Arial" w:cs="Arial"/>
          <w:sz w:val="18"/>
          <w:szCs w:val="18"/>
        </w:rPr>
        <w:t xml:space="preserve">meziročně vzrostl </w:t>
      </w:r>
      <w:r w:rsidRPr="00047DAF">
        <w:rPr>
          <w:rFonts w:ascii="Arial" w:hAnsi="Arial" w:cs="Arial"/>
          <w:sz w:val="18"/>
          <w:szCs w:val="18"/>
        </w:rPr>
        <w:t>o 3,</w:t>
      </w:r>
      <w:r w:rsidR="00047DAF" w:rsidRPr="00047DAF">
        <w:rPr>
          <w:rFonts w:ascii="Arial" w:hAnsi="Arial" w:cs="Arial"/>
          <w:sz w:val="18"/>
          <w:szCs w:val="18"/>
        </w:rPr>
        <w:t>4</w:t>
      </w:r>
      <w:r w:rsidRPr="00047DAF">
        <w:rPr>
          <w:rFonts w:ascii="Arial" w:hAnsi="Arial" w:cs="Arial"/>
          <w:sz w:val="18"/>
          <w:szCs w:val="18"/>
        </w:rPr>
        <w:t xml:space="preserve"> %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047DAF">
        <w:rPr>
          <w:rFonts w:ascii="Arial" w:hAnsi="Arial" w:cs="Arial"/>
          <w:sz w:val="18"/>
          <w:szCs w:val="18"/>
        </w:rPr>
        <w:t>(</w:t>
      </w:r>
      <w:r w:rsidR="00047DAF" w:rsidRPr="00047DAF">
        <w:rPr>
          <w:rFonts w:ascii="Arial" w:hAnsi="Arial" w:cs="Arial"/>
          <w:sz w:val="18"/>
          <w:szCs w:val="18"/>
        </w:rPr>
        <w:t>61,3</w:t>
      </w:r>
      <w:r w:rsidRPr="00047DAF">
        <w:rPr>
          <w:rFonts w:ascii="Arial" w:hAnsi="Arial" w:cs="Arial"/>
          <w:sz w:val="18"/>
          <w:szCs w:val="18"/>
        </w:rPr>
        <w:t xml:space="preserve"> mld. Kč)</w:t>
      </w:r>
      <w:r w:rsidRPr="008703AB">
        <w:rPr>
          <w:rFonts w:ascii="Arial" w:hAnsi="Arial" w:cs="Arial"/>
          <w:sz w:val="18"/>
          <w:szCs w:val="18"/>
        </w:rPr>
        <w:t xml:space="preserve"> a činil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="00B359FC" w:rsidRPr="00B359FC">
        <w:rPr>
          <w:rFonts w:ascii="Arial" w:hAnsi="Arial" w:cs="Arial"/>
          <w:sz w:val="18"/>
          <w:szCs w:val="18"/>
        </w:rPr>
        <w:t>1 840,9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8703AB">
        <w:rPr>
          <w:rFonts w:ascii="Arial" w:hAnsi="Arial" w:cs="Arial"/>
          <w:sz w:val="18"/>
          <w:szCs w:val="18"/>
        </w:rPr>
        <w:t>mld. Kč</w:t>
      </w:r>
      <w:r>
        <w:rPr>
          <w:rFonts w:ascii="Arial" w:hAnsi="Arial" w:cs="Arial"/>
          <w:color w:val="FF0000"/>
          <w:sz w:val="18"/>
          <w:szCs w:val="18"/>
        </w:rPr>
        <w:t xml:space="preserve">. </w:t>
      </w:r>
      <w:r w:rsidR="008D5243">
        <w:rPr>
          <w:rFonts w:ascii="Arial" w:hAnsi="Arial" w:cs="Arial"/>
          <w:sz w:val="18"/>
          <w:szCs w:val="18"/>
        </w:rPr>
        <w:t xml:space="preserve">Naopak dovoz ze států mimo EU </w:t>
      </w:r>
      <w:r w:rsidRPr="00B359FC">
        <w:rPr>
          <w:rFonts w:ascii="Arial" w:hAnsi="Arial" w:cs="Arial"/>
          <w:sz w:val="18"/>
          <w:szCs w:val="18"/>
        </w:rPr>
        <w:t>klesl o 0,</w:t>
      </w:r>
      <w:r w:rsidR="00B359FC" w:rsidRPr="00B359FC">
        <w:rPr>
          <w:rFonts w:ascii="Arial" w:hAnsi="Arial" w:cs="Arial"/>
          <w:sz w:val="18"/>
          <w:szCs w:val="18"/>
        </w:rPr>
        <w:t>7</w:t>
      </w:r>
      <w:r w:rsidRPr="00B359FC">
        <w:rPr>
          <w:rFonts w:ascii="Arial" w:hAnsi="Arial" w:cs="Arial"/>
          <w:sz w:val="18"/>
          <w:szCs w:val="18"/>
        </w:rPr>
        <w:t xml:space="preserve"> % (</w:t>
      </w:r>
      <w:r w:rsidR="00B359FC" w:rsidRPr="00B359FC">
        <w:rPr>
          <w:rFonts w:ascii="Arial" w:hAnsi="Arial" w:cs="Arial"/>
          <w:sz w:val="18"/>
          <w:szCs w:val="18"/>
        </w:rPr>
        <w:t>6,7</w:t>
      </w:r>
      <w:r w:rsidRPr="00B359FC">
        <w:rPr>
          <w:rFonts w:ascii="Arial" w:hAnsi="Arial" w:cs="Arial"/>
          <w:sz w:val="18"/>
          <w:szCs w:val="18"/>
        </w:rPr>
        <w:t xml:space="preserve"> mld</w:t>
      </w:r>
      <w:r w:rsidRPr="00FE4DFC">
        <w:rPr>
          <w:rFonts w:ascii="Arial" w:hAnsi="Arial" w:cs="Arial"/>
          <w:sz w:val="18"/>
          <w:szCs w:val="18"/>
        </w:rPr>
        <w:t>. Kč)</w:t>
      </w:r>
      <w:r w:rsidR="00AA3E9A">
        <w:rPr>
          <w:rFonts w:ascii="Arial" w:hAnsi="Arial" w:cs="Arial"/>
          <w:sz w:val="18"/>
          <w:szCs w:val="18"/>
        </w:rPr>
        <w:t xml:space="preserve"> na </w:t>
      </w:r>
      <w:r w:rsidR="00AA3E9A" w:rsidRPr="00B359FC">
        <w:rPr>
          <w:rFonts w:ascii="Arial" w:hAnsi="Arial" w:cs="Arial"/>
          <w:sz w:val="18"/>
          <w:szCs w:val="18"/>
        </w:rPr>
        <w:t>968,4</w:t>
      </w:r>
      <w:r w:rsidR="00AA3E9A" w:rsidRPr="00FE4DFC">
        <w:rPr>
          <w:rFonts w:ascii="Arial" w:hAnsi="Arial" w:cs="Arial"/>
          <w:sz w:val="18"/>
          <w:szCs w:val="18"/>
        </w:rPr>
        <w:t xml:space="preserve"> mld. Kč</w:t>
      </w:r>
      <w:r w:rsidRPr="00FE4DF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4D04D0" w:rsidRDefault="00163982" w:rsidP="009A574F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4D04D0" w:rsidRPr="009143C7">
        <w:rPr>
          <w:rFonts w:ascii="Arial" w:hAnsi="Arial" w:cs="Arial"/>
          <w:sz w:val="18"/>
          <w:szCs w:val="18"/>
        </w:rPr>
        <w:t xml:space="preserve">adprůměrný meziroční přírůstek </w:t>
      </w:r>
      <w:r>
        <w:rPr>
          <w:rFonts w:ascii="Arial" w:hAnsi="Arial" w:cs="Arial"/>
          <w:sz w:val="18"/>
          <w:szCs w:val="18"/>
        </w:rPr>
        <w:t>z</w:t>
      </w:r>
      <w:r w:rsidRPr="009143C7">
        <w:rPr>
          <w:rFonts w:ascii="Arial" w:hAnsi="Arial" w:cs="Arial"/>
          <w:sz w:val="18"/>
          <w:szCs w:val="18"/>
        </w:rPr>
        <w:t xml:space="preserve">e států EU byl </w:t>
      </w:r>
      <w:r w:rsidR="004D04D0" w:rsidRPr="009143C7">
        <w:rPr>
          <w:rFonts w:ascii="Arial" w:hAnsi="Arial" w:cs="Arial"/>
          <w:sz w:val="18"/>
          <w:szCs w:val="18"/>
        </w:rPr>
        <w:t>patrný např. u dovozu</w:t>
      </w:r>
      <w:r w:rsidR="004D04D0"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4D04D0" w:rsidRPr="00B359FC">
        <w:rPr>
          <w:rFonts w:ascii="Arial" w:hAnsi="Arial" w:cs="Arial"/>
          <w:sz w:val="18"/>
          <w:szCs w:val="18"/>
        </w:rPr>
        <w:t xml:space="preserve">z </w:t>
      </w:r>
      <w:r w:rsidR="00B359FC">
        <w:rPr>
          <w:rFonts w:ascii="Arial" w:hAnsi="Arial" w:cs="Arial"/>
          <w:sz w:val="18"/>
          <w:szCs w:val="18"/>
        </w:rPr>
        <w:t xml:space="preserve">Lotyšska (57,9 %), </w:t>
      </w:r>
      <w:r w:rsidR="00B359FC" w:rsidRPr="00B359FC">
        <w:rPr>
          <w:rFonts w:ascii="Arial" w:hAnsi="Arial" w:cs="Arial"/>
          <w:sz w:val="18"/>
          <w:szCs w:val="18"/>
        </w:rPr>
        <w:t>Rumunska</w:t>
      </w:r>
      <w:r w:rsidR="004D04D0" w:rsidRPr="00B359FC">
        <w:rPr>
          <w:rFonts w:ascii="Arial" w:hAnsi="Arial" w:cs="Arial"/>
          <w:sz w:val="18"/>
          <w:szCs w:val="18"/>
        </w:rPr>
        <w:t xml:space="preserve"> (</w:t>
      </w:r>
      <w:r w:rsidR="00B359FC">
        <w:rPr>
          <w:rFonts w:ascii="Arial" w:hAnsi="Arial" w:cs="Arial"/>
          <w:sz w:val="18"/>
          <w:szCs w:val="18"/>
        </w:rPr>
        <w:t>32,4</w:t>
      </w:r>
      <w:r w:rsidR="004D04D0" w:rsidRPr="00B359FC">
        <w:rPr>
          <w:rFonts w:ascii="Arial" w:hAnsi="Arial" w:cs="Arial"/>
          <w:sz w:val="18"/>
          <w:szCs w:val="18"/>
        </w:rPr>
        <w:t xml:space="preserve"> %)</w:t>
      </w:r>
      <w:r w:rsidR="005D427E">
        <w:rPr>
          <w:rFonts w:ascii="Arial" w:hAnsi="Arial" w:cs="Arial"/>
          <w:sz w:val="18"/>
          <w:szCs w:val="18"/>
        </w:rPr>
        <w:t xml:space="preserve"> a z </w:t>
      </w:r>
      <w:r w:rsidR="00B359FC">
        <w:rPr>
          <w:rFonts w:ascii="Arial" w:hAnsi="Arial" w:cs="Arial"/>
          <w:sz w:val="18"/>
          <w:szCs w:val="18"/>
        </w:rPr>
        <w:t>Litvy (27,1 %)</w:t>
      </w:r>
      <w:r w:rsidR="004D04D0" w:rsidRPr="00B359FC">
        <w:rPr>
          <w:rFonts w:ascii="Arial" w:hAnsi="Arial" w:cs="Arial"/>
          <w:sz w:val="18"/>
          <w:szCs w:val="18"/>
        </w:rPr>
        <w:t>,</w:t>
      </w:r>
      <w:r w:rsidR="004D04D0"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4D04D0" w:rsidRPr="00B359FC">
        <w:rPr>
          <w:rFonts w:ascii="Arial" w:hAnsi="Arial" w:cs="Arial"/>
          <w:sz w:val="18"/>
          <w:szCs w:val="18"/>
        </w:rPr>
        <w:t>k meziročnímu snížení došlo u dovozu z</w:t>
      </w:r>
      <w:r w:rsidR="00B359FC">
        <w:rPr>
          <w:rFonts w:ascii="Arial" w:hAnsi="Arial" w:cs="Arial"/>
          <w:sz w:val="18"/>
          <w:szCs w:val="18"/>
        </w:rPr>
        <w:t xml:space="preserve"> </w:t>
      </w:r>
      <w:r w:rsidR="00B359FC" w:rsidRPr="00B359FC">
        <w:rPr>
          <w:rFonts w:ascii="Arial" w:hAnsi="Arial" w:cs="Arial"/>
          <w:sz w:val="18"/>
          <w:szCs w:val="18"/>
        </w:rPr>
        <w:t>Finska (8,0%)</w:t>
      </w:r>
      <w:r w:rsidR="0066724E">
        <w:rPr>
          <w:rFonts w:ascii="Arial" w:hAnsi="Arial" w:cs="Arial"/>
          <w:sz w:val="18"/>
          <w:szCs w:val="18"/>
        </w:rPr>
        <w:t xml:space="preserve">, </w:t>
      </w:r>
      <w:r w:rsidR="00B359FC">
        <w:rPr>
          <w:rFonts w:ascii="Arial" w:hAnsi="Arial" w:cs="Arial"/>
          <w:sz w:val="18"/>
          <w:szCs w:val="18"/>
        </w:rPr>
        <w:t>Nizozemska (4,1</w:t>
      </w:r>
      <w:r w:rsidR="004D04D0"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4D04D0" w:rsidRPr="0066724E">
        <w:rPr>
          <w:rFonts w:ascii="Arial" w:hAnsi="Arial" w:cs="Arial"/>
          <w:sz w:val="18"/>
          <w:szCs w:val="18"/>
        </w:rPr>
        <w:t xml:space="preserve">%) a </w:t>
      </w:r>
      <w:r w:rsidR="0066724E" w:rsidRPr="0066724E">
        <w:rPr>
          <w:rFonts w:ascii="Arial" w:hAnsi="Arial" w:cs="Arial"/>
          <w:sz w:val="18"/>
          <w:szCs w:val="18"/>
        </w:rPr>
        <w:t>Slovenska (</w:t>
      </w:r>
      <w:r w:rsidR="0066724E" w:rsidRPr="00B359FC">
        <w:rPr>
          <w:rFonts w:ascii="Arial" w:hAnsi="Arial" w:cs="Arial"/>
          <w:sz w:val="18"/>
          <w:szCs w:val="18"/>
        </w:rPr>
        <w:t>3,8 %)</w:t>
      </w:r>
      <w:r w:rsidR="0066724E">
        <w:rPr>
          <w:rFonts w:ascii="Arial" w:hAnsi="Arial" w:cs="Arial"/>
          <w:sz w:val="18"/>
          <w:szCs w:val="18"/>
        </w:rPr>
        <w:t>.</w:t>
      </w:r>
      <w:r w:rsidR="0066724E"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4D04D0" w:rsidRPr="0066724E">
        <w:rPr>
          <w:rFonts w:ascii="Arial" w:hAnsi="Arial" w:cs="Arial"/>
          <w:sz w:val="18"/>
          <w:szCs w:val="18"/>
        </w:rPr>
        <w:t xml:space="preserve">Dovoz z Německa vzrostl o </w:t>
      </w:r>
      <w:r w:rsidR="0066724E">
        <w:rPr>
          <w:rFonts w:ascii="Arial" w:hAnsi="Arial" w:cs="Arial"/>
          <w:sz w:val="18"/>
          <w:szCs w:val="18"/>
        </w:rPr>
        <w:t>3,4</w:t>
      </w:r>
      <w:r w:rsidR="004D04D0" w:rsidRPr="0066724E">
        <w:rPr>
          <w:rFonts w:ascii="Arial" w:hAnsi="Arial" w:cs="Arial"/>
          <w:sz w:val="18"/>
          <w:szCs w:val="18"/>
        </w:rPr>
        <w:t xml:space="preserve"> % a dovoz z Rakouska </w:t>
      </w:r>
      <w:r w:rsidR="0066724E" w:rsidRPr="0066724E">
        <w:rPr>
          <w:rFonts w:ascii="Arial" w:hAnsi="Arial" w:cs="Arial"/>
          <w:sz w:val="18"/>
          <w:szCs w:val="18"/>
        </w:rPr>
        <w:t>klesl o 1,7 %</w:t>
      </w:r>
      <w:r w:rsidR="004D04D0" w:rsidRPr="0066724E">
        <w:rPr>
          <w:rFonts w:ascii="Arial" w:hAnsi="Arial" w:cs="Arial"/>
          <w:sz w:val="18"/>
          <w:szCs w:val="18"/>
        </w:rPr>
        <w:t>. Dovoz</w:t>
      </w:r>
      <w:r w:rsidR="004D04D0" w:rsidRPr="009143C7">
        <w:rPr>
          <w:rFonts w:ascii="Arial" w:hAnsi="Arial" w:cs="Arial"/>
          <w:sz w:val="18"/>
          <w:szCs w:val="18"/>
        </w:rPr>
        <w:t xml:space="preserve"> ze států mimo EU byl ovlivněn </w:t>
      </w:r>
      <w:r w:rsidR="004D04D0" w:rsidRPr="0066724E">
        <w:rPr>
          <w:rFonts w:ascii="Arial" w:hAnsi="Arial" w:cs="Arial"/>
          <w:sz w:val="18"/>
          <w:szCs w:val="18"/>
        </w:rPr>
        <w:t xml:space="preserve">především meziročním poklesem dovozu z </w:t>
      </w:r>
      <w:r w:rsidR="0066724E">
        <w:rPr>
          <w:rFonts w:ascii="Arial" w:hAnsi="Arial" w:cs="Arial"/>
          <w:sz w:val="18"/>
          <w:szCs w:val="18"/>
        </w:rPr>
        <w:t xml:space="preserve">Ázerbájdžánu (16,1 %), Korejské republiky (3,2 %), </w:t>
      </w:r>
      <w:r w:rsidR="0066724E" w:rsidRPr="0066724E">
        <w:rPr>
          <w:rFonts w:ascii="Arial" w:hAnsi="Arial" w:cs="Arial"/>
          <w:sz w:val="18"/>
          <w:szCs w:val="18"/>
        </w:rPr>
        <w:t>Ruska</w:t>
      </w:r>
      <w:r w:rsidR="004D04D0" w:rsidRPr="0066724E">
        <w:rPr>
          <w:rFonts w:ascii="Arial" w:hAnsi="Arial" w:cs="Arial"/>
          <w:sz w:val="18"/>
          <w:szCs w:val="18"/>
        </w:rPr>
        <w:t xml:space="preserve"> (</w:t>
      </w:r>
      <w:r w:rsidR="0066724E" w:rsidRPr="0066724E">
        <w:rPr>
          <w:rFonts w:ascii="Arial" w:hAnsi="Arial" w:cs="Arial"/>
          <w:sz w:val="18"/>
          <w:szCs w:val="18"/>
        </w:rPr>
        <w:t>1,8</w:t>
      </w:r>
      <w:r w:rsidR="004D04D0" w:rsidRPr="0066724E">
        <w:rPr>
          <w:rFonts w:ascii="Arial" w:hAnsi="Arial" w:cs="Arial"/>
          <w:sz w:val="18"/>
          <w:szCs w:val="18"/>
        </w:rPr>
        <w:t xml:space="preserve"> %)</w:t>
      </w:r>
      <w:r w:rsidR="0066724E">
        <w:rPr>
          <w:rFonts w:ascii="Arial" w:hAnsi="Arial" w:cs="Arial"/>
          <w:sz w:val="18"/>
          <w:szCs w:val="18"/>
        </w:rPr>
        <w:t xml:space="preserve"> a Číny (1,0 %)</w:t>
      </w:r>
      <w:r w:rsidR="00F40A6A">
        <w:rPr>
          <w:rFonts w:ascii="Arial" w:hAnsi="Arial" w:cs="Arial"/>
          <w:sz w:val="18"/>
          <w:szCs w:val="18"/>
        </w:rPr>
        <w:t>. Meziroční růst naopak zaznamenal dovoz ze Srbska (78,6 %) a Vietnamu (20,1 %).</w:t>
      </w:r>
    </w:p>
    <w:p w:rsidR="00A856AE" w:rsidRDefault="001C64E4" w:rsidP="00A856AE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6C2CE0">
        <w:rPr>
          <w:rFonts w:ascii="Arial" w:hAnsi="Arial" w:cs="Arial"/>
          <w:b/>
          <w:i/>
          <w:sz w:val="18"/>
          <w:szCs w:val="18"/>
        </w:rPr>
        <w:t xml:space="preserve">Graf </w:t>
      </w:r>
      <w:r w:rsidR="005C2345">
        <w:rPr>
          <w:rFonts w:ascii="Arial" w:hAnsi="Arial" w:cs="Arial"/>
          <w:b/>
          <w:i/>
          <w:sz w:val="18"/>
          <w:szCs w:val="18"/>
        </w:rPr>
        <w:t>7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-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Zahraniční obchod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se státy EU a se státy mimo EU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4735EF">
        <w:rPr>
          <w:rFonts w:ascii="Arial" w:hAnsi="Arial" w:cs="Arial"/>
          <w:b/>
          <w:i/>
          <w:sz w:val="18"/>
          <w:szCs w:val="18"/>
        </w:rPr>
        <w:t xml:space="preserve">  </w:t>
      </w:r>
    </w:p>
    <w:p w:rsidR="001C64E4" w:rsidRDefault="001C64E4" w:rsidP="00163982">
      <w:pPr>
        <w:spacing w:after="80"/>
        <w:ind w:firstLine="708"/>
        <w:jc w:val="both"/>
        <w:rPr>
          <w:rFonts w:ascii="Arial" w:hAnsi="Arial" w:cs="Arial"/>
          <w:b/>
          <w:i/>
          <w:sz w:val="18"/>
          <w:szCs w:val="18"/>
        </w:rPr>
      </w:pPr>
      <w:r w:rsidRPr="00515C38">
        <w:rPr>
          <w:rFonts w:ascii="Arial" w:hAnsi="Arial" w:cs="Arial"/>
          <w:b/>
          <w:i/>
          <w:sz w:val="18"/>
          <w:szCs w:val="18"/>
        </w:rPr>
        <w:t>v jednotlivých čtvrtletích</w:t>
      </w:r>
      <w:r w:rsidR="00515C38">
        <w:rPr>
          <w:rFonts w:ascii="Arial" w:hAnsi="Arial" w:cs="Arial"/>
          <w:b/>
          <w:i/>
          <w:sz w:val="18"/>
          <w:szCs w:val="18"/>
        </w:rPr>
        <w:t xml:space="preserve"> roku</w:t>
      </w:r>
      <w:r w:rsidR="00DD2489">
        <w:rPr>
          <w:rFonts w:ascii="Arial" w:hAnsi="Arial" w:cs="Arial"/>
          <w:b/>
          <w:i/>
          <w:sz w:val="18"/>
          <w:szCs w:val="18"/>
        </w:rPr>
        <w:t xml:space="preserve"> </w:t>
      </w:r>
      <w:r w:rsidR="00515C38">
        <w:rPr>
          <w:rFonts w:ascii="Arial" w:hAnsi="Arial" w:cs="Arial"/>
          <w:b/>
          <w:i/>
          <w:sz w:val="18"/>
          <w:szCs w:val="18"/>
        </w:rPr>
        <w:t>2012 a 2013 v mld. Kč</w:t>
      </w:r>
    </w:p>
    <w:p w:rsidR="00ED291A" w:rsidRPr="00ED291A" w:rsidRDefault="00ED291A" w:rsidP="00ED291A">
      <w:pPr>
        <w:spacing w:after="80"/>
        <w:ind w:left="141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</w:t>
      </w:r>
      <w:r w:rsidRPr="00ED291A">
        <w:rPr>
          <w:rFonts w:ascii="Arial" w:hAnsi="Arial" w:cs="Arial"/>
          <w:i/>
          <w:sz w:val="18"/>
          <w:szCs w:val="18"/>
        </w:rPr>
        <w:t>vývoz</w:t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  <w:t>dovoz</w:t>
      </w:r>
    </w:p>
    <w:p w:rsidR="001C64E4" w:rsidRPr="00B2160A" w:rsidRDefault="00837A19" w:rsidP="00A856AE">
      <w:pPr>
        <w:spacing w:after="0"/>
        <w:jc w:val="both"/>
        <w:rPr>
          <w:rFonts w:ascii="Arial" w:hAnsi="Arial" w:cs="Arial"/>
          <w:color w:val="FF0000"/>
          <w:sz w:val="2"/>
          <w:szCs w:val="2"/>
        </w:rPr>
      </w:pP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33" type="#_x0000_t75" style="width:247.9pt;height:157.6pt">
            <v:imagedata r:id="rId16" o:title=""/>
          </v:shape>
        </w:pict>
      </w:r>
      <w:r w:rsidR="00163982">
        <w:rPr>
          <w:rFonts w:ascii="Arial" w:hAnsi="Arial" w:cs="Arial"/>
          <w:color w:val="FF0000"/>
          <w:sz w:val="18"/>
          <w:szCs w:val="18"/>
        </w:rPr>
        <w:t xml:space="preserve">  </w:t>
      </w: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34" type="#_x0000_t75" style="width:227.55pt;height:157.6pt">
            <v:imagedata r:id="rId17" o:title=""/>
          </v:shape>
        </w:pict>
      </w:r>
    </w:p>
    <w:p w:rsidR="004D04D0" w:rsidRPr="00D651E6" w:rsidRDefault="004D04D0" w:rsidP="00A856AE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4C680C">
        <w:rPr>
          <w:rFonts w:ascii="Arial" w:hAnsi="Arial" w:cs="Arial"/>
          <w:b/>
          <w:sz w:val="18"/>
          <w:szCs w:val="18"/>
        </w:rPr>
        <w:lastRenderedPageBreak/>
        <w:t xml:space="preserve">Saldo zahraničního obchodu </w:t>
      </w:r>
      <w:r w:rsidRPr="004C680C">
        <w:rPr>
          <w:rFonts w:ascii="Arial" w:hAnsi="Arial" w:cs="Arial"/>
          <w:sz w:val="18"/>
          <w:szCs w:val="18"/>
        </w:rPr>
        <w:t xml:space="preserve">se státy EU </w:t>
      </w:r>
      <w:r w:rsidRPr="00A856AE">
        <w:rPr>
          <w:rFonts w:ascii="Arial" w:hAnsi="Arial" w:cs="Arial"/>
          <w:sz w:val="18"/>
          <w:szCs w:val="18"/>
        </w:rPr>
        <w:t>skončilo přebytkem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A856AE" w:rsidRPr="00F40A6A">
        <w:rPr>
          <w:rFonts w:ascii="Arial" w:hAnsi="Arial" w:cs="Arial"/>
          <w:sz w:val="18"/>
          <w:szCs w:val="18"/>
        </w:rPr>
        <w:t>73</w:t>
      </w:r>
      <w:r w:rsidR="00F40A6A" w:rsidRPr="00F40A6A">
        <w:rPr>
          <w:rFonts w:ascii="Arial" w:hAnsi="Arial" w:cs="Arial"/>
          <w:sz w:val="18"/>
          <w:szCs w:val="18"/>
        </w:rPr>
        <w:t>2,1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856AE">
        <w:rPr>
          <w:rFonts w:ascii="Arial" w:hAnsi="Arial" w:cs="Arial"/>
          <w:sz w:val="18"/>
          <w:szCs w:val="18"/>
        </w:rPr>
        <w:t>mld. Kč, který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856AE">
        <w:rPr>
          <w:rFonts w:ascii="Arial" w:hAnsi="Arial" w:cs="Arial"/>
          <w:sz w:val="18"/>
          <w:szCs w:val="18"/>
        </w:rPr>
        <w:t xml:space="preserve">byl meziročně o </w:t>
      </w:r>
      <w:r w:rsidR="00F40A6A" w:rsidRPr="00F40A6A">
        <w:rPr>
          <w:rFonts w:ascii="Arial" w:hAnsi="Arial" w:cs="Arial"/>
          <w:sz w:val="18"/>
          <w:szCs w:val="18"/>
        </w:rPr>
        <w:t>16</w:t>
      </w:r>
      <w:r w:rsidRPr="00F40A6A">
        <w:rPr>
          <w:rFonts w:ascii="Arial" w:hAnsi="Arial" w:cs="Arial"/>
          <w:sz w:val="18"/>
          <w:szCs w:val="18"/>
        </w:rPr>
        <w:t>,0 mld</w:t>
      </w:r>
      <w:r w:rsidRPr="00A856AE">
        <w:rPr>
          <w:rFonts w:ascii="Arial" w:hAnsi="Arial" w:cs="Arial"/>
          <w:sz w:val="18"/>
          <w:szCs w:val="18"/>
        </w:rPr>
        <w:t>. Kč vyšší,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856AE">
        <w:rPr>
          <w:rFonts w:ascii="Arial" w:hAnsi="Arial" w:cs="Arial"/>
          <w:sz w:val="18"/>
          <w:szCs w:val="18"/>
        </w:rPr>
        <w:t>a se státy mimo EU schodkem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A856AE" w:rsidRPr="00F40A6A">
        <w:rPr>
          <w:rFonts w:ascii="Arial" w:hAnsi="Arial" w:cs="Arial"/>
          <w:sz w:val="18"/>
          <w:szCs w:val="18"/>
        </w:rPr>
        <w:t>370,</w:t>
      </w:r>
      <w:r w:rsidR="00F40A6A" w:rsidRPr="00F40A6A">
        <w:rPr>
          <w:rFonts w:ascii="Arial" w:hAnsi="Arial" w:cs="Arial"/>
          <w:sz w:val="18"/>
          <w:szCs w:val="18"/>
        </w:rPr>
        <w:t>0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856AE">
        <w:rPr>
          <w:rFonts w:ascii="Arial" w:hAnsi="Arial" w:cs="Arial"/>
          <w:sz w:val="18"/>
          <w:szCs w:val="18"/>
        </w:rPr>
        <w:t xml:space="preserve">mld. Kč, jenž se meziročně snížil </w:t>
      </w:r>
      <w:r w:rsidRPr="00F40A6A">
        <w:rPr>
          <w:rFonts w:ascii="Arial" w:hAnsi="Arial" w:cs="Arial"/>
          <w:sz w:val="18"/>
          <w:szCs w:val="18"/>
        </w:rPr>
        <w:t xml:space="preserve">o </w:t>
      </w:r>
      <w:r w:rsidR="00F40A6A" w:rsidRPr="00F40A6A">
        <w:rPr>
          <w:rFonts w:ascii="Arial" w:hAnsi="Arial" w:cs="Arial"/>
          <w:sz w:val="18"/>
          <w:szCs w:val="18"/>
        </w:rPr>
        <w:t>31,7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856AE">
        <w:rPr>
          <w:rFonts w:ascii="Arial" w:hAnsi="Arial" w:cs="Arial"/>
          <w:sz w:val="18"/>
          <w:szCs w:val="18"/>
        </w:rPr>
        <w:t>mld. Kč.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D34C9B" w:rsidRPr="006C2CE0" w:rsidRDefault="00D34C9B" w:rsidP="009B73CE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6C2CE0">
        <w:rPr>
          <w:rFonts w:ascii="Arial" w:hAnsi="Arial" w:cs="Arial"/>
          <w:b/>
          <w:i/>
          <w:sz w:val="18"/>
          <w:szCs w:val="18"/>
        </w:rPr>
        <w:t xml:space="preserve">Graf </w:t>
      </w:r>
      <w:r w:rsidR="005C2345">
        <w:rPr>
          <w:rFonts w:ascii="Arial" w:hAnsi="Arial" w:cs="Arial"/>
          <w:b/>
          <w:i/>
          <w:sz w:val="18"/>
          <w:szCs w:val="18"/>
        </w:rPr>
        <w:t>8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- Obchodní bilance celkem, se státy EU a se státy mimo EU</w:t>
      </w:r>
    </w:p>
    <w:p w:rsidR="00D34C9B" w:rsidRPr="006C2CE0" w:rsidRDefault="00837A19" w:rsidP="001257D5">
      <w:pPr>
        <w:spacing w:after="120"/>
        <w:jc w:val="both"/>
        <w:rPr>
          <w:rFonts w:ascii="Arial" w:hAnsi="Arial" w:cs="Arial"/>
          <w:sz w:val="8"/>
          <w:szCs w:val="8"/>
        </w:rPr>
      </w:pPr>
      <w:r w:rsidRPr="00F8628E">
        <w:rPr>
          <w:rFonts w:ascii="Arial" w:hAnsi="Arial" w:cs="Arial"/>
          <w:sz w:val="18"/>
          <w:szCs w:val="18"/>
        </w:rPr>
        <w:pict>
          <v:shape id="_x0000_i1035" type="#_x0000_t75" style="width:482.25pt;height:150.8pt">
            <v:imagedata r:id="rId18" o:title=""/>
          </v:shape>
        </w:pict>
      </w:r>
    </w:p>
    <w:p w:rsidR="001C64E4" w:rsidRPr="00A856AE" w:rsidRDefault="001C64E4" w:rsidP="001257D5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A856AE">
        <w:rPr>
          <w:rFonts w:ascii="Arial" w:hAnsi="Arial" w:cs="Arial"/>
          <w:b/>
          <w:sz w:val="18"/>
          <w:szCs w:val="18"/>
        </w:rPr>
        <w:t>Obchodní bilance</w:t>
      </w:r>
      <w:r w:rsidRPr="00A856AE">
        <w:rPr>
          <w:rFonts w:ascii="Arial" w:hAnsi="Arial" w:cs="Arial"/>
          <w:sz w:val="18"/>
          <w:szCs w:val="18"/>
        </w:rPr>
        <w:t xml:space="preserve"> a její meziroční</w:t>
      </w:r>
      <w:r w:rsidRPr="00A856AE">
        <w:rPr>
          <w:rFonts w:ascii="Arial" w:hAnsi="Arial" w:cs="Arial"/>
          <w:b/>
          <w:sz w:val="18"/>
          <w:szCs w:val="18"/>
        </w:rPr>
        <w:t xml:space="preserve"> změny se státy EU a se státy mimo EU byly odrazem salda zahraničního obchodu s hlavními partnerskými státy</w:t>
      </w:r>
      <w:r w:rsidRPr="00A856AE">
        <w:rPr>
          <w:rFonts w:ascii="Arial" w:hAnsi="Arial" w:cs="Arial"/>
          <w:sz w:val="18"/>
          <w:szCs w:val="18"/>
        </w:rPr>
        <w:t xml:space="preserve"> těchto uskupení. </w:t>
      </w:r>
    </w:p>
    <w:p w:rsidR="003A5FEE" w:rsidRDefault="00D34C9B" w:rsidP="009B73CE">
      <w:pPr>
        <w:spacing w:before="40" w:after="120"/>
        <w:jc w:val="both"/>
        <w:rPr>
          <w:rFonts w:ascii="Arial" w:hAnsi="Arial" w:cs="Arial"/>
          <w:sz w:val="18"/>
          <w:szCs w:val="18"/>
        </w:rPr>
      </w:pPr>
      <w:r w:rsidRPr="00A856AE">
        <w:rPr>
          <w:rFonts w:ascii="Arial" w:hAnsi="Arial" w:cs="Arial"/>
          <w:b/>
          <w:sz w:val="18"/>
          <w:szCs w:val="18"/>
        </w:rPr>
        <w:t xml:space="preserve">Na celkovou kladnou bilanci zahraničního obchodu se státy </w:t>
      </w:r>
      <w:r w:rsidRPr="001257D5">
        <w:rPr>
          <w:rFonts w:ascii="Arial" w:hAnsi="Arial" w:cs="Arial"/>
          <w:b/>
          <w:sz w:val="18"/>
          <w:szCs w:val="18"/>
        </w:rPr>
        <w:t>EU</w:t>
      </w:r>
      <w:r w:rsidRPr="001257D5">
        <w:rPr>
          <w:rFonts w:ascii="Arial" w:hAnsi="Arial" w:cs="Arial"/>
          <w:sz w:val="18"/>
          <w:szCs w:val="18"/>
        </w:rPr>
        <w:t xml:space="preserve"> (</w:t>
      </w:r>
      <w:r w:rsidR="001257D5" w:rsidRPr="001257D5">
        <w:rPr>
          <w:rFonts w:ascii="Arial" w:hAnsi="Arial" w:cs="Arial"/>
          <w:sz w:val="18"/>
          <w:szCs w:val="18"/>
        </w:rPr>
        <w:t>732,1</w:t>
      </w:r>
      <w:r w:rsidRPr="001257D5">
        <w:rPr>
          <w:rFonts w:ascii="Arial" w:hAnsi="Arial" w:cs="Arial"/>
          <w:sz w:val="18"/>
          <w:szCs w:val="18"/>
        </w:rPr>
        <w:t xml:space="preserve"> mld. Kč)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06624F">
        <w:rPr>
          <w:rFonts w:ascii="Arial" w:hAnsi="Arial" w:cs="Arial"/>
          <w:sz w:val="18"/>
          <w:szCs w:val="18"/>
        </w:rPr>
        <w:t>měl pozitivní vliv vysoký přebytek zahraničního obchodu s Německem (krytí dovozu vývozem dosáhlo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E21C7">
        <w:rPr>
          <w:rFonts w:ascii="Arial" w:hAnsi="Arial" w:cs="Arial"/>
          <w:sz w:val="18"/>
          <w:szCs w:val="18"/>
        </w:rPr>
        <w:t>13</w:t>
      </w:r>
      <w:r w:rsidR="00DE21C7" w:rsidRPr="00DE21C7">
        <w:rPr>
          <w:rFonts w:ascii="Arial" w:hAnsi="Arial" w:cs="Arial"/>
          <w:sz w:val="18"/>
          <w:szCs w:val="18"/>
        </w:rPr>
        <w:t>7,3</w:t>
      </w:r>
      <w:r w:rsidRPr="00DE21C7">
        <w:rPr>
          <w:rFonts w:ascii="Arial" w:hAnsi="Arial" w:cs="Arial"/>
          <w:sz w:val="18"/>
          <w:szCs w:val="18"/>
        </w:rPr>
        <w:t xml:space="preserve"> %),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06624F">
        <w:rPr>
          <w:rFonts w:ascii="Arial" w:hAnsi="Arial" w:cs="Arial"/>
          <w:sz w:val="18"/>
          <w:szCs w:val="18"/>
        </w:rPr>
        <w:t>který meziročně vzrostl 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DE21C7" w:rsidRPr="00DE21C7">
        <w:rPr>
          <w:rFonts w:ascii="Arial" w:hAnsi="Arial" w:cs="Arial"/>
          <w:sz w:val="18"/>
          <w:szCs w:val="18"/>
        </w:rPr>
        <w:t>3,6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06624F">
        <w:rPr>
          <w:rFonts w:ascii="Arial" w:hAnsi="Arial" w:cs="Arial"/>
          <w:sz w:val="18"/>
          <w:szCs w:val="18"/>
        </w:rPr>
        <w:t>mld. Kč</w:t>
      </w:r>
      <w:r w:rsidR="00396218">
        <w:rPr>
          <w:rFonts w:ascii="Arial" w:hAnsi="Arial" w:cs="Arial"/>
          <w:sz w:val="18"/>
          <w:szCs w:val="18"/>
        </w:rPr>
        <w:t xml:space="preserve"> </w:t>
      </w:r>
      <w:r w:rsidR="00A12A83">
        <w:rPr>
          <w:rFonts w:ascii="Arial" w:hAnsi="Arial" w:cs="Arial"/>
          <w:sz w:val="18"/>
          <w:szCs w:val="18"/>
        </w:rPr>
        <w:t>na </w:t>
      </w:r>
      <w:r w:rsidR="00DE21C7" w:rsidRPr="00396218">
        <w:rPr>
          <w:rFonts w:ascii="Arial" w:hAnsi="Arial" w:cs="Arial"/>
          <w:sz w:val="18"/>
          <w:szCs w:val="18"/>
        </w:rPr>
        <w:t>hodnotu 270,1</w:t>
      </w:r>
      <w:r w:rsidR="00DE21C7">
        <w:rPr>
          <w:rFonts w:ascii="Arial" w:hAnsi="Arial" w:cs="Arial"/>
          <w:sz w:val="18"/>
          <w:szCs w:val="18"/>
        </w:rPr>
        <w:t xml:space="preserve"> mld. Kč</w:t>
      </w:r>
      <w:r w:rsidRPr="0006624F">
        <w:rPr>
          <w:rFonts w:ascii="Arial" w:hAnsi="Arial" w:cs="Arial"/>
          <w:sz w:val="18"/>
          <w:szCs w:val="18"/>
        </w:rPr>
        <w:t xml:space="preserve">. </w:t>
      </w:r>
    </w:p>
    <w:p w:rsidR="003A5FEE" w:rsidRDefault="00D34C9B" w:rsidP="009B73CE">
      <w:pPr>
        <w:spacing w:before="40"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06624F">
        <w:rPr>
          <w:rFonts w:ascii="Arial" w:hAnsi="Arial" w:cs="Arial"/>
          <w:sz w:val="18"/>
          <w:szCs w:val="18"/>
        </w:rPr>
        <w:t xml:space="preserve">Zahraniční obchod se Slovenskem zaznamenal druhé nejvyšší kladné saldo, které bylo meziročně vyšší </w:t>
      </w:r>
      <w:r w:rsidRPr="00396218">
        <w:rPr>
          <w:rFonts w:ascii="Arial" w:hAnsi="Arial" w:cs="Arial"/>
          <w:sz w:val="18"/>
          <w:szCs w:val="18"/>
        </w:rPr>
        <w:t xml:space="preserve">o </w:t>
      </w:r>
      <w:r w:rsidR="00DE21C7" w:rsidRPr="00396218">
        <w:rPr>
          <w:rFonts w:ascii="Arial" w:hAnsi="Arial" w:cs="Arial"/>
          <w:sz w:val="18"/>
          <w:szCs w:val="18"/>
        </w:rPr>
        <w:t>8,9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06624F">
        <w:rPr>
          <w:rFonts w:ascii="Arial" w:hAnsi="Arial" w:cs="Arial"/>
          <w:sz w:val="18"/>
          <w:szCs w:val="18"/>
        </w:rPr>
        <w:t xml:space="preserve">mld. Kč. Třetí a čtvrté největší aktivum bylo patrné u zahraničního obchodu se </w:t>
      </w:r>
      <w:r w:rsidRPr="00DE21C7">
        <w:rPr>
          <w:rFonts w:ascii="Arial" w:hAnsi="Arial" w:cs="Arial"/>
          <w:sz w:val="18"/>
          <w:szCs w:val="18"/>
        </w:rPr>
        <w:t>Spojeným královstvím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396218">
        <w:rPr>
          <w:rFonts w:ascii="Arial" w:hAnsi="Arial" w:cs="Arial"/>
          <w:sz w:val="18"/>
          <w:szCs w:val="18"/>
        </w:rPr>
        <w:t xml:space="preserve">(meziroční navýšení přebytku o </w:t>
      </w:r>
      <w:r w:rsidR="00396218" w:rsidRPr="00396218">
        <w:rPr>
          <w:rFonts w:ascii="Arial" w:hAnsi="Arial" w:cs="Arial"/>
          <w:sz w:val="18"/>
          <w:szCs w:val="18"/>
        </w:rPr>
        <w:t>5,1</w:t>
      </w:r>
      <w:r w:rsidRPr="00396218">
        <w:rPr>
          <w:rFonts w:ascii="Arial" w:hAnsi="Arial" w:cs="Arial"/>
          <w:sz w:val="18"/>
          <w:szCs w:val="18"/>
        </w:rPr>
        <w:t xml:space="preserve"> mld. Kč) a s Francií (meziroční pokles přebytku o </w:t>
      </w:r>
      <w:r w:rsidR="00396218" w:rsidRPr="00396218">
        <w:rPr>
          <w:rFonts w:ascii="Arial" w:hAnsi="Arial" w:cs="Arial"/>
          <w:sz w:val="18"/>
          <w:szCs w:val="18"/>
        </w:rPr>
        <w:t>2,6</w:t>
      </w:r>
      <w:r w:rsidRPr="00396218">
        <w:rPr>
          <w:rFonts w:ascii="Arial" w:hAnsi="Arial" w:cs="Arial"/>
          <w:sz w:val="18"/>
          <w:szCs w:val="18"/>
        </w:rPr>
        <w:t xml:space="preserve"> mld. Kč).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396218">
        <w:rPr>
          <w:rFonts w:ascii="Arial" w:hAnsi="Arial" w:cs="Arial"/>
          <w:sz w:val="18"/>
          <w:szCs w:val="18"/>
        </w:rPr>
        <w:t>Pátou a </w:t>
      </w:r>
      <w:r w:rsidRPr="0006624F">
        <w:rPr>
          <w:rFonts w:ascii="Arial" w:hAnsi="Arial" w:cs="Arial"/>
          <w:sz w:val="18"/>
          <w:szCs w:val="18"/>
        </w:rPr>
        <w:t xml:space="preserve">šestou nejvyšší kladnou hodnotu zaznamenaly bilance obchodu </w:t>
      </w:r>
      <w:r w:rsidRPr="00396218">
        <w:rPr>
          <w:rFonts w:ascii="Arial" w:hAnsi="Arial" w:cs="Arial"/>
          <w:sz w:val="18"/>
          <w:szCs w:val="18"/>
        </w:rPr>
        <w:t xml:space="preserve">s Rakouskem a s Belgií, které byly o </w:t>
      </w:r>
      <w:r w:rsidR="00396218" w:rsidRPr="00396218">
        <w:rPr>
          <w:rFonts w:ascii="Arial" w:hAnsi="Arial" w:cs="Arial"/>
          <w:sz w:val="18"/>
          <w:szCs w:val="18"/>
        </w:rPr>
        <w:t>3,9</w:t>
      </w:r>
      <w:r w:rsidRPr="00396218">
        <w:rPr>
          <w:rFonts w:ascii="Arial" w:hAnsi="Arial" w:cs="Arial"/>
          <w:sz w:val="18"/>
          <w:szCs w:val="18"/>
        </w:rPr>
        <w:t xml:space="preserve"> mld. Kč a</w:t>
      </w:r>
      <w:r w:rsidR="00396218">
        <w:rPr>
          <w:rFonts w:ascii="Arial" w:hAnsi="Arial" w:cs="Arial"/>
          <w:sz w:val="18"/>
          <w:szCs w:val="18"/>
        </w:rPr>
        <w:t> </w:t>
      </w:r>
      <w:r w:rsidR="00396218" w:rsidRPr="00396218">
        <w:rPr>
          <w:rFonts w:ascii="Arial" w:hAnsi="Arial" w:cs="Arial"/>
          <w:sz w:val="18"/>
          <w:szCs w:val="18"/>
        </w:rPr>
        <w:t>5,7</w:t>
      </w:r>
      <w:r w:rsidR="00396218">
        <w:rPr>
          <w:rFonts w:ascii="Arial" w:hAnsi="Arial" w:cs="Arial"/>
          <w:sz w:val="18"/>
          <w:szCs w:val="18"/>
        </w:rPr>
        <w:t> </w:t>
      </w:r>
      <w:r w:rsidRPr="00396218">
        <w:rPr>
          <w:rFonts w:ascii="Arial" w:hAnsi="Arial" w:cs="Arial"/>
          <w:sz w:val="18"/>
          <w:szCs w:val="18"/>
        </w:rPr>
        <w:t>mld. Kč meziročně vyšší.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D34C9B" w:rsidRPr="001243B7" w:rsidRDefault="00D34C9B" w:rsidP="009B73CE">
      <w:pPr>
        <w:spacing w:before="40" w:after="120"/>
        <w:jc w:val="both"/>
        <w:rPr>
          <w:rFonts w:ascii="Arial" w:hAnsi="Arial" w:cs="Arial"/>
          <w:sz w:val="18"/>
          <w:szCs w:val="18"/>
        </w:rPr>
      </w:pPr>
      <w:r w:rsidRPr="00E107D9">
        <w:rPr>
          <w:rFonts w:ascii="Arial" w:hAnsi="Arial" w:cs="Arial"/>
          <w:sz w:val="18"/>
          <w:szCs w:val="18"/>
        </w:rPr>
        <w:t>Za zaznamenání stojí meziroční pokles přebytku</w:t>
      </w:r>
      <w:r w:rsidR="00E107D9">
        <w:rPr>
          <w:rFonts w:ascii="Arial" w:hAnsi="Arial" w:cs="Arial"/>
          <w:sz w:val="18"/>
          <w:szCs w:val="18"/>
        </w:rPr>
        <w:t xml:space="preserve"> u Rumunska (o 1,7 mld. Kč), Itálie (</w:t>
      </w:r>
      <w:r w:rsidR="005D427E">
        <w:rPr>
          <w:rFonts w:ascii="Arial" w:hAnsi="Arial" w:cs="Arial"/>
          <w:sz w:val="18"/>
          <w:szCs w:val="18"/>
        </w:rPr>
        <w:t>o </w:t>
      </w:r>
      <w:r w:rsidR="00E107D9">
        <w:rPr>
          <w:rFonts w:ascii="Arial" w:hAnsi="Arial" w:cs="Arial"/>
          <w:sz w:val="18"/>
          <w:szCs w:val="18"/>
        </w:rPr>
        <w:t>1,2</w:t>
      </w:r>
      <w:r w:rsidR="005D427E">
        <w:rPr>
          <w:rFonts w:ascii="Arial" w:hAnsi="Arial" w:cs="Arial"/>
          <w:sz w:val="18"/>
          <w:szCs w:val="18"/>
        </w:rPr>
        <w:t> </w:t>
      </w:r>
      <w:r w:rsidR="00E107D9">
        <w:rPr>
          <w:rFonts w:ascii="Arial" w:hAnsi="Arial" w:cs="Arial"/>
          <w:sz w:val="18"/>
          <w:szCs w:val="18"/>
        </w:rPr>
        <w:t>mld. Kč) a Švédska (o 0,5 mld. Kč).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615CE">
        <w:rPr>
          <w:rFonts w:ascii="Arial" w:hAnsi="Arial" w:cs="Arial"/>
          <w:sz w:val="18"/>
          <w:szCs w:val="18"/>
        </w:rPr>
        <w:t>K výraznému meziročnímu zhoršení došlo u obchodní bilance s</w:t>
      </w:r>
      <w:r w:rsidR="005D427E">
        <w:rPr>
          <w:rFonts w:ascii="Arial" w:hAnsi="Arial" w:cs="Arial"/>
          <w:sz w:val="18"/>
          <w:szCs w:val="18"/>
        </w:rPr>
        <w:t> </w:t>
      </w:r>
      <w:r w:rsidR="00D615CE" w:rsidRPr="00D615CE">
        <w:rPr>
          <w:rFonts w:ascii="Arial" w:hAnsi="Arial" w:cs="Arial"/>
          <w:sz w:val="18"/>
          <w:szCs w:val="18"/>
        </w:rPr>
        <w:t>Nizozemskem</w:t>
      </w:r>
      <w:r w:rsidRPr="00D615CE">
        <w:rPr>
          <w:rFonts w:ascii="Arial" w:hAnsi="Arial" w:cs="Arial"/>
          <w:sz w:val="18"/>
          <w:szCs w:val="18"/>
        </w:rPr>
        <w:t>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615CE">
        <w:rPr>
          <w:rFonts w:ascii="Arial" w:hAnsi="Arial" w:cs="Arial"/>
          <w:sz w:val="18"/>
          <w:szCs w:val="18"/>
        </w:rPr>
        <w:t>neboť přešla z aktiva ve výši</w:t>
      </w:r>
      <w:r w:rsidRPr="00D651E6">
        <w:rPr>
          <w:rFonts w:ascii="Arial" w:hAnsi="Arial" w:cs="Arial"/>
          <w:color w:val="FF0000"/>
          <w:sz w:val="18"/>
          <w:szCs w:val="18"/>
        </w:rPr>
        <w:t> </w:t>
      </w:r>
      <w:r w:rsidR="00D615CE" w:rsidRPr="00D615CE">
        <w:rPr>
          <w:rFonts w:ascii="Arial" w:hAnsi="Arial" w:cs="Arial"/>
          <w:sz w:val="18"/>
          <w:szCs w:val="18"/>
        </w:rPr>
        <w:t>3,3</w:t>
      </w:r>
      <w:r w:rsidRPr="00D615CE">
        <w:rPr>
          <w:rFonts w:ascii="Arial" w:hAnsi="Arial" w:cs="Arial"/>
          <w:sz w:val="18"/>
          <w:szCs w:val="18"/>
        </w:rPr>
        <w:t xml:space="preserve"> mld. Kč v roce 201</w:t>
      </w:r>
      <w:r w:rsidR="00D615CE">
        <w:rPr>
          <w:rFonts w:ascii="Arial" w:hAnsi="Arial" w:cs="Arial"/>
          <w:sz w:val="18"/>
          <w:szCs w:val="18"/>
        </w:rPr>
        <w:t>2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615CE">
        <w:rPr>
          <w:rFonts w:ascii="Arial" w:hAnsi="Arial" w:cs="Arial"/>
          <w:sz w:val="18"/>
          <w:szCs w:val="18"/>
        </w:rPr>
        <w:t>do pasiva v roce 201</w:t>
      </w:r>
      <w:r w:rsidR="00D615CE">
        <w:rPr>
          <w:rFonts w:ascii="Arial" w:hAnsi="Arial" w:cs="Arial"/>
          <w:sz w:val="18"/>
          <w:szCs w:val="18"/>
        </w:rPr>
        <w:t>3</w:t>
      </w:r>
      <w:r w:rsidRPr="00D615CE">
        <w:rPr>
          <w:rFonts w:ascii="Arial" w:hAnsi="Arial" w:cs="Arial"/>
          <w:sz w:val="18"/>
          <w:szCs w:val="18"/>
        </w:rPr>
        <w:t xml:space="preserve"> v rozsahu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D615CE" w:rsidRPr="00D615CE">
        <w:rPr>
          <w:rFonts w:ascii="Arial" w:hAnsi="Arial" w:cs="Arial"/>
          <w:sz w:val="18"/>
          <w:szCs w:val="18"/>
        </w:rPr>
        <w:t>3,4</w:t>
      </w:r>
      <w:r w:rsidRPr="00D615CE">
        <w:rPr>
          <w:rFonts w:ascii="Arial" w:hAnsi="Arial" w:cs="Arial"/>
          <w:sz w:val="18"/>
          <w:szCs w:val="18"/>
        </w:rPr>
        <w:t xml:space="preserve"> mld. Kč.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615CE">
        <w:rPr>
          <w:rFonts w:ascii="Arial" w:hAnsi="Arial" w:cs="Arial"/>
          <w:sz w:val="18"/>
          <w:szCs w:val="18"/>
        </w:rPr>
        <w:t>Pasivní obchodní bilancí skončil ještě obchod s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D615CE" w:rsidRPr="00D615CE">
        <w:rPr>
          <w:rFonts w:ascii="Arial" w:hAnsi="Arial" w:cs="Arial"/>
          <w:sz w:val="18"/>
          <w:szCs w:val="18"/>
        </w:rPr>
        <w:t>Polskem, I</w:t>
      </w:r>
      <w:r w:rsidRPr="00D615CE">
        <w:rPr>
          <w:rFonts w:ascii="Arial" w:hAnsi="Arial" w:cs="Arial"/>
          <w:sz w:val="18"/>
          <w:szCs w:val="18"/>
        </w:rPr>
        <w:t>rskem</w:t>
      </w:r>
      <w:r w:rsidR="00E107D9">
        <w:rPr>
          <w:rFonts w:ascii="Arial" w:hAnsi="Arial" w:cs="Arial"/>
          <w:sz w:val="18"/>
          <w:szCs w:val="18"/>
        </w:rPr>
        <w:t>,</w:t>
      </w:r>
      <w:r w:rsidRPr="00D615CE">
        <w:rPr>
          <w:rFonts w:ascii="Arial" w:hAnsi="Arial" w:cs="Arial"/>
          <w:sz w:val="18"/>
          <w:szCs w:val="18"/>
        </w:rPr>
        <w:t> Lucemburskem</w:t>
      </w:r>
      <w:r w:rsidR="00E107D9">
        <w:rPr>
          <w:rFonts w:ascii="Arial" w:hAnsi="Arial" w:cs="Arial"/>
          <w:sz w:val="18"/>
          <w:szCs w:val="18"/>
        </w:rPr>
        <w:t xml:space="preserve"> a Maltou</w:t>
      </w:r>
      <w:r w:rsidRPr="00D615CE">
        <w:rPr>
          <w:rFonts w:ascii="Arial" w:hAnsi="Arial" w:cs="Arial"/>
          <w:sz w:val="18"/>
          <w:szCs w:val="18"/>
        </w:rPr>
        <w:t>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1243B7" w:rsidRPr="001243B7">
        <w:rPr>
          <w:rFonts w:ascii="Arial" w:hAnsi="Arial" w:cs="Arial"/>
          <w:sz w:val="18"/>
          <w:szCs w:val="18"/>
        </w:rPr>
        <w:t>U o</w:t>
      </w:r>
      <w:r w:rsidRPr="001243B7">
        <w:rPr>
          <w:rFonts w:ascii="Arial" w:hAnsi="Arial" w:cs="Arial"/>
          <w:sz w:val="18"/>
          <w:szCs w:val="18"/>
        </w:rPr>
        <w:t>statní</w:t>
      </w:r>
      <w:r w:rsidR="001243B7" w:rsidRPr="001243B7">
        <w:rPr>
          <w:rFonts w:ascii="Arial" w:hAnsi="Arial" w:cs="Arial"/>
          <w:sz w:val="18"/>
          <w:szCs w:val="18"/>
        </w:rPr>
        <w:t>ch</w:t>
      </w:r>
      <w:r w:rsidRPr="001243B7">
        <w:rPr>
          <w:rFonts w:ascii="Arial" w:hAnsi="Arial" w:cs="Arial"/>
          <w:sz w:val="18"/>
          <w:szCs w:val="18"/>
        </w:rPr>
        <w:t xml:space="preserve"> stát</w:t>
      </w:r>
      <w:r w:rsidR="001243B7" w:rsidRPr="001243B7">
        <w:rPr>
          <w:rFonts w:ascii="Arial" w:hAnsi="Arial" w:cs="Arial"/>
          <w:sz w:val="18"/>
          <w:szCs w:val="18"/>
        </w:rPr>
        <w:t>ů</w:t>
      </w:r>
      <w:r w:rsidRPr="001243B7">
        <w:rPr>
          <w:rFonts w:ascii="Arial" w:hAnsi="Arial" w:cs="Arial"/>
          <w:sz w:val="18"/>
          <w:szCs w:val="18"/>
        </w:rPr>
        <w:t xml:space="preserve"> EU </w:t>
      </w:r>
      <w:r w:rsidR="001243B7" w:rsidRPr="001243B7">
        <w:rPr>
          <w:rFonts w:ascii="Arial" w:hAnsi="Arial" w:cs="Arial"/>
          <w:sz w:val="18"/>
          <w:szCs w:val="18"/>
        </w:rPr>
        <w:t>(</w:t>
      </w:r>
      <w:r w:rsidR="00E107D9" w:rsidRPr="001243B7">
        <w:rPr>
          <w:rFonts w:ascii="Arial" w:hAnsi="Arial" w:cs="Arial"/>
          <w:sz w:val="18"/>
          <w:szCs w:val="18"/>
        </w:rPr>
        <w:t>s výjimkou Litvy, Itálie, Řecka a Portugalska</w:t>
      </w:r>
      <w:r w:rsidR="001243B7" w:rsidRPr="001243B7">
        <w:rPr>
          <w:rFonts w:ascii="Arial" w:hAnsi="Arial" w:cs="Arial"/>
          <w:sz w:val="18"/>
          <w:szCs w:val="18"/>
        </w:rPr>
        <w:t>) se</w:t>
      </w:r>
      <w:r w:rsidR="00E107D9" w:rsidRPr="001243B7">
        <w:rPr>
          <w:rFonts w:ascii="Arial" w:hAnsi="Arial" w:cs="Arial"/>
          <w:sz w:val="18"/>
          <w:szCs w:val="18"/>
        </w:rPr>
        <w:t xml:space="preserve"> </w:t>
      </w:r>
      <w:r w:rsidRPr="001243B7">
        <w:rPr>
          <w:rFonts w:ascii="Arial" w:hAnsi="Arial" w:cs="Arial"/>
          <w:sz w:val="18"/>
          <w:szCs w:val="18"/>
        </w:rPr>
        <w:t>přebytek obchodní bilance meziročně navýšil.</w:t>
      </w:r>
    </w:p>
    <w:p w:rsidR="00D34C9B" w:rsidRPr="00D651E6" w:rsidRDefault="00D34C9B" w:rsidP="001257D5">
      <w:pPr>
        <w:spacing w:after="8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6C2CE0">
        <w:rPr>
          <w:rFonts w:ascii="Arial" w:hAnsi="Arial" w:cs="Arial"/>
          <w:b/>
          <w:i/>
          <w:sz w:val="18"/>
          <w:szCs w:val="18"/>
        </w:rPr>
        <w:t xml:space="preserve">Graf </w:t>
      </w:r>
      <w:r w:rsidR="005C2345">
        <w:rPr>
          <w:rFonts w:ascii="Arial" w:hAnsi="Arial" w:cs="Arial"/>
          <w:b/>
          <w:i/>
          <w:sz w:val="18"/>
          <w:szCs w:val="18"/>
        </w:rPr>
        <w:t>9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- Obchodní bilance s vybranými státy</w:t>
      </w:r>
      <w:r w:rsidR="001257D5">
        <w:rPr>
          <w:rStyle w:val="Znakapoznpodarou"/>
          <w:rFonts w:ascii="Arial" w:hAnsi="Arial" w:cs="Arial"/>
          <w:b/>
          <w:i/>
          <w:sz w:val="18"/>
          <w:szCs w:val="18"/>
        </w:rPr>
        <w:footnoteReference w:id="5"/>
      </w:r>
      <w:r w:rsidRPr="006C2CE0">
        <w:rPr>
          <w:rFonts w:ascii="Arial" w:hAnsi="Arial" w:cs="Arial"/>
          <w:b/>
          <w:i/>
          <w:sz w:val="18"/>
          <w:szCs w:val="18"/>
        </w:rPr>
        <w:t xml:space="preserve"> v roce 201</w:t>
      </w:r>
      <w:r>
        <w:rPr>
          <w:rFonts w:ascii="Arial" w:hAnsi="Arial" w:cs="Arial"/>
          <w:b/>
          <w:i/>
          <w:sz w:val="18"/>
          <w:szCs w:val="18"/>
        </w:rPr>
        <w:t>3</w:t>
      </w:r>
    </w:p>
    <w:p w:rsidR="00D34C9B" w:rsidRPr="00D651E6" w:rsidRDefault="00837A19" w:rsidP="00D34C9B">
      <w:pPr>
        <w:spacing w:after="0"/>
        <w:jc w:val="both"/>
        <w:rPr>
          <w:rFonts w:ascii="Arial" w:hAnsi="Arial" w:cs="Arial"/>
          <w:color w:val="FF0000"/>
          <w:sz w:val="8"/>
          <w:szCs w:val="8"/>
        </w:rPr>
      </w:pP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36" type="#_x0000_t75" style="width:482.25pt;height:137.9pt">
            <v:imagedata r:id="rId19" o:title=""/>
          </v:shape>
        </w:pict>
      </w:r>
    </w:p>
    <w:p w:rsidR="003A5FEE" w:rsidRDefault="00D34C9B" w:rsidP="003A5FEE">
      <w:pPr>
        <w:spacing w:before="240"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A856AE">
        <w:rPr>
          <w:rFonts w:ascii="Arial" w:hAnsi="Arial" w:cs="Arial"/>
          <w:b/>
          <w:sz w:val="18"/>
          <w:szCs w:val="18"/>
        </w:rPr>
        <w:t>Celkové kladné saldo zahraničního obchodu bylo nepříznivě ovlivněno přetrvávajícím vysokým schodkem zahraničního obchodu se státy mimo EU</w:t>
      </w:r>
      <w:r w:rsidRPr="00D651E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D615CE">
        <w:rPr>
          <w:rFonts w:ascii="Arial" w:hAnsi="Arial" w:cs="Arial"/>
          <w:sz w:val="18"/>
          <w:szCs w:val="18"/>
        </w:rPr>
        <w:t>(</w:t>
      </w:r>
      <w:r w:rsidR="00D615CE" w:rsidRPr="00D615CE">
        <w:rPr>
          <w:rFonts w:ascii="Arial" w:hAnsi="Arial" w:cs="Arial"/>
          <w:sz w:val="18"/>
          <w:szCs w:val="18"/>
        </w:rPr>
        <w:t>369,0</w:t>
      </w:r>
      <w:r w:rsidRPr="00D615CE">
        <w:rPr>
          <w:rFonts w:ascii="Arial" w:hAnsi="Arial" w:cs="Arial"/>
          <w:sz w:val="18"/>
          <w:szCs w:val="18"/>
        </w:rPr>
        <w:t xml:space="preserve"> mld. Kč).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D34C9B" w:rsidRPr="00ED5870" w:rsidRDefault="00D34C9B" w:rsidP="003A5FEE">
      <w:pPr>
        <w:jc w:val="both"/>
        <w:rPr>
          <w:rFonts w:ascii="Arial" w:hAnsi="Arial" w:cs="Arial"/>
          <w:sz w:val="18"/>
          <w:szCs w:val="18"/>
        </w:rPr>
      </w:pPr>
      <w:r w:rsidRPr="00A856AE">
        <w:rPr>
          <w:rFonts w:ascii="Arial" w:hAnsi="Arial" w:cs="Arial"/>
          <w:sz w:val="18"/>
          <w:szCs w:val="18"/>
        </w:rPr>
        <w:t>Největší pasivum obchodní bilance se koncentrovalo na Čínu (krytí dovozu vývozem v roce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776ACB">
        <w:rPr>
          <w:rFonts w:ascii="Arial" w:hAnsi="Arial" w:cs="Arial"/>
          <w:sz w:val="18"/>
          <w:szCs w:val="18"/>
        </w:rPr>
        <w:t>201</w:t>
      </w:r>
      <w:r w:rsidR="00776ACB">
        <w:rPr>
          <w:rFonts w:ascii="Arial" w:hAnsi="Arial" w:cs="Arial"/>
          <w:sz w:val="18"/>
          <w:szCs w:val="18"/>
        </w:rPr>
        <w:t>3</w:t>
      </w:r>
      <w:r w:rsidRPr="00776ACB">
        <w:rPr>
          <w:rFonts w:ascii="Arial" w:hAnsi="Arial" w:cs="Arial"/>
          <w:sz w:val="18"/>
          <w:szCs w:val="18"/>
        </w:rPr>
        <w:t xml:space="preserve"> </w:t>
      </w:r>
      <w:r w:rsidRPr="00D615CE">
        <w:rPr>
          <w:rFonts w:ascii="Arial" w:hAnsi="Arial" w:cs="Arial"/>
          <w:sz w:val="18"/>
          <w:szCs w:val="18"/>
        </w:rPr>
        <w:t xml:space="preserve">činilo </w:t>
      </w:r>
      <w:r w:rsidR="00D615CE" w:rsidRPr="00D615CE">
        <w:rPr>
          <w:rFonts w:ascii="Arial" w:hAnsi="Arial" w:cs="Arial"/>
          <w:sz w:val="18"/>
          <w:szCs w:val="18"/>
        </w:rPr>
        <w:t>12,4</w:t>
      </w:r>
      <w:r w:rsidRPr="00D615CE">
        <w:rPr>
          <w:rFonts w:ascii="Arial" w:hAnsi="Arial" w:cs="Arial"/>
          <w:sz w:val="18"/>
          <w:szCs w:val="18"/>
        </w:rPr>
        <w:t xml:space="preserve"> % proti </w:t>
      </w:r>
      <w:r w:rsidR="00D615CE" w:rsidRPr="00D615CE">
        <w:rPr>
          <w:rFonts w:ascii="Arial" w:hAnsi="Arial" w:cs="Arial"/>
          <w:sz w:val="18"/>
          <w:szCs w:val="18"/>
        </w:rPr>
        <w:t>10,7</w:t>
      </w:r>
      <w:r w:rsidRPr="00D615CE">
        <w:rPr>
          <w:rFonts w:ascii="Arial" w:hAnsi="Arial" w:cs="Arial"/>
          <w:sz w:val="18"/>
          <w:szCs w:val="18"/>
        </w:rPr>
        <w:t xml:space="preserve"> % v</w:t>
      </w:r>
      <w:r w:rsidRPr="00776ACB">
        <w:rPr>
          <w:rFonts w:ascii="Arial" w:hAnsi="Arial" w:cs="Arial"/>
          <w:sz w:val="18"/>
          <w:szCs w:val="18"/>
        </w:rPr>
        <w:t xml:space="preserve"> roce 201</w:t>
      </w:r>
      <w:r w:rsidR="00776ACB">
        <w:rPr>
          <w:rFonts w:ascii="Arial" w:hAnsi="Arial" w:cs="Arial"/>
          <w:sz w:val="18"/>
          <w:szCs w:val="18"/>
        </w:rPr>
        <w:t>2</w:t>
      </w:r>
      <w:r w:rsidRPr="00776ACB">
        <w:rPr>
          <w:rFonts w:ascii="Arial" w:hAnsi="Arial" w:cs="Arial"/>
          <w:sz w:val="18"/>
          <w:szCs w:val="18"/>
        </w:rPr>
        <w:t xml:space="preserve">, </w:t>
      </w:r>
      <w:r w:rsidRPr="00ED5870">
        <w:rPr>
          <w:rFonts w:ascii="Arial" w:hAnsi="Arial" w:cs="Arial"/>
          <w:sz w:val="18"/>
          <w:szCs w:val="18"/>
        </w:rPr>
        <w:t>neboť schodek meziročně klesl o 31,</w:t>
      </w:r>
      <w:r w:rsidR="00ED5870" w:rsidRPr="00ED5870">
        <w:rPr>
          <w:rFonts w:ascii="Arial" w:hAnsi="Arial" w:cs="Arial"/>
          <w:sz w:val="18"/>
          <w:szCs w:val="18"/>
        </w:rPr>
        <w:t>7</w:t>
      </w:r>
      <w:r w:rsidRPr="00ED5870">
        <w:rPr>
          <w:rFonts w:ascii="Arial" w:hAnsi="Arial" w:cs="Arial"/>
          <w:sz w:val="18"/>
          <w:szCs w:val="18"/>
        </w:rPr>
        <w:t xml:space="preserve"> mld. Kč), dále pak na </w:t>
      </w:r>
      <w:r w:rsidR="00ED5870" w:rsidRPr="00ED5870">
        <w:rPr>
          <w:rFonts w:ascii="Arial" w:hAnsi="Arial" w:cs="Arial"/>
          <w:sz w:val="18"/>
          <w:szCs w:val="18"/>
        </w:rPr>
        <w:t xml:space="preserve">Korejskou republiku a </w:t>
      </w:r>
      <w:r w:rsidRPr="00ED5870">
        <w:rPr>
          <w:rFonts w:ascii="Arial" w:hAnsi="Arial" w:cs="Arial"/>
          <w:sz w:val="18"/>
          <w:szCs w:val="18"/>
        </w:rPr>
        <w:t>Rusko, u kterých bylo záporn</w:t>
      </w:r>
      <w:r w:rsidR="00561281">
        <w:rPr>
          <w:rFonts w:ascii="Arial" w:hAnsi="Arial" w:cs="Arial"/>
          <w:sz w:val="18"/>
          <w:szCs w:val="18"/>
        </w:rPr>
        <w:t>é saldo také meziročně nižší (o </w:t>
      </w:r>
      <w:r w:rsidR="00ED5870">
        <w:rPr>
          <w:rFonts w:ascii="Arial" w:hAnsi="Arial" w:cs="Arial"/>
          <w:sz w:val="18"/>
          <w:szCs w:val="18"/>
        </w:rPr>
        <w:t>2,4</w:t>
      </w:r>
      <w:r w:rsidR="00561281">
        <w:rPr>
          <w:rFonts w:ascii="Arial" w:hAnsi="Arial" w:cs="Arial"/>
          <w:sz w:val="18"/>
          <w:szCs w:val="18"/>
        </w:rPr>
        <w:t> mld. </w:t>
      </w:r>
      <w:r w:rsidRPr="00ED5870">
        <w:rPr>
          <w:rFonts w:ascii="Arial" w:hAnsi="Arial" w:cs="Arial"/>
          <w:sz w:val="18"/>
          <w:szCs w:val="18"/>
        </w:rPr>
        <w:t>Kč a </w:t>
      </w:r>
      <w:r w:rsidR="00A12A83">
        <w:rPr>
          <w:rFonts w:ascii="Arial" w:hAnsi="Arial" w:cs="Arial"/>
          <w:sz w:val="18"/>
          <w:szCs w:val="18"/>
        </w:rPr>
        <w:t xml:space="preserve">o </w:t>
      </w:r>
      <w:r w:rsidR="00ED5870">
        <w:rPr>
          <w:rFonts w:ascii="Arial" w:hAnsi="Arial" w:cs="Arial"/>
          <w:sz w:val="18"/>
          <w:szCs w:val="18"/>
        </w:rPr>
        <w:t>1,0</w:t>
      </w:r>
      <w:r w:rsidRPr="00ED5870">
        <w:rPr>
          <w:rFonts w:ascii="Arial" w:hAnsi="Arial" w:cs="Arial"/>
          <w:sz w:val="18"/>
          <w:szCs w:val="18"/>
        </w:rPr>
        <w:t> mld. Kč).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ED5870">
        <w:rPr>
          <w:rFonts w:ascii="Arial" w:hAnsi="Arial" w:cs="Arial"/>
          <w:sz w:val="18"/>
          <w:szCs w:val="18"/>
        </w:rPr>
        <w:t xml:space="preserve">Schodek zahraničního obchodu s těmito třemi státy dosáhl celkem </w:t>
      </w:r>
      <w:r w:rsidR="00ED5870">
        <w:rPr>
          <w:rFonts w:ascii="Arial" w:hAnsi="Arial" w:cs="Arial"/>
          <w:sz w:val="18"/>
          <w:szCs w:val="18"/>
        </w:rPr>
        <w:t>349,1</w:t>
      </w:r>
      <w:r w:rsidRPr="00ED5870">
        <w:rPr>
          <w:rFonts w:ascii="Arial" w:hAnsi="Arial" w:cs="Arial"/>
          <w:sz w:val="18"/>
          <w:szCs w:val="18"/>
        </w:rPr>
        <w:t xml:space="preserve"> mld. Kč. Vysoké deficity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ED5870">
        <w:rPr>
          <w:rFonts w:ascii="Arial" w:hAnsi="Arial" w:cs="Arial"/>
          <w:sz w:val="18"/>
          <w:szCs w:val="18"/>
        </w:rPr>
        <w:t>provázely i zahraniční obchod s</w:t>
      </w:r>
      <w:r w:rsidR="00ED5870">
        <w:rPr>
          <w:rFonts w:ascii="Arial" w:hAnsi="Arial" w:cs="Arial"/>
          <w:sz w:val="18"/>
          <w:szCs w:val="18"/>
        </w:rPr>
        <w:t xml:space="preserve"> Japonskem</w:t>
      </w:r>
      <w:r w:rsidR="00561281">
        <w:rPr>
          <w:rFonts w:ascii="Arial" w:hAnsi="Arial" w:cs="Arial"/>
          <w:sz w:val="18"/>
          <w:szCs w:val="18"/>
        </w:rPr>
        <w:t xml:space="preserve"> (34,9 mld. Kč)</w:t>
      </w:r>
      <w:r w:rsidR="00ED5870" w:rsidRPr="00ED5870">
        <w:rPr>
          <w:rFonts w:ascii="Arial" w:hAnsi="Arial" w:cs="Arial"/>
          <w:sz w:val="18"/>
          <w:szCs w:val="18"/>
        </w:rPr>
        <w:t>,</w:t>
      </w:r>
      <w:r w:rsidRPr="00ED5870">
        <w:rPr>
          <w:rFonts w:ascii="Arial" w:hAnsi="Arial" w:cs="Arial"/>
          <w:sz w:val="18"/>
          <w:szCs w:val="18"/>
        </w:rPr>
        <w:t xml:space="preserve"> Ázerbájdžánem</w:t>
      </w:r>
      <w:r w:rsidR="00561281">
        <w:rPr>
          <w:rFonts w:ascii="Arial" w:hAnsi="Arial" w:cs="Arial"/>
          <w:sz w:val="18"/>
          <w:szCs w:val="18"/>
        </w:rPr>
        <w:t xml:space="preserve"> (23,6 mld. Kč)</w:t>
      </w:r>
      <w:r w:rsidRPr="00ED5870">
        <w:rPr>
          <w:rFonts w:ascii="Arial" w:hAnsi="Arial" w:cs="Arial"/>
          <w:sz w:val="18"/>
          <w:szCs w:val="18"/>
        </w:rPr>
        <w:t>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ED5870">
        <w:rPr>
          <w:rFonts w:ascii="Arial" w:hAnsi="Arial" w:cs="Arial"/>
          <w:sz w:val="18"/>
          <w:szCs w:val="18"/>
        </w:rPr>
        <w:t>Thajskem,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561281">
        <w:rPr>
          <w:rFonts w:ascii="Arial" w:hAnsi="Arial" w:cs="Arial"/>
          <w:sz w:val="18"/>
          <w:szCs w:val="18"/>
        </w:rPr>
        <w:t>Tchaj</w:t>
      </w:r>
      <w:r w:rsidR="00561281">
        <w:rPr>
          <w:rFonts w:ascii="Arial" w:hAnsi="Arial" w:cs="Arial"/>
          <w:sz w:val="18"/>
          <w:szCs w:val="18"/>
        </w:rPr>
        <w:noBreakHyphen/>
      </w:r>
      <w:r w:rsidRPr="00ED5870">
        <w:rPr>
          <w:rFonts w:ascii="Arial" w:hAnsi="Arial" w:cs="Arial"/>
          <w:sz w:val="18"/>
          <w:szCs w:val="18"/>
        </w:rPr>
        <w:t xml:space="preserve">wanem, Malajsií, Norskem, </w:t>
      </w:r>
      <w:r w:rsidR="00ED5870" w:rsidRPr="00ED5870">
        <w:rPr>
          <w:rFonts w:ascii="Arial" w:hAnsi="Arial" w:cs="Arial"/>
          <w:sz w:val="18"/>
          <w:szCs w:val="18"/>
        </w:rPr>
        <w:t xml:space="preserve">Kostarikou, </w:t>
      </w:r>
      <w:r w:rsidRPr="00ED5870">
        <w:rPr>
          <w:rFonts w:ascii="Arial" w:hAnsi="Arial" w:cs="Arial"/>
          <w:sz w:val="18"/>
          <w:szCs w:val="18"/>
        </w:rPr>
        <w:t>Singapurem a </w:t>
      </w:r>
      <w:r w:rsidR="00ED5870" w:rsidRPr="00ED5870">
        <w:rPr>
          <w:rFonts w:ascii="Arial" w:hAnsi="Arial" w:cs="Arial"/>
          <w:sz w:val="18"/>
          <w:szCs w:val="18"/>
        </w:rPr>
        <w:t>Vietnamem</w:t>
      </w:r>
      <w:r w:rsidRPr="00ED5870">
        <w:rPr>
          <w:rFonts w:ascii="Arial" w:hAnsi="Arial" w:cs="Arial"/>
          <w:sz w:val="18"/>
          <w:szCs w:val="18"/>
        </w:rPr>
        <w:t>.</w:t>
      </w:r>
      <w:r w:rsidR="00ED5870">
        <w:rPr>
          <w:rFonts w:ascii="Arial" w:hAnsi="Arial" w:cs="Arial"/>
          <w:sz w:val="18"/>
          <w:szCs w:val="18"/>
        </w:rPr>
        <w:t xml:space="preserve"> </w:t>
      </w:r>
      <w:r w:rsidR="005B578F">
        <w:rPr>
          <w:rFonts w:ascii="Arial" w:hAnsi="Arial" w:cs="Arial"/>
          <w:sz w:val="18"/>
          <w:szCs w:val="18"/>
        </w:rPr>
        <w:t>Ze </w:t>
      </w:r>
      <w:r w:rsidR="00561281">
        <w:rPr>
          <w:rFonts w:ascii="Arial" w:hAnsi="Arial" w:cs="Arial"/>
          <w:sz w:val="18"/>
          <w:szCs w:val="18"/>
        </w:rPr>
        <w:t xml:space="preserve">států mimo EU </w:t>
      </w:r>
      <w:r w:rsidR="005B578F">
        <w:rPr>
          <w:rFonts w:ascii="Arial" w:hAnsi="Arial" w:cs="Arial"/>
          <w:sz w:val="18"/>
          <w:szCs w:val="18"/>
        </w:rPr>
        <w:t xml:space="preserve">naopak </w:t>
      </w:r>
      <w:r w:rsidR="00561281">
        <w:rPr>
          <w:rFonts w:ascii="Arial" w:hAnsi="Arial" w:cs="Arial"/>
          <w:sz w:val="18"/>
          <w:szCs w:val="18"/>
        </w:rPr>
        <w:t>kladným saldem skončil obchod s Tureckem (20,8 mld. Kč), Švýcarskem (19,7 mld. Kč), Spojenými arabskými emiráty, Austrálií, Ukrajinou a Spojenými státy.</w:t>
      </w:r>
    </w:p>
    <w:p w:rsidR="005A15B4" w:rsidRDefault="00682BF8" w:rsidP="00B2160A">
      <w:pPr>
        <w:numPr>
          <w:ilvl w:val="1"/>
          <w:numId w:val="1"/>
        </w:numPr>
        <w:spacing w:after="120"/>
        <w:ind w:left="426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r w:rsidR="005A15B4" w:rsidRPr="008856D9">
        <w:rPr>
          <w:rFonts w:ascii="Arial" w:hAnsi="Arial" w:cs="Arial"/>
          <w:b/>
          <w:sz w:val="19"/>
          <w:szCs w:val="19"/>
        </w:rPr>
        <w:lastRenderedPageBreak/>
        <w:t>Z</w:t>
      </w:r>
      <w:r w:rsidR="008856D9">
        <w:rPr>
          <w:rFonts w:ascii="Arial" w:hAnsi="Arial" w:cs="Arial"/>
          <w:b/>
          <w:sz w:val="19"/>
          <w:szCs w:val="19"/>
        </w:rPr>
        <w:t>ahraniční obchod</w:t>
      </w:r>
      <w:r w:rsidR="005A15B4" w:rsidRPr="008856D9">
        <w:rPr>
          <w:rFonts w:ascii="Arial" w:hAnsi="Arial" w:cs="Arial"/>
          <w:b/>
          <w:sz w:val="19"/>
          <w:szCs w:val="19"/>
        </w:rPr>
        <w:t xml:space="preserve"> se sousedními státy</w:t>
      </w:r>
      <w:r>
        <w:rPr>
          <w:rFonts w:ascii="Arial" w:hAnsi="Arial" w:cs="Arial"/>
          <w:b/>
          <w:sz w:val="19"/>
          <w:szCs w:val="19"/>
        </w:rPr>
        <w:t xml:space="preserve"> </w:t>
      </w:r>
    </w:p>
    <w:p w:rsidR="005F66AB" w:rsidRDefault="005F66AB" w:rsidP="008E7B82">
      <w:pPr>
        <w:numPr>
          <w:ilvl w:val="2"/>
          <w:numId w:val="1"/>
        </w:numPr>
        <w:spacing w:after="120"/>
        <w:ind w:hanging="1224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Zahraniční obchod České republiky s Německem, Slovenskem, Polskem a Rakouskem</w:t>
      </w:r>
    </w:p>
    <w:p w:rsidR="008E7B82" w:rsidRDefault="008E7B82" w:rsidP="008E7B82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Rozhodující část zahraničního obchodu České republiky připadá na sousední státy (Německo, Slovensko, Polsko a Rakousko). </w:t>
      </w:r>
      <w:r w:rsidRPr="00347D2A">
        <w:rPr>
          <w:rFonts w:ascii="Arial" w:hAnsi="Arial" w:cs="Arial"/>
          <w:sz w:val="18"/>
          <w:szCs w:val="18"/>
        </w:rPr>
        <w:t xml:space="preserve">Uvedené státy významně ovlivňují dynamiku celkového vývozu a dovozu a </w:t>
      </w:r>
      <w:r w:rsidR="001243B7">
        <w:rPr>
          <w:rFonts w:ascii="Arial" w:hAnsi="Arial" w:cs="Arial"/>
          <w:sz w:val="18"/>
          <w:szCs w:val="18"/>
        </w:rPr>
        <w:t xml:space="preserve">tím i </w:t>
      </w:r>
      <w:r w:rsidRPr="00347D2A">
        <w:rPr>
          <w:rFonts w:ascii="Arial" w:hAnsi="Arial" w:cs="Arial"/>
          <w:sz w:val="18"/>
          <w:szCs w:val="18"/>
        </w:rPr>
        <w:t xml:space="preserve">celkovou bilanci zahraničního obchodu. </w:t>
      </w:r>
      <w:r>
        <w:rPr>
          <w:rFonts w:ascii="Arial" w:hAnsi="Arial" w:cs="Arial"/>
          <w:sz w:val="18"/>
          <w:szCs w:val="18"/>
        </w:rPr>
        <w:t xml:space="preserve">V roce 2013 činil podíl zahraničního obchodu se sousedními státy na celkovém obratu zahraničního obchodu České </w:t>
      </w:r>
      <w:r w:rsidRPr="000A36BF">
        <w:rPr>
          <w:rFonts w:ascii="Arial" w:hAnsi="Arial" w:cs="Arial"/>
          <w:sz w:val="18"/>
          <w:szCs w:val="18"/>
        </w:rPr>
        <w:t xml:space="preserve">republiky </w:t>
      </w:r>
      <w:r w:rsidR="000A36BF" w:rsidRPr="000A36BF">
        <w:rPr>
          <w:rFonts w:ascii="Arial" w:hAnsi="Arial" w:cs="Arial"/>
          <w:sz w:val="18"/>
          <w:szCs w:val="18"/>
        </w:rPr>
        <w:t>46,5</w:t>
      </w:r>
      <w:r>
        <w:rPr>
          <w:rFonts w:ascii="Arial" w:hAnsi="Arial" w:cs="Arial"/>
          <w:sz w:val="18"/>
          <w:szCs w:val="18"/>
        </w:rPr>
        <w:t xml:space="preserve"> % (z toho na celkovém </w:t>
      </w:r>
      <w:r w:rsidRPr="000A36BF">
        <w:rPr>
          <w:rFonts w:ascii="Arial" w:hAnsi="Arial" w:cs="Arial"/>
          <w:sz w:val="18"/>
          <w:szCs w:val="18"/>
        </w:rPr>
        <w:t xml:space="preserve">vývozu </w:t>
      </w:r>
      <w:r w:rsidR="000A36BF" w:rsidRPr="000A36BF">
        <w:rPr>
          <w:rFonts w:ascii="Arial" w:hAnsi="Arial" w:cs="Arial"/>
          <w:sz w:val="18"/>
          <w:szCs w:val="18"/>
        </w:rPr>
        <w:t>50,7</w:t>
      </w:r>
      <w:r w:rsidRPr="000A36BF">
        <w:rPr>
          <w:rFonts w:ascii="Arial" w:hAnsi="Arial" w:cs="Arial"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a na celkovém </w:t>
      </w:r>
      <w:r w:rsidRPr="000A36BF">
        <w:rPr>
          <w:rFonts w:ascii="Arial" w:hAnsi="Arial" w:cs="Arial"/>
          <w:sz w:val="18"/>
          <w:szCs w:val="18"/>
        </w:rPr>
        <w:t xml:space="preserve">dovozu </w:t>
      </w:r>
      <w:r w:rsidR="000A36BF" w:rsidRPr="000A36BF">
        <w:rPr>
          <w:rFonts w:ascii="Arial" w:hAnsi="Arial" w:cs="Arial"/>
          <w:sz w:val="18"/>
          <w:szCs w:val="18"/>
        </w:rPr>
        <w:t>41,9</w:t>
      </w:r>
      <w:r>
        <w:rPr>
          <w:rFonts w:ascii="Arial" w:hAnsi="Arial" w:cs="Arial"/>
          <w:sz w:val="18"/>
          <w:szCs w:val="18"/>
        </w:rPr>
        <w:t xml:space="preserve"> %) a na celkovém obratu zahraničního obchodu České republiky se státy Evropské unie </w:t>
      </w:r>
      <w:r w:rsidR="000A36BF" w:rsidRPr="000A36BF">
        <w:rPr>
          <w:rFonts w:ascii="Arial" w:hAnsi="Arial" w:cs="Arial"/>
          <w:sz w:val="18"/>
          <w:szCs w:val="18"/>
        </w:rPr>
        <w:t>63,2</w:t>
      </w:r>
      <w:r w:rsidRPr="000A36BF">
        <w:rPr>
          <w:rFonts w:ascii="Arial" w:hAnsi="Arial" w:cs="Arial"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(z toho na vývozu do států </w:t>
      </w:r>
      <w:r w:rsidRPr="000A36BF">
        <w:rPr>
          <w:rFonts w:ascii="Arial" w:hAnsi="Arial" w:cs="Arial"/>
          <w:sz w:val="18"/>
          <w:szCs w:val="18"/>
        </w:rPr>
        <w:t xml:space="preserve">EU </w:t>
      </w:r>
      <w:r w:rsidR="000A36BF" w:rsidRPr="000A36BF">
        <w:rPr>
          <w:rFonts w:ascii="Arial" w:hAnsi="Arial" w:cs="Arial"/>
          <w:sz w:val="18"/>
          <w:szCs w:val="18"/>
        </w:rPr>
        <w:t>62,5</w:t>
      </w:r>
      <w:r>
        <w:rPr>
          <w:rFonts w:ascii="Arial" w:hAnsi="Arial" w:cs="Arial"/>
          <w:sz w:val="18"/>
          <w:szCs w:val="18"/>
        </w:rPr>
        <w:t xml:space="preserve"> % a na dovozu ze států EU </w:t>
      </w:r>
      <w:r w:rsidR="000A36BF" w:rsidRPr="000A36BF">
        <w:rPr>
          <w:rFonts w:ascii="Arial" w:hAnsi="Arial" w:cs="Arial"/>
          <w:sz w:val="18"/>
          <w:szCs w:val="18"/>
        </w:rPr>
        <w:t>64,3</w:t>
      </w:r>
      <w:r>
        <w:rPr>
          <w:rFonts w:ascii="Arial" w:hAnsi="Arial" w:cs="Arial"/>
          <w:sz w:val="18"/>
          <w:szCs w:val="18"/>
        </w:rPr>
        <w:t xml:space="preserve"> %). </w:t>
      </w:r>
    </w:p>
    <w:p w:rsidR="00B36213" w:rsidRPr="002F7B9C" w:rsidRDefault="00B36213" w:rsidP="00B3621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A72BB8">
        <w:rPr>
          <w:rFonts w:ascii="Arial" w:hAnsi="Arial" w:cs="Arial"/>
          <w:sz w:val="18"/>
          <w:szCs w:val="18"/>
        </w:rPr>
        <w:t>V roce 2013 proti roku 2012 vzrostl obrat zahraničního obchodu České republiky se sousedními státy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C614B8">
        <w:rPr>
          <w:rFonts w:ascii="Arial" w:hAnsi="Arial" w:cs="Arial"/>
          <w:sz w:val="18"/>
          <w:szCs w:val="18"/>
        </w:rPr>
        <w:t>o 2,5 % (z 2 </w:t>
      </w:r>
      <w:r>
        <w:rPr>
          <w:rFonts w:ascii="Arial" w:hAnsi="Arial" w:cs="Arial"/>
          <w:sz w:val="18"/>
          <w:szCs w:val="18"/>
        </w:rPr>
        <w:t>724,0 </w:t>
      </w:r>
      <w:r w:rsidRPr="00C614B8">
        <w:rPr>
          <w:rFonts w:ascii="Arial" w:hAnsi="Arial" w:cs="Arial"/>
          <w:sz w:val="18"/>
          <w:szCs w:val="18"/>
        </w:rPr>
        <w:t>mld. Kč na 2 791,7 mld. Kč).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120BC1">
        <w:rPr>
          <w:rFonts w:ascii="Arial" w:hAnsi="Arial" w:cs="Arial"/>
          <w:sz w:val="18"/>
          <w:szCs w:val="18"/>
        </w:rPr>
        <w:t>Růst vývozu do sousedních států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E8480C">
        <w:rPr>
          <w:rFonts w:ascii="Arial" w:hAnsi="Arial" w:cs="Arial"/>
          <w:sz w:val="18"/>
          <w:szCs w:val="18"/>
        </w:rPr>
        <w:t xml:space="preserve">o 2,3 % (z </w:t>
      </w:r>
      <w:r>
        <w:rPr>
          <w:rFonts w:ascii="Arial" w:hAnsi="Arial" w:cs="Arial"/>
          <w:sz w:val="18"/>
          <w:szCs w:val="18"/>
        </w:rPr>
        <w:t xml:space="preserve">1 572,4 </w:t>
      </w:r>
      <w:r w:rsidRPr="00E8480C">
        <w:rPr>
          <w:rFonts w:ascii="Arial" w:hAnsi="Arial" w:cs="Arial"/>
          <w:sz w:val="18"/>
          <w:szCs w:val="18"/>
        </w:rPr>
        <w:t xml:space="preserve">mld. Kč na </w:t>
      </w:r>
      <w:r>
        <w:rPr>
          <w:rFonts w:ascii="Arial" w:hAnsi="Arial" w:cs="Arial"/>
          <w:sz w:val="18"/>
          <w:szCs w:val="18"/>
        </w:rPr>
        <w:t>1 608,3</w:t>
      </w:r>
      <w:r w:rsidRPr="00E8480C">
        <w:rPr>
          <w:rFonts w:ascii="Arial" w:hAnsi="Arial" w:cs="Arial"/>
          <w:sz w:val="18"/>
          <w:szCs w:val="18"/>
        </w:rPr>
        <w:t xml:space="preserve"> mld. Kč)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120BC1">
        <w:rPr>
          <w:rFonts w:ascii="Arial" w:hAnsi="Arial" w:cs="Arial"/>
          <w:sz w:val="18"/>
          <w:szCs w:val="18"/>
        </w:rPr>
        <w:t xml:space="preserve">a současně dovozu ze sousedních států </w:t>
      </w:r>
      <w:r>
        <w:rPr>
          <w:rFonts w:ascii="Arial" w:hAnsi="Arial" w:cs="Arial"/>
          <w:sz w:val="18"/>
          <w:szCs w:val="18"/>
        </w:rPr>
        <w:t xml:space="preserve">o 2,8 % (z 1 151,6 mld. Kč na 1 183,4 mld. Kč) </w:t>
      </w:r>
      <w:r w:rsidRPr="00120BC1">
        <w:rPr>
          <w:rFonts w:ascii="Arial" w:hAnsi="Arial" w:cs="Arial"/>
          <w:sz w:val="18"/>
          <w:szCs w:val="18"/>
        </w:rPr>
        <w:t>vedl v roce 2013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120BC1">
        <w:rPr>
          <w:rFonts w:ascii="Arial" w:hAnsi="Arial" w:cs="Arial"/>
          <w:sz w:val="18"/>
          <w:szCs w:val="18"/>
        </w:rPr>
        <w:t xml:space="preserve">k navýšení přebytku </w:t>
      </w:r>
      <w:r w:rsidR="00E63B56">
        <w:rPr>
          <w:rFonts w:ascii="Arial" w:hAnsi="Arial" w:cs="Arial"/>
          <w:sz w:val="18"/>
          <w:szCs w:val="18"/>
        </w:rPr>
        <w:t xml:space="preserve">celkové </w:t>
      </w:r>
      <w:r w:rsidRPr="00120BC1">
        <w:rPr>
          <w:rFonts w:ascii="Arial" w:hAnsi="Arial" w:cs="Arial"/>
          <w:sz w:val="18"/>
          <w:szCs w:val="18"/>
        </w:rPr>
        <w:t>obchodní bilance se sousedními státy proti roku 20</w:t>
      </w:r>
      <w:r>
        <w:rPr>
          <w:rFonts w:ascii="Arial" w:hAnsi="Arial" w:cs="Arial"/>
          <w:sz w:val="18"/>
          <w:szCs w:val="18"/>
        </w:rPr>
        <w:t>12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450F12">
        <w:rPr>
          <w:rFonts w:ascii="Arial" w:hAnsi="Arial" w:cs="Arial"/>
          <w:sz w:val="18"/>
          <w:szCs w:val="18"/>
        </w:rPr>
        <w:t>o 4,0 mld. Kč. Krytí</w:t>
      </w:r>
      <w:r w:rsidRPr="00120BC1">
        <w:rPr>
          <w:rFonts w:ascii="Arial" w:hAnsi="Arial" w:cs="Arial"/>
          <w:sz w:val="18"/>
          <w:szCs w:val="18"/>
        </w:rPr>
        <w:t xml:space="preserve"> dovozu vývozem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2F7B9C">
        <w:rPr>
          <w:rFonts w:ascii="Arial" w:hAnsi="Arial" w:cs="Arial"/>
          <w:sz w:val="18"/>
          <w:szCs w:val="18"/>
        </w:rPr>
        <w:t>se snížilo</w:t>
      </w:r>
      <w:r>
        <w:rPr>
          <w:rFonts w:ascii="Arial" w:hAnsi="Arial" w:cs="Arial"/>
          <w:sz w:val="18"/>
          <w:szCs w:val="18"/>
        </w:rPr>
        <w:t xml:space="preserve"> z </w:t>
      </w:r>
      <w:r w:rsidRPr="002F7B9C">
        <w:rPr>
          <w:rFonts w:ascii="Arial" w:hAnsi="Arial" w:cs="Arial"/>
          <w:sz w:val="18"/>
          <w:szCs w:val="18"/>
        </w:rPr>
        <w:t>136,5 % v roce 2012 na 135,9 % v roce 2013.</w:t>
      </w:r>
    </w:p>
    <w:p w:rsidR="00FE1025" w:rsidRDefault="00FE1025" w:rsidP="00A60AA1">
      <w:pPr>
        <w:spacing w:after="80"/>
        <w:jc w:val="both"/>
        <w:rPr>
          <w:rFonts w:ascii="Arial" w:hAnsi="Arial" w:cs="Arial"/>
          <w:b/>
          <w:i/>
          <w:sz w:val="18"/>
          <w:szCs w:val="18"/>
        </w:rPr>
      </w:pPr>
      <w:r w:rsidRPr="006C2CE0">
        <w:rPr>
          <w:rFonts w:ascii="Arial" w:hAnsi="Arial" w:cs="Arial"/>
          <w:b/>
          <w:i/>
          <w:sz w:val="18"/>
          <w:szCs w:val="18"/>
        </w:rPr>
        <w:t xml:space="preserve">Graf </w:t>
      </w:r>
      <w:r>
        <w:rPr>
          <w:rFonts w:ascii="Arial" w:hAnsi="Arial" w:cs="Arial"/>
          <w:b/>
          <w:i/>
          <w:sz w:val="18"/>
          <w:szCs w:val="18"/>
        </w:rPr>
        <w:t>10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- Zahraniční obchod se sousedními státy ČR v roce 201</w:t>
      </w:r>
      <w:r>
        <w:rPr>
          <w:rFonts w:ascii="Arial" w:hAnsi="Arial" w:cs="Arial"/>
          <w:b/>
          <w:i/>
          <w:sz w:val="18"/>
          <w:szCs w:val="18"/>
        </w:rPr>
        <w:t>3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(podíly v %)</w:t>
      </w:r>
    </w:p>
    <w:p w:rsidR="00FE1025" w:rsidRPr="00D651E6" w:rsidRDefault="00FE1025" w:rsidP="00FE1025">
      <w:pPr>
        <w:spacing w:after="0"/>
        <w:ind w:left="1416" w:firstLine="708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6C2CE0">
        <w:rPr>
          <w:rFonts w:ascii="Arial" w:hAnsi="Arial" w:cs="Arial"/>
          <w:i/>
          <w:sz w:val="18"/>
          <w:szCs w:val="18"/>
        </w:rPr>
        <w:t>vývoz</w:t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  <w:t>dovoz</w:t>
      </w:r>
    </w:p>
    <w:p w:rsidR="00FE1025" w:rsidRDefault="008A2C30" w:rsidP="008E7B82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837A19" w:rsidRPr="00F8628E">
        <w:rPr>
          <w:rFonts w:ascii="Arial" w:hAnsi="Arial" w:cs="Arial"/>
          <w:sz w:val="18"/>
          <w:szCs w:val="18"/>
        </w:rPr>
        <w:pict>
          <v:shape id="_x0000_i1037" type="#_x0000_t75" style="width:241.8pt;height:122.95pt">
            <v:imagedata r:id="rId20" o:title=""/>
          </v:shape>
        </w:pict>
      </w:r>
      <w:r w:rsidR="00D334B4">
        <w:rPr>
          <w:rFonts w:ascii="Arial" w:hAnsi="Arial" w:cs="Arial"/>
          <w:sz w:val="18"/>
          <w:szCs w:val="18"/>
        </w:rPr>
        <w:t xml:space="preserve">     </w:t>
      </w:r>
      <w:r w:rsidR="00837A19" w:rsidRPr="00F8628E">
        <w:rPr>
          <w:rFonts w:ascii="Arial" w:hAnsi="Arial" w:cs="Arial"/>
          <w:sz w:val="18"/>
          <w:szCs w:val="18"/>
        </w:rPr>
        <w:pict>
          <v:shape id="_x0000_i1038" type="#_x0000_t75" style="width:148.1pt;height:122.95pt">
            <v:imagedata r:id="rId21" o:title=""/>
          </v:shape>
        </w:pict>
      </w:r>
    </w:p>
    <w:p w:rsidR="009D7213" w:rsidRPr="009D7213" w:rsidRDefault="008E7B82" w:rsidP="008E7B82">
      <w:pPr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5F66AB">
        <w:rPr>
          <w:rFonts w:ascii="Arial" w:hAnsi="Arial" w:cs="Arial"/>
          <w:b/>
          <w:sz w:val="18"/>
          <w:szCs w:val="18"/>
        </w:rPr>
        <w:t>Hlavním</w:t>
      </w:r>
      <w:r w:rsidRPr="00A72BB8">
        <w:rPr>
          <w:rFonts w:ascii="Arial" w:hAnsi="Arial" w:cs="Arial"/>
          <w:sz w:val="18"/>
          <w:szCs w:val="18"/>
        </w:rPr>
        <w:t xml:space="preserve"> obchodním </w:t>
      </w:r>
      <w:r w:rsidRPr="005F66AB">
        <w:rPr>
          <w:rFonts w:ascii="Arial" w:hAnsi="Arial" w:cs="Arial"/>
          <w:b/>
          <w:sz w:val="18"/>
          <w:szCs w:val="18"/>
        </w:rPr>
        <w:t>partnerem</w:t>
      </w:r>
      <w:r w:rsidRPr="00A72BB8">
        <w:rPr>
          <w:rFonts w:ascii="Arial" w:hAnsi="Arial" w:cs="Arial"/>
          <w:sz w:val="18"/>
          <w:szCs w:val="18"/>
        </w:rPr>
        <w:t xml:space="preserve"> České republiky ze sousedních států je </w:t>
      </w:r>
      <w:r w:rsidRPr="005F66AB">
        <w:rPr>
          <w:rFonts w:ascii="Arial" w:hAnsi="Arial" w:cs="Arial"/>
          <w:b/>
          <w:sz w:val="18"/>
          <w:szCs w:val="18"/>
        </w:rPr>
        <w:t>Německo</w:t>
      </w:r>
      <w:r w:rsidRPr="00A72BB8">
        <w:rPr>
          <w:rFonts w:ascii="Arial" w:hAnsi="Arial" w:cs="Arial"/>
          <w:sz w:val="18"/>
          <w:szCs w:val="18"/>
        </w:rPr>
        <w:t>, k</w:t>
      </w:r>
      <w:r w:rsidR="00885A4D">
        <w:rPr>
          <w:rFonts w:ascii="Arial" w:hAnsi="Arial" w:cs="Arial"/>
          <w:sz w:val="18"/>
          <w:szCs w:val="18"/>
        </w:rPr>
        <w:t>teré je pochopitelně současně i </w:t>
      </w:r>
      <w:r w:rsidRPr="00A72BB8">
        <w:rPr>
          <w:rFonts w:ascii="Arial" w:hAnsi="Arial" w:cs="Arial"/>
          <w:sz w:val="18"/>
          <w:szCs w:val="18"/>
        </w:rPr>
        <w:t>nejvýznamnějším zahraničněobchodním partnerem České republiky</w:t>
      </w:r>
      <w:r w:rsidR="001243B7">
        <w:rPr>
          <w:rFonts w:ascii="Arial" w:hAnsi="Arial" w:cs="Arial"/>
          <w:sz w:val="18"/>
          <w:szCs w:val="18"/>
        </w:rPr>
        <w:t>. N</w:t>
      </w:r>
      <w:r w:rsidRPr="00A72BB8">
        <w:rPr>
          <w:rFonts w:ascii="Arial" w:hAnsi="Arial" w:cs="Arial"/>
          <w:sz w:val="18"/>
          <w:szCs w:val="18"/>
        </w:rPr>
        <w:t>a celkovém obratu zahraničního obchodu v roce 20</w:t>
      </w:r>
      <w:r>
        <w:rPr>
          <w:rFonts w:ascii="Arial" w:hAnsi="Arial" w:cs="Arial"/>
          <w:sz w:val="18"/>
          <w:szCs w:val="18"/>
        </w:rPr>
        <w:t>13</w:t>
      </w:r>
      <w:r w:rsidRPr="00A72BB8">
        <w:rPr>
          <w:rFonts w:ascii="Arial" w:hAnsi="Arial" w:cs="Arial"/>
          <w:sz w:val="18"/>
          <w:szCs w:val="18"/>
        </w:rPr>
        <w:t xml:space="preserve"> </w:t>
      </w:r>
      <w:r w:rsidR="00BD2D03">
        <w:rPr>
          <w:rFonts w:ascii="Arial" w:hAnsi="Arial" w:cs="Arial"/>
          <w:sz w:val="18"/>
          <w:szCs w:val="18"/>
        </w:rPr>
        <w:t xml:space="preserve">se </w:t>
      </w:r>
      <w:r w:rsidRPr="00D334B4">
        <w:rPr>
          <w:rFonts w:ascii="Arial" w:hAnsi="Arial" w:cs="Arial"/>
          <w:sz w:val="18"/>
          <w:szCs w:val="18"/>
        </w:rPr>
        <w:t xml:space="preserve">podílelo </w:t>
      </w:r>
      <w:r w:rsidR="00D334B4" w:rsidRPr="00D334B4">
        <w:rPr>
          <w:rFonts w:ascii="Arial" w:hAnsi="Arial" w:cs="Arial"/>
          <w:sz w:val="18"/>
          <w:szCs w:val="18"/>
        </w:rPr>
        <w:t>28,6</w:t>
      </w:r>
      <w:r w:rsidRPr="00D334B4">
        <w:rPr>
          <w:rFonts w:ascii="Arial" w:hAnsi="Arial" w:cs="Arial"/>
          <w:sz w:val="18"/>
          <w:szCs w:val="18"/>
        </w:rPr>
        <w:t xml:space="preserve"> %</w:t>
      </w:r>
      <w:r w:rsidR="00BD2D03">
        <w:rPr>
          <w:rFonts w:ascii="Arial" w:hAnsi="Arial" w:cs="Arial"/>
          <w:sz w:val="18"/>
          <w:szCs w:val="18"/>
        </w:rPr>
        <w:t xml:space="preserve">, zatímco </w:t>
      </w:r>
      <w:r w:rsidRPr="00D334B4">
        <w:rPr>
          <w:rFonts w:ascii="Arial" w:hAnsi="Arial" w:cs="Arial"/>
          <w:sz w:val="18"/>
          <w:szCs w:val="18"/>
        </w:rPr>
        <w:t>na</w:t>
      </w:r>
      <w:r w:rsidRPr="00A72BB8">
        <w:rPr>
          <w:rFonts w:ascii="Arial" w:hAnsi="Arial" w:cs="Arial"/>
          <w:sz w:val="18"/>
          <w:szCs w:val="18"/>
        </w:rPr>
        <w:t xml:space="preserve"> celkovém obratu zahraničního obchodu se sousedními </w:t>
      </w:r>
      <w:r w:rsidRPr="00885A4D">
        <w:rPr>
          <w:rFonts w:ascii="Arial" w:hAnsi="Arial" w:cs="Arial"/>
          <w:sz w:val="18"/>
          <w:szCs w:val="18"/>
        </w:rPr>
        <w:t>státy 61,8 %.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Podíl </w:t>
      </w:r>
      <w:r w:rsidR="00C86DBE">
        <w:rPr>
          <w:rFonts w:ascii="Arial" w:hAnsi="Arial" w:cs="Arial"/>
          <w:spacing w:val="-2"/>
          <w:sz w:val="18"/>
          <w:szCs w:val="18"/>
        </w:rPr>
        <w:t>Německa na </w:t>
      </w:r>
      <w:r w:rsidRPr="009D7213">
        <w:rPr>
          <w:rFonts w:ascii="Arial" w:hAnsi="Arial" w:cs="Arial"/>
          <w:spacing w:val="-2"/>
          <w:sz w:val="18"/>
          <w:szCs w:val="18"/>
        </w:rPr>
        <w:t xml:space="preserve">vývozu </w:t>
      </w:r>
      <w:r w:rsidR="00C86DBE">
        <w:rPr>
          <w:rFonts w:ascii="Arial" w:hAnsi="Arial" w:cs="Arial"/>
          <w:spacing w:val="-2"/>
          <w:sz w:val="18"/>
          <w:szCs w:val="18"/>
        </w:rPr>
        <w:t>do</w:t>
      </w:r>
      <w:r w:rsidRPr="009D7213">
        <w:rPr>
          <w:rFonts w:ascii="Arial" w:hAnsi="Arial" w:cs="Arial"/>
          <w:spacing w:val="-2"/>
          <w:sz w:val="18"/>
          <w:szCs w:val="18"/>
        </w:rPr>
        <w:t xml:space="preserve"> sousedních států vzrostl z </w:t>
      </w:r>
      <w:r w:rsidR="009D7213" w:rsidRPr="009D7213">
        <w:rPr>
          <w:rFonts w:ascii="Arial" w:hAnsi="Arial" w:cs="Arial"/>
          <w:spacing w:val="-2"/>
          <w:sz w:val="18"/>
          <w:szCs w:val="18"/>
        </w:rPr>
        <w:t xml:space="preserve">61,4 </w:t>
      </w:r>
      <w:r w:rsidRPr="009D7213">
        <w:rPr>
          <w:rFonts w:ascii="Arial" w:hAnsi="Arial" w:cs="Arial"/>
          <w:spacing w:val="-2"/>
          <w:sz w:val="18"/>
          <w:szCs w:val="18"/>
        </w:rPr>
        <w:t>%</w:t>
      </w:r>
      <w:r w:rsidR="009D7213" w:rsidRPr="009D7213">
        <w:rPr>
          <w:rFonts w:ascii="Arial" w:hAnsi="Arial" w:cs="Arial"/>
          <w:spacing w:val="-2"/>
          <w:sz w:val="18"/>
          <w:szCs w:val="18"/>
        </w:rPr>
        <w:t xml:space="preserve"> v roce 2012</w:t>
      </w:r>
      <w:r w:rsidRPr="009D7213">
        <w:rPr>
          <w:rFonts w:ascii="Arial" w:hAnsi="Arial" w:cs="Arial"/>
          <w:spacing w:val="-2"/>
          <w:sz w:val="18"/>
          <w:szCs w:val="18"/>
        </w:rPr>
        <w:t xml:space="preserve"> na </w:t>
      </w:r>
      <w:r w:rsidR="009D7213" w:rsidRPr="009D7213">
        <w:rPr>
          <w:rFonts w:ascii="Arial" w:hAnsi="Arial" w:cs="Arial"/>
          <w:spacing w:val="-2"/>
          <w:sz w:val="18"/>
          <w:szCs w:val="18"/>
        </w:rPr>
        <w:t>61,8</w:t>
      </w:r>
      <w:r w:rsidRPr="009D7213">
        <w:rPr>
          <w:rFonts w:ascii="Arial" w:hAnsi="Arial" w:cs="Arial"/>
          <w:spacing w:val="-2"/>
          <w:sz w:val="18"/>
          <w:szCs w:val="18"/>
        </w:rPr>
        <w:t xml:space="preserve"> % v roce 201</w:t>
      </w:r>
      <w:r w:rsidR="009D7213" w:rsidRPr="009D7213">
        <w:rPr>
          <w:rFonts w:ascii="Arial" w:hAnsi="Arial" w:cs="Arial"/>
          <w:spacing w:val="-2"/>
          <w:sz w:val="18"/>
          <w:szCs w:val="18"/>
        </w:rPr>
        <w:t>3</w:t>
      </w:r>
      <w:r w:rsidRPr="009D7213">
        <w:rPr>
          <w:rFonts w:ascii="Arial" w:hAnsi="Arial" w:cs="Arial"/>
          <w:spacing w:val="-2"/>
          <w:sz w:val="18"/>
          <w:szCs w:val="18"/>
        </w:rPr>
        <w:t xml:space="preserve">, </w:t>
      </w:r>
      <w:r w:rsidR="00A60AA1">
        <w:rPr>
          <w:rFonts w:ascii="Arial" w:hAnsi="Arial" w:cs="Arial"/>
          <w:spacing w:val="-2"/>
          <w:sz w:val="18"/>
          <w:szCs w:val="18"/>
        </w:rPr>
        <w:t xml:space="preserve">podíl </w:t>
      </w:r>
      <w:r w:rsidR="00C86DBE">
        <w:rPr>
          <w:rFonts w:ascii="Arial" w:hAnsi="Arial" w:cs="Arial"/>
          <w:spacing w:val="-2"/>
          <w:sz w:val="18"/>
          <w:szCs w:val="18"/>
        </w:rPr>
        <w:t xml:space="preserve">na </w:t>
      </w:r>
      <w:r w:rsidRPr="009D7213">
        <w:rPr>
          <w:rFonts w:ascii="Arial" w:hAnsi="Arial" w:cs="Arial"/>
          <w:spacing w:val="-2"/>
          <w:sz w:val="18"/>
          <w:szCs w:val="18"/>
        </w:rPr>
        <w:t>dovoz</w:t>
      </w:r>
      <w:r w:rsidR="00A60AA1">
        <w:rPr>
          <w:rFonts w:ascii="Arial" w:hAnsi="Arial" w:cs="Arial"/>
          <w:spacing w:val="-2"/>
          <w:sz w:val="18"/>
          <w:szCs w:val="18"/>
        </w:rPr>
        <w:t>u</w:t>
      </w:r>
      <w:r w:rsidR="009D7213" w:rsidRPr="009D7213">
        <w:rPr>
          <w:rFonts w:ascii="Arial" w:hAnsi="Arial" w:cs="Arial"/>
          <w:spacing w:val="-2"/>
          <w:sz w:val="18"/>
          <w:szCs w:val="18"/>
        </w:rPr>
        <w:t xml:space="preserve"> </w:t>
      </w:r>
      <w:r w:rsidR="00A60AA1">
        <w:rPr>
          <w:rFonts w:ascii="Arial" w:hAnsi="Arial" w:cs="Arial"/>
          <w:spacing w:val="-2"/>
          <w:sz w:val="18"/>
          <w:szCs w:val="18"/>
        </w:rPr>
        <w:t>narostl z 60,8 </w:t>
      </w:r>
      <w:r w:rsidR="00C86DBE">
        <w:rPr>
          <w:rFonts w:ascii="Arial" w:hAnsi="Arial" w:cs="Arial"/>
          <w:spacing w:val="-2"/>
          <w:sz w:val="18"/>
          <w:szCs w:val="18"/>
        </w:rPr>
        <w:t>% na </w:t>
      </w:r>
      <w:r w:rsidR="009D7213" w:rsidRPr="009D7213">
        <w:rPr>
          <w:rFonts w:ascii="Arial" w:hAnsi="Arial" w:cs="Arial"/>
          <w:spacing w:val="-2"/>
          <w:sz w:val="18"/>
          <w:szCs w:val="18"/>
        </w:rPr>
        <w:t>61,1 %.</w:t>
      </w:r>
    </w:p>
    <w:p w:rsidR="000F31BC" w:rsidRDefault="008E7B82" w:rsidP="008E7B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F66AB">
        <w:rPr>
          <w:rFonts w:ascii="Arial" w:hAnsi="Arial" w:cs="Arial"/>
          <w:b/>
          <w:sz w:val="18"/>
          <w:szCs w:val="18"/>
        </w:rPr>
        <w:t>Druhým</w:t>
      </w:r>
      <w:r w:rsidRPr="00A72BB8">
        <w:rPr>
          <w:rFonts w:ascii="Arial" w:hAnsi="Arial" w:cs="Arial"/>
          <w:sz w:val="18"/>
          <w:szCs w:val="18"/>
        </w:rPr>
        <w:t xml:space="preserve"> největším zahraničněobchodním </w:t>
      </w:r>
      <w:r w:rsidRPr="005F66AB">
        <w:rPr>
          <w:rFonts w:ascii="Arial" w:hAnsi="Arial" w:cs="Arial"/>
          <w:b/>
          <w:sz w:val="18"/>
          <w:szCs w:val="18"/>
        </w:rPr>
        <w:t>partnerem</w:t>
      </w:r>
      <w:r w:rsidRPr="00A72BB8">
        <w:rPr>
          <w:rFonts w:ascii="Arial" w:hAnsi="Arial" w:cs="Arial"/>
          <w:sz w:val="18"/>
          <w:szCs w:val="18"/>
        </w:rPr>
        <w:t xml:space="preserve"> České republiky ze sousedních států je </w:t>
      </w:r>
      <w:r w:rsidRPr="005F66AB">
        <w:rPr>
          <w:rFonts w:ascii="Arial" w:hAnsi="Arial" w:cs="Arial"/>
          <w:b/>
          <w:sz w:val="18"/>
          <w:szCs w:val="18"/>
        </w:rPr>
        <w:t>Slovensko</w:t>
      </w:r>
      <w:r w:rsidR="009D7213">
        <w:rPr>
          <w:rFonts w:ascii="Arial" w:hAnsi="Arial" w:cs="Arial"/>
          <w:sz w:val="18"/>
          <w:szCs w:val="18"/>
        </w:rPr>
        <w:t>, které mělo i </w:t>
      </w:r>
      <w:r w:rsidRPr="00B47FAA">
        <w:rPr>
          <w:rFonts w:ascii="Arial" w:hAnsi="Arial" w:cs="Arial"/>
          <w:sz w:val="18"/>
          <w:szCs w:val="18"/>
        </w:rPr>
        <w:t xml:space="preserve">druhý největší </w:t>
      </w:r>
      <w:r w:rsidRPr="00D334B4">
        <w:rPr>
          <w:rFonts w:ascii="Arial" w:hAnsi="Arial" w:cs="Arial"/>
          <w:sz w:val="18"/>
          <w:szCs w:val="18"/>
        </w:rPr>
        <w:t>podíl (</w:t>
      </w:r>
      <w:r w:rsidR="00D334B4" w:rsidRPr="00D334B4">
        <w:rPr>
          <w:rFonts w:ascii="Arial" w:hAnsi="Arial" w:cs="Arial"/>
          <w:sz w:val="18"/>
          <w:szCs w:val="18"/>
        </w:rPr>
        <w:t>7,3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B47FAA">
        <w:rPr>
          <w:rFonts w:ascii="Arial" w:hAnsi="Arial" w:cs="Arial"/>
          <w:sz w:val="18"/>
          <w:szCs w:val="18"/>
        </w:rPr>
        <w:t>% v roce 20</w:t>
      </w:r>
      <w:r>
        <w:rPr>
          <w:rFonts w:ascii="Arial" w:hAnsi="Arial" w:cs="Arial"/>
          <w:sz w:val="18"/>
          <w:szCs w:val="18"/>
        </w:rPr>
        <w:t>13</w:t>
      </w:r>
      <w:r w:rsidRPr="00B47FAA">
        <w:rPr>
          <w:rFonts w:ascii="Arial" w:hAnsi="Arial" w:cs="Arial"/>
          <w:sz w:val="18"/>
          <w:szCs w:val="18"/>
        </w:rPr>
        <w:t>) na celkovém zahraničním obchodu ČR. Hodnota obratu zahraničního obchodu Č</w:t>
      </w:r>
      <w:r w:rsidR="00A60AA1">
        <w:rPr>
          <w:rFonts w:ascii="Arial" w:hAnsi="Arial" w:cs="Arial"/>
          <w:sz w:val="18"/>
          <w:szCs w:val="18"/>
        </w:rPr>
        <w:t>eska</w:t>
      </w:r>
      <w:r w:rsidRPr="00B47FAA">
        <w:rPr>
          <w:rFonts w:ascii="Arial" w:hAnsi="Arial" w:cs="Arial"/>
          <w:sz w:val="18"/>
          <w:szCs w:val="18"/>
        </w:rPr>
        <w:t xml:space="preserve"> se Slovenskem byla však v porovnání s hodnotou obratu zahraničního obchodu s Německem výrazně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="00A60AA1">
        <w:rPr>
          <w:rFonts w:ascii="Arial" w:hAnsi="Arial" w:cs="Arial"/>
          <w:sz w:val="18"/>
          <w:szCs w:val="18"/>
        </w:rPr>
        <w:t>nižší (v </w:t>
      </w:r>
      <w:r w:rsidRPr="00B47FAA">
        <w:rPr>
          <w:rFonts w:ascii="Arial" w:hAnsi="Arial" w:cs="Arial"/>
          <w:sz w:val="18"/>
          <w:szCs w:val="18"/>
        </w:rPr>
        <w:t>roce 20</w:t>
      </w:r>
      <w:r>
        <w:rPr>
          <w:rFonts w:ascii="Arial" w:hAnsi="Arial" w:cs="Arial"/>
          <w:sz w:val="18"/>
          <w:szCs w:val="18"/>
        </w:rPr>
        <w:t>13</w:t>
      </w:r>
      <w:r w:rsidRPr="00B47FAA">
        <w:rPr>
          <w:rFonts w:ascii="Arial" w:hAnsi="Arial" w:cs="Arial"/>
          <w:sz w:val="18"/>
          <w:szCs w:val="18"/>
        </w:rPr>
        <w:t xml:space="preserve"> se pohybovala </w:t>
      </w:r>
      <w:r w:rsidR="00D334B4" w:rsidRPr="00D334B4">
        <w:rPr>
          <w:rFonts w:ascii="Arial" w:hAnsi="Arial" w:cs="Arial"/>
          <w:sz w:val="18"/>
          <w:szCs w:val="18"/>
        </w:rPr>
        <w:t xml:space="preserve">zhruba </w:t>
      </w:r>
      <w:r w:rsidRPr="00D334B4">
        <w:rPr>
          <w:rFonts w:ascii="Arial" w:hAnsi="Arial" w:cs="Arial"/>
          <w:sz w:val="18"/>
          <w:szCs w:val="18"/>
        </w:rPr>
        <w:t>na úrovni jedné čtvrtiny),</w:t>
      </w:r>
      <w:r w:rsidRPr="00B47FAA">
        <w:rPr>
          <w:rFonts w:ascii="Arial" w:hAnsi="Arial" w:cs="Arial"/>
          <w:sz w:val="18"/>
          <w:szCs w:val="18"/>
        </w:rPr>
        <w:t xml:space="preserve"> takže i vliv obchodu se Slovenskem na celkový zahraniční obchod ČR byl podstatně slabší</w:t>
      </w:r>
      <w:r w:rsidR="00BD2D03">
        <w:rPr>
          <w:rFonts w:ascii="Arial" w:hAnsi="Arial" w:cs="Arial"/>
          <w:sz w:val="18"/>
          <w:szCs w:val="18"/>
        </w:rPr>
        <w:t xml:space="preserve"> (ve srovnání s Německem)</w:t>
      </w:r>
      <w:r w:rsidRPr="00B47FAA">
        <w:rPr>
          <w:rFonts w:ascii="Arial" w:hAnsi="Arial" w:cs="Arial"/>
          <w:sz w:val="18"/>
          <w:szCs w:val="18"/>
        </w:rPr>
        <w:t xml:space="preserve">. </w:t>
      </w:r>
    </w:p>
    <w:p w:rsidR="008E7B82" w:rsidRPr="00A72BB8" w:rsidRDefault="008E7B82" w:rsidP="008E7B82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A72BB8">
        <w:rPr>
          <w:rFonts w:ascii="Arial" w:hAnsi="Arial" w:cs="Arial"/>
          <w:sz w:val="18"/>
          <w:szCs w:val="18"/>
        </w:rPr>
        <w:t>Zahraniční obchod České republiky s </w:t>
      </w:r>
      <w:r w:rsidRPr="005F66AB">
        <w:rPr>
          <w:rFonts w:ascii="Arial" w:hAnsi="Arial" w:cs="Arial"/>
          <w:b/>
          <w:sz w:val="18"/>
          <w:szCs w:val="18"/>
        </w:rPr>
        <w:t>Polskem</w:t>
      </w:r>
      <w:r w:rsidRPr="00A72BB8">
        <w:rPr>
          <w:rFonts w:ascii="Arial" w:hAnsi="Arial" w:cs="Arial"/>
          <w:sz w:val="18"/>
          <w:szCs w:val="18"/>
        </w:rPr>
        <w:t xml:space="preserve"> se řadí na </w:t>
      </w:r>
      <w:r w:rsidRPr="005F66AB">
        <w:rPr>
          <w:rFonts w:ascii="Arial" w:hAnsi="Arial" w:cs="Arial"/>
          <w:b/>
          <w:sz w:val="18"/>
          <w:szCs w:val="18"/>
        </w:rPr>
        <w:t>třetí místo</w:t>
      </w:r>
      <w:r w:rsidRPr="00A72BB8">
        <w:rPr>
          <w:rFonts w:ascii="Arial" w:hAnsi="Arial" w:cs="Arial"/>
          <w:sz w:val="18"/>
          <w:szCs w:val="18"/>
        </w:rPr>
        <w:t xml:space="preserve">, a to jak </w:t>
      </w:r>
      <w:r w:rsidRPr="00885A4D">
        <w:rPr>
          <w:rFonts w:ascii="Arial" w:hAnsi="Arial" w:cs="Arial"/>
          <w:sz w:val="18"/>
          <w:szCs w:val="18"/>
        </w:rPr>
        <w:t>podílem (</w:t>
      </w:r>
      <w:r w:rsidR="00885A4D" w:rsidRPr="00885A4D">
        <w:rPr>
          <w:rFonts w:ascii="Arial" w:hAnsi="Arial" w:cs="Arial"/>
          <w:sz w:val="18"/>
          <w:szCs w:val="18"/>
        </w:rPr>
        <w:t>11,8</w:t>
      </w:r>
      <w:r w:rsidRPr="00885A4D">
        <w:rPr>
          <w:rFonts w:ascii="Arial" w:hAnsi="Arial" w:cs="Arial"/>
          <w:sz w:val="18"/>
          <w:szCs w:val="18"/>
        </w:rPr>
        <w:t> % v</w:t>
      </w:r>
      <w:r w:rsidRPr="00B47FAA">
        <w:rPr>
          <w:rFonts w:ascii="Arial" w:hAnsi="Arial" w:cs="Arial"/>
          <w:sz w:val="18"/>
          <w:szCs w:val="18"/>
        </w:rPr>
        <w:t> roce 20</w:t>
      </w:r>
      <w:r>
        <w:rPr>
          <w:rFonts w:ascii="Arial" w:hAnsi="Arial" w:cs="Arial"/>
          <w:sz w:val="18"/>
          <w:szCs w:val="18"/>
        </w:rPr>
        <w:t>13</w:t>
      </w:r>
      <w:r w:rsidR="009D7213">
        <w:rPr>
          <w:rFonts w:ascii="Arial" w:hAnsi="Arial" w:cs="Arial"/>
          <w:sz w:val="18"/>
          <w:szCs w:val="18"/>
        </w:rPr>
        <w:t>) na </w:t>
      </w:r>
      <w:r w:rsidRPr="00B47FAA">
        <w:rPr>
          <w:rFonts w:ascii="Arial" w:hAnsi="Arial" w:cs="Arial"/>
          <w:sz w:val="18"/>
          <w:szCs w:val="18"/>
        </w:rPr>
        <w:t>zahraničním obchodu Č</w:t>
      </w:r>
      <w:r w:rsidR="00A60AA1">
        <w:rPr>
          <w:rFonts w:ascii="Arial" w:hAnsi="Arial" w:cs="Arial"/>
          <w:sz w:val="18"/>
          <w:szCs w:val="18"/>
        </w:rPr>
        <w:t>eska</w:t>
      </w:r>
      <w:r w:rsidRPr="00B47FAA">
        <w:rPr>
          <w:rFonts w:ascii="Arial" w:hAnsi="Arial" w:cs="Arial"/>
          <w:sz w:val="18"/>
          <w:szCs w:val="18"/>
        </w:rPr>
        <w:t xml:space="preserve"> se sousedními státy, tak i na celkovém zahraničním obchodu </w:t>
      </w:r>
      <w:r w:rsidRPr="00D334B4">
        <w:rPr>
          <w:rFonts w:ascii="Arial" w:hAnsi="Arial" w:cs="Arial"/>
          <w:sz w:val="18"/>
          <w:szCs w:val="18"/>
        </w:rPr>
        <w:t>ČR (6,</w:t>
      </w:r>
      <w:r w:rsidR="00D334B4" w:rsidRPr="00D334B4">
        <w:rPr>
          <w:rFonts w:ascii="Arial" w:hAnsi="Arial" w:cs="Arial"/>
          <w:sz w:val="18"/>
          <w:szCs w:val="18"/>
        </w:rPr>
        <w:t>7</w:t>
      </w:r>
      <w:r w:rsidRPr="00D334B4">
        <w:rPr>
          <w:rFonts w:ascii="Arial" w:hAnsi="Arial" w:cs="Arial"/>
          <w:sz w:val="18"/>
          <w:szCs w:val="18"/>
        </w:rPr>
        <w:t xml:space="preserve"> % v roce</w:t>
      </w:r>
      <w:r w:rsidRPr="00B47FAA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13</w:t>
      </w:r>
      <w:r w:rsidRPr="00B47FAA">
        <w:rPr>
          <w:rFonts w:ascii="Arial" w:hAnsi="Arial" w:cs="Arial"/>
          <w:sz w:val="18"/>
          <w:szCs w:val="18"/>
        </w:rPr>
        <w:t>). V roce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B47FAA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13</w:t>
      </w:r>
      <w:r w:rsidRPr="00B47FAA">
        <w:rPr>
          <w:rFonts w:ascii="Arial" w:hAnsi="Arial" w:cs="Arial"/>
          <w:sz w:val="18"/>
          <w:szCs w:val="18"/>
        </w:rPr>
        <w:t xml:space="preserve"> proti roku 20</w:t>
      </w:r>
      <w:r>
        <w:rPr>
          <w:rFonts w:ascii="Arial" w:hAnsi="Arial" w:cs="Arial"/>
          <w:sz w:val="18"/>
          <w:szCs w:val="18"/>
        </w:rPr>
        <w:t>12</w:t>
      </w:r>
      <w:r w:rsidRPr="00B47FAA">
        <w:rPr>
          <w:rFonts w:ascii="Arial" w:hAnsi="Arial" w:cs="Arial"/>
          <w:sz w:val="18"/>
          <w:szCs w:val="18"/>
        </w:rPr>
        <w:t xml:space="preserve"> vzrostl obrat zahraničního obchodu s </w:t>
      </w:r>
      <w:r w:rsidRPr="00D334B4">
        <w:rPr>
          <w:rFonts w:ascii="Arial" w:hAnsi="Arial" w:cs="Arial"/>
          <w:sz w:val="18"/>
          <w:szCs w:val="18"/>
        </w:rPr>
        <w:t>Polskem o </w:t>
      </w:r>
      <w:r w:rsidR="00D334B4" w:rsidRPr="00D334B4">
        <w:rPr>
          <w:rFonts w:ascii="Arial" w:hAnsi="Arial" w:cs="Arial"/>
          <w:sz w:val="18"/>
          <w:szCs w:val="18"/>
        </w:rPr>
        <w:t>4,9</w:t>
      </w:r>
      <w:r w:rsidRPr="00D334B4">
        <w:rPr>
          <w:rFonts w:ascii="Arial" w:hAnsi="Arial" w:cs="Arial"/>
          <w:sz w:val="18"/>
          <w:szCs w:val="18"/>
        </w:rPr>
        <w:t xml:space="preserve"> % (což je největší nárůst </w:t>
      </w:r>
      <w:r w:rsidR="00BD2D03">
        <w:rPr>
          <w:rFonts w:ascii="Arial" w:hAnsi="Arial" w:cs="Arial"/>
          <w:sz w:val="18"/>
          <w:szCs w:val="18"/>
        </w:rPr>
        <w:t xml:space="preserve">v porovnání s ostatními </w:t>
      </w:r>
      <w:r w:rsidRPr="00D334B4">
        <w:rPr>
          <w:rFonts w:ascii="Arial" w:hAnsi="Arial" w:cs="Arial"/>
          <w:sz w:val="18"/>
          <w:szCs w:val="18"/>
        </w:rPr>
        <w:t>sousední</w:t>
      </w:r>
      <w:r w:rsidR="00BD2D03">
        <w:rPr>
          <w:rFonts w:ascii="Arial" w:hAnsi="Arial" w:cs="Arial"/>
          <w:sz w:val="18"/>
          <w:szCs w:val="18"/>
        </w:rPr>
        <w:t>mi</w:t>
      </w:r>
      <w:r w:rsidRPr="00D334B4">
        <w:rPr>
          <w:rFonts w:ascii="Arial" w:hAnsi="Arial" w:cs="Arial"/>
          <w:sz w:val="18"/>
          <w:szCs w:val="18"/>
        </w:rPr>
        <w:t xml:space="preserve"> stát</w:t>
      </w:r>
      <w:r w:rsidR="00BD2D03">
        <w:rPr>
          <w:rFonts w:ascii="Arial" w:hAnsi="Arial" w:cs="Arial"/>
          <w:sz w:val="18"/>
          <w:szCs w:val="18"/>
        </w:rPr>
        <w:t>y</w:t>
      </w:r>
      <w:r w:rsidRPr="00D334B4">
        <w:rPr>
          <w:rFonts w:ascii="Arial" w:hAnsi="Arial" w:cs="Arial"/>
          <w:sz w:val="18"/>
          <w:szCs w:val="18"/>
        </w:rPr>
        <w:t>),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D334B4">
        <w:rPr>
          <w:rFonts w:ascii="Arial" w:hAnsi="Arial" w:cs="Arial"/>
          <w:sz w:val="18"/>
          <w:szCs w:val="18"/>
        </w:rPr>
        <w:t xml:space="preserve">a to díky meziročnímu růstu </w:t>
      </w:r>
      <w:r w:rsidR="00D334B4" w:rsidRPr="00D334B4">
        <w:rPr>
          <w:rFonts w:ascii="Arial" w:hAnsi="Arial" w:cs="Arial"/>
          <w:sz w:val="18"/>
          <w:szCs w:val="18"/>
        </w:rPr>
        <w:t>do</w:t>
      </w:r>
      <w:r w:rsidRPr="00D334B4">
        <w:rPr>
          <w:rFonts w:ascii="Arial" w:hAnsi="Arial" w:cs="Arial"/>
          <w:sz w:val="18"/>
          <w:szCs w:val="18"/>
        </w:rPr>
        <w:t>vozu.</w:t>
      </w:r>
    </w:p>
    <w:p w:rsidR="008E7B82" w:rsidRPr="009D7213" w:rsidRDefault="008E7B82" w:rsidP="008E7B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F66AB">
        <w:rPr>
          <w:rFonts w:ascii="Arial" w:hAnsi="Arial" w:cs="Arial"/>
          <w:b/>
          <w:sz w:val="18"/>
          <w:szCs w:val="18"/>
        </w:rPr>
        <w:t>Nejnižší</w:t>
      </w:r>
      <w:r w:rsidRPr="00A72BB8">
        <w:rPr>
          <w:rFonts w:ascii="Arial" w:hAnsi="Arial" w:cs="Arial"/>
          <w:sz w:val="18"/>
          <w:szCs w:val="18"/>
        </w:rPr>
        <w:t xml:space="preserve"> </w:t>
      </w:r>
      <w:r w:rsidRPr="00885A4D">
        <w:rPr>
          <w:rFonts w:ascii="Arial" w:hAnsi="Arial" w:cs="Arial"/>
          <w:sz w:val="18"/>
          <w:szCs w:val="18"/>
        </w:rPr>
        <w:t>zastoupení (9,</w:t>
      </w:r>
      <w:r w:rsidR="00885A4D" w:rsidRPr="00885A4D">
        <w:rPr>
          <w:rFonts w:ascii="Arial" w:hAnsi="Arial" w:cs="Arial"/>
          <w:sz w:val="18"/>
          <w:szCs w:val="18"/>
        </w:rPr>
        <w:t>0</w:t>
      </w:r>
      <w:r w:rsidRPr="00885A4D">
        <w:rPr>
          <w:rFonts w:ascii="Arial" w:hAnsi="Arial" w:cs="Arial"/>
          <w:sz w:val="18"/>
          <w:szCs w:val="18"/>
        </w:rPr>
        <w:t xml:space="preserve"> % v roce</w:t>
      </w:r>
      <w:r w:rsidRPr="00A72BB8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13</w:t>
      </w:r>
      <w:r w:rsidRPr="00A72BB8">
        <w:rPr>
          <w:rFonts w:ascii="Arial" w:hAnsi="Arial" w:cs="Arial"/>
          <w:sz w:val="18"/>
          <w:szCs w:val="18"/>
        </w:rPr>
        <w:t xml:space="preserve">) na zahraničním obchodu České republiky se sousedními státy mělo </w:t>
      </w:r>
      <w:r w:rsidRPr="005F66AB">
        <w:rPr>
          <w:rFonts w:ascii="Arial" w:hAnsi="Arial" w:cs="Arial"/>
          <w:b/>
          <w:sz w:val="18"/>
          <w:szCs w:val="18"/>
        </w:rPr>
        <w:t>Rakousko</w:t>
      </w:r>
      <w:r w:rsidRPr="00A72BB8">
        <w:rPr>
          <w:rFonts w:ascii="Arial" w:hAnsi="Arial" w:cs="Arial"/>
          <w:sz w:val="18"/>
          <w:szCs w:val="18"/>
        </w:rPr>
        <w:t>,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B47FAA">
        <w:rPr>
          <w:rFonts w:ascii="Arial" w:hAnsi="Arial" w:cs="Arial"/>
          <w:sz w:val="18"/>
          <w:szCs w:val="18"/>
        </w:rPr>
        <w:t>které se s </w:t>
      </w:r>
      <w:r w:rsidRPr="00D334B4">
        <w:rPr>
          <w:rFonts w:ascii="Arial" w:hAnsi="Arial" w:cs="Arial"/>
          <w:sz w:val="18"/>
          <w:szCs w:val="18"/>
        </w:rPr>
        <w:t xml:space="preserve">podílem </w:t>
      </w:r>
      <w:r w:rsidR="00D334B4" w:rsidRPr="00D334B4">
        <w:rPr>
          <w:rFonts w:ascii="Arial" w:hAnsi="Arial" w:cs="Arial"/>
          <w:sz w:val="18"/>
          <w:szCs w:val="18"/>
        </w:rPr>
        <w:t>3,9</w:t>
      </w:r>
      <w:r w:rsidRPr="00D334B4">
        <w:rPr>
          <w:rFonts w:ascii="Arial" w:hAnsi="Arial" w:cs="Arial"/>
          <w:sz w:val="18"/>
          <w:szCs w:val="18"/>
        </w:rPr>
        <w:t xml:space="preserve"> %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B47FAA">
        <w:rPr>
          <w:rFonts w:ascii="Arial" w:hAnsi="Arial" w:cs="Arial"/>
          <w:sz w:val="18"/>
          <w:szCs w:val="18"/>
        </w:rPr>
        <w:t>na celkovém obratu zahraničního obchodu ČR umístilo</w:t>
      </w:r>
      <w:r w:rsidRPr="00A72B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9D7213">
        <w:rPr>
          <w:rFonts w:ascii="Arial" w:hAnsi="Arial" w:cs="Arial"/>
          <w:sz w:val="18"/>
          <w:szCs w:val="18"/>
        </w:rPr>
        <w:t xml:space="preserve">na </w:t>
      </w:r>
      <w:r w:rsidR="009D7213" w:rsidRPr="009D7213">
        <w:rPr>
          <w:rFonts w:ascii="Arial" w:hAnsi="Arial" w:cs="Arial"/>
          <w:sz w:val="18"/>
          <w:szCs w:val="18"/>
        </w:rPr>
        <w:t>sedmém</w:t>
      </w:r>
      <w:r w:rsidRPr="009D7213">
        <w:rPr>
          <w:rFonts w:ascii="Arial" w:hAnsi="Arial" w:cs="Arial"/>
          <w:sz w:val="18"/>
          <w:szCs w:val="18"/>
        </w:rPr>
        <w:t xml:space="preserve"> místě (za </w:t>
      </w:r>
      <w:r w:rsidR="009D7213" w:rsidRPr="009D7213">
        <w:rPr>
          <w:rFonts w:ascii="Arial" w:hAnsi="Arial" w:cs="Arial"/>
          <w:sz w:val="18"/>
          <w:szCs w:val="18"/>
        </w:rPr>
        <w:t>Čínou, Ruskou federací a Francií</w:t>
      </w:r>
      <w:r w:rsidRPr="009D7213">
        <w:rPr>
          <w:rFonts w:ascii="Arial" w:hAnsi="Arial" w:cs="Arial"/>
          <w:sz w:val="18"/>
          <w:szCs w:val="18"/>
        </w:rPr>
        <w:t>). V roce 20</w:t>
      </w:r>
      <w:r w:rsidR="009D7213" w:rsidRPr="009D7213">
        <w:rPr>
          <w:rFonts w:ascii="Arial" w:hAnsi="Arial" w:cs="Arial"/>
          <w:sz w:val="18"/>
          <w:szCs w:val="18"/>
        </w:rPr>
        <w:t>13</w:t>
      </w:r>
      <w:r w:rsidRPr="009D7213">
        <w:rPr>
          <w:rFonts w:ascii="Arial" w:hAnsi="Arial" w:cs="Arial"/>
          <w:sz w:val="18"/>
          <w:szCs w:val="18"/>
        </w:rPr>
        <w:t xml:space="preserve"> zůstal vzájemný obchod prakticky na úrovni roku 20</w:t>
      </w:r>
      <w:r w:rsidR="009D7213">
        <w:rPr>
          <w:rFonts w:ascii="Arial" w:hAnsi="Arial" w:cs="Arial"/>
          <w:sz w:val="18"/>
          <w:szCs w:val="18"/>
        </w:rPr>
        <w:t>12</w:t>
      </w:r>
      <w:r w:rsidRPr="009D7213">
        <w:rPr>
          <w:rFonts w:ascii="Arial" w:hAnsi="Arial" w:cs="Arial"/>
          <w:sz w:val="18"/>
          <w:szCs w:val="18"/>
        </w:rPr>
        <w:t>. Jeho nepatrný růst (0,</w:t>
      </w:r>
      <w:r w:rsidR="009D7213" w:rsidRPr="009D7213">
        <w:rPr>
          <w:rFonts w:ascii="Arial" w:hAnsi="Arial" w:cs="Arial"/>
          <w:sz w:val="18"/>
          <w:szCs w:val="18"/>
        </w:rPr>
        <w:t>4</w:t>
      </w:r>
      <w:r w:rsidRPr="009D7213">
        <w:rPr>
          <w:rFonts w:ascii="Arial" w:hAnsi="Arial" w:cs="Arial"/>
          <w:sz w:val="18"/>
          <w:szCs w:val="18"/>
        </w:rPr>
        <w:t xml:space="preserve"> %) byl vyvolán meziročním zvýšením vývozu o </w:t>
      </w:r>
      <w:r w:rsidR="009D7213" w:rsidRPr="009D7213">
        <w:rPr>
          <w:rFonts w:ascii="Arial" w:hAnsi="Arial" w:cs="Arial"/>
          <w:sz w:val="18"/>
          <w:szCs w:val="18"/>
        </w:rPr>
        <w:t>1,7</w:t>
      </w:r>
      <w:r w:rsidRPr="009D7213">
        <w:rPr>
          <w:rFonts w:ascii="Arial" w:hAnsi="Arial" w:cs="Arial"/>
          <w:sz w:val="18"/>
          <w:szCs w:val="18"/>
        </w:rPr>
        <w:t xml:space="preserve"> </w:t>
      </w:r>
      <w:r w:rsidRPr="00C860FA">
        <w:rPr>
          <w:rFonts w:ascii="Arial" w:hAnsi="Arial" w:cs="Arial"/>
          <w:sz w:val="18"/>
          <w:szCs w:val="18"/>
        </w:rPr>
        <w:t>%</w:t>
      </w:r>
      <w:r w:rsidR="00C860FA" w:rsidRPr="00C860FA">
        <w:rPr>
          <w:rFonts w:ascii="Arial" w:hAnsi="Arial" w:cs="Arial"/>
          <w:sz w:val="18"/>
          <w:szCs w:val="18"/>
        </w:rPr>
        <w:t>.</w:t>
      </w:r>
      <w:r w:rsidRPr="00C860FA">
        <w:rPr>
          <w:rFonts w:ascii="Arial" w:hAnsi="Arial" w:cs="Arial"/>
          <w:sz w:val="18"/>
          <w:szCs w:val="18"/>
        </w:rPr>
        <w:t xml:space="preserve"> </w:t>
      </w:r>
      <w:r w:rsidR="00C860FA" w:rsidRPr="00C860FA">
        <w:rPr>
          <w:rFonts w:ascii="Arial" w:hAnsi="Arial" w:cs="Arial"/>
          <w:sz w:val="18"/>
          <w:szCs w:val="18"/>
        </w:rPr>
        <w:t>D</w:t>
      </w:r>
      <w:r w:rsidRPr="00C860FA">
        <w:rPr>
          <w:rFonts w:ascii="Arial" w:hAnsi="Arial" w:cs="Arial"/>
          <w:sz w:val="18"/>
          <w:szCs w:val="18"/>
        </w:rPr>
        <w:t>ovoz meziročně</w:t>
      </w:r>
      <w:r w:rsidRPr="009D7213">
        <w:rPr>
          <w:rFonts w:ascii="Arial" w:hAnsi="Arial" w:cs="Arial"/>
          <w:sz w:val="18"/>
          <w:szCs w:val="18"/>
        </w:rPr>
        <w:t xml:space="preserve"> o 1,</w:t>
      </w:r>
      <w:r w:rsidR="009D7213" w:rsidRPr="009D7213">
        <w:rPr>
          <w:rFonts w:ascii="Arial" w:hAnsi="Arial" w:cs="Arial"/>
          <w:sz w:val="18"/>
          <w:szCs w:val="18"/>
        </w:rPr>
        <w:t>7</w:t>
      </w:r>
      <w:r w:rsidRPr="009D7213">
        <w:rPr>
          <w:rFonts w:ascii="Arial" w:hAnsi="Arial" w:cs="Arial"/>
          <w:sz w:val="18"/>
          <w:szCs w:val="18"/>
        </w:rPr>
        <w:t xml:space="preserve"> % klesl.</w:t>
      </w:r>
    </w:p>
    <w:p w:rsidR="008E7B82" w:rsidRDefault="008E7B82" w:rsidP="008E7B82">
      <w:pPr>
        <w:numPr>
          <w:ilvl w:val="2"/>
          <w:numId w:val="1"/>
        </w:numPr>
        <w:spacing w:after="120"/>
        <w:ind w:hanging="1224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Zahraniční obchod sousedních států</w:t>
      </w:r>
      <w:r w:rsidR="009B66BB">
        <w:rPr>
          <w:rStyle w:val="Znakapoznpodarou"/>
          <w:rFonts w:ascii="Arial" w:hAnsi="Arial" w:cs="Arial"/>
          <w:b/>
          <w:sz w:val="19"/>
          <w:szCs w:val="19"/>
        </w:rPr>
        <w:footnoteReference w:id="6"/>
      </w:r>
      <w:r>
        <w:rPr>
          <w:rFonts w:ascii="Arial" w:hAnsi="Arial" w:cs="Arial"/>
          <w:b/>
          <w:sz w:val="19"/>
          <w:szCs w:val="19"/>
        </w:rPr>
        <w:t xml:space="preserve"> </w:t>
      </w:r>
    </w:p>
    <w:p w:rsidR="008E7B82" w:rsidRDefault="005F66AB" w:rsidP="002D55C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F66AB">
        <w:rPr>
          <w:rFonts w:ascii="Arial" w:hAnsi="Arial" w:cs="Arial"/>
          <w:b/>
          <w:sz w:val="18"/>
          <w:szCs w:val="18"/>
        </w:rPr>
        <w:t>Postavení České republiky</w:t>
      </w:r>
      <w:r>
        <w:rPr>
          <w:rFonts w:ascii="Arial" w:hAnsi="Arial" w:cs="Arial"/>
          <w:sz w:val="18"/>
          <w:szCs w:val="18"/>
        </w:rPr>
        <w:t xml:space="preserve"> v zahraničním obchodu sousedních států je </w:t>
      </w:r>
      <w:r w:rsidRPr="005F66AB">
        <w:rPr>
          <w:rFonts w:ascii="Arial" w:hAnsi="Arial" w:cs="Arial"/>
          <w:b/>
          <w:sz w:val="18"/>
          <w:szCs w:val="18"/>
        </w:rPr>
        <w:t>rozdílné</w:t>
      </w:r>
      <w:r>
        <w:rPr>
          <w:rFonts w:ascii="Arial" w:hAnsi="Arial" w:cs="Arial"/>
          <w:sz w:val="18"/>
          <w:szCs w:val="18"/>
        </w:rPr>
        <w:t xml:space="preserve"> (viz tabulka 7.2, kde je uvedeno dvacet pět největších obchodních partnerů jednotlivých sousedních států</w:t>
      </w:r>
      <w:r w:rsidR="00DF7781">
        <w:rPr>
          <w:rFonts w:ascii="Arial" w:hAnsi="Arial" w:cs="Arial"/>
          <w:sz w:val="18"/>
          <w:szCs w:val="18"/>
        </w:rPr>
        <w:t xml:space="preserve"> v roce 2013</w:t>
      </w:r>
      <w:r>
        <w:rPr>
          <w:rFonts w:ascii="Arial" w:hAnsi="Arial" w:cs="Arial"/>
          <w:sz w:val="18"/>
          <w:szCs w:val="18"/>
        </w:rPr>
        <w:t xml:space="preserve">). </w:t>
      </w:r>
    </w:p>
    <w:p w:rsidR="005D7934" w:rsidRDefault="005F66AB" w:rsidP="002D55CE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Nejsilnější pozici</w:t>
      </w:r>
      <w:r w:rsidR="00377092">
        <w:rPr>
          <w:rFonts w:ascii="Arial" w:hAnsi="Arial" w:cs="Arial"/>
          <w:sz w:val="18"/>
          <w:szCs w:val="18"/>
        </w:rPr>
        <w:t xml:space="preserve">, a to </w:t>
      </w:r>
      <w:r>
        <w:rPr>
          <w:rFonts w:ascii="Arial" w:hAnsi="Arial" w:cs="Arial"/>
          <w:sz w:val="18"/>
          <w:szCs w:val="18"/>
        </w:rPr>
        <w:t>druhé místo</w:t>
      </w:r>
      <w:r w:rsidR="00A12A8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si Česká republika dlouhodobě udržuje </w:t>
      </w:r>
      <w:r w:rsidR="00125E10">
        <w:rPr>
          <w:rFonts w:ascii="Arial" w:hAnsi="Arial" w:cs="Arial"/>
          <w:sz w:val="18"/>
          <w:szCs w:val="18"/>
        </w:rPr>
        <w:t xml:space="preserve">v zahraničním obchodu </w:t>
      </w:r>
      <w:r w:rsidR="00125E10" w:rsidRPr="00DF7781">
        <w:rPr>
          <w:rFonts w:ascii="Arial" w:hAnsi="Arial" w:cs="Arial"/>
          <w:b/>
          <w:sz w:val="18"/>
          <w:szCs w:val="18"/>
        </w:rPr>
        <w:t>Sloven</w:t>
      </w:r>
      <w:r w:rsidR="00A12A83">
        <w:rPr>
          <w:rFonts w:ascii="Arial" w:hAnsi="Arial" w:cs="Arial"/>
          <w:b/>
          <w:sz w:val="18"/>
          <w:szCs w:val="18"/>
        </w:rPr>
        <w:t>s</w:t>
      </w:r>
      <w:r w:rsidR="00125E10" w:rsidRPr="00DF7781">
        <w:rPr>
          <w:rFonts w:ascii="Arial" w:hAnsi="Arial" w:cs="Arial"/>
          <w:b/>
          <w:sz w:val="18"/>
          <w:szCs w:val="18"/>
        </w:rPr>
        <w:t>ka</w:t>
      </w:r>
      <w:r w:rsidR="00125E10">
        <w:rPr>
          <w:rFonts w:ascii="Arial" w:hAnsi="Arial" w:cs="Arial"/>
          <w:sz w:val="18"/>
          <w:szCs w:val="18"/>
        </w:rPr>
        <w:t xml:space="preserve"> s</w:t>
      </w:r>
      <w:r w:rsidR="00DF7781">
        <w:rPr>
          <w:rFonts w:ascii="Arial" w:hAnsi="Arial" w:cs="Arial"/>
          <w:sz w:val="18"/>
          <w:szCs w:val="18"/>
        </w:rPr>
        <w:t xml:space="preserve"> podílem </w:t>
      </w:r>
      <w:r w:rsidR="00A60AA1">
        <w:rPr>
          <w:rFonts w:ascii="Arial" w:hAnsi="Arial" w:cs="Arial"/>
          <w:sz w:val="18"/>
          <w:szCs w:val="18"/>
        </w:rPr>
        <w:t>13,5</w:t>
      </w:r>
      <w:r w:rsidR="00DF7781">
        <w:rPr>
          <w:rFonts w:ascii="Arial" w:hAnsi="Arial" w:cs="Arial"/>
          <w:sz w:val="18"/>
          <w:szCs w:val="18"/>
        </w:rPr>
        <w:t> </w:t>
      </w:r>
      <w:r w:rsidR="00125E10">
        <w:rPr>
          <w:rFonts w:ascii="Arial" w:hAnsi="Arial" w:cs="Arial"/>
          <w:sz w:val="18"/>
          <w:szCs w:val="18"/>
        </w:rPr>
        <w:t xml:space="preserve">% na vývoze a </w:t>
      </w:r>
      <w:r w:rsidR="00A60AA1">
        <w:rPr>
          <w:rFonts w:ascii="Arial" w:hAnsi="Arial" w:cs="Arial"/>
          <w:sz w:val="18"/>
          <w:szCs w:val="18"/>
        </w:rPr>
        <w:t>16,4</w:t>
      </w:r>
      <w:r w:rsidR="00125E10">
        <w:rPr>
          <w:rFonts w:ascii="Arial" w:hAnsi="Arial" w:cs="Arial"/>
          <w:sz w:val="18"/>
          <w:szCs w:val="18"/>
        </w:rPr>
        <w:t xml:space="preserve"> % na dovoze.</w:t>
      </w:r>
    </w:p>
    <w:p w:rsidR="00820544" w:rsidRDefault="005F66AB" w:rsidP="002D55CE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Stejně jako u České republiky zaujímá </w:t>
      </w:r>
      <w:r w:rsidRPr="00DF7781">
        <w:rPr>
          <w:rFonts w:ascii="Arial" w:hAnsi="Arial" w:cs="Arial"/>
          <w:b/>
          <w:sz w:val="18"/>
          <w:szCs w:val="18"/>
        </w:rPr>
        <w:t>Německo</w:t>
      </w:r>
      <w:r>
        <w:rPr>
          <w:rFonts w:ascii="Arial" w:hAnsi="Arial" w:cs="Arial"/>
          <w:sz w:val="18"/>
          <w:szCs w:val="18"/>
        </w:rPr>
        <w:t xml:space="preserve"> přední příčku i v zahraničním obchodu Slovenska, Polska a Rakouska</w:t>
      </w:r>
      <w:r w:rsidR="008E7B82">
        <w:rPr>
          <w:rFonts w:ascii="Arial" w:hAnsi="Arial" w:cs="Arial"/>
          <w:sz w:val="18"/>
          <w:szCs w:val="18"/>
        </w:rPr>
        <w:t>. Teritoriální struktura vývozu i dovozu Německa je v porovnání s teritoriální skladbou vývozu a dovozu ostatních sousedních států podstatně členitější, nepřevládá tak silná koncentrace vývozu a dovozu na jeden stát</w:t>
      </w:r>
      <w:r w:rsidR="00A60AA1">
        <w:rPr>
          <w:rFonts w:ascii="Arial" w:hAnsi="Arial" w:cs="Arial"/>
          <w:sz w:val="18"/>
          <w:szCs w:val="18"/>
        </w:rPr>
        <w:t xml:space="preserve">. Největší část </w:t>
      </w:r>
      <w:r w:rsidR="00A60AA1">
        <w:rPr>
          <w:rFonts w:ascii="Arial" w:hAnsi="Arial" w:cs="Arial"/>
          <w:sz w:val="18"/>
          <w:szCs w:val="18"/>
        </w:rPr>
        <w:lastRenderedPageBreak/>
        <w:t>na </w:t>
      </w:r>
      <w:r w:rsidR="00906313">
        <w:rPr>
          <w:rFonts w:ascii="Arial" w:hAnsi="Arial" w:cs="Arial"/>
          <w:sz w:val="18"/>
          <w:szCs w:val="18"/>
        </w:rPr>
        <w:t>vývozu Německa byla v roce 2013 směřována do Francie (9,</w:t>
      </w:r>
      <w:r w:rsidR="00A60AA1">
        <w:rPr>
          <w:rFonts w:ascii="Arial" w:hAnsi="Arial" w:cs="Arial"/>
          <w:sz w:val="18"/>
          <w:szCs w:val="18"/>
        </w:rPr>
        <w:t xml:space="preserve">2 </w:t>
      </w:r>
      <w:r w:rsidR="00906313">
        <w:rPr>
          <w:rFonts w:ascii="Arial" w:hAnsi="Arial" w:cs="Arial"/>
          <w:sz w:val="18"/>
          <w:szCs w:val="18"/>
        </w:rPr>
        <w:t>%)</w:t>
      </w:r>
      <w:r w:rsidR="00D317E1">
        <w:rPr>
          <w:rFonts w:ascii="Arial" w:hAnsi="Arial" w:cs="Arial"/>
          <w:sz w:val="18"/>
          <w:szCs w:val="18"/>
        </w:rPr>
        <w:t>,</w:t>
      </w:r>
      <w:r w:rsidR="00906313">
        <w:rPr>
          <w:rFonts w:ascii="Arial" w:hAnsi="Arial" w:cs="Arial"/>
          <w:sz w:val="18"/>
          <w:szCs w:val="18"/>
        </w:rPr>
        <w:t xml:space="preserve"> dále pak do Spojených států (</w:t>
      </w:r>
      <w:r w:rsidR="00A60AA1">
        <w:rPr>
          <w:rFonts w:ascii="Arial" w:hAnsi="Arial" w:cs="Arial"/>
          <w:sz w:val="18"/>
          <w:szCs w:val="18"/>
        </w:rPr>
        <w:t xml:space="preserve">8,1 </w:t>
      </w:r>
      <w:r w:rsidR="00906313">
        <w:rPr>
          <w:rFonts w:ascii="Arial" w:hAnsi="Arial" w:cs="Arial"/>
          <w:sz w:val="18"/>
          <w:szCs w:val="18"/>
        </w:rPr>
        <w:t>%)</w:t>
      </w:r>
      <w:r w:rsidR="00D317E1">
        <w:rPr>
          <w:rFonts w:ascii="Arial" w:hAnsi="Arial" w:cs="Arial"/>
          <w:sz w:val="18"/>
          <w:szCs w:val="18"/>
        </w:rPr>
        <w:t xml:space="preserve"> a Spojeného království (6,9 %)</w:t>
      </w:r>
      <w:r w:rsidR="00906313">
        <w:rPr>
          <w:rFonts w:ascii="Arial" w:hAnsi="Arial" w:cs="Arial"/>
          <w:sz w:val="18"/>
          <w:szCs w:val="18"/>
        </w:rPr>
        <w:t>. Vyšší podíl na vývozu Německa měly oproti České republice</w:t>
      </w:r>
      <w:r w:rsidR="00DF7781">
        <w:rPr>
          <w:rFonts w:ascii="Arial" w:hAnsi="Arial" w:cs="Arial"/>
          <w:sz w:val="18"/>
          <w:szCs w:val="18"/>
        </w:rPr>
        <w:t xml:space="preserve"> Rakousko (5,</w:t>
      </w:r>
      <w:r w:rsidR="00A60AA1">
        <w:rPr>
          <w:rFonts w:ascii="Arial" w:hAnsi="Arial" w:cs="Arial"/>
          <w:sz w:val="18"/>
          <w:szCs w:val="18"/>
        </w:rPr>
        <w:t xml:space="preserve">1 </w:t>
      </w:r>
      <w:r w:rsidR="00DF7781">
        <w:rPr>
          <w:rFonts w:ascii="Arial" w:hAnsi="Arial" w:cs="Arial"/>
          <w:sz w:val="18"/>
          <w:szCs w:val="18"/>
        </w:rPr>
        <w:t>%) a Polsko (3,9</w:t>
      </w:r>
      <w:r w:rsidR="00A60AA1">
        <w:rPr>
          <w:rFonts w:ascii="Arial" w:hAnsi="Arial" w:cs="Arial"/>
          <w:sz w:val="18"/>
          <w:szCs w:val="18"/>
        </w:rPr>
        <w:t xml:space="preserve"> </w:t>
      </w:r>
      <w:r w:rsidR="00DF7781">
        <w:rPr>
          <w:rFonts w:ascii="Arial" w:hAnsi="Arial" w:cs="Arial"/>
          <w:sz w:val="18"/>
          <w:szCs w:val="18"/>
        </w:rPr>
        <w:t>%), podíl Slovenska činil 1,0</w:t>
      </w:r>
      <w:r w:rsidR="00A60AA1">
        <w:rPr>
          <w:rFonts w:ascii="Arial" w:hAnsi="Arial" w:cs="Arial"/>
          <w:sz w:val="18"/>
          <w:szCs w:val="18"/>
        </w:rPr>
        <w:t xml:space="preserve"> </w:t>
      </w:r>
      <w:r w:rsidR="009B66BB">
        <w:rPr>
          <w:rFonts w:ascii="Arial" w:hAnsi="Arial" w:cs="Arial"/>
          <w:sz w:val="18"/>
          <w:szCs w:val="18"/>
        </w:rPr>
        <w:t>% (21. </w:t>
      </w:r>
      <w:r w:rsidR="00DF7781">
        <w:rPr>
          <w:rFonts w:ascii="Arial" w:hAnsi="Arial" w:cs="Arial"/>
          <w:sz w:val="18"/>
          <w:szCs w:val="18"/>
        </w:rPr>
        <w:t>místo).</w:t>
      </w:r>
      <w:r w:rsidR="00A60AA1">
        <w:rPr>
          <w:rFonts w:ascii="Arial" w:hAnsi="Arial" w:cs="Arial"/>
          <w:sz w:val="18"/>
          <w:szCs w:val="18"/>
        </w:rPr>
        <w:t xml:space="preserve"> </w:t>
      </w:r>
    </w:p>
    <w:p w:rsidR="009B66BB" w:rsidRDefault="00FE1025" w:rsidP="009B66BB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roce 2013 si Česká republika na </w:t>
      </w:r>
      <w:r w:rsidRPr="00D317E1">
        <w:rPr>
          <w:rFonts w:ascii="Arial" w:hAnsi="Arial" w:cs="Arial"/>
          <w:b/>
          <w:sz w:val="18"/>
          <w:szCs w:val="18"/>
        </w:rPr>
        <w:t>vývoze</w:t>
      </w:r>
      <w:r>
        <w:rPr>
          <w:rFonts w:ascii="Arial" w:hAnsi="Arial" w:cs="Arial"/>
          <w:sz w:val="18"/>
          <w:szCs w:val="18"/>
        </w:rPr>
        <w:t xml:space="preserve"> sousedních států udržela pozici loňského </w:t>
      </w:r>
      <w:r w:rsidR="009B66BB">
        <w:rPr>
          <w:rFonts w:ascii="Arial" w:hAnsi="Arial" w:cs="Arial"/>
          <w:sz w:val="18"/>
          <w:szCs w:val="18"/>
        </w:rPr>
        <w:t>roku vyjma u Německa, kde z 12. </w:t>
      </w:r>
      <w:r>
        <w:rPr>
          <w:rFonts w:ascii="Arial" w:hAnsi="Arial" w:cs="Arial"/>
          <w:sz w:val="18"/>
          <w:szCs w:val="18"/>
        </w:rPr>
        <w:t>místa klesla na 13. místo při zachování téměř stejného podílu</w:t>
      </w:r>
      <w:r w:rsidR="00906313">
        <w:rPr>
          <w:rFonts w:ascii="Arial" w:hAnsi="Arial" w:cs="Arial"/>
          <w:sz w:val="18"/>
          <w:szCs w:val="18"/>
        </w:rPr>
        <w:t xml:space="preserve"> (z 2,9 % na 2,8</w:t>
      </w:r>
      <w:r w:rsidR="00A12A83">
        <w:rPr>
          <w:rFonts w:ascii="Arial" w:hAnsi="Arial" w:cs="Arial"/>
          <w:sz w:val="18"/>
          <w:szCs w:val="18"/>
        </w:rPr>
        <w:t xml:space="preserve"> </w:t>
      </w:r>
      <w:r w:rsidR="00906313">
        <w:rPr>
          <w:rFonts w:ascii="Arial" w:hAnsi="Arial" w:cs="Arial"/>
          <w:sz w:val="18"/>
          <w:szCs w:val="18"/>
        </w:rPr>
        <w:t>%)</w:t>
      </w:r>
      <w:r>
        <w:rPr>
          <w:rFonts w:ascii="Arial" w:hAnsi="Arial" w:cs="Arial"/>
          <w:sz w:val="18"/>
          <w:szCs w:val="18"/>
        </w:rPr>
        <w:t>.</w:t>
      </w:r>
      <w:r w:rsidR="00125E10">
        <w:rPr>
          <w:rFonts w:ascii="Arial" w:hAnsi="Arial" w:cs="Arial"/>
          <w:sz w:val="18"/>
          <w:szCs w:val="18"/>
        </w:rPr>
        <w:t xml:space="preserve"> </w:t>
      </w:r>
    </w:p>
    <w:p w:rsidR="005F66AB" w:rsidRDefault="00125E10" w:rsidP="009B66BB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</w:t>
      </w:r>
      <w:r w:rsidRPr="00D317E1">
        <w:rPr>
          <w:rFonts w:ascii="Arial" w:hAnsi="Arial" w:cs="Arial"/>
          <w:b/>
          <w:sz w:val="18"/>
          <w:szCs w:val="18"/>
        </w:rPr>
        <w:t>dovoz</w:t>
      </w:r>
      <w:r w:rsidR="00885A4D" w:rsidRPr="00D317E1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 byl také vývoj podobný jako v roce 2012. Pokles z 10. </w:t>
      </w:r>
      <w:r w:rsidR="00906313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ísta v roce 2012 na 12. </w:t>
      </w:r>
      <w:r w:rsidR="00906313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ísto nasta</w:t>
      </w:r>
      <w:r w:rsidR="00906313">
        <w:rPr>
          <w:rFonts w:ascii="Arial" w:hAnsi="Arial" w:cs="Arial"/>
          <w:sz w:val="18"/>
          <w:szCs w:val="18"/>
        </w:rPr>
        <w:t>l</w:t>
      </w:r>
      <w:r w:rsidR="00D317E1">
        <w:rPr>
          <w:rFonts w:ascii="Arial" w:hAnsi="Arial" w:cs="Arial"/>
          <w:sz w:val="18"/>
          <w:szCs w:val="18"/>
        </w:rPr>
        <w:t xml:space="preserve"> v roce 2013 u </w:t>
      </w:r>
      <w:r>
        <w:rPr>
          <w:rFonts w:ascii="Arial" w:hAnsi="Arial" w:cs="Arial"/>
          <w:sz w:val="18"/>
          <w:szCs w:val="18"/>
        </w:rPr>
        <w:t>Německa</w:t>
      </w:r>
      <w:r w:rsidR="009063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ale se stejným podíl</w:t>
      </w:r>
      <w:r w:rsidR="00906313">
        <w:rPr>
          <w:rFonts w:ascii="Arial" w:hAnsi="Arial" w:cs="Arial"/>
          <w:sz w:val="18"/>
          <w:szCs w:val="18"/>
        </w:rPr>
        <w:t>em</w:t>
      </w:r>
      <w:r>
        <w:rPr>
          <w:rFonts w:ascii="Arial" w:hAnsi="Arial" w:cs="Arial"/>
          <w:sz w:val="18"/>
          <w:szCs w:val="18"/>
        </w:rPr>
        <w:t xml:space="preserve"> 4,0 % v obou letech</w:t>
      </w:r>
      <w:r w:rsidR="00906313">
        <w:rPr>
          <w:rFonts w:ascii="Arial" w:hAnsi="Arial" w:cs="Arial"/>
          <w:sz w:val="18"/>
          <w:szCs w:val="18"/>
        </w:rPr>
        <w:t xml:space="preserve">. Česká republika si polepšila na celkovém dovozu </w:t>
      </w:r>
      <w:r w:rsidR="00906313" w:rsidRPr="00DF7781">
        <w:rPr>
          <w:rFonts w:ascii="Arial" w:hAnsi="Arial" w:cs="Arial"/>
          <w:b/>
          <w:sz w:val="18"/>
          <w:szCs w:val="18"/>
        </w:rPr>
        <w:t>Rakouska</w:t>
      </w:r>
      <w:r w:rsidR="00DF7781" w:rsidRPr="00DF7781">
        <w:rPr>
          <w:rFonts w:ascii="Arial" w:hAnsi="Arial" w:cs="Arial"/>
          <w:b/>
          <w:sz w:val="18"/>
          <w:szCs w:val="18"/>
        </w:rPr>
        <w:t xml:space="preserve"> </w:t>
      </w:r>
      <w:r w:rsidR="00DF7781">
        <w:rPr>
          <w:rFonts w:ascii="Arial" w:hAnsi="Arial" w:cs="Arial"/>
          <w:sz w:val="18"/>
          <w:szCs w:val="18"/>
        </w:rPr>
        <w:t>(podíl 4,0</w:t>
      </w:r>
      <w:r w:rsidR="00A12A83">
        <w:rPr>
          <w:rFonts w:ascii="Arial" w:hAnsi="Arial" w:cs="Arial"/>
          <w:sz w:val="18"/>
          <w:szCs w:val="18"/>
        </w:rPr>
        <w:t xml:space="preserve"> </w:t>
      </w:r>
      <w:r w:rsidR="00DF7781">
        <w:rPr>
          <w:rFonts w:ascii="Arial" w:hAnsi="Arial" w:cs="Arial"/>
          <w:sz w:val="18"/>
          <w:szCs w:val="18"/>
        </w:rPr>
        <w:t>% proti 3,8</w:t>
      </w:r>
      <w:r w:rsidR="00A12A83">
        <w:rPr>
          <w:rFonts w:ascii="Arial" w:hAnsi="Arial" w:cs="Arial"/>
          <w:sz w:val="18"/>
          <w:szCs w:val="18"/>
        </w:rPr>
        <w:t xml:space="preserve"> </w:t>
      </w:r>
      <w:r w:rsidR="00DF7781">
        <w:rPr>
          <w:rFonts w:ascii="Arial" w:hAnsi="Arial" w:cs="Arial"/>
          <w:sz w:val="18"/>
          <w:szCs w:val="18"/>
        </w:rPr>
        <w:t>%)</w:t>
      </w:r>
      <w:r w:rsidR="00906313">
        <w:rPr>
          <w:rFonts w:ascii="Arial" w:hAnsi="Arial" w:cs="Arial"/>
          <w:sz w:val="18"/>
          <w:szCs w:val="18"/>
        </w:rPr>
        <w:t xml:space="preserve">, kdy se z 5. místa zařadila na 4. </w:t>
      </w:r>
      <w:r w:rsidR="009B66BB">
        <w:rPr>
          <w:rFonts w:ascii="Arial" w:hAnsi="Arial" w:cs="Arial"/>
          <w:sz w:val="18"/>
          <w:szCs w:val="18"/>
        </w:rPr>
        <w:t>pozici</w:t>
      </w:r>
      <w:r w:rsidR="00906313">
        <w:rPr>
          <w:rFonts w:ascii="Arial" w:hAnsi="Arial" w:cs="Arial"/>
          <w:sz w:val="18"/>
          <w:szCs w:val="18"/>
        </w:rPr>
        <w:t xml:space="preserve"> před Nizozemsko.</w:t>
      </w:r>
    </w:p>
    <w:p w:rsidR="005A15B4" w:rsidRDefault="005A15B4" w:rsidP="00B2160A">
      <w:pPr>
        <w:numPr>
          <w:ilvl w:val="1"/>
          <w:numId w:val="1"/>
        </w:numPr>
        <w:spacing w:after="120"/>
        <w:ind w:left="426"/>
        <w:rPr>
          <w:rFonts w:ascii="Arial" w:hAnsi="Arial" w:cs="Arial"/>
          <w:b/>
          <w:sz w:val="19"/>
          <w:szCs w:val="19"/>
        </w:rPr>
      </w:pPr>
      <w:r w:rsidRPr="008856D9">
        <w:rPr>
          <w:rFonts w:ascii="Arial" w:hAnsi="Arial" w:cs="Arial"/>
          <w:b/>
          <w:sz w:val="19"/>
          <w:szCs w:val="19"/>
        </w:rPr>
        <w:t>Z</w:t>
      </w:r>
      <w:r w:rsidR="008856D9">
        <w:rPr>
          <w:rFonts w:ascii="Arial" w:hAnsi="Arial" w:cs="Arial"/>
          <w:b/>
          <w:sz w:val="19"/>
          <w:szCs w:val="19"/>
        </w:rPr>
        <w:t>ahraniční obchod</w:t>
      </w:r>
      <w:r w:rsidR="00837A19">
        <w:rPr>
          <w:rFonts w:ascii="Arial" w:hAnsi="Arial" w:cs="Arial"/>
          <w:b/>
          <w:sz w:val="19"/>
          <w:szCs w:val="19"/>
        </w:rPr>
        <w:t xml:space="preserve"> České republiky s </w:t>
      </w:r>
      <w:r w:rsidRPr="008856D9">
        <w:rPr>
          <w:rFonts w:ascii="Arial" w:hAnsi="Arial" w:cs="Arial"/>
          <w:b/>
          <w:sz w:val="19"/>
          <w:szCs w:val="19"/>
        </w:rPr>
        <w:t>jednotlivý</w:t>
      </w:r>
      <w:r w:rsidR="00837A19">
        <w:rPr>
          <w:rFonts w:ascii="Arial" w:hAnsi="Arial" w:cs="Arial"/>
          <w:b/>
          <w:sz w:val="19"/>
          <w:szCs w:val="19"/>
        </w:rPr>
        <w:t>mi</w:t>
      </w:r>
      <w:r w:rsidRPr="008856D9">
        <w:rPr>
          <w:rFonts w:ascii="Arial" w:hAnsi="Arial" w:cs="Arial"/>
          <w:b/>
          <w:sz w:val="19"/>
          <w:szCs w:val="19"/>
        </w:rPr>
        <w:t xml:space="preserve"> stát</w:t>
      </w:r>
      <w:r w:rsidR="00837A19">
        <w:rPr>
          <w:rFonts w:ascii="Arial" w:hAnsi="Arial" w:cs="Arial"/>
          <w:b/>
          <w:sz w:val="19"/>
          <w:szCs w:val="19"/>
        </w:rPr>
        <w:t>y</w:t>
      </w:r>
    </w:p>
    <w:p w:rsidR="00E34D2A" w:rsidRDefault="00C35F53" w:rsidP="005537A7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B47FAA">
        <w:rPr>
          <w:rFonts w:ascii="Arial" w:hAnsi="Arial" w:cs="Arial"/>
          <w:b/>
          <w:sz w:val="18"/>
          <w:szCs w:val="18"/>
        </w:rPr>
        <w:t>Rozhodující část vývozu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82EC6">
        <w:rPr>
          <w:rFonts w:ascii="Arial" w:hAnsi="Arial" w:cs="Arial"/>
          <w:sz w:val="18"/>
          <w:szCs w:val="18"/>
        </w:rPr>
        <w:t>(</w:t>
      </w:r>
      <w:r w:rsidR="00D82EC6" w:rsidRPr="00D82EC6">
        <w:rPr>
          <w:rFonts w:ascii="Arial" w:hAnsi="Arial" w:cs="Arial"/>
          <w:sz w:val="18"/>
          <w:szCs w:val="18"/>
        </w:rPr>
        <w:t>necelých</w:t>
      </w:r>
      <w:r w:rsidRPr="00D82EC6">
        <w:rPr>
          <w:rFonts w:ascii="Arial" w:hAnsi="Arial" w:cs="Arial"/>
          <w:sz w:val="18"/>
          <w:szCs w:val="18"/>
        </w:rPr>
        <w:t xml:space="preserve"> 8</w:t>
      </w:r>
      <w:r w:rsidR="00D82EC6" w:rsidRPr="00D82EC6">
        <w:rPr>
          <w:rFonts w:ascii="Arial" w:hAnsi="Arial" w:cs="Arial"/>
          <w:sz w:val="18"/>
          <w:szCs w:val="18"/>
        </w:rPr>
        <w:t>3</w:t>
      </w:r>
      <w:r w:rsidRPr="00D82EC6">
        <w:rPr>
          <w:rFonts w:ascii="Arial" w:hAnsi="Arial" w:cs="Arial"/>
          <w:sz w:val="18"/>
          <w:szCs w:val="18"/>
        </w:rPr>
        <w:t xml:space="preserve"> %) </w:t>
      </w:r>
      <w:r w:rsidRPr="00D82EC6">
        <w:rPr>
          <w:rFonts w:ascii="Arial" w:hAnsi="Arial" w:cs="Arial"/>
          <w:b/>
          <w:sz w:val="18"/>
          <w:szCs w:val="18"/>
        </w:rPr>
        <w:t>směřovala</w:t>
      </w:r>
      <w:r w:rsidRPr="00D82EC6">
        <w:rPr>
          <w:rFonts w:ascii="Arial" w:hAnsi="Arial" w:cs="Arial"/>
          <w:sz w:val="18"/>
          <w:szCs w:val="18"/>
        </w:rPr>
        <w:t xml:space="preserve"> v roce 201</w:t>
      </w:r>
      <w:r w:rsidR="00D82EC6" w:rsidRPr="00D82EC6">
        <w:rPr>
          <w:rFonts w:ascii="Arial" w:hAnsi="Arial" w:cs="Arial"/>
          <w:sz w:val="18"/>
          <w:szCs w:val="18"/>
        </w:rPr>
        <w:t>3</w:t>
      </w:r>
      <w:r w:rsidRPr="00D82EC6">
        <w:rPr>
          <w:rFonts w:ascii="Arial" w:hAnsi="Arial" w:cs="Arial"/>
          <w:sz w:val="18"/>
          <w:szCs w:val="18"/>
        </w:rPr>
        <w:t xml:space="preserve"> </w:t>
      </w:r>
      <w:r w:rsidRPr="00D82EC6">
        <w:rPr>
          <w:rFonts w:ascii="Arial" w:hAnsi="Arial" w:cs="Arial"/>
          <w:b/>
          <w:sz w:val="18"/>
          <w:szCs w:val="18"/>
        </w:rPr>
        <w:t xml:space="preserve">do </w:t>
      </w:r>
      <w:r w:rsidR="00D82EC6" w:rsidRPr="00D82EC6">
        <w:rPr>
          <w:rFonts w:ascii="Arial" w:hAnsi="Arial" w:cs="Arial"/>
          <w:b/>
          <w:sz w:val="18"/>
          <w:szCs w:val="18"/>
        </w:rPr>
        <w:t>patnácti</w:t>
      </w:r>
      <w:r w:rsidRPr="00D82EC6">
        <w:rPr>
          <w:rFonts w:ascii="Arial" w:hAnsi="Arial" w:cs="Arial"/>
          <w:b/>
          <w:sz w:val="18"/>
          <w:szCs w:val="18"/>
        </w:rPr>
        <w:t xml:space="preserve"> států</w:t>
      </w:r>
      <w:r w:rsidRPr="00D82EC6">
        <w:rPr>
          <w:rFonts w:ascii="Arial" w:hAnsi="Arial" w:cs="Arial"/>
          <w:sz w:val="18"/>
          <w:szCs w:val="18"/>
        </w:rPr>
        <w:t>, především pak do Německa.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81601">
        <w:rPr>
          <w:rFonts w:ascii="Arial" w:hAnsi="Arial" w:cs="Arial"/>
          <w:sz w:val="18"/>
          <w:szCs w:val="18"/>
        </w:rPr>
        <w:t xml:space="preserve">Meziroční růst vývozu </w:t>
      </w:r>
      <w:r w:rsidRPr="00D82EC6">
        <w:rPr>
          <w:rFonts w:ascii="Arial" w:hAnsi="Arial" w:cs="Arial"/>
          <w:sz w:val="18"/>
          <w:szCs w:val="18"/>
        </w:rPr>
        <w:t xml:space="preserve">o </w:t>
      </w:r>
      <w:r w:rsidR="00D82EC6" w:rsidRPr="00D82EC6">
        <w:rPr>
          <w:rFonts w:ascii="Arial" w:hAnsi="Arial" w:cs="Arial"/>
          <w:sz w:val="18"/>
          <w:szCs w:val="18"/>
        </w:rPr>
        <w:t>2,9</w:t>
      </w:r>
      <w:r w:rsidRPr="00D82EC6">
        <w:rPr>
          <w:rFonts w:ascii="Arial" w:hAnsi="Arial" w:cs="Arial"/>
          <w:sz w:val="18"/>
          <w:szCs w:val="18"/>
        </w:rPr>
        <w:t xml:space="preserve"> % (</w:t>
      </w:r>
      <w:r w:rsidR="00D82EC6" w:rsidRPr="00D82EC6">
        <w:rPr>
          <w:rFonts w:ascii="Arial" w:hAnsi="Arial" w:cs="Arial"/>
          <w:sz w:val="18"/>
          <w:szCs w:val="18"/>
        </w:rPr>
        <w:t>27,5</w:t>
      </w:r>
      <w:r w:rsidRPr="00D82EC6">
        <w:rPr>
          <w:rFonts w:ascii="Arial" w:hAnsi="Arial" w:cs="Arial"/>
          <w:sz w:val="18"/>
          <w:szCs w:val="18"/>
        </w:rPr>
        <w:t xml:space="preserve"> mld. Kč) ovlivnil oslabení (o 0,</w:t>
      </w:r>
      <w:r w:rsidR="00D82EC6" w:rsidRPr="00D82EC6">
        <w:rPr>
          <w:rFonts w:ascii="Arial" w:hAnsi="Arial" w:cs="Arial"/>
          <w:sz w:val="18"/>
          <w:szCs w:val="18"/>
        </w:rPr>
        <w:t>1</w:t>
      </w:r>
      <w:r w:rsidRPr="00D82EC6">
        <w:rPr>
          <w:rFonts w:ascii="Arial" w:hAnsi="Arial" w:cs="Arial"/>
          <w:sz w:val="18"/>
          <w:szCs w:val="18"/>
        </w:rPr>
        <w:t xml:space="preserve"> p. b.) pozice Německa na celkovém vývozu</w:t>
      </w:r>
      <w:r w:rsidR="00BD2D03">
        <w:rPr>
          <w:rFonts w:ascii="Arial" w:hAnsi="Arial" w:cs="Arial"/>
          <w:sz w:val="18"/>
          <w:szCs w:val="18"/>
        </w:rPr>
        <w:t xml:space="preserve"> Česka</w:t>
      </w:r>
      <w:r w:rsidRPr="00D82EC6">
        <w:rPr>
          <w:rFonts w:ascii="Arial" w:hAnsi="Arial" w:cs="Arial"/>
          <w:sz w:val="18"/>
          <w:szCs w:val="18"/>
        </w:rPr>
        <w:t>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641C6A" w:rsidRDefault="00C35F53" w:rsidP="005537A7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D82EC6">
        <w:rPr>
          <w:rFonts w:ascii="Arial" w:hAnsi="Arial" w:cs="Arial"/>
          <w:sz w:val="18"/>
          <w:szCs w:val="18"/>
        </w:rPr>
        <w:t xml:space="preserve">Postavení dalších </w:t>
      </w:r>
      <w:r w:rsidR="00D82EC6">
        <w:rPr>
          <w:rFonts w:ascii="Arial" w:hAnsi="Arial" w:cs="Arial"/>
          <w:sz w:val="18"/>
          <w:szCs w:val="18"/>
        </w:rPr>
        <w:t>čt</w:t>
      </w:r>
      <w:r w:rsidR="005537A7">
        <w:rPr>
          <w:rFonts w:ascii="Arial" w:hAnsi="Arial" w:cs="Arial"/>
          <w:sz w:val="18"/>
          <w:szCs w:val="18"/>
        </w:rPr>
        <w:t>r</w:t>
      </w:r>
      <w:r w:rsidR="00D82EC6">
        <w:rPr>
          <w:rFonts w:ascii="Arial" w:hAnsi="Arial" w:cs="Arial"/>
          <w:sz w:val="18"/>
          <w:szCs w:val="18"/>
        </w:rPr>
        <w:t>nácti</w:t>
      </w:r>
      <w:r w:rsidRPr="00D82EC6">
        <w:rPr>
          <w:rFonts w:ascii="Arial" w:hAnsi="Arial" w:cs="Arial"/>
          <w:sz w:val="18"/>
          <w:szCs w:val="18"/>
        </w:rPr>
        <w:t xml:space="preserve"> států se pohybovalo </w:t>
      </w:r>
      <w:r w:rsidRPr="005537A7">
        <w:rPr>
          <w:rFonts w:ascii="Arial" w:hAnsi="Arial" w:cs="Arial"/>
          <w:sz w:val="18"/>
          <w:szCs w:val="18"/>
        </w:rPr>
        <w:t xml:space="preserve">od </w:t>
      </w:r>
      <w:r w:rsidR="005537A7" w:rsidRPr="005537A7">
        <w:rPr>
          <w:rFonts w:ascii="Arial" w:hAnsi="Arial" w:cs="Arial"/>
          <w:sz w:val="18"/>
          <w:szCs w:val="18"/>
        </w:rPr>
        <w:t>1,5</w:t>
      </w:r>
      <w:r w:rsidRPr="005537A7">
        <w:rPr>
          <w:rFonts w:ascii="Arial" w:hAnsi="Arial" w:cs="Arial"/>
          <w:sz w:val="18"/>
          <w:szCs w:val="18"/>
        </w:rPr>
        <w:t xml:space="preserve"> % u Š</w:t>
      </w:r>
      <w:r w:rsidR="005537A7" w:rsidRPr="005537A7">
        <w:rPr>
          <w:rFonts w:ascii="Arial" w:hAnsi="Arial" w:cs="Arial"/>
          <w:sz w:val="18"/>
          <w:szCs w:val="18"/>
        </w:rPr>
        <w:t>védska</w:t>
      </w:r>
      <w:r w:rsidRPr="005537A7">
        <w:rPr>
          <w:rFonts w:ascii="Arial" w:hAnsi="Arial" w:cs="Arial"/>
          <w:sz w:val="18"/>
          <w:szCs w:val="18"/>
        </w:rPr>
        <w:t xml:space="preserve"> do </w:t>
      </w:r>
      <w:r w:rsidR="005537A7" w:rsidRPr="005537A7">
        <w:rPr>
          <w:rFonts w:ascii="Arial" w:hAnsi="Arial" w:cs="Arial"/>
          <w:sz w:val="18"/>
          <w:szCs w:val="18"/>
        </w:rPr>
        <w:t>2,8</w:t>
      </w:r>
      <w:r w:rsidRPr="005537A7">
        <w:rPr>
          <w:rFonts w:ascii="Arial" w:hAnsi="Arial" w:cs="Arial"/>
          <w:sz w:val="18"/>
          <w:szCs w:val="18"/>
        </w:rPr>
        <w:t xml:space="preserve"> % u Slovenska. Nejvýraznější meziroční relativní růst zaznamenal vývoz do </w:t>
      </w:r>
      <w:r w:rsidR="005537A7" w:rsidRPr="005537A7">
        <w:rPr>
          <w:rFonts w:ascii="Arial" w:hAnsi="Arial" w:cs="Arial"/>
          <w:sz w:val="18"/>
          <w:szCs w:val="18"/>
        </w:rPr>
        <w:t>Maďarska</w:t>
      </w:r>
      <w:r w:rsidRPr="005537A7">
        <w:rPr>
          <w:rFonts w:ascii="Arial" w:hAnsi="Arial" w:cs="Arial"/>
          <w:sz w:val="18"/>
          <w:szCs w:val="18"/>
        </w:rPr>
        <w:t xml:space="preserve"> (</w:t>
      </w:r>
      <w:r w:rsidR="00A12A83">
        <w:rPr>
          <w:rFonts w:ascii="Arial" w:hAnsi="Arial" w:cs="Arial"/>
          <w:sz w:val="18"/>
          <w:szCs w:val="18"/>
        </w:rPr>
        <w:t xml:space="preserve">o </w:t>
      </w:r>
      <w:r w:rsidR="005537A7" w:rsidRPr="005537A7">
        <w:rPr>
          <w:rFonts w:ascii="Arial" w:hAnsi="Arial" w:cs="Arial"/>
          <w:sz w:val="18"/>
          <w:szCs w:val="18"/>
        </w:rPr>
        <w:t>16,9</w:t>
      </w:r>
      <w:r w:rsidRPr="005537A7">
        <w:rPr>
          <w:rFonts w:ascii="Arial" w:hAnsi="Arial" w:cs="Arial"/>
          <w:sz w:val="18"/>
          <w:szCs w:val="18"/>
        </w:rPr>
        <w:t xml:space="preserve"> %)</w:t>
      </w:r>
      <w:r w:rsidR="00625D54">
        <w:rPr>
          <w:rFonts w:ascii="Arial" w:hAnsi="Arial" w:cs="Arial"/>
          <w:sz w:val="18"/>
          <w:szCs w:val="18"/>
        </w:rPr>
        <w:t xml:space="preserve"> s druhým největším meziročním navýšením (o 12,0 mld. Kč)</w:t>
      </w:r>
      <w:r w:rsidRPr="005537A7">
        <w:rPr>
          <w:rFonts w:ascii="Arial" w:hAnsi="Arial" w:cs="Arial"/>
          <w:sz w:val="18"/>
          <w:szCs w:val="18"/>
        </w:rPr>
        <w:t>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5537A7">
        <w:rPr>
          <w:rFonts w:ascii="Arial" w:hAnsi="Arial" w:cs="Arial"/>
          <w:sz w:val="18"/>
          <w:szCs w:val="18"/>
        </w:rPr>
        <w:t xml:space="preserve">dále pak do </w:t>
      </w:r>
      <w:r w:rsidR="005537A7" w:rsidRPr="005537A7">
        <w:rPr>
          <w:rFonts w:ascii="Arial" w:hAnsi="Arial" w:cs="Arial"/>
          <w:sz w:val="18"/>
          <w:szCs w:val="18"/>
        </w:rPr>
        <w:t>Španělska</w:t>
      </w:r>
      <w:r w:rsidRPr="005537A7">
        <w:rPr>
          <w:rFonts w:ascii="Arial" w:hAnsi="Arial" w:cs="Arial"/>
          <w:sz w:val="18"/>
          <w:szCs w:val="18"/>
        </w:rPr>
        <w:t xml:space="preserve"> (</w:t>
      </w:r>
      <w:r w:rsidR="00A12A83">
        <w:rPr>
          <w:rFonts w:ascii="Arial" w:hAnsi="Arial" w:cs="Arial"/>
          <w:sz w:val="18"/>
          <w:szCs w:val="18"/>
        </w:rPr>
        <w:t xml:space="preserve">o </w:t>
      </w:r>
      <w:r w:rsidR="005537A7" w:rsidRPr="005537A7">
        <w:rPr>
          <w:rFonts w:ascii="Arial" w:hAnsi="Arial" w:cs="Arial"/>
          <w:sz w:val="18"/>
          <w:szCs w:val="18"/>
        </w:rPr>
        <w:t>10,9</w:t>
      </w:r>
      <w:r w:rsidRPr="005537A7">
        <w:rPr>
          <w:rFonts w:ascii="Arial" w:hAnsi="Arial" w:cs="Arial"/>
          <w:sz w:val="18"/>
          <w:szCs w:val="18"/>
        </w:rPr>
        <w:t xml:space="preserve"> %),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5537A7" w:rsidRPr="005537A7">
        <w:rPr>
          <w:rFonts w:ascii="Arial" w:hAnsi="Arial" w:cs="Arial"/>
          <w:sz w:val="18"/>
          <w:szCs w:val="18"/>
        </w:rPr>
        <w:t>Belgie</w:t>
      </w:r>
      <w:r w:rsidRPr="005537A7">
        <w:rPr>
          <w:rFonts w:ascii="Arial" w:hAnsi="Arial" w:cs="Arial"/>
          <w:sz w:val="18"/>
          <w:szCs w:val="18"/>
        </w:rPr>
        <w:t xml:space="preserve"> (</w:t>
      </w:r>
      <w:r w:rsidR="00A12A83">
        <w:rPr>
          <w:rFonts w:ascii="Arial" w:hAnsi="Arial" w:cs="Arial"/>
          <w:sz w:val="18"/>
          <w:szCs w:val="18"/>
        </w:rPr>
        <w:t xml:space="preserve">o </w:t>
      </w:r>
      <w:r w:rsidR="005537A7" w:rsidRPr="005537A7">
        <w:rPr>
          <w:rFonts w:ascii="Arial" w:hAnsi="Arial" w:cs="Arial"/>
          <w:sz w:val="18"/>
          <w:szCs w:val="18"/>
        </w:rPr>
        <w:t>9,1</w:t>
      </w:r>
      <w:r w:rsidRPr="005537A7">
        <w:rPr>
          <w:rFonts w:ascii="Arial" w:hAnsi="Arial" w:cs="Arial"/>
          <w:sz w:val="18"/>
          <w:szCs w:val="18"/>
        </w:rPr>
        <w:t> %),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5537A7" w:rsidRPr="005537A7">
        <w:rPr>
          <w:rFonts w:ascii="Arial" w:hAnsi="Arial" w:cs="Arial"/>
          <w:sz w:val="18"/>
          <w:szCs w:val="18"/>
        </w:rPr>
        <w:t>Spojeného království</w:t>
      </w:r>
      <w:r w:rsidRPr="005537A7">
        <w:rPr>
          <w:rFonts w:ascii="Arial" w:hAnsi="Arial" w:cs="Arial"/>
          <w:sz w:val="18"/>
          <w:szCs w:val="18"/>
        </w:rPr>
        <w:t xml:space="preserve"> (</w:t>
      </w:r>
      <w:r w:rsidR="00BD2D03">
        <w:rPr>
          <w:rFonts w:ascii="Arial" w:hAnsi="Arial" w:cs="Arial"/>
          <w:sz w:val="18"/>
          <w:szCs w:val="18"/>
        </w:rPr>
        <w:t xml:space="preserve">o </w:t>
      </w:r>
      <w:r w:rsidR="005537A7" w:rsidRPr="005537A7">
        <w:rPr>
          <w:rFonts w:ascii="Arial" w:hAnsi="Arial" w:cs="Arial"/>
          <w:sz w:val="18"/>
          <w:szCs w:val="18"/>
        </w:rPr>
        <w:t>4,3</w:t>
      </w:r>
      <w:r w:rsidRPr="005537A7">
        <w:rPr>
          <w:rFonts w:ascii="Arial" w:hAnsi="Arial" w:cs="Arial"/>
          <w:sz w:val="18"/>
          <w:szCs w:val="18"/>
        </w:rPr>
        <w:t xml:space="preserve"> %)</w:t>
      </w:r>
      <w:r w:rsidR="00625D54">
        <w:rPr>
          <w:rFonts w:ascii="Arial" w:hAnsi="Arial" w:cs="Arial"/>
          <w:sz w:val="18"/>
          <w:szCs w:val="18"/>
        </w:rPr>
        <w:t xml:space="preserve"> a Itálie (</w:t>
      </w:r>
      <w:r w:rsidR="00BD2D03">
        <w:rPr>
          <w:rFonts w:ascii="Arial" w:hAnsi="Arial" w:cs="Arial"/>
          <w:sz w:val="18"/>
          <w:szCs w:val="18"/>
        </w:rPr>
        <w:t xml:space="preserve">o </w:t>
      </w:r>
      <w:r w:rsidR="00625D54">
        <w:rPr>
          <w:rFonts w:ascii="Arial" w:hAnsi="Arial" w:cs="Arial"/>
          <w:sz w:val="18"/>
          <w:szCs w:val="18"/>
        </w:rPr>
        <w:t xml:space="preserve">4,0 %). </w:t>
      </w:r>
      <w:r w:rsidRPr="008F6BBE">
        <w:rPr>
          <w:rFonts w:ascii="Arial" w:hAnsi="Arial" w:cs="Arial"/>
          <w:sz w:val="18"/>
          <w:szCs w:val="18"/>
        </w:rPr>
        <w:t xml:space="preserve">Hodnota vývozu </w:t>
      </w:r>
      <w:r w:rsidR="008F6BBE" w:rsidRPr="008F6BBE">
        <w:rPr>
          <w:rFonts w:ascii="Arial" w:hAnsi="Arial" w:cs="Arial"/>
          <w:sz w:val="18"/>
          <w:szCs w:val="18"/>
        </w:rPr>
        <w:t xml:space="preserve">Česka </w:t>
      </w:r>
      <w:r w:rsidR="00EA4B13">
        <w:rPr>
          <w:rFonts w:ascii="Arial" w:hAnsi="Arial" w:cs="Arial"/>
          <w:sz w:val="18"/>
          <w:szCs w:val="18"/>
        </w:rPr>
        <w:t>na </w:t>
      </w:r>
      <w:r w:rsidRPr="008F6BBE">
        <w:rPr>
          <w:rFonts w:ascii="Arial" w:hAnsi="Arial" w:cs="Arial"/>
          <w:sz w:val="18"/>
          <w:szCs w:val="18"/>
        </w:rPr>
        <w:t xml:space="preserve">Slovensko </w:t>
      </w:r>
      <w:r w:rsidR="008F6BBE" w:rsidRPr="008F6BBE">
        <w:rPr>
          <w:rFonts w:ascii="Arial" w:hAnsi="Arial" w:cs="Arial"/>
          <w:sz w:val="18"/>
          <w:szCs w:val="18"/>
        </w:rPr>
        <w:t xml:space="preserve">patřila k druhé nejvyšší </w:t>
      </w:r>
      <w:r w:rsidR="008F6BBE">
        <w:rPr>
          <w:rFonts w:ascii="Arial" w:hAnsi="Arial" w:cs="Arial"/>
          <w:sz w:val="18"/>
          <w:szCs w:val="18"/>
        </w:rPr>
        <w:t xml:space="preserve">jak </w:t>
      </w:r>
      <w:r w:rsidR="008F6BBE" w:rsidRPr="008F6BBE">
        <w:rPr>
          <w:rFonts w:ascii="Arial" w:hAnsi="Arial" w:cs="Arial"/>
          <w:sz w:val="18"/>
          <w:szCs w:val="18"/>
        </w:rPr>
        <w:t xml:space="preserve">celkově </w:t>
      </w:r>
      <w:r w:rsidR="008F6BBE">
        <w:rPr>
          <w:rFonts w:ascii="Arial" w:hAnsi="Arial" w:cs="Arial"/>
          <w:sz w:val="18"/>
          <w:szCs w:val="18"/>
        </w:rPr>
        <w:t xml:space="preserve">tak </w:t>
      </w:r>
      <w:r w:rsidR="008F6BBE" w:rsidRPr="008F6BBE">
        <w:rPr>
          <w:rFonts w:ascii="Arial" w:hAnsi="Arial" w:cs="Arial"/>
          <w:sz w:val="18"/>
          <w:szCs w:val="18"/>
        </w:rPr>
        <w:t xml:space="preserve">i ze států EU, přesto její </w:t>
      </w:r>
      <w:r w:rsidRPr="008F6BBE">
        <w:rPr>
          <w:rFonts w:ascii="Arial" w:hAnsi="Arial" w:cs="Arial"/>
          <w:sz w:val="18"/>
          <w:szCs w:val="18"/>
        </w:rPr>
        <w:t xml:space="preserve">pozice na celkovém vývozu meziročně mírně </w:t>
      </w:r>
      <w:r w:rsidR="008F6BBE" w:rsidRPr="008F6BBE">
        <w:rPr>
          <w:rFonts w:ascii="Arial" w:hAnsi="Arial" w:cs="Arial"/>
          <w:sz w:val="18"/>
          <w:szCs w:val="18"/>
        </w:rPr>
        <w:t>oslabila</w:t>
      </w:r>
      <w:r w:rsidRPr="008F6BBE">
        <w:rPr>
          <w:rFonts w:ascii="Arial" w:hAnsi="Arial" w:cs="Arial"/>
          <w:sz w:val="18"/>
          <w:szCs w:val="18"/>
        </w:rPr>
        <w:t xml:space="preserve"> z </w:t>
      </w:r>
      <w:r w:rsidR="008F6BBE" w:rsidRPr="008F6BBE">
        <w:rPr>
          <w:rFonts w:ascii="Arial" w:hAnsi="Arial" w:cs="Arial"/>
          <w:sz w:val="18"/>
          <w:szCs w:val="18"/>
        </w:rPr>
        <w:t>9,0</w:t>
      </w:r>
      <w:r w:rsidRPr="008F6BBE">
        <w:rPr>
          <w:rFonts w:ascii="Arial" w:hAnsi="Arial" w:cs="Arial"/>
          <w:sz w:val="18"/>
          <w:szCs w:val="18"/>
        </w:rPr>
        <w:t xml:space="preserve"> % na </w:t>
      </w:r>
      <w:r w:rsidR="008F6BBE" w:rsidRPr="008F6BBE">
        <w:rPr>
          <w:rFonts w:ascii="Arial" w:hAnsi="Arial" w:cs="Arial"/>
          <w:sz w:val="18"/>
          <w:szCs w:val="18"/>
        </w:rPr>
        <w:t>8,8</w:t>
      </w:r>
      <w:r w:rsidRPr="008F6BBE">
        <w:rPr>
          <w:rFonts w:ascii="Arial" w:hAnsi="Arial" w:cs="Arial"/>
          <w:sz w:val="18"/>
          <w:szCs w:val="18"/>
        </w:rPr>
        <w:t xml:space="preserve"> %.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8F6BBE">
        <w:rPr>
          <w:rFonts w:ascii="Arial" w:hAnsi="Arial" w:cs="Arial"/>
          <w:sz w:val="18"/>
          <w:szCs w:val="18"/>
        </w:rPr>
        <w:t>Třetí největší podíl (meziročně však o 0,</w:t>
      </w:r>
      <w:r w:rsidR="008F6BBE" w:rsidRPr="008F6BBE">
        <w:rPr>
          <w:rFonts w:ascii="Arial" w:hAnsi="Arial" w:cs="Arial"/>
          <w:sz w:val="18"/>
          <w:szCs w:val="18"/>
        </w:rPr>
        <w:t>1</w:t>
      </w:r>
      <w:r w:rsidRPr="008F6BBE">
        <w:rPr>
          <w:rFonts w:ascii="Arial" w:hAnsi="Arial" w:cs="Arial"/>
          <w:sz w:val="18"/>
          <w:szCs w:val="18"/>
        </w:rPr>
        <w:t xml:space="preserve"> p. b. nižší) na celkovém vývozu si s meziročním navýšením vývozu o </w:t>
      </w:r>
      <w:r w:rsidR="008F6BBE" w:rsidRPr="008F6BBE">
        <w:rPr>
          <w:rFonts w:ascii="Arial" w:hAnsi="Arial" w:cs="Arial"/>
          <w:sz w:val="18"/>
          <w:szCs w:val="18"/>
        </w:rPr>
        <w:t>3,2</w:t>
      </w:r>
      <w:r w:rsidRPr="008F6BBE">
        <w:rPr>
          <w:rFonts w:ascii="Arial" w:hAnsi="Arial" w:cs="Arial"/>
          <w:sz w:val="18"/>
          <w:szCs w:val="18"/>
        </w:rPr>
        <w:t xml:space="preserve"> mld. Kč udrželo Polsko.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8F6BBE">
        <w:rPr>
          <w:rFonts w:ascii="Arial" w:hAnsi="Arial" w:cs="Arial"/>
          <w:sz w:val="18"/>
          <w:szCs w:val="18"/>
        </w:rPr>
        <w:t>Příznivý vývoj vývozu do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8F6BBE" w:rsidRPr="008F6BBE">
        <w:rPr>
          <w:rFonts w:ascii="Arial" w:hAnsi="Arial" w:cs="Arial"/>
          <w:sz w:val="18"/>
          <w:szCs w:val="18"/>
        </w:rPr>
        <w:t>Rakouska, Francie a Švéd</w:t>
      </w:r>
      <w:r w:rsidR="00A12A83">
        <w:rPr>
          <w:rFonts w:ascii="Arial" w:hAnsi="Arial" w:cs="Arial"/>
          <w:sz w:val="18"/>
          <w:szCs w:val="18"/>
        </w:rPr>
        <w:t>s</w:t>
      </w:r>
      <w:r w:rsidR="008F6BBE" w:rsidRPr="008F6BBE">
        <w:rPr>
          <w:rFonts w:ascii="Arial" w:hAnsi="Arial" w:cs="Arial"/>
          <w:sz w:val="18"/>
          <w:szCs w:val="18"/>
        </w:rPr>
        <w:t>ka</w:t>
      </w:r>
      <w:r w:rsidRPr="008F6BBE">
        <w:rPr>
          <w:rFonts w:ascii="Arial" w:hAnsi="Arial" w:cs="Arial"/>
          <w:sz w:val="18"/>
          <w:szCs w:val="18"/>
        </w:rPr>
        <w:t xml:space="preserve"> (meziroční navýšení </w:t>
      </w:r>
      <w:r w:rsidRPr="00EE0CB6">
        <w:rPr>
          <w:rFonts w:ascii="Arial" w:hAnsi="Arial" w:cs="Arial"/>
          <w:sz w:val="18"/>
          <w:szCs w:val="18"/>
        </w:rPr>
        <w:t xml:space="preserve">o </w:t>
      </w:r>
      <w:r w:rsidR="008F6BBE" w:rsidRPr="00EE0CB6">
        <w:rPr>
          <w:rFonts w:ascii="Arial" w:hAnsi="Arial" w:cs="Arial"/>
          <w:sz w:val="18"/>
          <w:szCs w:val="18"/>
        </w:rPr>
        <w:t>2,4</w:t>
      </w:r>
      <w:r w:rsidRPr="00EE0CB6">
        <w:rPr>
          <w:rFonts w:ascii="Arial" w:hAnsi="Arial" w:cs="Arial"/>
          <w:sz w:val="18"/>
          <w:szCs w:val="18"/>
        </w:rPr>
        <w:t xml:space="preserve"> mld. Kč</w:t>
      </w:r>
      <w:r w:rsidR="008F6BBE" w:rsidRPr="00EE0CB6">
        <w:rPr>
          <w:rFonts w:ascii="Arial" w:hAnsi="Arial" w:cs="Arial"/>
          <w:sz w:val="18"/>
          <w:szCs w:val="18"/>
        </w:rPr>
        <w:t>, 1,6 mld. Kč</w:t>
      </w:r>
      <w:r w:rsidRPr="00EE0CB6">
        <w:rPr>
          <w:rFonts w:ascii="Arial" w:hAnsi="Arial" w:cs="Arial"/>
          <w:sz w:val="18"/>
          <w:szCs w:val="18"/>
        </w:rPr>
        <w:t xml:space="preserve"> a o </w:t>
      </w:r>
      <w:r w:rsidR="008F6BBE" w:rsidRPr="00EE0CB6">
        <w:rPr>
          <w:rFonts w:ascii="Arial" w:hAnsi="Arial" w:cs="Arial"/>
          <w:sz w:val="18"/>
          <w:szCs w:val="18"/>
        </w:rPr>
        <w:t>1,0</w:t>
      </w:r>
      <w:r w:rsidRPr="00EE0CB6">
        <w:rPr>
          <w:rFonts w:ascii="Arial" w:hAnsi="Arial" w:cs="Arial"/>
          <w:sz w:val="18"/>
          <w:szCs w:val="18"/>
        </w:rPr>
        <w:t xml:space="preserve"> mld. Kč)</w:t>
      </w:r>
      <w:r w:rsidR="00EE0CB6" w:rsidRPr="00EE0CB6">
        <w:rPr>
          <w:rFonts w:ascii="Arial" w:hAnsi="Arial" w:cs="Arial"/>
          <w:sz w:val="18"/>
          <w:szCs w:val="18"/>
        </w:rPr>
        <w:t xml:space="preserve"> však ne</w:t>
      </w:r>
      <w:r w:rsidRPr="00EE0CB6">
        <w:rPr>
          <w:rFonts w:ascii="Arial" w:hAnsi="Arial" w:cs="Arial"/>
          <w:sz w:val="18"/>
          <w:szCs w:val="18"/>
        </w:rPr>
        <w:t>vedl ke zvýšení podílu těchto států na celkovém vývozu</w:t>
      </w:r>
      <w:r w:rsidR="00BD2D03">
        <w:rPr>
          <w:rFonts w:ascii="Arial" w:hAnsi="Arial" w:cs="Arial"/>
          <w:sz w:val="18"/>
          <w:szCs w:val="18"/>
        </w:rPr>
        <w:t xml:space="preserve"> České republiky</w:t>
      </w:r>
      <w:r w:rsidR="00EE0CB6" w:rsidRPr="00EE0CB6">
        <w:rPr>
          <w:rFonts w:ascii="Arial" w:hAnsi="Arial" w:cs="Arial"/>
          <w:sz w:val="18"/>
          <w:szCs w:val="18"/>
        </w:rPr>
        <w:t>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C35F53" w:rsidRDefault="00C35F53" w:rsidP="00C35F53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D81601">
        <w:rPr>
          <w:rFonts w:ascii="Arial" w:hAnsi="Arial" w:cs="Arial"/>
          <w:sz w:val="18"/>
          <w:szCs w:val="18"/>
        </w:rPr>
        <w:t xml:space="preserve">K dalším významným partnerům </w:t>
      </w:r>
      <w:r w:rsidR="00BD2D03">
        <w:rPr>
          <w:rFonts w:ascii="Arial" w:hAnsi="Arial" w:cs="Arial"/>
          <w:sz w:val="18"/>
          <w:szCs w:val="18"/>
        </w:rPr>
        <w:t xml:space="preserve">ve </w:t>
      </w:r>
      <w:r w:rsidRPr="00D81601">
        <w:rPr>
          <w:rFonts w:ascii="Arial" w:hAnsi="Arial" w:cs="Arial"/>
          <w:sz w:val="18"/>
          <w:szCs w:val="18"/>
        </w:rPr>
        <w:t>vývozu patřil</w:t>
      </w:r>
      <w:r w:rsidR="001243B7">
        <w:rPr>
          <w:rFonts w:ascii="Arial" w:hAnsi="Arial" w:cs="Arial"/>
          <w:sz w:val="18"/>
          <w:szCs w:val="18"/>
        </w:rPr>
        <w:t>y</w:t>
      </w:r>
      <w:r w:rsidR="00EE0CB6">
        <w:rPr>
          <w:rFonts w:ascii="Arial" w:hAnsi="Arial" w:cs="Arial"/>
          <w:color w:val="FF0000"/>
          <w:sz w:val="18"/>
          <w:szCs w:val="18"/>
        </w:rPr>
        <w:t xml:space="preserve"> </w:t>
      </w:r>
      <w:r w:rsidR="00EE0CB6">
        <w:rPr>
          <w:rFonts w:ascii="Arial" w:hAnsi="Arial" w:cs="Arial"/>
          <w:sz w:val="18"/>
          <w:szCs w:val="18"/>
        </w:rPr>
        <w:t xml:space="preserve">Rusko, Nizozemsko, Spojené státy a Švýcarsko. Společnou charakteristikou byl </w:t>
      </w:r>
      <w:r w:rsidR="00BD2D03">
        <w:rPr>
          <w:rFonts w:ascii="Arial" w:hAnsi="Arial" w:cs="Arial"/>
          <w:sz w:val="18"/>
          <w:szCs w:val="18"/>
        </w:rPr>
        <w:t xml:space="preserve">pro ně </w:t>
      </w:r>
      <w:r w:rsidR="00EE0CB6">
        <w:rPr>
          <w:rFonts w:ascii="Arial" w:hAnsi="Arial" w:cs="Arial"/>
          <w:sz w:val="18"/>
          <w:szCs w:val="18"/>
        </w:rPr>
        <w:t>meziroční pokles vývozu, především pak pro Nizozemsko a R</w:t>
      </w:r>
      <w:r w:rsidR="00D753E7">
        <w:rPr>
          <w:rFonts w:ascii="Arial" w:hAnsi="Arial" w:cs="Arial"/>
          <w:sz w:val="18"/>
          <w:szCs w:val="18"/>
        </w:rPr>
        <w:t>usko (o 10,6 mld. Kč a </w:t>
      </w:r>
      <w:r w:rsidR="00A12A83">
        <w:rPr>
          <w:rFonts w:ascii="Arial" w:hAnsi="Arial" w:cs="Arial"/>
          <w:sz w:val="18"/>
          <w:szCs w:val="18"/>
        </w:rPr>
        <w:t xml:space="preserve">o </w:t>
      </w:r>
      <w:r w:rsidR="00D753E7">
        <w:rPr>
          <w:rFonts w:ascii="Arial" w:hAnsi="Arial" w:cs="Arial"/>
          <w:sz w:val="18"/>
          <w:szCs w:val="18"/>
        </w:rPr>
        <w:t>1,9 mld. </w:t>
      </w:r>
      <w:r w:rsidR="00EE0CB6">
        <w:rPr>
          <w:rFonts w:ascii="Arial" w:hAnsi="Arial" w:cs="Arial"/>
          <w:sz w:val="18"/>
          <w:szCs w:val="18"/>
        </w:rPr>
        <w:t>Kč).  Vývoz do Spojených států a do Švýcarska oslabil</w:t>
      </w:r>
      <w:r w:rsidR="004E5BAC">
        <w:rPr>
          <w:rFonts w:ascii="Arial" w:hAnsi="Arial" w:cs="Arial"/>
          <w:sz w:val="18"/>
          <w:szCs w:val="18"/>
        </w:rPr>
        <w:t xml:space="preserve"> téměř shodně o 0,1 mld. Kč.</w:t>
      </w:r>
    </w:p>
    <w:p w:rsidR="00640DB2" w:rsidRPr="006C2CE0" w:rsidRDefault="00640DB2" w:rsidP="00640DB2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6C2CE0">
        <w:rPr>
          <w:rFonts w:ascii="Arial" w:hAnsi="Arial" w:cs="Arial"/>
          <w:b/>
          <w:i/>
          <w:sz w:val="18"/>
          <w:szCs w:val="18"/>
        </w:rPr>
        <w:t xml:space="preserve">Graf </w:t>
      </w:r>
      <w:r w:rsidRPr="00D753E7">
        <w:rPr>
          <w:rFonts w:ascii="Arial" w:hAnsi="Arial" w:cs="Arial"/>
          <w:b/>
          <w:i/>
          <w:sz w:val="18"/>
          <w:szCs w:val="18"/>
        </w:rPr>
        <w:t>11 - Nejvýznamnější obchodní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partneři v roce 201</w:t>
      </w:r>
      <w:r>
        <w:rPr>
          <w:rFonts w:ascii="Arial" w:hAnsi="Arial" w:cs="Arial"/>
          <w:b/>
          <w:i/>
          <w:sz w:val="18"/>
          <w:szCs w:val="18"/>
        </w:rPr>
        <w:t>3</w:t>
      </w:r>
    </w:p>
    <w:p w:rsidR="00640DB2" w:rsidRPr="006C2CE0" w:rsidRDefault="00640DB2" w:rsidP="00640DB2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  <w:t xml:space="preserve">       vývoz</w:t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</w:r>
      <w:r w:rsidRPr="006C2CE0">
        <w:rPr>
          <w:rFonts w:ascii="Arial" w:hAnsi="Arial" w:cs="Arial"/>
          <w:i/>
          <w:sz w:val="18"/>
          <w:szCs w:val="18"/>
        </w:rPr>
        <w:tab/>
        <w:t xml:space="preserve">   </w:t>
      </w:r>
      <w:r w:rsidRPr="006C2CE0">
        <w:rPr>
          <w:rFonts w:ascii="Arial" w:hAnsi="Arial" w:cs="Arial"/>
          <w:i/>
          <w:sz w:val="18"/>
          <w:szCs w:val="18"/>
        </w:rPr>
        <w:tab/>
        <w:t xml:space="preserve">     dovoz</w:t>
      </w:r>
    </w:p>
    <w:p w:rsidR="00640DB2" w:rsidRPr="008856D9" w:rsidRDefault="00837A19" w:rsidP="00640DB2">
      <w:pPr>
        <w:spacing w:after="0"/>
        <w:rPr>
          <w:rFonts w:ascii="Arial" w:hAnsi="Arial" w:cs="Arial"/>
          <w:b/>
          <w:sz w:val="19"/>
          <w:szCs w:val="19"/>
        </w:rPr>
      </w:pP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39" type="#_x0000_t75" style="width:237.05pt;height:197pt">
            <v:imagedata r:id="rId22" o:title=""/>
          </v:shape>
        </w:pict>
      </w:r>
      <w:r w:rsidR="00D753E7">
        <w:rPr>
          <w:rFonts w:ascii="Arial" w:hAnsi="Arial" w:cs="Arial"/>
          <w:color w:val="FF0000"/>
          <w:sz w:val="18"/>
          <w:szCs w:val="18"/>
        </w:rPr>
        <w:t xml:space="preserve">   </w:t>
      </w: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40" type="#_x0000_t75" style="width:237.05pt;height:197pt">
            <v:imagedata r:id="rId23" o:title=""/>
          </v:shape>
        </w:pict>
      </w:r>
    </w:p>
    <w:p w:rsidR="00640DB2" w:rsidRDefault="00640DB2" w:rsidP="00640DB2">
      <w:pPr>
        <w:spacing w:after="120"/>
        <w:ind w:left="284"/>
        <w:rPr>
          <w:rFonts w:ascii="Arial" w:hAnsi="Arial" w:cs="Arial"/>
          <w:b/>
          <w:sz w:val="19"/>
          <w:szCs w:val="19"/>
        </w:rPr>
      </w:pPr>
    </w:p>
    <w:p w:rsidR="00641C6A" w:rsidRDefault="00D34C9B" w:rsidP="00D34C9B">
      <w:pPr>
        <w:spacing w:after="180"/>
        <w:jc w:val="both"/>
        <w:rPr>
          <w:rFonts w:ascii="Arial" w:hAnsi="Arial" w:cs="Arial"/>
          <w:color w:val="FF0000"/>
          <w:sz w:val="18"/>
          <w:szCs w:val="18"/>
        </w:rPr>
      </w:pPr>
      <w:r w:rsidRPr="00B47FAA">
        <w:rPr>
          <w:rFonts w:ascii="Arial" w:hAnsi="Arial" w:cs="Arial"/>
          <w:b/>
          <w:sz w:val="18"/>
          <w:szCs w:val="18"/>
        </w:rPr>
        <w:t>Převažující díl dovozu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4E5BAC">
        <w:rPr>
          <w:rFonts w:ascii="Arial" w:hAnsi="Arial" w:cs="Arial"/>
          <w:sz w:val="18"/>
          <w:szCs w:val="18"/>
        </w:rPr>
        <w:t xml:space="preserve">(přes </w:t>
      </w:r>
      <w:r w:rsidR="004E5BAC" w:rsidRPr="004E5BAC">
        <w:rPr>
          <w:rFonts w:ascii="Arial" w:hAnsi="Arial" w:cs="Arial"/>
          <w:sz w:val="18"/>
          <w:szCs w:val="18"/>
        </w:rPr>
        <w:t>80</w:t>
      </w:r>
      <w:r w:rsidRPr="004E5BAC">
        <w:rPr>
          <w:rFonts w:ascii="Arial" w:hAnsi="Arial" w:cs="Arial"/>
          <w:sz w:val="18"/>
          <w:szCs w:val="18"/>
        </w:rPr>
        <w:t xml:space="preserve"> %) byl v roce 201</w:t>
      </w:r>
      <w:r w:rsidR="004E5BAC" w:rsidRPr="004E5BAC">
        <w:rPr>
          <w:rFonts w:ascii="Arial" w:hAnsi="Arial" w:cs="Arial"/>
          <w:sz w:val="18"/>
          <w:szCs w:val="18"/>
        </w:rPr>
        <w:t>3</w:t>
      </w:r>
      <w:r w:rsidRPr="004E5BAC">
        <w:rPr>
          <w:rFonts w:ascii="Arial" w:hAnsi="Arial" w:cs="Arial"/>
          <w:sz w:val="18"/>
          <w:szCs w:val="18"/>
        </w:rPr>
        <w:t xml:space="preserve"> též </w:t>
      </w:r>
      <w:r w:rsidRPr="004E5BAC">
        <w:rPr>
          <w:rFonts w:ascii="Arial" w:hAnsi="Arial" w:cs="Arial"/>
          <w:b/>
          <w:sz w:val="18"/>
          <w:szCs w:val="18"/>
        </w:rPr>
        <w:t>realizován z</w:t>
      </w:r>
      <w:r w:rsidR="004E5BAC" w:rsidRPr="004E5BAC">
        <w:rPr>
          <w:rFonts w:ascii="Arial" w:hAnsi="Arial" w:cs="Arial"/>
          <w:b/>
          <w:sz w:val="18"/>
          <w:szCs w:val="18"/>
        </w:rPr>
        <w:t xml:space="preserve"> patnácti</w:t>
      </w:r>
      <w:r w:rsidRPr="004E5BAC">
        <w:rPr>
          <w:rFonts w:ascii="Arial" w:hAnsi="Arial" w:cs="Arial"/>
          <w:b/>
          <w:sz w:val="18"/>
          <w:szCs w:val="18"/>
        </w:rPr>
        <w:t xml:space="preserve"> států</w:t>
      </w:r>
      <w:r w:rsidRPr="004E5BAC">
        <w:rPr>
          <w:rFonts w:ascii="Arial" w:hAnsi="Arial" w:cs="Arial"/>
          <w:sz w:val="18"/>
          <w:szCs w:val="18"/>
        </w:rPr>
        <w:t>.</w:t>
      </w:r>
      <w:r w:rsidRPr="004E5BAC">
        <w:rPr>
          <w:rFonts w:ascii="Arial" w:hAnsi="Arial" w:cs="Arial"/>
          <w:b/>
          <w:sz w:val="18"/>
          <w:szCs w:val="18"/>
        </w:rPr>
        <w:t xml:space="preserve"> </w:t>
      </w:r>
      <w:r w:rsidRPr="004E5BAC">
        <w:rPr>
          <w:rFonts w:ascii="Arial" w:hAnsi="Arial" w:cs="Arial"/>
          <w:sz w:val="18"/>
          <w:szCs w:val="18"/>
        </w:rPr>
        <w:t xml:space="preserve">Nejsilnější </w:t>
      </w:r>
      <w:r w:rsidRPr="00483B6F">
        <w:rPr>
          <w:rFonts w:ascii="Arial" w:hAnsi="Arial" w:cs="Arial"/>
          <w:sz w:val="18"/>
          <w:szCs w:val="18"/>
        </w:rPr>
        <w:t>pozici (25,</w:t>
      </w:r>
      <w:r w:rsidR="00483B6F" w:rsidRPr="00483B6F">
        <w:rPr>
          <w:rFonts w:ascii="Arial" w:hAnsi="Arial" w:cs="Arial"/>
          <w:sz w:val="18"/>
          <w:szCs w:val="18"/>
        </w:rPr>
        <w:t>6</w:t>
      </w:r>
      <w:r w:rsidRPr="00483B6F">
        <w:rPr>
          <w:rFonts w:ascii="Arial" w:hAnsi="Arial" w:cs="Arial"/>
          <w:sz w:val="18"/>
          <w:szCs w:val="18"/>
        </w:rPr>
        <w:t xml:space="preserve"> % proti 25,</w:t>
      </w:r>
      <w:r w:rsidR="00483B6F" w:rsidRPr="00483B6F">
        <w:rPr>
          <w:rFonts w:ascii="Arial" w:hAnsi="Arial" w:cs="Arial"/>
          <w:sz w:val="18"/>
          <w:szCs w:val="18"/>
        </w:rPr>
        <w:t>3</w:t>
      </w:r>
      <w:r w:rsidRPr="00483B6F">
        <w:rPr>
          <w:rFonts w:ascii="Arial" w:hAnsi="Arial" w:cs="Arial"/>
          <w:sz w:val="18"/>
          <w:szCs w:val="18"/>
        </w:rPr>
        <w:t> % v roce 201</w:t>
      </w:r>
      <w:r w:rsidR="00483B6F" w:rsidRPr="00483B6F">
        <w:rPr>
          <w:rFonts w:ascii="Arial" w:hAnsi="Arial" w:cs="Arial"/>
          <w:sz w:val="18"/>
          <w:szCs w:val="18"/>
        </w:rPr>
        <w:t>2</w:t>
      </w:r>
      <w:r w:rsidRPr="00483B6F">
        <w:rPr>
          <w:rFonts w:ascii="Arial" w:hAnsi="Arial" w:cs="Arial"/>
          <w:sz w:val="18"/>
          <w:szCs w:val="18"/>
        </w:rPr>
        <w:t xml:space="preserve">) na celkovém dovozu zaznamenalo s meziročně vyšší hodnotou dovozu o </w:t>
      </w:r>
      <w:r w:rsidR="004E5BAC" w:rsidRPr="00483B6F">
        <w:rPr>
          <w:rFonts w:ascii="Arial" w:hAnsi="Arial" w:cs="Arial"/>
          <w:sz w:val="18"/>
          <w:szCs w:val="18"/>
        </w:rPr>
        <w:t>24,0</w:t>
      </w:r>
      <w:r w:rsidRPr="00483B6F">
        <w:rPr>
          <w:rFonts w:ascii="Arial" w:hAnsi="Arial" w:cs="Arial"/>
          <w:sz w:val="18"/>
          <w:szCs w:val="18"/>
        </w:rPr>
        <w:t xml:space="preserve"> mld. Kč Německo. Postavení zbývajících </w:t>
      </w:r>
      <w:r w:rsidR="00483B6F" w:rsidRPr="00483B6F">
        <w:rPr>
          <w:rFonts w:ascii="Arial" w:hAnsi="Arial" w:cs="Arial"/>
          <w:sz w:val="18"/>
          <w:szCs w:val="18"/>
        </w:rPr>
        <w:t>čt</w:t>
      </w:r>
      <w:r w:rsidR="00483B6F">
        <w:rPr>
          <w:rFonts w:ascii="Arial" w:hAnsi="Arial" w:cs="Arial"/>
          <w:sz w:val="18"/>
          <w:szCs w:val="18"/>
        </w:rPr>
        <w:t>r</w:t>
      </w:r>
      <w:r w:rsidR="00483B6F" w:rsidRPr="00483B6F">
        <w:rPr>
          <w:rFonts w:ascii="Arial" w:hAnsi="Arial" w:cs="Arial"/>
          <w:sz w:val="18"/>
          <w:szCs w:val="18"/>
        </w:rPr>
        <w:t>nácti</w:t>
      </w:r>
      <w:r w:rsidRPr="00483B6F">
        <w:rPr>
          <w:rFonts w:ascii="Arial" w:hAnsi="Arial" w:cs="Arial"/>
          <w:sz w:val="18"/>
          <w:szCs w:val="18"/>
        </w:rPr>
        <w:t xml:space="preserve"> států na celkovém dovozu se pohybovalo od </w:t>
      </w:r>
      <w:r w:rsidR="00483B6F" w:rsidRPr="00483B6F">
        <w:rPr>
          <w:rFonts w:ascii="Arial" w:hAnsi="Arial" w:cs="Arial"/>
          <w:sz w:val="18"/>
          <w:szCs w:val="18"/>
        </w:rPr>
        <w:t>1,7</w:t>
      </w:r>
      <w:r w:rsidRPr="00483B6F">
        <w:rPr>
          <w:rFonts w:ascii="Arial" w:hAnsi="Arial" w:cs="Arial"/>
          <w:sz w:val="18"/>
          <w:szCs w:val="18"/>
        </w:rPr>
        <w:t xml:space="preserve"> % u </w:t>
      </w:r>
      <w:r w:rsidR="00483B6F" w:rsidRPr="00483B6F">
        <w:rPr>
          <w:rFonts w:ascii="Arial" w:hAnsi="Arial" w:cs="Arial"/>
          <w:sz w:val="18"/>
          <w:szCs w:val="18"/>
        </w:rPr>
        <w:t>Belgie</w:t>
      </w:r>
      <w:r w:rsidRPr="00483B6F">
        <w:rPr>
          <w:rFonts w:ascii="Arial" w:hAnsi="Arial" w:cs="Arial"/>
          <w:sz w:val="18"/>
          <w:szCs w:val="18"/>
        </w:rPr>
        <w:t xml:space="preserve"> do </w:t>
      </w:r>
      <w:r w:rsidR="00483B6F" w:rsidRPr="00483B6F">
        <w:rPr>
          <w:rFonts w:ascii="Arial" w:hAnsi="Arial" w:cs="Arial"/>
          <w:sz w:val="18"/>
          <w:szCs w:val="18"/>
        </w:rPr>
        <w:t>10,7</w:t>
      </w:r>
      <w:r w:rsidRPr="00483B6F">
        <w:rPr>
          <w:rFonts w:ascii="Arial" w:hAnsi="Arial" w:cs="Arial"/>
          <w:sz w:val="18"/>
          <w:szCs w:val="18"/>
        </w:rPr>
        <w:t xml:space="preserve"> % u Číny.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964DC9" w:rsidRDefault="00D34C9B" w:rsidP="00D34C9B">
      <w:pPr>
        <w:spacing w:after="180"/>
        <w:jc w:val="both"/>
        <w:rPr>
          <w:rFonts w:ascii="Arial" w:hAnsi="Arial" w:cs="Arial"/>
          <w:sz w:val="18"/>
          <w:szCs w:val="18"/>
        </w:rPr>
      </w:pPr>
      <w:r w:rsidRPr="00483B6F">
        <w:rPr>
          <w:rFonts w:ascii="Arial" w:hAnsi="Arial" w:cs="Arial"/>
          <w:sz w:val="18"/>
          <w:szCs w:val="18"/>
        </w:rPr>
        <w:t>Mezi </w:t>
      </w:r>
      <w:r w:rsidR="00483B6F" w:rsidRPr="00483B6F">
        <w:rPr>
          <w:rFonts w:ascii="Arial" w:hAnsi="Arial" w:cs="Arial"/>
          <w:sz w:val="18"/>
          <w:szCs w:val="18"/>
        </w:rPr>
        <w:t>patnácti</w:t>
      </w:r>
      <w:r w:rsidRPr="00483B6F">
        <w:rPr>
          <w:rFonts w:ascii="Arial" w:hAnsi="Arial" w:cs="Arial"/>
          <w:sz w:val="18"/>
          <w:szCs w:val="18"/>
        </w:rPr>
        <w:t xml:space="preserve"> hlavními dovozními partnery bylo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483B6F" w:rsidRPr="00483B6F">
        <w:rPr>
          <w:rFonts w:ascii="Arial" w:hAnsi="Arial" w:cs="Arial"/>
          <w:sz w:val="18"/>
          <w:szCs w:val="18"/>
        </w:rPr>
        <w:t>deset</w:t>
      </w:r>
      <w:r w:rsidRPr="00483B6F">
        <w:rPr>
          <w:rFonts w:ascii="Arial" w:hAnsi="Arial" w:cs="Arial"/>
          <w:sz w:val="18"/>
          <w:szCs w:val="18"/>
        </w:rPr>
        <w:t xml:space="preserve"> států EU a pět států mimo EU, z nichž Čína a Rusko rozsahem dovozu zaujaly druhé a páté místo. </w:t>
      </w:r>
      <w:r w:rsidR="00483B6F">
        <w:rPr>
          <w:rFonts w:ascii="Arial" w:hAnsi="Arial" w:cs="Arial"/>
          <w:sz w:val="18"/>
          <w:szCs w:val="18"/>
        </w:rPr>
        <w:t>Všechny státy mimo EU (kromě Spojených států) provázel meziroční pokles</w:t>
      </w:r>
      <w:r w:rsidR="00EA77C7">
        <w:rPr>
          <w:rFonts w:ascii="Arial" w:hAnsi="Arial" w:cs="Arial"/>
          <w:sz w:val="18"/>
          <w:szCs w:val="18"/>
        </w:rPr>
        <w:t>.</w:t>
      </w:r>
      <w:r w:rsidR="00483B6F">
        <w:rPr>
          <w:rFonts w:ascii="Arial" w:hAnsi="Arial" w:cs="Arial"/>
          <w:sz w:val="18"/>
          <w:szCs w:val="18"/>
        </w:rPr>
        <w:t xml:space="preserve"> </w:t>
      </w:r>
      <w:r w:rsidR="00EA77C7">
        <w:rPr>
          <w:rFonts w:ascii="Arial" w:hAnsi="Arial" w:cs="Arial"/>
          <w:sz w:val="18"/>
          <w:szCs w:val="18"/>
        </w:rPr>
        <w:t>P</w:t>
      </w:r>
      <w:r w:rsidRPr="00483B6F">
        <w:rPr>
          <w:rFonts w:ascii="Arial" w:hAnsi="Arial" w:cs="Arial"/>
          <w:sz w:val="18"/>
          <w:szCs w:val="18"/>
        </w:rPr>
        <w:t>ředevším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BD2D03" w:rsidRPr="00BD2D03">
        <w:rPr>
          <w:rFonts w:ascii="Arial" w:hAnsi="Arial" w:cs="Arial"/>
          <w:sz w:val="18"/>
          <w:szCs w:val="18"/>
        </w:rPr>
        <w:t xml:space="preserve">do </w:t>
      </w:r>
      <w:r w:rsidR="00483B6F" w:rsidRPr="00BD2D03">
        <w:rPr>
          <w:rFonts w:ascii="Arial" w:hAnsi="Arial" w:cs="Arial"/>
          <w:sz w:val="18"/>
          <w:szCs w:val="18"/>
        </w:rPr>
        <w:t>J</w:t>
      </w:r>
      <w:r w:rsidR="00483B6F" w:rsidRPr="00483B6F">
        <w:rPr>
          <w:rFonts w:ascii="Arial" w:hAnsi="Arial" w:cs="Arial"/>
          <w:sz w:val="18"/>
          <w:szCs w:val="18"/>
        </w:rPr>
        <w:t>aponsk</w:t>
      </w:r>
      <w:r w:rsidR="00BD2D03">
        <w:rPr>
          <w:rFonts w:ascii="Arial" w:hAnsi="Arial" w:cs="Arial"/>
          <w:sz w:val="18"/>
          <w:szCs w:val="18"/>
        </w:rPr>
        <w:t>a</w:t>
      </w:r>
      <w:r w:rsidRPr="00483B6F">
        <w:rPr>
          <w:rFonts w:ascii="Arial" w:hAnsi="Arial" w:cs="Arial"/>
          <w:sz w:val="18"/>
          <w:szCs w:val="18"/>
        </w:rPr>
        <w:t xml:space="preserve"> </w:t>
      </w:r>
      <w:r w:rsidR="00BD2D03">
        <w:rPr>
          <w:rFonts w:ascii="Arial" w:hAnsi="Arial" w:cs="Arial"/>
          <w:sz w:val="18"/>
          <w:szCs w:val="18"/>
        </w:rPr>
        <w:t xml:space="preserve">bylo </w:t>
      </w:r>
      <w:r w:rsidRPr="00483B6F">
        <w:rPr>
          <w:rFonts w:ascii="Arial" w:hAnsi="Arial" w:cs="Arial"/>
          <w:sz w:val="18"/>
          <w:szCs w:val="18"/>
        </w:rPr>
        <w:t>zaznamen</w:t>
      </w:r>
      <w:r w:rsidR="00BD2D03">
        <w:rPr>
          <w:rFonts w:ascii="Arial" w:hAnsi="Arial" w:cs="Arial"/>
          <w:sz w:val="18"/>
          <w:szCs w:val="18"/>
        </w:rPr>
        <w:t>áno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483B6F">
        <w:rPr>
          <w:rFonts w:ascii="Arial" w:hAnsi="Arial" w:cs="Arial"/>
          <w:sz w:val="18"/>
          <w:szCs w:val="18"/>
        </w:rPr>
        <w:t xml:space="preserve">meziroční </w:t>
      </w:r>
      <w:r w:rsidR="00483B6F" w:rsidRPr="00483B6F">
        <w:rPr>
          <w:rFonts w:ascii="Arial" w:hAnsi="Arial" w:cs="Arial"/>
          <w:sz w:val="18"/>
          <w:szCs w:val="18"/>
        </w:rPr>
        <w:t xml:space="preserve">snížení </w:t>
      </w:r>
      <w:r w:rsidR="00964DC9">
        <w:rPr>
          <w:rFonts w:ascii="Arial" w:hAnsi="Arial" w:cs="Arial"/>
          <w:sz w:val="18"/>
          <w:szCs w:val="18"/>
        </w:rPr>
        <w:t xml:space="preserve">dovozu </w:t>
      </w:r>
      <w:r w:rsidRPr="00483B6F">
        <w:rPr>
          <w:rFonts w:ascii="Arial" w:hAnsi="Arial" w:cs="Arial"/>
          <w:sz w:val="18"/>
          <w:szCs w:val="18"/>
        </w:rPr>
        <w:t xml:space="preserve">o </w:t>
      </w:r>
      <w:r w:rsidR="00483B6F" w:rsidRPr="00483B6F">
        <w:rPr>
          <w:rFonts w:ascii="Arial" w:hAnsi="Arial" w:cs="Arial"/>
          <w:sz w:val="18"/>
          <w:szCs w:val="18"/>
        </w:rPr>
        <w:t>0,7</w:t>
      </w:r>
      <w:r w:rsidRPr="00483B6F">
        <w:rPr>
          <w:rFonts w:ascii="Arial" w:hAnsi="Arial" w:cs="Arial"/>
          <w:sz w:val="18"/>
          <w:szCs w:val="18"/>
        </w:rPr>
        <w:t xml:space="preserve"> %, tj. o </w:t>
      </w:r>
      <w:r w:rsidR="00483B6F" w:rsidRPr="00483B6F">
        <w:rPr>
          <w:rFonts w:ascii="Arial" w:hAnsi="Arial" w:cs="Arial"/>
          <w:sz w:val="18"/>
          <w:szCs w:val="18"/>
        </w:rPr>
        <w:t>3,9</w:t>
      </w:r>
      <w:r w:rsidRPr="00483B6F">
        <w:rPr>
          <w:rFonts w:ascii="Arial" w:hAnsi="Arial" w:cs="Arial"/>
          <w:sz w:val="18"/>
          <w:szCs w:val="18"/>
        </w:rPr>
        <w:t> mld. Kč</w:t>
      </w:r>
      <w:r w:rsidR="00EA77C7">
        <w:rPr>
          <w:rFonts w:ascii="Arial" w:hAnsi="Arial" w:cs="Arial"/>
          <w:sz w:val="18"/>
          <w:szCs w:val="18"/>
        </w:rPr>
        <w:t xml:space="preserve">, dále pak </w:t>
      </w:r>
      <w:r w:rsidR="00BD2D03">
        <w:rPr>
          <w:rFonts w:ascii="Arial" w:hAnsi="Arial" w:cs="Arial"/>
          <w:sz w:val="18"/>
          <w:szCs w:val="18"/>
        </w:rPr>
        <w:t xml:space="preserve">do </w:t>
      </w:r>
      <w:r w:rsidR="00EA77C7">
        <w:rPr>
          <w:rFonts w:ascii="Arial" w:hAnsi="Arial" w:cs="Arial"/>
          <w:sz w:val="18"/>
          <w:szCs w:val="18"/>
        </w:rPr>
        <w:t>Rusk</w:t>
      </w:r>
      <w:r w:rsidR="00BD2D03">
        <w:rPr>
          <w:rFonts w:ascii="Arial" w:hAnsi="Arial" w:cs="Arial"/>
          <w:sz w:val="18"/>
          <w:szCs w:val="18"/>
        </w:rPr>
        <w:t>a o 1,8 </w:t>
      </w:r>
      <w:r w:rsidR="00EA77C7">
        <w:rPr>
          <w:rFonts w:ascii="Arial" w:hAnsi="Arial" w:cs="Arial"/>
          <w:sz w:val="18"/>
          <w:szCs w:val="18"/>
        </w:rPr>
        <w:t>%</w:t>
      </w:r>
      <w:r w:rsidR="00964DC9">
        <w:rPr>
          <w:rFonts w:ascii="Arial" w:hAnsi="Arial" w:cs="Arial"/>
          <w:sz w:val="18"/>
          <w:szCs w:val="18"/>
        </w:rPr>
        <w:t xml:space="preserve"> (2,8 mld. Kč) a </w:t>
      </w:r>
      <w:r w:rsidR="00BD2D03">
        <w:rPr>
          <w:rFonts w:ascii="Arial" w:hAnsi="Arial" w:cs="Arial"/>
          <w:sz w:val="18"/>
          <w:szCs w:val="18"/>
        </w:rPr>
        <w:t xml:space="preserve">do </w:t>
      </w:r>
      <w:r w:rsidR="00964DC9">
        <w:rPr>
          <w:rFonts w:ascii="Arial" w:hAnsi="Arial" w:cs="Arial"/>
          <w:sz w:val="18"/>
          <w:szCs w:val="18"/>
        </w:rPr>
        <w:t>Čín</w:t>
      </w:r>
      <w:r w:rsidR="00BD2D03">
        <w:rPr>
          <w:rFonts w:ascii="Arial" w:hAnsi="Arial" w:cs="Arial"/>
          <w:sz w:val="18"/>
          <w:szCs w:val="18"/>
        </w:rPr>
        <w:t>y</w:t>
      </w:r>
      <w:r w:rsidR="00964DC9">
        <w:rPr>
          <w:rFonts w:ascii="Arial" w:hAnsi="Arial" w:cs="Arial"/>
          <w:sz w:val="18"/>
          <w:szCs w:val="18"/>
        </w:rPr>
        <w:t xml:space="preserve"> o 0,1 % (3,1 mld. Kč</w:t>
      </w:r>
      <w:r w:rsidRPr="00964DC9">
        <w:rPr>
          <w:rFonts w:ascii="Arial" w:hAnsi="Arial" w:cs="Arial"/>
          <w:sz w:val="18"/>
          <w:szCs w:val="18"/>
        </w:rPr>
        <w:t>)</w:t>
      </w:r>
      <w:r w:rsidR="00483B6F" w:rsidRPr="00964DC9">
        <w:rPr>
          <w:rFonts w:ascii="Arial" w:hAnsi="Arial" w:cs="Arial"/>
          <w:sz w:val="18"/>
          <w:szCs w:val="18"/>
        </w:rPr>
        <w:t xml:space="preserve">. </w:t>
      </w:r>
    </w:p>
    <w:p w:rsidR="00D34C9B" w:rsidRDefault="00D34C9B" w:rsidP="00D34C9B">
      <w:pPr>
        <w:spacing w:after="180"/>
        <w:jc w:val="both"/>
        <w:rPr>
          <w:rFonts w:ascii="Arial" w:hAnsi="Arial" w:cs="Arial"/>
          <w:sz w:val="18"/>
          <w:szCs w:val="18"/>
        </w:rPr>
      </w:pPr>
      <w:r w:rsidRPr="00964DC9">
        <w:rPr>
          <w:rFonts w:ascii="Arial" w:hAnsi="Arial" w:cs="Arial"/>
          <w:sz w:val="18"/>
          <w:szCs w:val="18"/>
        </w:rPr>
        <w:t>S podílem 7,</w:t>
      </w:r>
      <w:r w:rsidR="00964DC9" w:rsidRPr="00964DC9">
        <w:rPr>
          <w:rFonts w:ascii="Arial" w:hAnsi="Arial" w:cs="Arial"/>
          <w:sz w:val="18"/>
          <w:szCs w:val="18"/>
        </w:rPr>
        <w:t>5</w:t>
      </w:r>
      <w:r w:rsidRPr="00964DC9">
        <w:rPr>
          <w:rFonts w:ascii="Arial" w:hAnsi="Arial" w:cs="Arial"/>
          <w:sz w:val="18"/>
          <w:szCs w:val="18"/>
        </w:rPr>
        <w:t xml:space="preserve"> % a hodnotou dovozu </w:t>
      </w:r>
      <w:r w:rsidR="00964DC9" w:rsidRPr="00964DC9">
        <w:rPr>
          <w:rFonts w:ascii="Arial" w:hAnsi="Arial" w:cs="Arial"/>
          <w:sz w:val="18"/>
          <w:szCs w:val="18"/>
        </w:rPr>
        <w:t>212,0</w:t>
      </w:r>
      <w:r w:rsidRPr="00964DC9">
        <w:rPr>
          <w:rFonts w:ascii="Arial" w:hAnsi="Arial" w:cs="Arial"/>
          <w:sz w:val="18"/>
          <w:szCs w:val="18"/>
        </w:rPr>
        <w:t xml:space="preserve"> mld. Kč zaujalo v celkovém dovozu třetí příčku Polsko. K dalším předním dovozním partnerům ze států EU náležely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964DC9">
        <w:rPr>
          <w:rFonts w:ascii="Arial" w:hAnsi="Arial" w:cs="Arial"/>
          <w:sz w:val="18"/>
          <w:szCs w:val="18"/>
        </w:rPr>
        <w:t>Slovensko, Itálie, Nizozemsko, Francie</w:t>
      </w:r>
      <w:r w:rsidR="00964DC9" w:rsidRPr="00964DC9">
        <w:rPr>
          <w:rFonts w:ascii="Arial" w:hAnsi="Arial" w:cs="Arial"/>
          <w:sz w:val="18"/>
          <w:szCs w:val="18"/>
        </w:rPr>
        <w:t>,</w:t>
      </w:r>
      <w:r w:rsidR="00964DC9" w:rsidRPr="00964DC9">
        <w:rPr>
          <w:rFonts w:ascii="Arial" w:hAnsi="Arial" w:cs="Arial"/>
          <w:color w:val="FF0000"/>
          <w:sz w:val="18"/>
          <w:szCs w:val="18"/>
        </w:rPr>
        <w:t xml:space="preserve"> </w:t>
      </w:r>
      <w:r w:rsidR="00964DC9" w:rsidRPr="00964DC9">
        <w:rPr>
          <w:rFonts w:ascii="Arial" w:hAnsi="Arial" w:cs="Arial"/>
          <w:sz w:val="18"/>
          <w:szCs w:val="18"/>
        </w:rPr>
        <w:t>Rakousko</w:t>
      </w:r>
      <w:r w:rsidRPr="00964DC9">
        <w:rPr>
          <w:rFonts w:ascii="Arial" w:hAnsi="Arial" w:cs="Arial"/>
          <w:sz w:val="18"/>
          <w:szCs w:val="18"/>
        </w:rPr>
        <w:t xml:space="preserve"> a Maďarsko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. </w:t>
      </w:r>
      <w:r w:rsidRPr="00964DC9">
        <w:rPr>
          <w:rFonts w:ascii="Arial" w:hAnsi="Arial" w:cs="Arial"/>
          <w:sz w:val="18"/>
          <w:szCs w:val="18"/>
        </w:rPr>
        <w:t xml:space="preserve">Vyjma </w:t>
      </w:r>
      <w:r w:rsidR="00964DC9" w:rsidRPr="00964DC9">
        <w:rPr>
          <w:rFonts w:ascii="Arial" w:hAnsi="Arial" w:cs="Arial"/>
          <w:sz w:val="18"/>
          <w:szCs w:val="18"/>
        </w:rPr>
        <w:t>Slovenska, Nizozemska a Rakouska</w:t>
      </w:r>
      <w:r w:rsidRPr="00964DC9">
        <w:rPr>
          <w:rFonts w:ascii="Arial" w:hAnsi="Arial" w:cs="Arial"/>
          <w:sz w:val="18"/>
          <w:szCs w:val="18"/>
        </w:rPr>
        <w:t xml:space="preserve"> (meziroční pokles dovozu </w:t>
      </w:r>
      <w:r w:rsidR="00964DC9" w:rsidRPr="00964DC9">
        <w:rPr>
          <w:rFonts w:ascii="Arial" w:hAnsi="Arial" w:cs="Arial"/>
          <w:sz w:val="18"/>
          <w:szCs w:val="18"/>
        </w:rPr>
        <w:t xml:space="preserve">uvedených států celkem </w:t>
      </w:r>
      <w:r w:rsidRPr="00964DC9">
        <w:rPr>
          <w:rFonts w:ascii="Arial" w:hAnsi="Arial" w:cs="Arial"/>
          <w:sz w:val="18"/>
          <w:szCs w:val="18"/>
        </w:rPr>
        <w:t xml:space="preserve">o </w:t>
      </w:r>
      <w:r w:rsidR="00964DC9" w:rsidRPr="00964DC9">
        <w:rPr>
          <w:rFonts w:ascii="Arial" w:hAnsi="Arial" w:cs="Arial"/>
          <w:sz w:val="18"/>
          <w:szCs w:val="18"/>
        </w:rPr>
        <w:t>11,8</w:t>
      </w:r>
      <w:r w:rsidRPr="00964DC9">
        <w:rPr>
          <w:rFonts w:ascii="Arial" w:hAnsi="Arial" w:cs="Arial"/>
          <w:sz w:val="18"/>
          <w:szCs w:val="18"/>
        </w:rPr>
        <w:t xml:space="preserve"> mld. Kč) ostatní uvedené státy EU hodnotu dovozu meziročně navýšily (celkem o </w:t>
      </w:r>
      <w:r w:rsidR="00964DC9" w:rsidRPr="00964DC9">
        <w:rPr>
          <w:rFonts w:ascii="Arial" w:hAnsi="Arial" w:cs="Arial"/>
          <w:sz w:val="18"/>
          <w:szCs w:val="18"/>
        </w:rPr>
        <w:t>54,5</w:t>
      </w:r>
      <w:r w:rsidRPr="00964DC9">
        <w:rPr>
          <w:rFonts w:ascii="Arial" w:hAnsi="Arial" w:cs="Arial"/>
          <w:sz w:val="18"/>
          <w:szCs w:val="18"/>
        </w:rPr>
        <w:t xml:space="preserve"> mld. Kč). </w:t>
      </w:r>
    </w:p>
    <w:p w:rsidR="00781486" w:rsidRDefault="004E5C05" w:rsidP="004E5C05">
      <w:pPr>
        <w:numPr>
          <w:ilvl w:val="0"/>
          <w:numId w:val="1"/>
        </w:numPr>
        <w:spacing w:after="12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Zbožová struktura</w:t>
      </w:r>
    </w:p>
    <w:p w:rsidR="004E5C05" w:rsidRDefault="004E5C05" w:rsidP="004E5C05">
      <w:pPr>
        <w:numPr>
          <w:ilvl w:val="1"/>
          <w:numId w:val="1"/>
        </w:numPr>
        <w:tabs>
          <w:tab w:val="left" w:pos="567"/>
        </w:tabs>
        <w:spacing w:after="120"/>
        <w:ind w:hanging="792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Vývoj zahraničního obchodu </w:t>
      </w:r>
      <w:r w:rsidR="001243B7">
        <w:rPr>
          <w:rFonts w:ascii="Arial" w:hAnsi="Arial" w:cs="Arial"/>
          <w:b/>
          <w:sz w:val="19"/>
          <w:szCs w:val="19"/>
        </w:rPr>
        <w:t xml:space="preserve">České republiky </w:t>
      </w:r>
      <w:r>
        <w:rPr>
          <w:rFonts w:ascii="Arial" w:hAnsi="Arial" w:cs="Arial"/>
          <w:b/>
          <w:sz w:val="19"/>
          <w:szCs w:val="19"/>
        </w:rPr>
        <w:t>v jednotlivých zbožových třídách SITC</w:t>
      </w:r>
    </w:p>
    <w:p w:rsidR="00E52DD0" w:rsidRPr="00E52DD0" w:rsidRDefault="00781486" w:rsidP="0078148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B47FAA">
        <w:rPr>
          <w:rFonts w:ascii="Arial" w:hAnsi="Arial" w:cs="Arial"/>
          <w:b/>
          <w:sz w:val="18"/>
          <w:szCs w:val="18"/>
        </w:rPr>
        <w:t>Zbožová struktura</w:t>
      </w:r>
      <w:r w:rsidRPr="00B47FAA">
        <w:rPr>
          <w:rFonts w:ascii="Arial" w:hAnsi="Arial" w:cs="Arial"/>
          <w:sz w:val="18"/>
          <w:szCs w:val="18"/>
        </w:rPr>
        <w:t xml:space="preserve"> zahraničního obchodu byla provázena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8D5243">
        <w:rPr>
          <w:rFonts w:ascii="Arial" w:hAnsi="Arial" w:cs="Arial"/>
          <w:sz w:val="18"/>
          <w:szCs w:val="18"/>
        </w:rPr>
        <w:t xml:space="preserve">meziročním růstem </w:t>
      </w:r>
      <w:r w:rsidRPr="002D30B5">
        <w:rPr>
          <w:rFonts w:ascii="Arial" w:hAnsi="Arial" w:cs="Arial"/>
          <w:b/>
          <w:sz w:val="18"/>
          <w:szCs w:val="18"/>
        </w:rPr>
        <w:t>vývozu</w:t>
      </w:r>
      <w:r w:rsidRPr="002D30B5">
        <w:rPr>
          <w:rFonts w:ascii="Arial" w:hAnsi="Arial" w:cs="Arial"/>
          <w:sz w:val="18"/>
          <w:szCs w:val="18"/>
        </w:rPr>
        <w:t xml:space="preserve"> převažující většiny tříd SITC.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53768C">
        <w:rPr>
          <w:rFonts w:ascii="Arial" w:hAnsi="Arial" w:cs="Arial"/>
          <w:sz w:val="18"/>
          <w:szCs w:val="18"/>
        </w:rPr>
        <w:t xml:space="preserve">Největší absolutní meziroční navýšení provázelo vývoz strojů a dopravních </w:t>
      </w:r>
      <w:r w:rsidRPr="002F595A">
        <w:rPr>
          <w:rFonts w:ascii="Arial" w:hAnsi="Arial" w:cs="Arial"/>
          <w:sz w:val="18"/>
          <w:szCs w:val="18"/>
        </w:rPr>
        <w:t xml:space="preserve">prostředků (o </w:t>
      </w:r>
      <w:r w:rsidR="002F595A" w:rsidRPr="002F595A">
        <w:rPr>
          <w:rFonts w:ascii="Arial" w:hAnsi="Arial" w:cs="Arial"/>
          <w:sz w:val="18"/>
          <w:szCs w:val="18"/>
        </w:rPr>
        <w:t>47,5</w:t>
      </w:r>
      <w:r w:rsidRPr="002F595A">
        <w:rPr>
          <w:rFonts w:ascii="Arial" w:hAnsi="Arial" w:cs="Arial"/>
          <w:sz w:val="18"/>
          <w:szCs w:val="18"/>
        </w:rPr>
        <w:t xml:space="preserve"> mld</w:t>
      </w:r>
      <w:r w:rsidRPr="002D30B5">
        <w:rPr>
          <w:rFonts w:ascii="Arial" w:hAnsi="Arial" w:cs="Arial"/>
          <w:sz w:val="18"/>
          <w:szCs w:val="18"/>
        </w:rPr>
        <w:t xml:space="preserve">. Kč, z toho do států Evropské </w:t>
      </w:r>
      <w:r w:rsidRPr="00641DBE">
        <w:rPr>
          <w:rFonts w:ascii="Arial" w:hAnsi="Arial" w:cs="Arial"/>
          <w:sz w:val="18"/>
          <w:szCs w:val="18"/>
        </w:rPr>
        <w:t>unie o </w:t>
      </w:r>
      <w:r w:rsidR="00641DBE" w:rsidRPr="00641DBE">
        <w:rPr>
          <w:rFonts w:ascii="Arial" w:hAnsi="Arial" w:cs="Arial"/>
          <w:sz w:val="18"/>
          <w:szCs w:val="18"/>
        </w:rPr>
        <w:t>26,9</w:t>
      </w:r>
      <w:r w:rsidRPr="00641DBE">
        <w:rPr>
          <w:rFonts w:ascii="Arial" w:hAnsi="Arial" w:cs="Arial"/>
          <w:sz w:val="18"/>
          <w:szCs w:val="18"/>
        </w:rPr>
        <w:t> mld. Kč),</w:t>
      </w:r>
      <w:r w:rsidRPr="002D30B5">
        <w:rPr>
          <w:rFonts w:ascii="Arial" w:hAnsi="Arial" w:cs="Arial"/>
          <w:sz w:val="18"/>
          <w:szCs w:val="18"/>
        </w:rPr>
        <w:t xml:space="preserve"> průmyslového spotřebního </w:t>
      </w:r>
      <w:r w:rsidRPr="002F595A">
        <w:rPr>
          <w:rFonts w:ascii="Arial" w:hAnsi="Arial" w:cs="Arial"/>
          <w:sz w:val="18"/>
          <w:szCs w:val="18"/>
        </w:rPr>
        <w:t>zboží (o 33,</w:t>
      </w:r>
      <w:r w:rsidR="002F595A" w:rsidRPr="002F595A">
        <w:rPr>
          <w:rFonts w:ascii="Arial" w:hAnsi="Arial" w:cs="Arial"/>
          <w:sz w:val="18"/>
          <w:szCs w:val="18"/>
        </w:rPr>
        <w:t>7</w:t>
      </w:r>
      <w:r w:rsidRPr="002F595A">
        <w:rPr>
          <w:rFonts w:ascii="Arial" w:hAnsi="Arial" w:cs="Arial"/>
          <w:sz w:val="18"/>
          <w:szCs w:val="18"/>
        </w:rPr>
        <w:t xml:space="preserve"> mld. Kč), polotovarů a materiálů (o </w:t>
      </w:r>
      <w:r w:rsidR="002F595A" w:rsidRPr="002F595A">
        <w:rPr>
          <w:rFonts w:ascii="Arial" w:hAnsi="Arial" w:cs="Arial"/>
          <w:sz w:val="18"/>
          <w:szCs w:val="18"/>
        </w:rPr>
        <w:t>17,9</w:t>
      </w:r>
      <w:r w:rsidRPr="002F595A">
        <w:rPr>
          <w:rFonts w:ascii="Arial" w:hAnsi="Arial" w:cs="Arial"/>
          <w:sz w:val="18"/>
          <w:szCs w:val="18"/>
        </w:rPr>
        <w:t xml:space="preserve"> mld. Kč)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2F595A">
        <w:rPr>
          <w:rFonts w:ascii="Arial" w:hAnsi="Arial" w:cs="Arial"/>
          <w:sz w:val="18"/>
          <w:szCs w:val="18"/>
        </w:rPr>
        <w:t>a </w:t>
      </w:r>
      <w:r w:rsidR="002F595A" w:rsidRPr="002F595A">
        <w:rPr>
          <w:rFonts w:ascii="Arial" w:hAnsi="Arial" w:cs="Arial"/>
          <w:sz w:val="18"/>
          <w:szCs w:val="18"/>
        </w:rPr>
        <w:t xml:space="preserve">chemikálií a příbuzných výrobků (o 13,0 mld. Kč), </w:t>
      </w:r>
      <w:r w:rsidRPr="002F595A">
        <w:rPr>
          <w:rFonts w:ascii="Arial" w:hAnsi="Arial" w:cs="Arial"/>
          <w:sz w:val="18"/>
          <w:szCs w:val="18"/>
        </w:rPr>
        <w:t>dále pak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2F595A" w:rsidRPr="002F595A">
        <w:rPr>
          <w:rFonts w:ascii="Arial" w:hAnsi="Arial" w:cs="Arial"/>
          <w:sz w:val="18"/>
          <w:szCs w:val="18"/>
        </w:rPr>
        <w:t>potravin a živých zvířat (o 8,0 mld. Kč</w:t>
      </w:r>
      <w:r w:rsidR="002F595A" w:rsidRPr="00E52DD0">
        <w:rPr>
          <w:rFonts w:ascii="Arial" w:hAnsi="Arial" w:cs="Arial"/>
          <w:sz w:val="18"/>
          <w:szCs w:val="18"/>
        </w:rPr>
        <w:t xml:space="preserve">), </w:t>
      </w:r>
      <w:r w:rsidR="00541603">
        <w:rPr>
          <w:rFonts w:ascii="Arial" w:hAnsi="Arial" w:cs="Arial"/>
          <w:sz w:val="18"/>
          <w:szCs w:val="18"/>
        </w:rPr>
        <w:t>nápojů a tabáku (o </w:t>
      </w:r>
      <w:r w:rsidR="00636EA2" w:rsidRPr="00E52DD0">
        <w:rPr>
          <w:rFonts w:ascii="Arial" w:hAnsi="Arial" w:cs="Arial"/>
          <w:sz w:val="18"/>
          <w:szCs w:val="18"/>
        </w:rPr>
        <w:t>2,8 mld. Kč)</w:t>
      </w:r>
      <w:r w:rsidR="00E52DD0">
        <w:rPr>
          <w:rFonts w:ascii="Arial" w:hAnsi="Arial" w:cs="Arial"/>
          <w:sz w:val="18"/>
          <w:szCs w:val="18"/>
        </w:rPr>
        <w:t>, komodit nezatříděných (o 2,7 mld. Kč).</w:t>
      </w:r>
      <w:r w:rsidRPr="002D30B5">
        <w:rPr>
          <w:rFonts w:ascii="Arial" w:hAnsi="Arial" w:cs="Arial"/>
          <w:color w:val="FF0000"/>
          <w:sz w:val="18"/>
          <w:szCs w:val="18"/>
        </w:rPr>
        <w:t xml:space="preserve"> </w:t>
      </w:r>
      <w:r w:rsidR="00E52DD0" w:rsidRPr="00E52DD0">
        <w:rPr>
          <w:rFonts w:ascii="Arial" w:hAnsi="Arial" w:cs="Arial"/>
          <w:sz w:val="18"/>
          <w:szCs w:val="18"/>
        </w:rPr>
        <w:t xml:space="preserve">Naopak klesl </w:t>
      </w:r>
      <w:r w:rsidR="00641DBE">
        <w:rPr>
          <w:rFonts w:ascii="Arial" w:hAnsi="Arial" w:cs="Arial"/>
          <w:sz w:val="18"/>
          <w:szCs w:val="18"/>
        </w:rPr>
        <w:t xml:space="preserve">meziroční </w:t>
      </w:r>
      <w:r w:rsidR="00E52DD0" w:rsidRPr="00E52DD0">
        <w:rPr>
          <w:rFonts w:ascii="Arial" w:hAnsi="Arial" w:cs="Arial"/>
          <w:sz w:val="18"/>
          <w:szCs w:val="18"/>
        </w:rPr>
        <w:t>vý</w:t>
      </w:r>
      <w:r w:rsidRPr="00E52DD0">
        <w:rPr>
          <w:rFonts w:ascii="Arial" w:hAnsi="Arial" w:cs="Arial"/>
          <w:sz w:val="18"/>
          <w:szCs w:val="18"/>
        </w:rPr>
        <w:t xml:space="preserve">voz </w:t>
      </w:r>
      <w:r w:rsidR="00E52DD0" w:rsidRPr="00E52DD0">
        <w:rPr>
          <w:rFonts w:ascii="Arial" w:hAnsi="Arial" w:cs="Arial"/>
          <w:sz w:val="18"/>
          <w:szCs w:val="18"/>
        </w:rPr>
        <w:t>minerálních paliv, maziv a příbuzných materiálů (o 21,7 mld. Kč) a surovin nepoživatelných (o 1,6 mld. Kč).</w:t>
      </w:r>
    </w:p>
    <w:p w:rsidR="00781486" w:rsidRPr="00B768D8" w:rsidRDefault="00781486" w:rsidP="00781486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B768D8">
        <w:rPr>
          <w:rFonts w:ascii="Arial" w:hAnsi="Arial" w:cs="Arial"/>
          <w:b/>
          <w:i/>
          <w:sz w:val="18"/>
          <w:szCs w:val="18"/>
        </w:rPr>
        <w:t xml:space="preserve">Graf </w:t>
      </w:r>
      <w:r>
        <w:rPr>
          <w:rFonts w:ascii="Arial" w:hAnsi="Arial" w:cs="Arial"/>
          <w:b/>
          <w:i/>
          <w:sz w:val="18"/>
          <w:szCs w:val="18"/>
        </w:rPr>
        <w:t>1</w:t>
      </w:r>
      <w:r w:rsidR="005C2345">
        <w:rPr>
          <w:rFonts w:ascii="Arial" w:hAnsi="Arial" w:cs="Arial"/>
          <w:b/>
          <w:i/>
          <w:sz w:val="18"/>
          <w:szCs w:val="18"/>
        </w:rPr>
        <w:t>2</w:t>
      </w:r>
      <w:r w:rsidRPr="00B768D8">
        <w:rPr>
          <w:rFonts w:ascii="Arial" w:hAnsi="Arial" w:cs="Arial"/>
          <w:b/>
          <w:i/>
          <w:sz w:val="18"/>
          <w:szCs w:val="18"/>
        </w:rPr>
        <w:t xml:space="preserve"> - Zbožová struktura zahraničního obchodu v roce 2013 (podíly v %)</w:t>
      </w:r>
    </w:p>
    <w:p w:rsidR="00781486" w:rsidRPr="00A37B75" w:rsidRDefault="00837A19" w:rsidP="00781486">
      <w:pPr>
        <w:spacing w:after="0"/>
        <w:jc w:val="both"/>
        <w:rPr>
          <w:rFonts w:ascii="Arial" w:hAnsi="Arial" w:cs="Arial"/>
          <w:sz w:val="16"/>
          <w:szCs w:val="16"/>
        </w:rPr>
      </w:pPr>
      <w:r w:rsidRPr="00F8628E">
        <w:rPr>
          <w:rFonts w:ascii="Arial" w:hAnsi="Arial" w:cs="Arial"/>
          <w:b/>
          <w:i/>
          <w:sz w:val="18"/>
          <w:szCs w:val="18"/>
        </w:rPr>
        <w:pict>
          <v:shape id="_x0000_i1041" type="#_x0000_t75" style="width:485pt;height:242.5pt">
            <v:imagedata r:id="rId24" o:title=""/>
          </v:shape>
        </w:pict>
      </w:r>
    </w:p>
    <w:p w:rsidR="00A11446" w:rsidRPr="00F124B2" w:rsidRDefault="00A11446" w:rsidP="00541603">
      <w:pPr>
        <w:spacing w:before="200" w:after="120"/>
        <w:jc w:val="both"/>
        <w:rPr>
          <w:rFonts w:ascii="Arial" w:hAnsi="Arial" w:cs="Arial"/>
          <w:sz w:val="18"/>
          <w:szCs w:val="18"/>
        </w:rPr>
      </w:pPr>
      <w:r w:rsidRPr="008D5243">
        <w:rPr>
          <w:rFonts w:ascii="Arial" w:hAnsi="Arial" w:cs="Arial"/>
          <w:sz w:val="18"/>
          <w:szCs w:val="18"/>
        </w:rPr>
        <w:t xml:space="preserve">Největší absolutní meziroční přírůstek </w:t>
      </w:r>
      <w:r w:rsidRPr="008D5243">
        <w:rPr>
          <w:rFonts w:ascii="Arial" w:hAnsi="Arial" w:cs="Arial"/>
          <w:b/>
          <w:sz w:val="18"/>
          <w:szCs w:val="18"/>
        </w:rPr>
        <w:t>dovozu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641DBE">
        <w:rPr>
          <w:rFonts w:ascii="Arial" w:hAnsi="Arial" w:cs="Arial"/>
          <w:sz w:val="18"/>
          <w:szCs w:val="18"/>
        </w:rPr>
        <w:t>zaznamenal</w:t>
      </w:r>
      <w:r w:rsidR="00641DBE">
        <w:rPr>
          <w:rFonts w:ascii="Arial" w:hAnsi="Arial" w:cs="Arial"/>
          <w:sz w:val="18"/>
          <w:szCs w:val="18"/>
        </w:rPr>
        <w:t xml:space="preserve">o </w:t>
      </w:r>
      <w:r w:rsidR="00641DBE" w:rsidRPr="00905CE0">
        <w:rPr>
          <w:rFonts w:ascii="Arial" w:hAnsi="Arial" w:cs="Arial"/>
          <w:sz w:val="18"/>
          <w:szCs w:val="18"/>
        </w:rPr>
        <w:t>průmyslové spotřební</w:t>
      </w:r>
      <w:r w:rsidR="00645075">
        <w:rPr>
          <w:rFonts w:ascii="Arial" w:hAnsi="Arial" w:cs="Arial"/>
          <w:sz w:val="18"/>
          <w:szCs w:val="18"/>
        </w:rPr>
        <w:t xml:space="preserve"> </w:t>
      </w:r>
      <w:r w:rsidR="00641DBE" w:rsidRPr="00905CE0">
        <w:rPr>
          <w:rFonts w:ascii="Arial" w:hAnsi="Arial" w:cs="Arial"/>
          <w:sz w:val="18"/>
          <w:szCs w:val="18"/>
        </w:rPr>
        <w:t>zboží (o 18,1 mld. Kč).</w:t>
      </w:r>
      <w:r w:rsidR="00905CE0" w:rsidRPr="00905CE0">
        <w:rPr>
          <w:rFonts w:ascii="Arial" w:hAnsi="Arial" w:cs="Arial"/>
          <w:sz w:val="18"/>
          <w:szCs w:val="18"/>
        </w:rPr>
        <w:t xml:space="preserve"> </w:t>
      </w:r>
      <w:r w:rsidRPr="00905CE0">
        <w:rPr>
          <w:rFonts w:ascii="Arial" w:hAnsi="Arial" w:cs="Arial"/>
          <w:sz w:val="18"/>
          <w:szCs w:val="18"/>
        </w:rPr>
        <w:t>Druhé nejv</w:t>
      </w:r>
      <w:r w:rsidR="00645075">
        <w:rPr>
          <w:rFonts w:ascii="Arial" w:hAnsi="Arial" w:cs="Arial"/>
          <w:sz w:val="18"/>
          <w:szCs w:val="18"/>
        </w:rPr>
        <w:t>yšš</w:t>
      </w:r>
      <w:r w:rsidRPr="00905CE0">
        <w:rPr>
          <w:rFonts w:ascii="Arial" w:hAnsi="Arial" w:cs="Arial"/>
          <w:sz w:val="18"/>
          <w:szCs w:val="18"/>
        </w:rPr>
        <w:t xml:space="preserve">í meziroční navýšení bylo patrné u dovozu </w:t>
      </w:r>
      <w:r w:rsidR="00F124B2" w:rsidRPr="00F124B2">
        <w:rPr>
          <w:rFonts w:ascii="Arial" w:hAnsi="Arial" w:cs="Arial"/>
          <w:sz w:val="18"/>
          <w:szCs w:val="18"/>
        </w:rPr>
        <w:t xml:space="preserve">chemikálií a příbuzných výrobků </w:t>
      </w:r>
      <w:r w:rsidRPr="00F124B2">
        <w:rPr>
          <w:rFonts w:ascii="Arial" w:hAnsi="Arial" w:cs="Arial"/>
          <w:sz w:val="18"/>
          <w:szCs w:val="18"/>
        </w:rPr>
        <w:t>(o 16,</w:t>
      </w:r>
      <w:r w:rsidR="00F124B2" w:rsidRPr="00F124B2">
        <w:rPr>
          <w:rFonts w:ascii="Arial" w:hAnsi="Arial" w:cs="Arial"/>
          <w:sz w:val="18"/>
          <w:szCs w:val="18"/>
        </w:rPr>
        <w:t>0</w:t>
      </w:r>
      <w:r w:rsidRPr="00F124B2">
        <w:rPr>
          <w:rFonts w:ascii="Arial" w:hAnsi="Arial" w:cs="Arial"/>
          <w:sz w:val="18"/>
          <w:szCs w:val="18"/>
        </w:rPr>
        <w:t xml:space="preserve"> mld. Kč),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F124B2">
        <w:rPr>
          <w:rFonts w:ascii="Arial" w:hAnsi="Arial" w:cs="Arial"/>
          <w:sz w:val="18"/>
          <w:szCs w:val="18"/>
        </w:rPr>
        <w:t>které bylo významně ovlivněno zvýšením jejich dovozu především ze států EU 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F124B2" w:rsidRPr="00F124B2">
        <w:rPr>
          <w:rFonts w:ascii="Arial" w:hAnsi="Arial" w:cs="Arial"/>
          <w:sz w:val="18"/>
          <w:szCs w:val="18"/>
        </w:rPr>
        <w:t>10,4</w:t>
      </w:r>
      <w:r w:rsidRPr="00F124B2">
        <w:rPr>
          <w:rFonts w:ascii="Arial" w:hAnsi="Arial" w:cs="Arial"/>
          <w:sz w:val="18"/>
          <w:szCs w:val="18"/>
        </w:rPr>
        <w:t xml:space="preserve"> mld. Kč. Meziroční přírůstky dovozu byly také </w:t>
      </w:r>
      <w:r w:rsidR="00F124B2">
        <w:rPr>
          <w:rFonts w:ascii="Arial" w:hAnsi="Arial" w:cs="Arial"/>
          <w:sz w:val="18"/>
          <w:szCs w:val="18"/>
        </w:rPr>
        <w:t>např</w:t>
      </w:r>
      <w:r w:rsidR="00FA6D12">
        <w:rPr>
          <w:rFonts w:ascii="Arial" w:hAnsi="Arial" w:cs="Arial"/>
          <w:sz w:val="18"/>
          <w:szCs w:val="18"/>
        </w:rPr>
        <w:t>íklad</w:t>
      </w:r>
      <w:r w:rsidR="00F124B2">
        <w:rPr>
          <w:rFonts w:ascii="Arial" w:hAnsi="Arial" w:cs="Arial"/>
          <w:sz w:val="18"/>
          <w:szCs w:val="18"/>
        </w:rPr>
        <w:t xml:space="preserve"> </w:t>
      </w:r>
      <w:r w:rsidRPr="00F124B2">
        <w:rPr>
          <w:rFonts w:ascii="Arial" w:hAnsi="Arial" w:cs="Arial"/>
          <w:sz w:val="18"/>
          <w:szCs w:val="18"/>
        </w:rPr>
        <w:t xml:space="preserve">u </w:t>
      </w:r>
      <w:r w:rsidR="00F124B2" w:rsidRPr="00905CE0">
        <w:rPr>
          <w:rFonts w:ascii="Arial" w:hAnsi="Arial" w:cs="Arial"/>
          <w:sz w:val="18"/>
          <w:szCs w:val="18"/>
        </w:rPr>
        <w:t xml:space="preserve">strojů a dopravních </w:t>
      </w:r>
      <w:r w:rsidR="00F124B2" w:rsidRPr="00F124B2">
        <w:rPr>
          <w:rFonts w:ascii="Arial" w:hAnsi="Arial" w:cs="Arial"/>
          <w:sz w:val="18"/>
          <w:szCs w:val="18"/>
        </w:rPr>
        <w:t>prostředků (o 12,9 mld. Kč),</w:t>
      </w:r>
      <w:r w:rsidR="00F124B2"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F124B2" w:rsidRPr="00F124B2">
        <w:rPr>
          <w:rFonts w:ascii="Arial" w:hAnsi="Arial" w:cs="Arial"/>
          <w:sz w:val="18"/>
          <w:szCs w:val="18"/>
        </w:rPr>
        <w:t>polotovarů a materiálů (o 12,0 mld. Kč)</w:t>
      </w:r>
      <w:r w:rsidR="00F124B2">
        <w:rPr>
          <w:rFonts w:ascii="Arial" w:hAnsi="Arial" w:cs="Arial"/>
          <w:sz w:val="18"/>
          <w:szCs w:val="18"/>
        </w:rPr>
        <w:t xml:space="preserve"> a </w:t>
      </w:r>
      <w:r w:rsidRPr="00F124B2">
        <w:rPr>
          <w:rFonts w:ascii="Arial" w:hAnsi="Arial" w:cs="Arial"/>
          <w:sz w:val="18"/>
          <w:szCs w:val="18"/>
        </w:rPr>
        <w:t xml:space="preserve">potravin a živých zvířat (o </w:t>
      </w:r>
      <w:r w:rsidR="00F124B2" w:rsidRPr="00F124B2">
        <w:rPr>
          <w:rFonts w:ascii="Arial" w:hAnsi="Arial" w:cs="Arial"/>
          <w:sz w:val="18"/>
          <w:szCs w:val="18"/>
        </w:rPr>
        <w:t>10,0</w:t>
      </w:r>
      <w:r w:rsidRPr="00F124B2">
        <w:rPr>
          <w:rFonts w:ascii="Arial" w:hAnsi="Arial" w:cs="Arial"/>
          <w:sz w:val="18"/>
          <w:szCs w:val="18"/>
        </w:rPr>
        <w:t xml:space="preserve"> mld. Kč)</w:t>
      </w:r>
      <w:r w:rsidR="00F124B2">
        <w:rPr>
          <w:rFonts w:ascii="Arial" w:hAnsi="Arial" w:cs="Arial"/>
          <w:sz w:val="18"/>
          <w:szCs w:val="18"/>
        </w:rPr>
        <w:t>.</w:t>
      </w:r>
      <w:r w:rsidR="00F124B2">
        <w:rPr>
          <w:rFonts w:ascii="Arial" w:hAnsi="Arial" w:cs="Arial"/>
          <w:color w:val="FF0000"/>
          <w:sz w:val="18"/>
          <w:szCs w:val="18"/>
        </w:rPr>
        <w:t xml:space="preserve"> </w:t>
      </w:r>
      <w:r w:rsidR="00F124B2">
        <w:rPr>
          <w:rFonts w:ascii="Arial" w:hAnsi="Arial" w:cs="Arial"/>
          <w:sz w:val="18"/>
          <w:szCs w:val="18"/>
        </w:rPr>
        <w:t>K</w:t>
      </w:r>
      <w:r w:rsidR="00FA6D12">
        <w:rPr>
          <w:rFonts w:ascii="Arial" w:hAnsi="Arial" w:cs="Arial"/>
          <w:sz w:val="18"/>
          <w:szCs w:val="18"/>
        </w:rPr>
        <w:t xml:space="preserve"> významné </w:t>
      </w:r>
      <w:r w:rsidR="00F124B2">
        <w:rPr>
          <w:rFonts w:ascii="Arial" w:hAnsi="Arial" w:cs="Arial"/>
          <w:sz w:val="18"/>
          <w:szCs w:val="18"/>
        </w:rPr>
        <w:t>změně došlo v dovozu minerálních paliv, maziv a příbuzných materiálů, kdy meziroční růst v roce 2012 (o 21,3 mld. Kč) byl v roce 2013 vystřídán meziročním poklesem (o 15,2 mld. Kč).</w:t>
      </w:r>
    </w:p>
    <w:p w:rsidR="00781486" w:rsidRPr="00FA6D12" w:rsidRDefault="00781486" w:rsidP="00781486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3768C">
        <w:rPr>
          <w:rFonts w:ascii="Arial" w:hAnsi="Arial" w:cs="Arial"/>
          <w:sz w:val="18"/>
          <w:szCs w:val="18"/>
        </w:rPr>
        <w:t xml:space="preserve">Vysoký </w:t>
      </w:r>
      <w:r w:rsidRPr="0053768C">
        <w:rPr>
          <w:rFonts w:ascii="Arial" w:hAnsi="Arial" w:cs="Arial"/>
          <w:b/>
          <w:sz w:val="18"/>
          <w:szCs w:val="18"/>
        </w:rPr>
        <w:t>přebytek</w:t>
      </w:r>
      <w:r w:rsidRPr="0053768C">
        <w:rPr>
          <w:rFonts w:ascii="Arial" w:hAnsi="Arial" w:cs="Arial"/>
          <w:sz w:val="18"/>
          <w:szCs w:val="18"/>
        </w:rPr>
        <w:t>, meziročně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FA6D12">
        <w:rPr>
          <w:rFonts w:ascii="Arial" w:hAnsi="Arial" w:cs="Arial"/>
          <w:sz w:val="18"/>
          <w:szCs w:val="18"/>
        </w:rPr>
        <w:t xml:space="preserve">o </w:t>
      </w:r>
      <w:r w:rsidR="00FA6D12" w:rsidRPr="00FA6D12">
        <w:rPr>
          <w:rFonts w:ascii="Arial" w:hAnsi="Arial" w:cs="Arial"/>
          <w:sz w:val="18"/>
          <w:szCs w:val="18"/>
        </w:rPr>
        <w:t>34,6</w:t>
      </w:r>
      <w:r w:rsidRPr="00FA6D12">
        <w:rPr>
          <w:rFonts w:ascii="Arial" w:hAnsi="Arial" w:cs="Arial"/>
          <w:sz w:val="18"/>
          <w:szCs w:val="18"/>
        </w:rPr>
        <w:t xml:space="preserve"> mld. Kč vyšší (vliv aktiva se státy </w:t>
      </w:r>
      <w:r w:rsidR="00FA6D12">
        <w:rPr>
          <w:rFonts w:ascii="Arial" w:hAnsi="Arial" w:cs="Arial"/>
          <w:sz w:val="18"/>
          <w:szCs w:val="18"/>
        </w:rPr>
        <w:t xml:space="preserve">mimo </w:t>
      </w:r>
      <w:r w:rsidRPr="00FA6D12">
        <w:rPr>
          <w:rFonts w:ascii="Arial" w:hAnsi="Arial" w:cs="Arial"/>
          <w:sz w:val="18"/>
          <w:szCs w:val="18"/>
        </w:rPr>
        <w:t>EU), zaznamenal</w:t>
      </w:r>
      <w:r w:rsidR="00D753E7">
        <w:rPr>
          <w:rFonts w:ascii="Arial" w:hAnsi="Arial" w:cs="Arial"/>
          <w:sz w:val="18"/>
          <w:szCs w:val="18"/>
        </w:rPr>
        <w:t xml:space="preserve"> obchod se stroji a </w:t>
      </w:r>
      <w:r w:rsidRPr="0053768C">
        <w:rPr>
          <w:rFonts w:ascii="Arial" w:hAnsi="Arial" w:cs="Arial"/>
          <w:sz w:val="18"/>
          <w:szCs w:val="18"/>
        </w:rPr>
        <w:t>dopravními prostředky.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B6705">
        <w:rPr>
          <w:rFonts w:ascii="Arial" w:hAnsi="Arial" w:cs="Arial"/>
          <w:sz w:val="18"/>
          <w:szCs w:val="18"/>
        </w:rPr>
        <w:t>Druhé nejvyšší aktivum s meziročním navýšením 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FA6D12" w:rsidRPr="00FA6D12">
        <w:rPr>
          <w:rFonts w:ascii="Arial" w:hAnsi="Arial" w:cs="Arial"/>
          <w:sz w:val="18"/>
          <w:szCs w:val="18"/>
        </w:rPr>
        <w:t>15,5</w:t>
      </w:r>
      <w:r w:rsidRPr="00FA6D12">
        <w:rPr>
          <w:rFonts w:ascii="Arial" w:hAnsi="Arial" w:cs="Arial"/>
          <w:sz w:val="18"/>
          <w:szCs w:val="18"/>
        </w:rPr>
        <w:t xml:space="preserve"> </w:t>
      </w:r>
      <w:r w:rsidR="00D753E7">
        <w:rPr>
          <w:rFonts w:ascii="Arial" w:hAnsi="Arial" w:cs="Arial"/>
          <w:sz w:val="18"/>
          <w:szCs w:val="18"/>
        </w:rPr>
        <w:t>mld. Kč bylo zřejmé u obchodu s </w:t>
      </w:r>
      <w:r w:rsidRPr="00FA6D12">
        <w:rPr>
          <w:rFonts w:ascii="Arial" w:hAnsi="Arial" w:cs="Arial"/>
          <w:sz w:val="18"/>
          <w:szCs w:val="18"/>
        </w:rPr>
        <w:t>průmyslovým spotřebním zbožím. Kladn</w:t>
      </w:r>
      <w:r w:rsidRPr="00AB6705">
        <w:rPr>
          <w:rFonts w:ascii="Arial" w:hAnsi="Arial" w:cs="Arial"/>
          <w:sz w:val="18"/>
          <w:szCs w:val="18"/>
        </w:rPr>
        <w:t>ým sa</w:t>
      </w:r>
      <w:r w:rsidRPr="00FA6D12">
        <w:rPr>
          <w:rFonts w:ascii="Arial" w:hAnsi="Arial" w:cs="Arial"/>
          <w:sz w:val="18"/>
          <w:szCs w:val="18"/>
        </w:rPr>
        <w:t xml:space="preserve">ldem (meziročně o </w:t>
      </w:r>
      <w:r w:rsidR="00FA6D12" w:rsidRPr="00FA6D12">
        <w:rPr>
          <w:rFonts w:ascii="Arial" w:hAnsi="Arial" w:cs="Arial"/>
          <w:sz w:val="18"/>
          <w:szCs w:val="18"/>
        </w:rPr>
        <w:t>5,9</w:t>
      </w:r>
      <w:r w:rsidRPr="00FA6D12">
        <w:rPr>
          <w:rFonts w:ascii="Arial" w:hAnsi="Arial" w:cs="Arial"/>
          <w:sz w:val="18"/>
          <w:szCs w:val="18"/>
        </w:rPr>
        <w:t xml:space="preserve"> mld. Kč vyšším) skončil ještě obchod s polotovary a materiály,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FA6D12">
        <w:rPr>
          <w:rFonts w:ascii="Arial" w:hAnsi="Arial" w:cs="Arial"/>
          <w:sz w:val="18"/>
          <w:szCs w:val="18"/>
        </w:rPr>
        <w:t>dále pak obchod se surovinami nepoživatelnými</w:t>
      </w:r>
      <w:r w:rsidR="00BF0237">
        <w:rPr>
          <w:rFonts w:ascii="Arial" w:hAnsi="Arial" w:cs="Arial"/>
          <w:sz w:val="18"/>
          <w:szCs w:val="18"/>
        </w:rPr>
        <w:t xml:space="preserve"> (meziročně o 0,7 mld. Kč nižším)</w:t>
      </w:r>
      <w:r w:rsidRPr="00FA6D12">
        <w:rPr>
          <w:rFonts w:ascii="Arial" w:hAnsi="Arial" w:cs="Arial"/>
          <w:sz w:val="18"/>
          <w:szCs w:val="18"/>
        </w:rPr>
        <w:t>, živočišnými a rostlinnými oleji, tuky a vosky (</w:t>
      </w:r>
      <w:r w:rsidR="00FA6D12" w:rsidRPr="00FA6D12">
        <w:rPr>
          <w:rFonts w:ascii="Arial" w:hAnsi="Arial" w:cs="Arial"/>
          <w:sz w:val="18"/>
          <w:szCs w:val="18"/>
        </w:rPr>
        <w:t>meziroční pokles o 1,3</w:t>
      </w:r>
      <w:r w:rsidR="001243B7">
        <w:rPr>
          <w:rFonts w:ascii="Arial" w:hAnsi="Arial" w:cs="Arial"/>
          <w:sz w:val="18"/>
          <w:szCs w:val="18"/>
        </w:rPr>
        <w:t xml:space="preserve"> mld. Kč</w:t>
      </w:r>
      <w:r w:rsidRPr="00FA6D12">
        <w:rPr>
          <w:rFonts w:ascii="Arial" w:hAnsi="Arial" w:cs="Arial"/>
          <w:sz w:val="18"/>
          <w:szCs w:val="18"/>
        </w:rPr>
        <w:t xml:space="preserve">) a nápoji a tabákem (meziročně vyšším o </w:t>
      </w:r>
      <w:r w:rsidR="00FA6D12" w:rsidRPr="00FA6D12">
        <w:rPr>
          <w:rFonts w:ascii="Arial" w:hAnsi="Arial" w:cs="Arial"/>
          <w:sz w:val="18"/>
          <w:szCs w:val="18"/>
        </w:rPr>
        <w:t>1,4</w:t>
      </w:r>
      <w:r w:rsidRPr="00FA6D12">
        <w:rPr>
          <w:rFonts w:ascii="Arial" w:hAnsi="Arial" w:cs="Arial"/>
          <w:sz w:val="18"/>
          <w:szCs w:val="18"/>
        </w:rPr>
        <w:t xml:space="preserve"> mld. Kč).</w:t>
      </w:r>
    </w:p>
    <w:p w:rsidR="00781486" w:rsidRDefault="00781486" w:rsidP="00781486">
      <w:pPr>
        <w:spacing w:after="80"/>
        <w:jc w:val="both"/>
        <w:rPr>
          <w:rFonts w:ascii="Arial" w:hAnsi="Arial" w:cs="Arial"/>
          <w:b/>
          <w:i/>
          <w:sz w:val="18"/>
          <w:szCs w:val="18"/>
        </w:rPr>
      </w:pPr>
      <w:r w:rsidRPr="00B768D8">
        <w:rPr>
          <w:rFonts w:ascii="Arial" w:hAnsi="Arial" w:cs="Arial"/>
          <w:b/>
          <w:i/>
          <w:sz w:val="18"/>
          <w:szCs w:val="18"/>
        </w:rPr>
        <w:t xml:space="preserve">Graf </w:t>
      </w:r>
      <w:r>
        <w:rPr>
          <w:rFonts w:ascii="Arial" w:hAnsi="Arial" w:cs="Arial"/>
          <w:b/>
          <w:i/>
          <w:sz w:val="18"/>
          <w:szCs w:val="18"/>
        </w:rPr>
        <w:t>1</w:t>
      </w:r>
      <w:r w:rsidR="005C2345">
        <w:rPr>
          <w:rFonts w:ascii="Arial" w:hAnsi="Arial" w:cs="Arial"/>
          <w:b/>
          <w:i/>
          <w:sz w:val="18"/>
          <w:szCs w:val="18"/>
        </w:rPr>
        <w:t>3</w:t>
      </w:r>
      <w:r w:rsidRPr="00B768D8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-</w:t>
      </w:r>
      <w:r w:rsidRPr="00B768D8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Obchodní bilance podle jednotlivých tříd SITC v roce 2013</w:t>
      </w:r>
    </w:p>
    <w:p w:rsidR="00781486" w:rsidRDefault="00837A19" w:rsidP="00781486">
      <w:pPr>
        <w:spacing w:after="0"/>
        <w:ind w:right="-1"/>
        <w:jc w:val="both"/>
        <w:rPr>
          <w:rFonts w:ascii="Arial" w:hAnsi="Arial" w:cs="Arial"/>
          <w:b/>
          <w:i/>
          <w:sz w:val="18"/>
          <w:szCs w:val="18"/>
        </w:rPr>
      </w:pPr>
      <w:r w:rsidRPr="00F8628E">
        <w:rPr>
          <w:rFonts w:ascii="Arial" w:hAnsi="Arial" w:cs="Arial"/>
          <w:b/>
          <w:i/>
          <w:sz w:val="18"/>
          <w:szCs w:val="18"/>
        </w:rPr>
        <w:pict>
          <v:shape id="_x0000_i1042" type="#_x0000_t75" style="width:485pt;height:154.2pt">
            <v:imagedata r:id="rId25" o:title=""/>
          </v:shape>
        </w:pict>
      </w:r>
    </w:p>
    <w:p w:rsidR="00A11446" w:rsidRPr="00376483" w:rsidRDefault="00A11446" w:rsidP="00A1144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E4802">
        <w:rPr>
          <w:rFonts w:ascii="Arial" w:hAnsi="Arial" w:cs="Arial"/>
          <w:sz w:val="18"/>
          <w:szCs w:val="18"/>
        </w:rPr>
        <w:lastRenderedPageBreak/>
        <w:t xml:space="preserve">Největší </w:t>
      </w:r>
      <w:r w:rsidRPr="004E4802">
        <w:rPr>
          <w:rFonts w:ascii="Arial" w:hAnsi="Arial" w:cs="Arial"/>
          <w:b/>
          <w:sz w:val="18"/>
          <w:szCs w:val="18"/>
        </w:rPr>
        <w:t>zápornou bilanci</w:t>
      </w:r>
      <w:r w:rsidRPr="004E4802">
        <w:rPr>
          <w:rFonts w:ascii="Arial" w:hAnsi="Arial" w:cs="Arial"/>
          <w:sz w:val="18"/>
          <w:szCs w:val="18"/>
        </w:rPr>
        <w:t xml:space="preserve"> opětovně vykázal obchod s minerálními palivy, mazivy a příbuznými materiály (pasivum se meziročně prohloubilo </w:t>
      </w:r>
      <w:r w:rsidRPr="00376483">
        <w:rPr>
          <w:rFonts w:ascii="Arial" w:hAnsi="Arial" w:cs="Arial"/>
          <w:sz w:val="18"/>
          <w:szCs w:val="18"/>
        </w:rPr>
        <w:t xml:space="preserve">o </w:t>
      </w:r>
      <w:r w:rsidR="00376483" w:rsidRPr="00376483">
        <w:rPr>
          <w:rFonts w:ascii="Arial" w:hAnsi="Arial" w:cs="Arial"/>
          <w:sz w:val="18"/>
          <w:szCs w:val="18"/>
        </w:rPr>
        <w:t>6,5</w:t>
      </w:r>
      <w:r w:rsidRPr="00376483">
        <w:rPr>
          <w:rFonts w:ascii="Arial" w:hAnsi="Arial" w:cs="Arial"/>
          <w:sz w:val="18"/>
          <w:szCs w:val="18"/>
        </w:rPr>
        <w:t xml:space="preserve"> mld. Kč),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Pr="00376483">
        <w:rPr>
          <w:rFonts w:ascii="Arial" w:hAnsi="Arial" w:cs="Arial"/>
          <w:sz w:val="18"/>
          <w:szCs w:val="18"/>
        </w:rPr>
        <w:t>dále pak obchod s chemikáliemi a příbuznými výrobky (meziroční zhoršení salda dosáhlo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</w:t>
      </w:r>
      <w:r w:rsidR="00376483" w:rsidRPr="00376483">
        <w:rPr>
          <w:rFonts w:ascii="Arial" w:hAnsi="Arial" w:cs="Arial"/>
          <w:sz w:val="18"/>
          <w:szCs w:val="18"/>
        </w:rPr>
        <w:t>2,3</w:t>
      </w:r>
      <w:r w:rsidRPr="00376483">
        <w:rPr>
          <w:rFonts w:ascii="Arial" w:hAnsi="Arial" w:cs="Arial"/>
          <w:sz w:val="18"/>
          <w:szCs w:val="18"/>
        </w:rPr>
        <w:t xml:space="preserve"> mld. Kč) a potravinami a živými zvířaty (meziroční </w:t>
      </w:r>
      <w:r w:rsidR="00376483" w:rsidRPr="00376483">
        <w:rPr>
          <w:rFonts w:ascii="Arial" w:hAnsi="Arial" w:cs="Arial"/>
          <w:sz w:val="18"/>
          <w:szCs w:val="18"/>
        </w:rPr>
        <w:t>prohloubení</w:t>
      </w:r>
      <w:r w:rsidRPr="00376483">
        <w:rPr>
          <w:rFonts w:ascii="Arial" w:hAnsi="Arial" w:cs="Arial"/>
          <w:sz w:val="18"/>
          <w:szCs w:val="18"/>
        </w:rPr>
        <w:t xml:space="preserve"> pasiva o </w:t>
      </w:r>
      <w:r w:rsidR="00376483" w:rsidRPr="00376483">
        <w:rPr>
          <w:rFonts w:ascii="Arial" w:hAnsi="Arial" w:cs="Arial"/>
          <w:sz w:val="18"/>
          <w:szCs w:val="18"/>
        </w:rPr>
        <w:t>0,1</w:t>
      </w:r>
      <w:r w:rsidRPr="00376483">
        <w:rPr>
          <w:rFonts w:ascii="Arial" w:hAnsi="Arial" w:cs="Arial"/>
          <w:sz w:val="18"/>
          <w:szCs w:val="18"/>
        </w:rPr>
        <w:t xml:space="preserve"> mld. Kč). </w:t>
      </w:r>
    </w:p>
    <w:p w:rsidR="00781486" w:rsidRDefault="00781486" w:rsidP="00781486">
      <w:pPr>
        <w:numPr>
          <w:ilvl w:val="1"/>
          <w:numId w:val="1"/>
        </w:numPr>
        <w:spacing w:after="120"/>
        <w:ind w:left="426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Zahraniční obchod se silničními vozidly</w:t>
      </w:r>
    </w:p>
    <w:p w:rsidR="000736BD" w:rsidRPr="00753626" w:rsidRDefault="000736BD" w:rsidP="000736BD">
      <w:pPr>
        <w:pStyle w:val="Zkladntext"/>
        <w:spacing w:after="120"/>
        <w:rPr>
          <w:spacing w:val="-4"/>
          <w:sz w:val="18"/>
          <w:szCs w:val="20"/>
        </w:rPr>
      </w:pPr>
      <w:r>
        <w:rPr>
          <w:b/>
          <w:bCs/>
          <w:color w:val="292929"/>
          <w:sz w:val="18"/>
          <w:szCs w:val="20"/>
        </w:rPr>
        <w:t>Hlavní položkou vývozu a nositelem celkového přebytku zahraničního obchodu</w:t>
      </w:r>
      <w:r>
        <w:rPr>
          <w:color w:val="292929"/>
          <w:sz w:val="18"/>
          <w:szCs w:val="20"/>
        </w:rPr>
        <w:t xml:space="preserve"> </w:t>
      </w:r>
      <w:r w:rsidR="00A7468A">
        <w:rPr>
          <w:color w:val="292929"/>
          <w:sz w:val="18"/>
          <w:szCs w:val="20"/>
        </w:rPr>
        <w:t xml:space="preserve">v roce 2013 </w:t>
      </w:r>
      <w:r>
        <w:rPr>
          <w:color w:val="292929"/>
          <w:sz w:val="18"/>
          <w:szCs w:val="20"/>
        </w:rPr>
        <w:t xml:space="preserve">byla i nadále </w:t>
      </w:r>
      <w:r>
        <w:rPr>
          <w:b/>
          <w:bCs/>
          <w:color w:val="292929"/>
          <w:sz w:val="18"/>
          <w:szCs w:val="20"/>
        </w:rPr>
        <w:t>silniční vozidla</w:t>
      </w:r>
      <w:r>
        <w:rPr>
          <w:color w:val="292929"/>
          <w:sz w:val="18"/>
          <w:szCs w:val="20"/>
        </w:rPr>
        <w:t xml:space="preserve"> (SITC 78) a z nich pak </w:t>
      </w:r>
      <w:r>
        <w:rPr>
          <w:b/>
          <w:bCs/>
          <w:color w:val="292929"/>
          <w:sz w:val="18"/>
          <w:szCs w:val="20"/>
        </w:rPr>
        <w:t xml:space="preserve">osobní automobily </w:t>
      </w:r>
      <w:r>
        <w:rPr>
          <w:color w:val="292929"/>
          <w:sz w:val="18"/>
          <w:szCs w:val="20"/>
        </w:rPr>
        <w:t xml:space="preserve">(SITC 781) a </w:t>
      </w:r>
      <w:r>
        <w:rPr>
          <w:b/>
          <w:bCs/>
          <w:color w:val="292929"/>
          <w:sz w:val="18"/>
          <w:szCs w:val="20"/>
        </w:rPr>
        <w:t xml:space="preserve">díly </w:t>
      </w:r>
      <w:r w:rsidR="00F24399">
        <w:rPr>
          <w:b/>
          <w:bCs/>
          <w:color w:val="292929"/>
          <w:sz w:val="18"/>
          <w:szCs w:val="20"/>
        </w:rPr>
        <w:t xml:space="preserve">a </w:t>
      </w:r>
      <w:r>
        <w:rPr>
          <w:b/>
          <w:bCs/>
          <w:color w:val="292929"/>
          <w:sz w:val="18"/>
          <w:szCs w:val="20"/>
        </w:rPr>
        <w:t>příslušenství motorových vozidel</w:t>
      </w:r>
      <w:r>
        <w:rPr>
          <w:color w:val="292929"/>
          <w:sz w:val="18"/>
          <w:szCs w:val="20"/>
        </w:rPr>
        <w:t xml:space="preserve"> (SITC 784). </w:t>
      </w:r>
      <w:r w:rsidRPr="00192825">
        <w:rPr>
          <w:sz w:val="18"/>
          <w:szCs w:val="20"/>
        </w:rPr>
        <w:t>Přebytek zahraničního obchodu se </w:t>
      </w:r>
      <w:r w:rsidRPr="00CE2F72">
        <w:rPr>
          <w:sz w:val="18"/>
          <w:szCs w:val="20"/>
        </w:rPr>
        <w:t>silničními vozidly byl ze všech oddílu SITC stále největší (</w:t>
      </w:r>
      <w:r w:rsidR="00141670" w:rsidRPr="00CE2F72">
        <w:rPr>
          <w:sz w:val="18"/>
          <w:szCs w:val="20"/>
        </w:rPr>
        <w:t>328</w:t>
      </w:r>
      <w:r w:rsidR="00A1707C" w:rsidRPr="00CE2F72">
        <w:rPr>
          <w:sz w:val="18"/>
          <w:szCs w:val="20"/>
        </w:rPr>
        <w:t>,7</w:t>
      </w:r>
      <w:r w:rsidRPr="00CE2F72">
        <w:rPr>
          <w:sz w:val="18"/>
          <w:szCs w:val="20"/>
        </w:rPr>
        <w:t xml:space="preserve"> mld. Kč) a meziročně </w:t>
      </w:r>
      <w:r w:rsidR="00A7468A">
        <w:rPr>
          <w:sz w:val="18"/>
          <w:szCs w:val="20"/>
        </w:rPr>
        <w:t>o </w:t>
      </w:r>
      <w:r w:rsidRPr="00CE2F72">
        <w:rPr>
          <w:sz w:val="18"/>
          <w:szCs w:val="20"/>
        </w:rPr>
        <w:t>22,</w:t>
      </w:r>
      <w:r w:rsidR="00A1707C" w:rsidRPr="00CE2F72">
        <w:rPr>
          <w:sz w:val="18"/>
          <w:szCs w:val="20"/>
        </w:rPr>
        <w:t>0</w:t>
      </w:r>
      <w:r w:rsidR="00A7468A">
        <w:rPr>
          <w:sz w:val="18"/>
          <w:szCs w:val="20"/>
        </w:rPr>
        <w:t> </w:t>
      </w:r>
      <w:r w:rsidRPr="00CE2F72">
        <w:rPr>
          <w:sz w:val="18"/>
          <w:szCs w:val="20"/>
        </w:rPr>
        <w:t>mld. Kč vyšší. Převážná jeho část (</w:t>
      </w:r>
      <w:r w:rsidR="00CE2F72" w:rsidRPr="00CE2F72">
        <w:rPr>
          <w:sz w:val="18"/>
          <w:szCs w:val="20"/>
        </w:rPr>
        <w:t>269,5</w:t>
      </w:r>
      <w:r w:rsidRPr="00CE2F72">
        <w:rPr>
          <w:sz w:val="18"/>
          <w:szCs w:val="20"/>
        </w:rPr>
        <w:t xml:space="preserve"> mld. Kč), která se meziročně zvýšila o </w:t>
      </w:r>
      <w:r w:rsidR="00CE2F72" w:rsidRPr="00CE2F72">
        <w:rPr>
          <w:sz w:val="18"/>
          <w:szCs w:val="20"/>
        </w:rPr>
        <w:t>14,2</w:t>
      </w:r>
      <w:r w:rsidRPr="00CE2F72">
        <w:rPr>
          <w:sz w:val="18"/>
          <w:szCs w:val="20"/>
        </w:rPr>
        <w:t xml:space="preserve"> mld. Kč, připadla na obchod se státy </w:t>
      </w:r>
      <w:r w:rsidR="00A7468A">
        <w:rPr>
          <w:sz w:val="18"/>
          <w:szCs w:val="20"/>
        </w:rPr>
        <w:t>Evropské unie</w:t>
      </w:r>
      <w:r w:rsidRPr="00CE2F72">
        <w:rPr>
          <w:sz w:val="18"/>
          <w:szCs w:val="20"/>
        </w:rPr>
        <w:t xml:space="preserve"> a z toho </w:t>
      </w:r>
      <w:r w:rsidR="00CE2F72" w:rsidRPr="00CE2F72">
        <w:rPr>
          <w:sz w:val="18"/>
          <w:szCs w:val="20"/>
        </w:rPr>
        <w:t xml:space="preserve">necelá </w:t>
      </w:r>
      <w:r w:rsidRPr="00CE2F72">
        <w:rPr>
          <w:sz w:val="18"/>
          <w:szCs w:val="20"/>
        </w:rPr>
        <w:t>jedna třetina na obchod s Německem.</w:t>
      </w:r>
      <w:r w:rsidRPr="0053768C">
        <w:rPr>
          <w:color w:val="FF0000"/>
          <w:sz w:val="18"/>
          <w:szCs w:val="20"/>
        </w:rPr>
        <w:t xml:space="preserve"> </w:t>
      </w:r>
      <w:r w:rsidRPr="00192825">
        <w:rPr>
          <w:sz w:val="18"/>
          <w:szCs w:val="20"/>
        </w:rPr>
        <w:t>U osobních automobilů kladné saldo meziročně vzrostlo</w:t>
      </w:r>
      <w:r w:rsidRPr="0053768C">
        <w:rPr>
          <w:color w:val="FF0000"/>
          <w:sz w:val="18"/>
          <w:szCs w:val="20"/>
        </w:rPr>
        <w:t xml:space="preserve"> </w:t>
      </w:r>
      <w:r w:rsidRPr="00CE2F72">
        <w:rPr>
          <w:sz w:val="18"/>
          <w:szCs w:val="20"/>
        </w:rPr>
        <w:t xml:space="preserve">o </w:t>
      </w:r>
      <w:r w:rsidR="00CE2F72" w:rsidRPr="00CE2F72">
        <w:rPr>
          <w:sz w:val="18"/>
          <w:szCs w:val="20"/>
        </w:rPr>
        <w:t>2,2</w:t>
      </w:r>
      <w:r w:rsidRPr="00CE2F72">
        <w:rPr>
          <w:sz w:val="18"/>
          <w:szCs w:val="20"/>
        </w:rPr>
        <w:t xml:space="preserve"> mld. Kč a dosáhlo</w:t>
      </w:r>
      <w:r w:rsidRPr="0053768C">
        <w:rPr>
          <w:color w:val="FF0000"/>
          <w:sz w:val="18"/>
          <w:szCs w:val="20"/>
        </w:rPr>
        <w:t xml:space="preserve"> </w:t>
      </w:r>
      <w:r w:rsidR="00CE2F72" w:rsidRPr="00CE2F72">
        <w:rPr>
          <w:sz w:val="18"/>
          <w:szCs w:val="20"/>
        </w:rPr>
        <w:t>250,7</w:t>
      </w:r>
      <w:r w:rsidRPr="00CE2F72">
        <w:rPr>
          <w:sz w:val="18"/>
          <w:szCs w:val="20"/>
        </w:rPr>
        <w:t xml:space="preserve"> mld. Kč, z toho se </w:t>
      </w:r>
      <w:r w:rsidRPr="00A7468A">
        <w:rPr>
          <w:sz w:val="18"/>
          <w:szCs w:val="20"/>
        </w:rPr>
        <w:t>státy EU činilo</w:t>
      </w:r>
      <w:r w:rsidRPr="0053768C">
        <w:rPr>
          <w:color w:val="FF0000"/>
          <w:sz w:val="18"/>
          <w:szCs w:val="20"/>
        </w:rPr>
        <w:t xml:space="preserve"> </w:t>
      </w:r>
      <w:r w:rsidR="00F24399" w:rsidRPr="00F24399">
        <w:rPr>
          <w:sz w:val="18"/>
          <w:szCs w:val="20"/>
        </w:rPr>
        <w:t>191,1</w:t>
      </w:r>
      <w:r w:rsidRPr="00F24399">
        <w:rPr>
          <w:sz w:val="18"/>
          <w:szCs w:val="20"/>
        </w:rPr>
        <w:t xml:space="preserve"> mld. Kč,</w:t>
      </w:r>
      <w:r w:rsidRPr="0053768C">
        <w:rPr>
          <w:color w:val="FF0000"/>
          <w:sz w:val="18"/>
          <w:szCs w:val="20"/>
        </w:rPr>
        <w:t xml:space="preserve"> </w:t>
      </w:r>
      <w:r w:rsidRPr="00F24399">
        <w:rPr>
          <w:sz w:val="18"/>
          <w:szCs w:val="20"/>
        </w:rPr>
        <w:t>z</w:t>
      </w:r>
      <w:r w:rsidR="00A7468A" w:rsidRPr="00F24399">
        <w:rPr>
          <w:sz w:val="18"/>
          <w:szCs w:val="20"/>
        </w:rPr>
        <w:t xml:space="preserve"> nichž </w:t>
      </w:r>
      <w:r w:rsidR="00F24399" w:rsidRPr="00F24399">
        <w:rPr>
          <w:sz w:val="18"/>
          <w:szCs w:val="20"/>
        </w:rPr>
        <w:t>51,1</w:t>
      </w:r>
      <w:r w:rsidR="00A7468A" w:rsidRPr="00F24399">
        <w:rPr>
          <w:sz w:val="18"/>
          <w:szCs w:val="20"/>
        </w:rPr>
        <w:t xml:space="preserve"> mld. Kč</w:t>
      </w:r>
      <w:r w:rsidR="00A7468A">
        <w:rPr>
          <w:color w:val="FF0000"/>
          <w:sz w:val="18"/>
          <w:szCs w:val="20"/>
        </w:rPr>
        <w:t xml:space="preserve"> </w:t>
      </w:r>
      <w:r w:rsidR="00A7468A" w:rsidRPr="00A7468A">
        <w:rPr>
          <w:sz w:val="18"/>
          <w:szCs w:val="20"/>
        </w:rPr>
        <w:t>připadlo na </w:t>
      </w:r>
      <w:r w:rsidRPr="00F24399">
        <w:rPr>
          <w:sz w:val="18"/>
          <w:szCs w:val="20"/>
        </w:rPr>
        <w:t xml:space="preserve">Německo (meziroční </w:t>
      </w:r>
      <w:r w:rsidR="00F24399" w:rsidRPr="00F24399">
        <w:rPr>
          <w:sz w:val="18"/>
          <w:szCs w:val="20"/>
        </w:rPr>
        <w:t>pokles</w:t>
      </w:r>
      <w:r w:rsidRPr="00F24399">
        <w:rPr>
          <w:sz w:val="18"/>
          <w:szCs w:val="20"/>
        </w:rPr>
        <w:t xml:space="preserve"> o </w:t>
      </w:r>
      <w:r w:rsidR="00F24399" w:rsidRPr="00F24399">
        <w:rPr>
          <w:sz w:val="18"/>
          <w:szCs w:val="20"/>
        </w:rPr>
        <w:t>0,9</w:t>
      </w:r>
      <w:r w:rsidRPr="00F24399">
        <w:rPr>
          <w:sz w:val="18"/>
          <w:szCs w:val="20"/>
        </w:rPr>
        <w:t xml:space="preserve"> mld. Kč).</w:t>
      </w:r>
      <w:r w:rsidRPr="0053768C">
        <w:rPr>
          <w:color w:val="FF0000"/>
          <w:sz w:val="18"/>
          <w:szCs w:val="20"/>
        </w:rPr>
        <w:t xml:space="preserve"> </w:t>
      </w:r>
      <w:r w:rsidRPr="00AB6705">
        <w:rPr>
          <w:sz w:val="18"/>
          <w:szCs w:val="20"/>
        </w:rPr>
        <w:t>Kladná bilance obchodu s díly a příslušenstvím motorových vozidel meziročně</w:t>
      </w:r>
      <w:r w:rsidRPr="0053768C">
        <w:rPr>
          <w:color w:val="FF0000"/>
          <w:sz w:val="18"/>
          <w:szCs w:val="20"/>
        </w:rPr>
        <w:t xml:space="preserve"> </w:t>
      </w:r>
      <w:r w:rsidRPr="00CE2F72">
        <w:rPr>
          <w:sz w:val="18"/>
          <w:szCs w:val="20"/>
        </w:rPr>
        <w:t xml:space="preserve">vzrostla o </w:t>
      </w:r>
      <w:r w:rsidR="00CE2F72" w:rsidRPr="00CE2F72">
        <w:rPr>
          <w:sz w:val="18"/>
          <w:szCs w:val="20"/>
        </w:rPr>
        <w:t>21,8</w:t>
      </w:r>
      <w:r w:rsidRPr="00CE2F72">
        <w:rPr>
          <w:sz w:val="18"/>
          <w:szCs w:val="20"/>
        </w:rPr>
        <w:t xml:space="preserve"> mld</w:t>
      </w:r>
      <w:r w:rsidRPr="00AB6705">
        <w:rPr>
          <w:sz w:val="18"/>
          <w:szCs w:val="20"/>
        </w:rPr>
        <w:t xml:space="preserve">. Kč </w:t>
      </w:r>
      <w:r w:rsidRPr="00CE2F72">
        <w:rPr>
          <w:sz w:val="18"/>
          <w:szCs w:val="20"/>
        </w:rPr>
        <w:t>na </w:t>
      </w:r>
      <w:r w:rsidRPr="00CE2F72">
        <w:rPr>
          <w:spacing w:val="-4"/>
          <w:sz w:val="18"/>
          <w:szCs w:val="20"/>
        </w:rPr>
        <w:t>83,</w:t>
      </w:r>
      <w:r w:rsidR="00CE2F72" w:rsidRPr="00CE2F72">
        <w:rPr>
          <w:spacing w:val="-4"/>
          <w:sz w:val="18"/>
          <w:szCs w:val="20"/>
        </w:rPr>
        <w:t>2</w:t>
      </w:r>
      <w:r w:rsidRPr="00CE2F72">
        <w:rPr>
          <w:spacing w:val="-4"/>
          <w:sz w:val="18"/>
          <w:szCs w:val="20"/>
        </w:rPr>
        <w:t xml:space="preserve"> mld</w:t>
      </w:r>
      <w:r w:rsidRPr="00AB6705">
        <w:rPr>
          <w:spacing w:val="-4"/>
          <w:sz w:val="18"/>
          <w:szCs w:val="20"/>
        </w:rPr>
        <w:t>. Kč a z toho se státy EU se meziročně</w:t>
      </w:r>
      <w:r w:rsidR="00A7468A">
        <w:rPr>
          <w:color w:val="FF0000"/>
          <w:spacing w:val="-4"/>
          <w:sz w:val="18"/>
          <w:szCs w:val="20"/>
        </w:rPr>
        <w:t xml:space="preserve"> </w:t>
      </w:r>
      <w:r w:rsidR="00753626" w:rsidRPr="00753626">
        <w:rPr>
          <w:spacing w:val="-4"/>
          <w:sz w:val="18"/>
          <w:szCs w:val="20"/>
        </w:rPr>
        <w:t>zvýšila</w:t>
      </w:r>
      <w:r w:rsidR="00A7468A" w:rsidRPr="00753626">
        <w:rPr>
          <w:spacing w:val="-4"/>
          <w:sz w:val="18"/>
          <w:szCs w:val="20"/>
        </w:rPr>
        <w:t xml:space="preserve"> o </w:t>
      </w:r>
      <w:r w:rsidR="00753626" w:rsidRPr="00753626">
        <w:rPr>
          <w:spacing w:val="-4"/>
          <w:sz w:val="18"/>
          <w:szCs w:val="20"/>
        </w:rPr>
        <w:t>18,4</w:t>
      </w:r>
      <w:r w:rsidR="00A7468A" w:rsidRPr="00753626">
        <w:rPr>
          <w:spacing w:val="-4"/>
          <w:sz w:val="18"/>
          <w:szCs w:val="20"/>
        </w:rPr>
        <w:t xml:space="preserve"> mld. Kč na </w:t>
      </w:r>
      <w:r w:rsidR="00753626" w:rsidRPr="00753626">
        <w:rPr>
          <w:spacing w:val="-4"/>
          <w:sz w:val="18"/>
          <w:szCs w:val="20"/>
        </w:rPr>
        <w:t>82</w:t>
      </w:r>
      <w:r w:rsidR="00A7468A" w:rsidRPr="00753626">
        <w:rPr>
          <w:spacing w:val="-4"/>
          <w:sz w:val="18"/>
          <w:szCs w:val="20"/>
        </w:rPr>
        <w:t>,1 </w:t>
      </w:r>
      <w:r w:rsidRPr="00753626">
        <w:rPr>
          <w:spacing w:val="-4"/>
          <w:sz w:val="18"/>
          <w:szCs w:val="20"/>
        </w:rPr>
        <w:t>mld. Kč.</w:t>
      </w:r>
    </w:p>
    <w:p w:rsidR="000736BD" w:rsidRPr="00A7468A" w:rsidRDefault="000736BD" w:rsidP="000736BD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2D30B5">
        <w:rPr>
          <w:rFonts w:ascii="Arial" w:hAnsi="Arial" w:cs="Arial"/>
          <w:b/>
          <w:i/>
          <w:sz w:val="18"/>
          <w:szCs w:val="18"/>
        </w:rPr>
        <w:t xml:space="preserve">Graf </w:t>
      </w:r>
      <w:r>
        <w:rPr>
          <w:rFonts w:ascii="Arial" w:hAnsi="Arial" w:cs="Arial"/>
          <w:b/>
          <w:i/>
          <w:sz w:val="18"/>
          <w:szCs w:val="18"/>
        </w:rPr>
        <w:t>14</w:t>
      </w:r>
      <w:r w:rsidRPr="002D30B5">
        <w:rPr>
          <w:rFonts w:ascii="Arial" w:hAnsi="Arial" w:cs="Arial"/>
          <w:b/>
          <w:i/>
          <w:sz w:val="18"/>
          <w:szCs w:val="18"/>
        </w:rPr>
        <w:t xml:space="preserve"> </w:t>
      </w:r>
      <w:r w:rsidRPr="00A7468A">
        <w:rPr>
          <w:rFonts w:ascii="Arial" w:hAnsi="Arial" w:cs="Arial"/>
          <w:b/>
          <w:i/>
          <w:sz w:val="18"/>
          <w:szCs w:val="18"/>
        </w:rPr>
        <w:t xml:space="preserve">- Obchodní bilance osobních automobilů a dílů a příslušenství motorových vozidel </w:t>
      </w:r>
    </w:p>
    <w:p w:rsidR="000736BD" w:rsidRDefault="000736BD" w:rsidP="000736BD">
      <w:pPr>
        <w:spacing w:after="12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A7468A">
        <w:rPr>
          <w:rFonts w:ascii="Arial" w:hAnsi="Arial" w:cs="Arial"/>
          <w:b/>
          <w:i/>
          <w:sz w:val="18"/>
          <w:szCs w:val="18"/>
        </w:rPr>
        <w:t xml:space="preserve">          v porovnání s celkovou bilancí zahraničního obchodu ČR v jednotlivých čtvrtletích</w:t>
      </w:r>
      <w:r>
        <w:rPr>
          <w:rFonts w:ascii="Arial" w:hAnsi="Arial" w:cs="Arial"/>
          <w:b/>
          <w:i/>
          <w:sz w:val="18"/>
          <w:szCs w:val="18"/>
        </w:rPr>
        <w:t xml:space="preserve"> roku 2012 a 2013</w:t>
      </w:r>
    </w:p>
    <w:p w:rsidR="000736BD" w:rsidRDefault="00837A19" w:rsidP="000736BD">
      <w:pPr>
        <w:spacing w:after="120"/>
        <w:rPr>
          <w:rFonts w:ascii="Arial" w:hAnsi="Arial" w:cs="Arial"/>
          <w:b/>
          <w:sz w:val="19"/>
          <w:szCs w:val="19"/>
        </w:rPr>
      </w:pPr>
      <w:r w:rsidRPr="00F8628E">
        <w:rPr>
          <w:b/>
          <w:i/>
          <w:sz w:val="18"/>
          <w:szCs w:val="18"/>
        </w:rPr>
        <w:pict>
          <v:shape id="_x0000_i1043" type="#_x0000_t75" style="width:486.35pt;height:161pt">
            <v:imagedata r:id="rId26" o:title=""/>
          </v:shape>
        </w:pict>
      </w:r>
    </w:p>
    <w:p w:rsidR="000736BD" w:rsidRPr="0053768C" w:rsidRDefault="000736BD" w:rsidP="000736BD">
      <w:pPr>
        <w:pStyle w:val="Zkladntext"/>
        <w:spacing w:after="120"/>
        <w:rPr>
          <w:color w:val="FF0000"/>
          <w:spacing w:val="-4"/>
          <w:sz w:val="18"/>
          <w:szCs w:val="20"/>
        </w:rPr>
      </w:pPr>
      <w:r>
        <w:rPr>
          <w:color w:val="292929"/>
          <w:sz w:val="18"/>
          <w:szCs w:val="20"/>
        </w:rPr>
        <w:t xml:space="preserve">Na celkovém vývozu se silniční vozidla </w:t>
      </w:r>
      <w:r w:rsidRPr="001D185A">
        <w:rPr>
          <w:sz w:val="18"/>
          <w:szCs w:val="20"/>
        </w:rPr>
        <w:t>podílela 17,</w:t>
      </w:r>
      <w:r w:rsidR="001D185A" w:rsidRPr="001D185A">
        <w:rPr>
          <w:sz w:val="18"/>
          <w:szCs w:val="20"/>
        </w:rPr>
        <w:t>7</w:t>
      </w:r>
      <w:r w:rsidRPr="001D185A">
        <w:rPr>
          <w:sz w:val="18"/>
          <w:szCs w:val="20"/>
        </w:rPr>
        <w:t xml:space="preserve"> %</w:t>
      </w:r>
      <w:r w:rsidRPr="0053768C">
        <w:rPr>
          <w:color w:val="FF0000"/>
          <w:sz w:val="18"/>
          <w:szCs w:val="20"/>
        </w:rPr>
        <w:t xml:space="preserve"> </w:t>
      </w:r>
      <w:r w:rsidRPr="001D185A">
        <w:rPr>
          <w:sz w:val="18"/>
          <w:szCs w:val="20"/>
        </w:rPr>
        <w:t>(</w:t>
      </w:r>
      <w:r w:rsidR="001D185A" w:rsidRPr="001D185A">
        <w:rPr>
          <w:sz w:val="18"/>
          <w:szCs w:val="20"/>
        </w:rPr>
        <w:t>17,2</w:t>
      </w:r>
      <w:r w:rsidRPr="001D185A">
        <w:rPr>
          <w:sz w:val="18"/>
          <w:szCs w:val="20"/>
        </w:rPr>
        <w:t xml:space="preserve"> %</w:t>
      </w:r>
      <w:r w:rsidRPr="0053768C">
        <w:rPr>
          <w:color w:val="FF0000"/>
          <w:sz w:val="18"/>
          <w:szCs w:val="20"/>
        </w:rPr>
        <w:t xml:space="preserve"> </w:t>
      </w:r>
      <w:r w:rsidRPr="002D30B5">
        <w:rPr>
          <w:sz w:val="18"/>
          <w:szCs w:val="20"/>
        </w:rPr>
        <w:t>v roce 20</w:t>
      </w:r>
      <w:r>
        <w:rPr>
          <w:sz w:val="18"/>
          <w:szCs w:val="20"/>
        </w:rPr>
        <w:t>12</w:t>
      </w:r>
      <w:r w:rsidRPr="002D30B5">
        <w:rPr>
          <w:sz w:val="18"/>
          <w:szCs w:val="20"/>
        </w:rPr>
        <w:t>), z toho osobní automobily</w:t>
      </w:r>
      <w:r w:rsidRPr="0053768C">
        <w:rPr>
          <w:color w:val="FF0000"/>
          <w:sz w:val="18"/>
          <w:szCs w:val="20"/>
        </w:rPr>
        <w:t xml:space="preserve"> </w:t>
      </w:r>
      <w:r w:rsidRPr="00213876">
        <w:rPr>
          <w:sz w:val="18"/>
          <w:szCs w:val="20"/>
        </w:rPr>
        <w:t>9,4 % (</w:t>
      </w:r>
      <w:r w:rsidR="00213876" w:rsidRPr="00213876">
        <w:rPr>
          <w:sz w:val="18"/>
          <w:szCs w:val="20"/>
        </w:rPr>
        <w:t>9,7</w:t>
      </w:r>
      <w:r w:rsidRPr="00213876">
        <w:rPr>
          <w:sz w:val="18"/>
          <w:szCs w:val="20"/>
        </w:rPr>
        <w:t xml:space="preserve"> %</w:t>
      </w:r>
      <w:r w:rsidRPr="0053768C">
        <w:rPr>
          <w:color w:val="FF0000"/>
          <w:sz w:val="18"/>
          <w:szCs w:val="20"/>
        </w:rPr>
        <w:t xml:space="preserve"> </w:t>
      </w:r>
      <w:r w:rsidRPr="002D30B5">
        <w:rPr>
          <w:sz w:val="18"/>
          <w:szCs w:val="20"/>
        </w:rPr>
        <w:t>v roce 20</w:t>
      </w:r>
      <w:r>
        <w:rPr>
          <w:sz w:val="18"/>
          <w:szCs w:val="20"/>
        </w:rPr>
        <w:t>12</w:t>
      </w:r>
      <w:r w:rsidRPr="002D30B5">
        <w:rPr>
          <w:sz w:val="18"/>
          <w:szCs w:val="20"/>
        </w:rPr>
        <w:t xml:space="preserve">) a díly a příslušenství motorových </w:t>
      </w:r>
      <w:r w:rsidRPr="00213876">
        <w:rPr>
          <w:sz w:val="18"/>
          <w:szCs w:val="20"/>
        </w:rPr>
        <w:t xml:space="preserve">vozidel </w:t>
      </w:r>
      <w:r w:rsidR="00213876" w:rsidRPr="00213876">
        <w:rPr>
          <w:sz w:val="18"/>
          <w:szCs w:val="20"/>
        </w:rPr>
        <w:t>7,3</w:t>
      </w:r>
      <w:r w:rsidRPr="00213876">
        <w:rPr>
          <w:sz w:val="18"/>
          <w:szCs w:val="20"/>
        </w:rPr>
        <w:t xml:space="preserve"> % (</w:t>
      </w:r>
      <w:r w:rsidR="00213876" w:rsidRPr="00213876">
        <w:rPr>
          <w:sz w:val="18"/>
          <w:szCs w:val="20"/>
        </w:rPr>
        <w:t>6,7</w:t>
      </w:r>
      <w:r w:rsidRPr="00213876">
        <w:rPr>
          <w:sz w:val="18"/>
          <w:szCs w:val="20"/>
        </w:rPr>
        <w:t xml:space="preserve"> %</w:t>
      </w:r>
      <w:r w:rsidRPr="002D30B5">
        <w:rPr>
          <w:sz w:val="18"/>
          <w:szCs w:val="20"/>
        </w:rPr>
        <w:t xml:space="preserve"> v roce 20</w:t>
      </w:r>
      <w:r>
        <w:rPr>
          <w:sz w:val="18"/>
          <w:szCs w:val="20"/>
        </w:rPr>
        <w:t>12</w:t>
      </w:r>
      <w:r w:rsidRPr="002D30B5">
        <w:rPr>
          <w:sz w:val="18"/>
          <w:szCs w:val="20"/>
        </w:rPr>
        <w:t xml:space="preserve">). Vývoz osobních automobilů meziročně </w:t>
      </w:r>
      <w:r w:rsidRPr="00781486">
        <w:rPr>
          <w:sz w:val="18"/>
          <w:szCs w:val="20"/>
        </w:rPr>
        <w:t xml:space="preserve">vzrostl </w:t>
      </w:r>
      <w:r w:rsidRPr="00213876">
        <w:rPr>
          <w:sz w:val="18"/>
          <w:szCs w:val="20"/>
        </w:rPr>
        <w:t>o 1,</w:t>
      </w:r>
      <w:r w:rsidR="00213876" w:rsidRPr="00213876">
        <w:rPr>
          <w:sz w:val="18"/>
          <w:szCs w:val="20"/>
        </w:rPr>
        <w:t>2</w:t>
      </w:r>
      <w:r w:rsidRPr="00213876">
        <w:rPr>
          <w:sz w:val="18"/>
          <w:szCs w:val="20"/>
        </w:rPr>
        <w:t xml:space="preserve"> %</w:t>
      </w:r>
      <w:r>
        <w:rPr>
          <w:sz w:val="18"/>
          <w:szCs w:val="20"/>
        </w:rPr>
        <w:t xml:space="preserve"> a</w:t>
      </w:r>
      <w:r w:rsidRPr="00781486">
        <w:rPr>
          <w:sz w:val="18"/>
          <w:szCs w:val="20"/>
        </w:rPr>
        <w:t xml:space="preserve"> vývoz dílů a příslušenství motorových vozidel</w:t>
      </w:r>
      <w:r w:rsidRPr="0053768C">
        <w:rPr>
          <w:color w:val="FF0000"/>
          <w:sz w:val="18"/>
          <w:szCs w:val="20"/>
        </w:rPr>
        <w:t xml:space="preserve"> </w:t>
      </w:r>
      <w:r w:rsidRPr="00AB6705">
        <w:rPr>
          <w:sz w:val="18"/>
          <w:szCs w:val="20"/>
        </w:rPr>
        <w:t>se meziročně výrazně zvýšil o</w:t>
      </w:r>
      <w:r w:rsidRPr="0053768C">
        <w:rPr>
          <w:color w:val="FF0000"/>
          <w:sz w:val="18"/>
          <w:szCs w:val="20"/>
        </w:rPr>
        <w:t xml:space="preserve"> </w:t>
      </w:r>
      <w:r w:rsidRPr="00213876">
        <w:rPr>
          <w:sz w:val="18"/>
          <w:szCs w:val="20"/>
        </w:rPr>
        <w:t>12,</w:t>
      </w:r>
      <w:r w:rsidR="00213876" w:rsidRPr="00213876">
        <w:rPr>
          <w:sz w:val="18"/>
          <w:szCs w:val="20"/>
        </w:rPr>
        <w:t>8</w:t>
      </w:r>
      <w:r w:rsidRPr="00213876">
        <w:rPr>
          <w:sz w:val="18"/>
          <w:szCs w:val="20"/>
        </w:rPr>
        <w:t xml:space="preserve"> %.</w:t>
      </w:r>
    </w:p>
    <w:p w:rsidR="000736BD" w:rsidRDefault="000736BD" w:rsidP="000736BD">
      <w:pPr>
        <w:pStyle w:val="Zkladntext"/>
        <w:spacing w:after="120"/>
        <w:rPr>
          <w:color w:val="FF0000"/>
          <w:sz w:val="18"/>
          <w:szCs w:val="20"/>
        </w:rPr>
      </w:pPr>
      <w:r w:rsidRPr="00902815">
        <w:rPr>
          <w:b/>
          <w:bCs/>
          <w:sz w:val="18"/>
          <w:szCs w:val="20"/>
        </w:rPr>
        <w:t>Vývoj vývozu s osobními automobily a díly a příslušenstvím motorových vozidel</w:t>
      </w:r>
      <w:r w:rsidRPr="00902815">
        <w:rPr>
          <w:sz w:val="18"/>
          <w:szCs w:val="20"/>
        </w:rPr>
        <w:t xml:space="preserve"> byl v jednotlivých čtvrtletích roku 2013 značně rozdílný a kulminoval ve 4. čtvrtletí, kdy meziročně vzrostl vývoz osobních </w:t>
      </w:r>
      <w:r w:rsidRPr="00A605B9">
        <w:rPr>
          <w:sz w:val="18"/>
          <w:szCs w:val="20"/>
        </w:rPr>
        <w:t xml:space="preserve">automobilů o </w:t>
      </w:r>
      <w:r w:rsidR="00A605B9" w:rsidRPr="00A605B9">
        <w:rPr>
          <w:sz w:val="18"/>
          <w:szCs w:val="20"/>
        </w:rPr>
        <w:t>20,5</w:t>
      </w:r>
      <w:r w:rsidR="00193B56">
        <w:rPr>
          <w:sz w:val="18"/>
          <w:szCs w:val="20"/>
        </w:rPr>
        <w:t xml:space="preserve"> % a dílů a </w:t>
      </w:r>
      <w:r w:rsidRPr="00A605B9">
        <w:rPr>
          <w:sz w:val="18"/>
          <w:szCs w:val="20"/>
        </w:rPr>
        <w:t>příslušenství motorových vozidel o</w:t>
      </w:r>
      <w:r w:rsidRPr="0053768C">
        <w:rPr>
          <w:color w:val="FF0000"/>
          <w:sz w:val="18"/>
          <w:szCs w:val="20"/>
        </w:rPr>
        <w:t xml:space="preserve"> </w:t>
      </w:r>
      <w:r w:rsidRPr="00AA5922">
        <w:rPr>
          <w:sz w:val="18"/>
          <w:szCs w:val="20"/>
        </w:rPr>
        <w:t>24,</w:t>
      </w:r>
      <w:r w:rsidR="00AA5922" w:rsidRPr="00AA5922">
        <w:rPr>
          <w:sz w:val="18"/>
          <w:szCs w:val="20"/>
        </w:rPr>
        <w:t>9</w:t>
      </w:r>
      <w:r w:rsidRPr="0053768C">
        <w:rPr>
          <w:color w:val="FF0000"/>
          <w:sz w:val="18"/>
          <w:szCs w:val="20"/>
        </w:rPr>
        <w:t xml:space="preserve"> </w:t>
      </w:r>
      <w:r w:rsidRPr="00902815">
        <w:rPr>
          <w:sz w:val="18"/>
          <w:szCs w:val="20"/>
        </w:rPr>
        <w:t xml:space="preserve">%. V samotném 4. čtvrtletí </w:t>
      </w:r>
      <w:r w:rsidR="003D2DA7">
        <w:rPr>
          <w:sz w:val="18"/>
          <w:szCs w:val="20"/>
        </w:rPr>
        <w:t xml:space="preserve">dosáhl </w:t>
      </w:r>
      <w:r w:rsidRPr="00902815">
        <w:rPr>
          <w:sz w:val="18"/>
          <w:szCs w:val="20"/>
        </w:rPr>
        <w:t xml:space="preserve">vývoz osobních automobilů </w:t>
      </w:r>
      <w:r w:rsidRPr="00AA5922">
        <w:rPr>
          <w:sz w:val="18"/>
          <w:szCs w:val="20"/>
        </w:rPr>
        <w:t>84,</w:t>
      </w:r>
      <w:r w:rsidR="00AA5922" w:rsidRPr="00AA5922">
        <w:rPr>
          <w:sz w:val="18"/>
          <w:szCs w:val="20"/>
        </w:rPr>
        <w:t>1</w:t>
      </w:r>
      <w:r w:rsidRPr="00AA5922">
        <w:rPr>
          <w:sz w:val="18"/>
          <w:szCs w:val="20"/>
        </w:rPr>
        <w:t xml:space="preserve"> mld</w:t>
      </w:r>
      <w:r w:rsidR="00193B56">
        <w:rPr>
          <w:sz w:val="18"/>
          <w:szCs w:val="20"/>
        </w:rPr>
        <w:t>. Kč a </w:t>
      </w:r>
      <w:r>
        <w:rPr>
          <w:sz w:val="18"/>
          <w:szCs w:val="20"/>
        </w:rPr>
        <w:t>vývoz dílů</w:t>
      </w:r>
      <w:r w:rsidRPr="00902815">
        <w:rPr>
          <w:sz w:val="18"/>
          <w:szCs w:val="20"/>
        </w:rPr>
        <w:t xml:space="preserve"> a příslušenství motorových vozidel </w:t>
      </w:r>
      <w:r w:rsidR="00AA5922" w:rsidRPr="00AA5922">
        <w:rPr>
          <w:sz w:val="18"/>
          <w:szCs w:val="20"/>
        </w:rPr>
        <w:t>60,3</w:t>
      </w:r>
      <w:r w:rsidRPr="0053768C">
        <w:rPr>
          <w:color w:val="FF0000"/>
          <w:sz w:val="18"/>
          <w:szCs w:val="20"/>
        </w:rPr>
        <w:t> </w:t>
      </w:r>
      <w:r w:rsidRPr="00902815">
        <w:rPr>
          <w:sz w:val="18"/>
          <w:szCs w:val="20"/>
        </w:rPr>
        <w:t>mld. Kč.</w:t>
      </w:r>
    </w:p>
    <w:p w:rsidR="006625FA" w:rsidRDefault="000736BD" w:rsidP="008F4834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6C2CE0">
        <w:rPr>
          <w:rFonts w:ascii="Arial" w:hAnsi="Arial" w:cs="Arial"/>
          <w:b/>
          <w:i/>
          <w:sz w:val="18"/>
          <w:szCs w:val="18"/>
        </w:rPr>
        <w:t xml:space="preserve">Graf </w:t>
      </w:r>
      <w:r>
        <w:rPr>
          <w:rFonts w:ascii="Arial" w:hAnsi="Arial" w:cs="Arial"/>
          <w:b/>
          <w:i/>
          <w:sz w:val="18"/>
          <w:szCs w:val="18"/>
        </w:rPr>
        <w:t>15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-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Zahraniční obchod</w:t>
      </w:r>
      <w:r w:rsidRPr="006C2CE0">
        <w:rPr>
          <w:rFonts w:ascii="Arial" w:hAnsi="Arial" w:cs="Arial"/>
          <w:b/>
          <w:i/>
          <w:sz w:val="18"/>
          <w:szCs w:val="18"/>
        </w:rPr>
        <w:t xml:space="preserve"> </w:t>
      </w:r>
      <w:r w:rsidR="006625FA">
        <w:rPr>
          <w:rFonts w:ascii="Arial" w:hAnsi="Arial" w:cs="Arial"/>
          <w:b/>
          <w:i/>
          <w:sz w:val="18"/>
          <w:szCs w:val="18"/>
        </w:rPr>
        <w:t>s osobními automobily a díly a příslušenstvím motorových vozidel</w:t>
      </w:r>
    </w:p>
    <w:p w:rsidR="000736BD" w:rsidRDefault="006625FA" w:rsidP="006625FA">
      <w:pPr>
        <w:spacing w:after="4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</w:t>
      </w:r>
      <w:r w:rsidR="000736BD" w:rsidRPr="00515C38">
        <w:rPr>
          <w:rFonts w:ascii="Arial" w:hAnsi="Arial" w:cs="Arial"/>
          <w:b/>
          <w:i/>
          <w:sz w:val="18"/>
          <w:szCs w:val="18"/>
        </w:rPr>
        <w:t>v jednotlivých čtvrtletích</w:t>
      </w:r>
      <w:r w:rsidR="000736BD">
        <w:rPr>
          <w:rFonts w:ascii="Arial" w:hAnsi="Arial" w:cs="Arial"/>
          <w:b/>
          <w:i/>
          <w:sz w:val="18"/>
          <w:szCs w:val="18"/>
        </w:rPr>
        <w:t xml:space="preserve"> roku 2012 a 2013 v mld. Kč</w:t>
      </w:r>
    </w:p>
    <w:p w:rsidR="000736BD" w:rsidRPr="00ED291A" w:rsidRDefault="000736BD" w:rsidP="000736BD">
      <w:pPr>
        <w:spacing w:after="80"/>
        <w:ind w:left="141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</w:t>
      </w:r>
      <w:r w:rsidRPr="00ED291A">
        <w:rPr>
          <w:rFonts w:ascii="Arial" w:hAnsi="Arial" w:cs="Arial"/>
          <w:i/>
          <w:sz w:val="18"/>
          <w:szCs w:val="18"/>
        </w:rPr>
        <w:t>vývoz</w:t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</w:r>
      <w:r w:rsidRPr="00ED291A">
        <w:rPr>
          <w:rFonts w:ascii="Arial" w:hAnsi="Arial" w:cs="Arial"/>
          <w:i/>
          <w:sz w:val="18"/>
          <w:szCs w:val="18"/>
        </w:rPr>
        <w:tab/>
        <w:t>dovoz</w:t>
      </w:r>
    </w:p>
    <w:p w:rsidR="000736BD" w:rsidRDefault="00837A19" w:rsidP="000736BD">
      <w:pPr>
        <w:spacing w:after="120"/>
        <w:rPr>
          <w:rFonts w:ascii="Arial" w:hAnsi="Arial" w:cs="Arial"/>
          <w:b/>
          <w:sz w:val="19"/>
          <w:szCs w:val="19"/>
        </w:rPr>
      </w:pP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44" type="#_x0000_t75" style="width:247.9pt;height:170.5pt">
            <v:imagedata r:id="rId27" o:title=""/>
          </v:shape>
        </w:pict>
      </w: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45" type="#_x0000_t75" style="width:229.6pt;height:170.5pt">
            <v:imagedata r:id="rId28" o:title=""/>
          </v:shape>
        </w:pict>
      </w:r>
      <w:r w:rsidR="000736BD">
        <w:rPr>
          <w:rFonts w:ascii="Arial" w:hAnsi="Arial" w:cs="Arial"/>
          <w:color w:val="FF0000"/>
          <w:sz w:val="18"/>
          <w:szCs w:val="18"/>
        </w:rPr>
        <w:t xml:space="preserve">  </w:t>
      </w:r>
    </w:p>
    <w:p w:rsidR="000736BD" w:rsidRDefault="000736BD" w:rsidP="000736BD">
      <w:pPr>
        <w:spacing w:after="0" w:line="240" w:lineRule="auto"/>
        <w:jc w:val="both"/>
        <w:rPr>
          <w:rFonts w:ascii="Arial" w:eastAsia="Times New Roman" w:hAnsi="Arial" w:cs="Arial"/>
          <w:color w:val="292929"/>
          <w:sz w:val="18"/>
          <w:szCs w:val="20"/>
          <w:lang w:eastAsia="cs-CZ"/>
        </w:rPr>
      </w:pPr>
      <w:r w:rsidRPr="00DD36D9">
        <w:rPr>
          <w:rFonts w:ascii="Arial" w:eastAsia="Times New Roman" w:hAnsi="Arial" w:cs="Arial"/>
          <w:color w:val="292929"/>
          <w:sz w:val="18"/>
          <w:szCs w:val="20"/>
          <w:lang w:eastAsia="cs-CZ"/>
        </w:rPr>
        <w:t>Si</w:t>
      </w:r>
      <w:r>
        <w:rPr>
          <w:rFonts w:ascii="Arial" w:eastAsia="Times New Roman" w:hAnsi="Arial" w:cs="Arial"/>
          <w:color w:val="292929"/>
          <w:sz w:val="18"/>
          <w:szCs w:val="20"/>
          <w:lang w:eastAsia="cs-CZ"/>
        </w:rPr>
        <w:t xml:space="preserve">lniční vozidla měla na vývoj celkového </w:t>
      </w:r>
      <w:r w:rsidRPr="00DD36D9">
        <w:rPr>
          <w:rFonts w:ascii="Arial" w:eastAsia="Times New Roman" w:hAnsi="Arial" w:cs="Arial"/>
          <w:b/>
          <w:color w:val="292929"/>
          <w:sz w:val="18"/>
          <w:szCs w:val="20"/>
          <w:lang w:eastAsia="cs-CZ"/>
        </w:rPr>
        <w:t>dovozu</w:t>
      </w:r>
      <w:r>
        <w:rPr>
          <w:rFonts w:ascii="Arial" w:eastAsia="Times New Roman" w:hAnsi="Arial" w:cs="Arial"/>
          <w:color w:val="292929"/>
          <w:sz w:val="18"/>
          <w:szCs w:val="20"/>
          <w:lang w:eastAsia="cs-CZ"/>
        </w:rPr>
        <w:t xml:space="preserve"> i dovozu strojů a dopravních prostředků v roce 2013 podstatně slabší vliv než u vývozu. Dovoz silničních vozidel se meziročně zvýšil </w:t>
      </w:r>
      <w:r w:rsidRPr="001D185A">
        <w:rPr>
          <w:rFonts w:ascii="Arial" w:eastAsia="Times New Roman" w:hAnsi="Arial" w:cs="Arial"/>
          <w:sz w:val="18"/>
          <w:szCs w:val="20"/>
          <w:lang w:eastAsia="cs-CZ"/>
        </w:rPr>
        <w:t xml:space="preserve">o </w:t>
      </w:r>
      <w:r w:rsidR="001D185A" w:rsidRPr="001D185A">
        <w:rPr>
          <w:rFonts w:ascii="Arial" w:eastAsia="Times New Roman" w:hAnsi="Arial" w:cs="Arial"/>
          <w:sz w:val="18"/>
          <w:szCs w:val="20"/>
          <w:lang w:eastAsia="cs-CZ"/>
        </w:rPr>
        <w:t>5,3</w:t>
      </w:r>
      <w:r>
        <w:rPr>
          <w:rFonts w:ascii="Arial" w:eastAsia="Times New Roman" w:hAnsi="Arial" w:cs="Arial"/>
          <w:color w:val="292929"/>
          <w:sz w:val="18"/>
          <w:szCs w:val="20"/>
          <w:lang w:eastAsia="cs-CZ"/>
        </w:rPr>
        <w:t xml:space="preserve"> </w:t>
      </w:r>
      <w:r w:rsidRPr="001D185A">
        <w:rPr>
          <w:rFonts w:ascii="Arial" w:eastAsia="Times New Roman" w:hAnsi="Arial" w:cs="Arial"/>
          <w:sz w:val="18"/>
          <w:szCs w:val="20"/>
          <w:lang w:eastAsia="cs-CZ"/>
        </w:rPr>
        <w:t>% (</w:t>
      </w:r>
      <w:r w:rsidR="001D185A" w:rsidRPr="001D185A">
        <w:rPr>
          <w:rFonts w:ascii="Arial" w:eastAsia="Times New Roman" w:hAnsi="Arial" w:cs="Arial"/>
          <w:sz w:val="18"/>
          <w:szCs w:val="20"/>
          <w:lang w:eastAsia="cs-CZ"/>
        </w:rPr>
        <w:t>11,7</w:t>
      </w:r>
      <w:r w:rsidRPr="001D185A">
        <w:rPr>
          <w:rFonts w:ascii="Arial" w:eastAsia="Times New Roman" w:hAnsi="Arial" w:cs="Arial"/>
          <w:sz w:val="18"/>
          <w:szCs w:val="20"/>
          <w:lang w:eastAsia="cs-CZ"/>
        </w:rPr>
        <w:t xml:space="preserve"> mld</w:t>
      </w:r>
      <w:r>
        <w:rPr>
          <w:rFonts w:ascii="Arial" w:eastAsia="Times New Roman" w:hAnsi="Arial" w:cs="Arial"/>
          <w:color w:val="292929"/>
          <w:sz w:val="18"/>
          <w:szCs w:val="20"/>
          <w:lang w:eastAsia="cs-CZ"/>
        </w:rPr>
        <w:t xml:space="preserve">. Kč). Na meziročním navýšení celkového dovozu se přírůstek dovozu silničních vozidel </w:t>
      </w:r>
      <w:r w:rsidRPr="001D185A">
        <w:rPr>
          <w:rFonts w:ascii="Arial" w:eastAsia="Times New Roman" w:hAnsi="Arial" w:cs="Arial"/>
          <w:sz w:val="18"/>
          <w:szCs w:val="20"/>
          <w:lang w:eastAsia="cs-CZ"/>
        </w:rPr>
        <w:t xml:space="preserve">podílel </w:t>
      </w:r>
      <w:r w:rsidR="001D185A" w:rsidRPr="001D185A">
        <w:rPr>
          <w:rFonts w:ascii="Arial" w:eastAsia="Times New Roman" w:hAnsi="Arial" w:cs="Arial"/>
          <w:sz w:val="18"/>
          <w:szCs w:val="20"/>
          <w:lang w:eastAsia="cs-CZ"/>
        </w:rPr>
        <w:t>8,2</w:t>
      </w:r>
      <w:r w:rsidRPr="001D185A">
        <w:rPr>
          <w:rFonts w:ascii="Arial" w:eastAsia="Times New Roman" w:hAnsi="Arial" w:cs="Arial"/>
          <w:sz w:val="18"/>
          <w:szCs w:val="20"/>
          <w:lang w:eastAsia="cs-CZ"/>
        </w:rPr>
        <w:t xml:space="preserve"> %</w:t>
      </w:r>
      <w:r>
        <w:rPr>
          <w:rFonts w:ascii="Arial" w:eastAsia="Times New Roman" w:hAnsi="Arial" w:cs="Arial"/>
          <w:color w:val="292929"/>
          <w:sz w:val="18"/>
          <w:szCs w:val="20"/>
          <w:lang w:eastAsia="cs-CZ"/>
        </w:rPr>
        <w:t xml:space="preserve"> a na růstu dovozu strojů a dopravních prostředků je</w:t>
      </w:r>
      <w:r w:rsidR="00193B56">
        <w:rPr>
          <w:rFonts w:ascii="Arial" w:eastAsia="Times New Roman" w:hAnsi="Arial" w:cs="Arial"/>
          <w:color w:val="292929"/>
          <w:sz w:val="18"/>
          <w:szCs w:val="20"/>
          <w:lang w:eastAsia="cs-CZ"/>
        </w:rPr>
        <w:t>ho</w:t>
      </w:r>
      <w:r>
        <w:rPr>
          <w:rFonts w:ascii="Arial" w:eastAsia="Times New Roman" w:hAnsi="Arial" w:cs="Arial"/>
          <w:color w:val="292929"/>
          <w:sz w:val="18"/>
          <w:szCs w:val="20"/>
          <w:lang w:eastAsia="cs-CZ"/>
        </w:rPr>
        <w:t xml:space="preserve"> podíl </w:t>
      </w:r>
      <w:r w:rsidRPr="001D185A">
        <w:rPr>
          <w:rFonts w:ascii="Arial" w:eastAsia="Times New Roman" w:hAnsi="Arial" w:cs="Arial"/>
          <w:sz w:val="18"/>
          <w:szCs w:val="20"/>
          <w:lang w:eastAsia="cs-CZ"/>
        </w:rPr>
        <w:t xml:space="preserve">činil </w:t>
      </w:r>
      <w:r w:rsidR="001D185A" w:rsidRPr="001D185A">
        <w:rPr>
          <w:rFonts w:ascii="Arial" w:eastAsia="Times New Roman" w:hAnsi="Arial" w:cs="Arial"/>
          <w:sz w:val="18"/>
          <w:szCs w:val="20"/>
          <w:lang w:eastAsia="cs-CZ"/>
        </w:rPr>
        <w:t>20,1</w:t>
      </w:r>
      <w:r w:rsidRPr="001D185A">
        <w:rPr>
          <w:rFonts w:ascii="Arial" w:eastAsia="Times New Roman" w:hAnsi="Arial" w:cs="Arial"/>
          <w:sz w:val="18"/>
          <w:szCs w:val="20"/>
          <w:lang w:eastAsia="cs-CZ"/>
        </w:rPr>
        <w:t xml:space="preserve"> %.</w:t>
      </w:r>
    </w:p>
    <w:p w:rsidR="000736BD" w:rsidRDefault="000736BD" w:rsidP="00781486">
      <w:pPr>
        <w:numPr>
          <w:ilvl w:val="1"/>
          <w:numId w:val="1"/>
        </w:numPr>
        <w:spacing w:after="120"/>
        <w:ind w:left="426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r>
        <w:rPr>
          <w:rFonts w:ascii="Arial" w:hAnsi="Arial" w:cs="Arial"/>
          <w:b/>
          <w:sz w:val="19"/>
          <w:szCs w:val="19"/>
        </w:rPr>
        <w:lastRenderedPageBreak/>
        <w:t>Vývoz a dovoz výrobků zpracovatelského průmyslu</w:t>
      </w:r>
      <w:r w:rsidR="009B4C45">
        <w:rPr>
          <w:rStyle w:val="Znakapoznpodarou"/>
          <w:rFonts w:ascii="Arial" w:hAnsi="Arial" w:cs="Arial"/>
          <w:b/>
          <w:sz w:val="19"/>
          <w:szCs w:val="19"/>
        </w:rPr>
        <w:footnoteReference w:id="7"/>
      </w:r>
    </w:p>
    <w:p w:rsidR="000736BD" w:rsidRDefault="000736BD" w:rsidP="00B77DBB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B77DBB">
        <w:rPr>
          <w:rFonts w:ascii="Arial" w:hAnsi="Arial" w:cs="Arial"/>
          <w:b/>
          <w:sz w:val="18"/>
          <w:szCs w:val="18"/>
        </w:rPr>
        <w:t>Vývozem a dovozem výrobků zpracovatelského průmyslu</w:t>
      </w:r>
      <w:r>
        <w:rPr>
          <w:rFonts w:ascii="Arial" w:hAnsi="Arial" w:cs="Arial"/>
          <w:sz w:val="18"/>
          <w:szCs w:val="18"/>
        </w:rPr>
        <w:t xml:space="preserve"> byla realizována (stejně jako v předchozích letech) rozhodující část zahraničního obchodu. Výrobky zpracovatelského průmyslu se v roce 2013 podílely na celkovém vývozu </w:t>
      </w:r>
      <w:r w:rsidR="00B77DBB">
        <w:rPr>
          <w:rFonts w:ascii="Arial" w:hAnsi="Arial" w:cs="Arial"/>
          <w:sz w:val="18"/>
          <w:szCs w:val="18"/>
        </w:rPr>
        <w:t>94,5</w:t>
      </w:r>
      <w:r>
        <w:rPr>
          <w:rFonts w:ascii="Arial" w:hAnsi="Arial" w:cs="Arial"/>
          <w:sz w:val="18"/>
          <w:szCs w:val="18"/>
        </w:rPr>
        <w:t xml:space="preserve"> % (</w:t>
      </w:r>
      <w:r w:rsidR="00B77DBB">
        <w:rPr>
          <w:rFonts w:ascii="Arial" w:hAnsi="Arial" w:cs="Arial"/>
          <w:sz w:val="18"/>
          <w:szCs w:val="18"/>
        </w:rPr>
        <w:t>93,6</w:t>
      </w:r>
      <w:r>
        <w:rPr>
          <w:rFonts w:ascii="Arial" w:hAnsi="Arial" w:cs="Arial"/>
          <w:sz w:val="18"/>
          <w:szCs w:val="18"/>
        </w:rPr>
        <w:t xml:space="preserve"> % v roce 2012</w:t>
      </w:r>
      <w:r w:rsidR="009B4C45">
        <w:rPr>
          <w:rFonts w:ascii="Arial" w:hAnsi="Arial" w:cs="Arial"/>
          <w:sz w:val="18"/>
          <w:szCs w:val="18"/>
        </w:rPr>
        <w:t xml:space="preserve">) a na celkovém dovozu </w:t>
      </w:r>
      <w:r w:rsidR="00B77DBB">
        <w:rPr>
          <w:rFonts w:ascii="Arial" w:hAnsi="Arial" w:cs="Arial"/>
          <w:sz w:val="18"/>
          <w:szCs w:val="18"/>
        </w:rPr>
        <w:t>88,1</w:t>
      </w:r>
      <w:r w:rsidR="009B4C45">
        <w:rPr>
          <w:rFonts w:ascii="Arial" w:hAnsi="Arial" w:cs="Arial"/>
          <w:sz w:val="18"/>
          <w:szCs w:val="18"/>
        </w:rPr>
        <w:t xml:space="preserve"> % (</w:t>
      </w:r>
      <w:r w:rsidR="00B77DBB">
        <w:rPr>
          <w:rFonts w:ascii="Arial" w:hAnsi="Arial" w:cs="Arial"/>
          <w:sz w:val="18"/>
          <w:szCs w:val="18"/>
        </w:rPr>
        <w:t>87,2</w:t>
      </w:r>
      <w:r w:rsidR="009B4C45">
        <w:rPr>
          <w:rFonts w:ascii="Arial" w:hAnsi="Arial" w:cs="Arial"/>
          <w:sz w:val="18"/>
          <w:szCs w:val="18"/>
        </w:rPr>
        <w:t xml:space="preserve"> % v roce 2012).</w:t>
      </w:r>
    </w:p>
    <w:p w:rsidR="00B77DBB" w:rsidRDefault="00B77DBB" w:rsidP="00B77DBB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B77DBB">
        <w:rPr>
          <w:rFonts w:ascii="Arial" w:hAnsi="Arial" w:cs="Arial"/>
          <w:b/>
          <w:sz w:val="18"/>
          <w:szCs w:val="18"/>
        </w:rPr>
        <w:t>Vývoz</w:t>
      </w:r>
      <w:r>
        <w:rPr>
          <w:rFonts w:ascii="Arial" w:hAnsi="Arial" w:cs="Arial"/>
          <w:sz w:val="18"/>
          <w:szCs w:val="18"/>
        </w:rPr>
        <w:t xml:space="preserve"> výrobků zpracovatelského průmyslu meziročně vzrostl o 4,4 % (126,1 mld. Kč) a měl proto výrazný </w:t>
      </w:r>
      <w:r w:rsidR="00CE1909">
        <w:rPr>
          <w:rFonts w:ascii="Arial" w:hAnsi="Arial" w:cs="Arial"/>
          <w:sz w:val="18"/>
          <w:szCs w:val="18"/>
        </w:rPr>
        <w:t>podíl (téměř </w:t>
      </w:r>
      <w:r>
        <w:rPr>
          <w:rFonts w:ascii="Arial" w:hAnsi="Arial" w:cs="Arial"/>
          <w:sz w:val="18"/>
          <w:szCs w:val="18"/>
        </w:rPr>
        <w:t>95%) na meziročním zvýšení celkového vývozu. Největší položkou ve vývozu výrobků zpracovatelského průmyslu byla motorová vozidla</w:t>
      </w:r>
      <w:r w:rsidR="00CE1909">
        <w:rPr>
          <w:rFonts w:ascii="Arial" w:hAnsi="Arial" w:cs="Arial"/>
          <w:sz w:val="18"/>
          <w:szCs w:val="18"/>
        </w:rPr>
        <w:t xml:space="preserve"> (kromě motocyklů), přívěsy a návěsy. Nadprůměrný meziroční růst vývozu této položky (o 6,3 %, tj. o 35,3 mld. Kč) vedl k mírnému posílení jejího zastoupení na celkovém vývozu výrob</w:t>
      </w:r>
      <w:r w:rsidR="003B788F">
        <w:rPr>
          <w:rFonts w:ascii="Arial" w:hAnsi="Arial" w:cs="Arial"/>
          <w:sz w:val="18"/>
          <w:szCs w:val="18"/>
        </w:rPr>
        <w:t>ků zpracovatelského průmyslu, a </w:t>
      </w:r>
      <w:r w:rsidR="00CE1909">
        <w:rPr>
          <w:rFonts w:ascii="Arial" w:hAnsi="Arial" w:cs="Arial"/>
          <w:sz w:val="18"/>
          <w:szCs w:val="18"/>
        </w:rPr>
        <w:t xml:space="preserve">to na 19,8 % z 19,5 % v roce 2012. Mezi další významnější položky ve vývozu výrobků zpracovatelského průmyslu patřily počítače, elektronické a optické přístroje a zařízení, které ale zaznamenaly </w:t>
      </w:r>
      <w:r w:rsidR="008F0084">
        <w:rPr>
          <w:rFonts w:ascii="Arial" w:hAnsi="Arial" w:cs="Arial"/>
          <w:sz w:val="18"/>
          <w:szCs w:val="18"/>
        </w:rPr>
        <w:t>větší</w:t>
      </w:r>
      <w:r w:rsidR="003B788F">
        <w:rPr>
          <w:rFonts w:ascii="Arial" w:hAnsi="Arial" w:cs="Arial"/>
          <w:sz w:val="18"/>
          <w:szCs w:val="18"/>
        </w:rPr>
        <w:t xml:space="preserve"> meziroční pokles vývozu (o 6,5 </w:t>
      </w:r>
      <w:r w:rsidR="00CE1909">
        <w:rPr>
          <w:rFonts w:ascii="Arial" w:hAnsi="Arial" w:cs="Arial"/>
          <w:sz w:val="18"/>
          <w:szCs w:val="18"/>
        </w:rPr>
        <w:t>%, tj. o 31,6 mld. Kč)</w:t>
      </w:r>
      <w:r w:rsidR="00193B56">
        <w:rPr>
          <w:rFonts w:ascii="Arial" w:hAnsi="Arial" w:cs="Arial"/>
          <w:sz w:val="18"/>
          <w:szCs w:val="18"/>
        </w:rPr>
        <w:t>,</w:t>
      </w:r>
      <w:r w:rsidR="00CE1909">
        <w:rPr>
          <w:rFonts w:ascii="Arial" w:hAnsi="Arial" w:cs="Arial"/>
          <w:sz w:val="18"/>
          <w:szCs w:val="18"/>
        </w:rPr>
        <w:t xml:space="preserve"> a tím i oslabení pozice na celkovém vývozu výrobků zpracovatelského průmyslu (z </w:t>
      </w:r>
      <w:r w:rsidR="00186A7E">
        <w:rPr>
          <w:rFonts w:ascii="Arial" w:hAnsi="Arial" w:cs="Arial"/>
          <w:sz w:val="18"/>
          <w:szCs w:val="18"/>
        </w:rPr>
        <w:t>17,0</w:t>
      </w:r>
      <w:r w:rsidR="003B788F">
        <w:rPr>
          <w:rFonts w:ascii="Arial" w:hAnsi="Arial" w:cs="Arial"/>
          <w:sz w:val="18"/>
          <w:szCs w:val="18"/>
        </w:rPr>
        <w:t xml:space="preserve"> % v </w:t>
      </w:r>
      <w:r w:rsidR="006E7050">
        <w:rPr>
          <w:rFonts w:ascii="Arial" w:hAnsi="Arial" w:cs="Arial"/>
          <w:sz w:val="18"/>
          <w:szCs w:val="18"/>
        </w:rPr>
        <w:t xml:space="preserve">roce 2012 na </w:t>
      </w:r>
      <w:r w:rsidR="00186A7E">
        <w:rPr>
          <w:rFonts w:ascii="Arial" w:hAnsi="Arial" w:cs="Arial"/>
          <w:sz w:val="18"/>
          <w:szCs w:val="18"/>
        </w:rPr>
        <w:t>15,2</w:t>
      </w:r>
      <w:r w:rsidR="006E7050">
        <w:rPr>
          <w:rFonts w:ascii="Arial" w:hAnsi="Arial" w:cs="Arial"/>
          <w:sz w:val="18"/>
          <w:szCs w:val="18"/>
        </w:rPr>
        <w:t xml:space="preserve"> % v roce 2013), dále pak stroje a zařízení (</w:t>
      </w:r>
      <w:r w:rsidR="00186A7E">
        <w:rPr>
          <w:rFonts w:ascii="Arial" w:hAnsi="Arial" w:cs="Arial"/>
          <w:sz w:val="18"/>
          <w:szCs w:val="18"/>
        </w:rPr>
        <w:t>12,5 %), elektrická zařízení (9,8 %), kovodělné výrobky, kromě strojů a zařízení (6,2 %), chemické látky a chemické přípravky (5,3 %) a základní kovy (5,1 %).</w:t>
      </w:r>
    </w:p>
    <w:p w:rsidR="00FB1041" w:rsidRPr="00FB1041" w:rsidRDefault="00FB1041" w:rsidP="000C6A56">
      <w:pPr>
        <w:spacing w:after="80"/>
        <w:rPr>
          <w:rFonts w:ascii="Arial" w:hAnsi="Arial" w:cs="Arial"/>
          <w:b/>
          <w:i/>
          <w:sz w:val="18"/>
          <w:szCs w:val="18"/>
        </w:rPr>
      </w:pPr>
      <w:r w:rsidRPr="00FB1041">
        <w:rPr>
          <w:rFonts w:ascii="Arial" w:hAnsi="Arial" w:cs="Arial"/>
          <w:b/>
          <w:i/>
          <w:sz w:val="18"/>
          <w:szCs w:val="18"/>
        </w:rPr>
        <w:t>Graf  16 - Nejvýznamnější položky vývozu výrobků zpracovatelského průmyslu v roce 20</w:t>
      </w:r>
      <w:r>
        <w:rPr>
          <w:rFonts w:ascii="Arial" w:hAnsi="Arial" w:cs="Arial"/>
          <w:b/>
          <w:i/>
          <w:sz w:val="18"/>
          <w:szCs w:val="18"/>
        </w:rPr>
        <w:t>13</w:t>
      </w:r>
      <w:r w:rsidRPr="00FB1041">
        <w:rPr>
          <w:rFonts w:ascii="Arial" w:hAnsi="Arial" w:cs="Arial"/>
          <w:b/>
          <w:i/>
          <w:sz w:val="18"/>
          <w:szCs w:val="18"/>
        </w:rPr>
        <w:t xml:space="preserve"> (podíly v %) </w:t>
      </w:r>
    </w:p>
    <w:p w:rsidR="00FE0FA9" w:rsidRDefault="00837A19" w:rsidP="00FE0FA9">
      <w:pPr>
        <w:spacing w:after="0"/>
        <w:rPr>
          <w:sz w:val="18"/>
          <w:szCs w:val="18"/>
        </w:rPr>
      </w:pPr>
      <w:r w:rsidRPr="00F8628E">
        <w:rPr>
          <w:sz w:val="18"/>
          <w:szCs w:val="18"/>
        </w:rPr>
        <w:pict>
          <v:shape id="_x0000_i1046" type="#_x0000_t75" style="width:485pt;height:93.05pt">
            <v:imagedata r:id="rId29" o:title=""/>
          </v:shape>
        </w:pict>
      </w:r>
    </w:p>
    <w:p w:rsidR="00981850" w:rsidRDefault="00B77DBB" w:rsidP="00837A19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Dovoz </w:t>
      </w:r>
      <w:r>
        <w:rPr>
          <w:rFonts w:ascii="Arial" w:hAnsi="Arial" w:cs="Arial"/>
          <w:sz w:val="18"/>
          <w:szCs w:val="18"/>
        </w:rPr>
        <w:t xml:space="preserve">výrobků zpracovatelského průmyslu se meziročně </w:t>
      </w:r>
      <w:r w:rsidR="0026271B">
        <w:rPr>
          <w:rFonts w:ascii="Arial" w:hAnsi="Arial" w:cs="Arial"/>
          <w:sz w:val="18"/>
          <w:szCs w:val="18"/>
        </w:rPr>
        <w:t xml:space="preserve">zvýšil o </w:t>
      </w:r>
      <w:r w:rsidR="00981850">
        <w:rPr>
          <w:rFonts w:ascii="Arial" w:hAnsi="Arial" w:cs="Arial"/>
          <w:sz w:val="18"/>
          <w:szCs w:val="18"/>
        </w:rPr>
        <w:t xml:space="preserve">3,1 % (75,6 mld. Kč) a významně </w:t>
      </w:r>
      <w:r w:rsidR="00193B56">
        <w:rPr>
          <w:rFonts w:ascii="Arial" w:hAnsi="Arial" w:cs="Arial"/>
          <w:sz w:val="18"/>
          <w:szCs w:val="18"/>
        </w:rPr>
        <w:t xml:space="preserve">tak </w:t>
      </w:r>
      <w:r w:rsidR="00981850">
        <w:rPr>
          <w:rFonts w:ascii="Arial" w:hAnsi="Arial" w:cs="Arial"/>
          <w:sz w:val="18"/>
          <w:szCs w:val="18"/>
        </w:rPr>
        <w:t>ovlivnil meziroční přírůstek celkového dovozu. Největší položka dovozu výrobků zpracovatelského pr</w:t>
      </w:r>
      <w:r w:rsidR="003B788F">
        <w:rPr>
          <w:rFonts w:ascii="Arial" w:hAnsi="Arial" w:cs="Arial"/>
          <w:sz w:val="18"/>
          <w:szCs w:val="18"/>
        </w:rPr>
        <w:t>ůmyslu počítače, elektronické a </w:t>
      </w:r>
      <w:r w:rsidR="00981850">
        <w:rPr>
          <w:rFonts w:ascii="Arial" w:hAnsi="Arial" w:cs="Arial"/>
          <w:sz w:val="18"/>
          <w:szCs w:val="18"/>
        </w:rPr>
        <w:t xml:space="preserve">optické přístroje a zařízení zaznamenala v roce 2013 proti roku 2012 opětovný pokles o 4,3 % a oslabila tak svoje postavení na dovozu výrobků zpracovatelského průmyslu na 17,3 % z 18,6 </w:t>
      </w:r>
      <w:r w:rsidR="00EA3AC9">
        <w:rPr>
          <w:rFonts w:ascii="Arial" w:hAnsi="Arial" w:cs="Arial"/>
          <w:sz w:val="18"/>
          <w:szCs w:val="18"/>
        </w:rPr>
        <w:t xml:space="preserve">% </w:t>
      </w:r>
      <w:r w:rsidR="00981850">
        <w:rPr>
          <w:rFonts w:ascii="Arial" w:hAnsi="Arial" w:cs="Arial"/>
          <w:sz w:val="18"/>
          <w:szCs w:val="18"/>
        </w:rPr>
        <w:t xml:space="preserve">v roce 2012. Dalšími položkami dovozu výrobků zpracovatelského průmyslu s významnějším podílem byla </w:t>
      </w:r>
      <w:r w:rsidR="00EF571E">
        <w:rPr>
          <w:rFonts w:ascii="Arial" w:hAnsi="Arial" w:cs="Arial"/>
          <w:sz w:val="18"/>
          <w:szCs w:val="18"/>
        </w:rPr>
        <w:t>motorová vozid</w:t>
      </w:r>
      <w:r w:rsidR="003B788F">
        <w:rPr>
          <w:rFonts w:ascii="Arial" w:hAnsi="Arial" w:cs="Arial"/>
          <w:sz w:val="18"/>
          <w:szCs w:val="18"/>
        </w:rPr>
        <w:t>la (kromě motocyklů), přívěsy a </w:t>
      </w:r>
      <w:r w:rsidR="00EF571E">
        <w:rPr>
          <w:rFonts w:ascii="Arial" w:hAnsi="Arial" w:cs="Arial"/>
          <w:sz w:val="18"/>
          <w:szCs w:val="18"/>
        </w:rPr>
        <w:t xml:space="preserve">návěsy (11,8 %), stroje a zařízení (10,2 %), chemické látky a chemické přípravky (9,0 %), základní kovy (8,7 %) </w:t>
      </w:r>
      <w:r w:rsidR="003B788F">
        <w:rPr>
          <w:rFonts w:ascii="Arial" w:hAnsi="Arial" w:cs="Arial"/>
          <w:sz w:val="18"/>
          <w:szCs w:val="18"/>
        </w:rPr>
        <w:t>a </w:t>
      </w:r>
      <w:r w:rsidR="00EF571E">
        <w:rPr>
          <w:rFonts w:ascii="Arial" w:hAnsi="Arial" w:cs="Arial"/>
          <w:sz w:val="18"/>
          <w:szCs w:val="18"/>
        </w:rPr>
        <w:t xml:space="preserve">elektrická zařízení (8,2%). Kromě výrobků zpracovatelského průmyslu měly z ostatních položek CZ-CPA v celkovém dovozu významné zastoupení </w:t>
      </w:r>
      <w:r w:rsidR="00193B56">
        <w:rPr>
          <w:rFonts w:ascii="Arial" w:hAnsi="Arial" w:cs="Arial"/>
          <w:sz w:val="18"/>
          <w:szCs w:val="18"/>
        </w:rPr>
        <w:t xml:space="preserve">ropa a zemní plyn </w:t>
      </w:r>
      <w:r w:rsidR="00EF571E">
        <w:rPr>
          <w:rFonts w:ascii="Arial" w:hAnsi="Arial" w:cs="Arial"/>
          <w:sz w:val="18"/>
          <w:szCs w:val="18"/>
        </w:rPr>
        <w:t xml:space="preserve">(7,3 % proti 7,7 % v roce 2012). </w:t>
      </w:r>
      <w:r w:rsidR="008F0084">
        <w:rPr>
          <w:rFonts w:ascii="Arial" w:hAnsi="Arial" w:cs="Arial"/>
          <w:sz w:val="18"/>
          <w:szCs w:val="18"/>
        </w:rPr>
        <w:t>Dovoz této položky se meziročně snížil</w:t>
      </w:r>
      <w:r w:rsidR="00EF571E">
        <w:rPr>
          <w:rFonts w:ascii="Arial" w:hAnsi="Arial" w:cs="Arial"/>
          <w:sz w:val="18"/>
          <w:szCs w:val="18"/>
        </w:rPr>
        <w:t xml:space="preserve"> o 3,4 % (o 7,1 mld. Kč). </w:t>
      </w:r>
    </w:p>
    <w:p w:rsidR="00FB1041" w:rsidRDefault="00FB1041" w:rsidP="00FB1041">
      <w:pPr>
        <w:rPr>
          <w:b/>
          <w:color w:val="292929"/>
          <w:sz w:val="18"/>
          <w:szCs w:val="18"/>
        </w:rPr>
      </w:pPr>
      <w:r w:rsidRPr="00FB1041">
        <w:rPr>
          <w:rFonts w:ascii="Arial" w:hAnsi="Arial" w:cs="Arial"/>
          <w:b/>
          <w:i/>
          <w:sz w:val="18"/>
          <w:szCs w:val="18"/>
        </w:rPr>
        <w:t>Graf  17 - Nejvýznamnější položky dovozu výrobků zpracovatelského průmyslu v roce 20</w:t>
      </w:r>
      <w:r>
        <w:rPr>
          <w:rFonts w:ascii="Arial" w:hAnsi="Arial" w:cs="Arial"/>
          <w:b/>
          <w:i/>
          <w:sz w:val="18"/>
          <w:szCs w:val="18"/>
        </w:rPr>
        <w:t>13</w:t>
      </w:r>
      <w:r w:rsidRPr="00FB1041">
        <w:rPr>
          <w:rFonts w:ascii="Arial" w:hAnsi="Arial" w:cs="Arial"/>
          <w:b/>
          <w:i/>
          <w:sz w:val="18"/>
          <w:szCs w:val="18"/>
        </w:rPr>
        <w:t xml:space="preserve"> (podíly v %)</w:t>
      </w:r>
      <w:r>
        <w:rPr>
          <w:b/>
          <w:color w:val="292929"/>
          <w:sz w:val="18"/>
          <w:szCs w:val="18"/>
        </w:rPr>
        <w:t xml:space="preserve"> </w:t>
      </w:r>
    </w:p>
    <w:p w:rsidR="009B4C45" w:rsidRPr="000736BD" w:rsidRDefault="00837A19" w:rsidP="00FB1041">
      <w:pPr>
        <w:spacing w:after="120"/>
        <w:rPr>
          <w:rFonts w:ascii="Arial" w:hAnsi="Arial" w:cs="Arial"/>
          <w:sz w:val="18"/>
          <w:szCs w:val="18"/>
        </w:rPr>
      </w:pPr>
      <w:r>
        <w:pict>
          <v:shape id="_x0000_i1047" type="#_x0000_t75" style="width:485pt;height:93.05pt">
            <v:imagedata r:id="rId30" o:title=""/>
          </v:shape>
        </w:pict>
      </w:r>
    </w:p>
    <w:p w:rsidR="000736BD" w:rsidRPr="00287B66" w:rsidRDefault="00B77DBB" w:rsidP="00AD7C10">
      <w:pPr>
        <w:spacing w:after="120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B77DBB">
        <w:rPr>
          <w:rFonts w:ascii="Arial" w:hAnsi="Arial" w:cs="Arial"/>
          <w:b/>
          <w:sz w:val="18"/>
          <w:szCs w:val="18"/>
        </w:rPr>
        <w:t>Přebytek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87B66">
        <w:rPr>
          <w:rFonts w:ascii="Arial" w:eastAsia="Times New Roman" w:hAnsi="Arial" w:cs="Arial"/>
          <w:sz w:val="18"/>
          <w:szCs w:val="20"/>
          <w:lang w:eastAsia="cs-CZ"/>
        </w:rPr>
        <w:t xml:space="preserve">zahraničního obchodu s výrobky zpracovatelského průmyslu dosáhl </w:t>
      </w:r>
      <w:r w:rsidR="00AD7C10" w:rsidRPr="00287B66">
        <w:rPr>
          <w:rFonts w:ascii="Arial" w:eastAsia="Times New Roman" w:hAnsi="Arial" w:cs="Arial"/>
          <w:sz w:val="18"/>
          <w:szCs w:val="20"/>
          <w:lang w:eastAsia="cs-CZ"/>
        </w:rPr>
        <w:t>512,6 mld.</w:t>
      </w:r>
      <w:r w:rsidR="003B788F" w:rsidRPr="00287B66">
        <w:rPr>
          <w:rFonts w:ascii="Arial" w:eastAsia="Times New Roman" w:hAnsi="Arial" w:cs="Arial"/>
          <w:sz w:val="18"/>
          <w:szCs w:val="20"/>
          <w:lang w:eastAsia="cs-CZ"/>
        </w:rPr>
        <w:t xml:space="preserve"> Kč a byl meziročně o 50,5 mld. </w:t>
      </w:r>
      <w:r w:rsidR="00AD7C10" w:rsidRPr="00287B66">
        <w:rPr>
          <w:rFonts w:ascii="Arial" w:eastAsia="Times New Roman" w:hAnsi="Arial" w:cs="Arial"/>
          <w:sz w:val="18"/>
          <w:szCs w:val="20"/>
          <w:lang w:eastAsia="cs-CZ"/>
        </w:rPr>
        <w:t>Kč vyšší. Kladné saldo zahraničního obchodu vzrostlo u motorových vozid</w:t>
      </w:r>
      <w:r w:rsidR="003B788F" w:rsidRPr="00287B66">
        <w:rPr>
          <w:rFonts w:ascii="Arial" w:eastAsia="Times New Roman" w:hAnsi="Arial" w:cs="Arial"/>
          <w:sz w:val="18"/>
          <w:szCs w:val="20"/>
          <w:lang w:eastAsia="cs-CZ"/>
        </w:rPr>
        <w:t>el (kromě motocyklů), přívěsů a </w:t>
      </w:r>
      <w:r w:rsidR="00AD7C10" w:rsidRPr="00287B66">
        <w:rPr>
          <w:rFonts w:ascii="Arial" w:eastAsia="Times New Roman" w:hAnsi="Arial" w:cs="Arial"/>
          <w:sz w:val="18"/>
          <w:szCs w:val="20"/>
          <w:lang w:eastAsia="cs-CZ"/>
        </w:rPr>
        <w:t>návěsů o 14,9 mld. Kč a dosáhlo tak 301,0 mld. Kč. Naopak počítače, elektronické a</w:t>
      </w:r>
      <w:r w:rsidR="00EA77C7" w:rsidRPr="00287B66">
        <w:rPr>
          <w:rFonts w:ascii="Arial" w:eastAsia="Times New Roman" w:hAnsi="Arial" w:cs="Arial"/>
          <w:sz w:val="18"/>
          <w:szCs w:val="20"/>
          <w:lang w:eastAsia="cs-CZ"/>
        </w:rPr>
        <w:t xml:space="preserve"> optické přístroje a zařízení s </w:t>
      </w:r>
      <w:r w:rsidR="00AD7C10" w:rsidRPr="00287B66">
        <w:rPr>
          <w:rFonts w:ascii="Arial" w:eastAsia="Times New Roman" w:hAnsi="Arial" w:cs="Arial"/>
          <w:sz w:val="18"/>
          <w:szCs w:val="20"/>
          <w:lang w:eastAsia="cs-CZ"/>
        </w:rPr>
        <w:t xml:space="preserve">aktivní bilancí 26,2 mld. Kč </w:t>
      </w:r>
      <w:r w:rsidR="002F7AEA">
        <w:rPr>
          <w:rFonts w:ascii="Arial" w:eastAsia="Times New Roman" w:hAnsi="Arial" w:cs="Arial"/>
          <w:sz w:val="18"/>
          <w:szCs w:val="20"/>
          <w:lang w:eastAsia="cs-CZ"/>
        </w:rPr>
        <w:t>zaznamenaly</w:t>
      </w:r>
      <w:r w:rsidR="00AD7C10" w:rsidRPr="00287B66">
        <w:rPr>
          <w:rFonts w:ascii="Arial" w:eastAsia="Times New Roman" w:hAnsi="Arial" w:cs="Arial"/>
          <w:sz w:val="18"/>
          <w:szCs w:val="20"/>
          <w:lang w:eastAsia="cs-CZ"/>
        </w:rPr>
        <w:t xml:space="preserve"> v roce 2013 meziročního zhoršení o 12,4 mld. Kč.</w:t>
      </w:r>
    </w:p>
    <w:p w:rsidR="003B788F" w:rsidRPr="00B77DBB" w:rsidRDefault="003B788F" w:rsidP="00AD7C10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Záporná bilance u koksu a rafinovaných ropných výrobků (24,4 mld. Kč) se prohloubila o 6,9 mld. Kč. Naopak deficit (193,3 mld. Kč) s ropou a zemním plynem se snížil o 5,3 mld. Kč.</w:t>
      </w:r>
    </w:p>
    <w:p w:rsidR="00E92938" w:rsidRDefault="00E92938" w:rsidP="00E92938">
      <w:pPr>
        <w:pStyle w:val="Zkladntext"/>
        <w:spacing w:before="120"/>
        <w:rPr>
          <w:b/>
          <w:i/>
          <w:sz w:val="18"/>
          <w:szCs w:val="18"/>
        </w:rPr>
      </w:pPr>
    </w:p>
    <w:p w:rsidR="00A11446" w:rsidRDefault="00A11446" w:rsidP="00A11446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p w:rsidR="000736BD" w:rsidRDefault="000736BD" w:rsidP="00A11446">
      <w:pPr>
        <w:spacing w:after="0"/>
        <w:jc w:val="both"/>
        <w:rPr>
          <w:rFonts w:ascii="Arial" w:eastAsia="Times New Roman" w:hAnsi="Arial" w:cs="Arial"/>
          <w:color w:val="292929"/>
          <w:sz w:val="18"/>
          <w:szCs w:val="20"/>
          <w:lang w:eastAsia="cs-CZ"/>
        </w:rPr>
      </w:pPr>
    </w:p>
    <w:p w:rsidR="00A11446" w:rsidRDefault="00A11446" w:rsidP="00A11446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:rsidR="00FB5A36" w:rsidRPr="002D30B5" w:rsidRDefault="00FB5A36" w:rsidP="00A11446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:rsidR="005A15B4" w:rsidRDefault="00DD36D9" w:rsidP="00C35F53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r w:rsidR="005A15B4" w:rsidRPr="008856D9">
        <w:rPr>
          <w:rFonts w:ascii="Arial" w:hAnsi="Arial" w:cs="Arial"/>
          <w:b/>
          <w:sz w:val="19"/>
          <w:szCs w:val="19"/>
        </w:rPr>
        <w:lastRenderedPageBreak/>
        <w:t>Údaje Eurostatu</w:t>
      </w:r>
      <w:r w:rsidR="000736BD" w:rsidRPr="00C35F53">
        <w:rPr>
          <w:rStyle w:val="Znakapoznpodarou"/>
          <w:rFonts w:ascii="Arial" w:hAnsi="Arial" w:cs="Arial"/>
          <w:sz w:val="18"/>
          <w:szCs w:val="18"/>
        </w:rPr>
        <w:footnoteReference w:id="8"/>
      </w:r>
    </w:p>
    <w:p w:rsidR="00C35F53" w:rsidRPr="00D651E6" w:rsidRDefault="00C35F53" w:rsidP="000201C6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C35F53">
        <w:rPr>
          <w:rFonts w:ascii="Arial" w:hAnsi="Arial" w:cs="Arial"/>
          <w:sz w:val="18"/>
          <w:szCs w:val="18"/>
        </w:rPr>
        <w:t>Zahraniční obchod států Evropské unie</w:t>
      </w:r>
      <w:r w:rsidR="000736BD" w:rsidRPr="008E5DDB">
        <w:rPr>
          <w:rStyle w:val="Znakapoznpodarou"/>
          <w:rFonts w:ascii="Arial" w:hAnsi="Arial" w:cs="Arial"/>
          <w:sz w:val="18"/>
          <w:szCs w:val="18"/>
        </w:rPr>
        <w:footnoteReference w:id="9"/>
      </w:r>
      <w:r w:rsidRPr="00C35F53">
        <w:rPr>
          <w:rFonts w:ascii="Arial" w:hAnsi="Arial" w:cs="Arial"/>
          <w:sz w:val="18"/>
          <w:szCs w:val="18"/>
        </w:rPr>
        <w:t xml:space="preserve"> </w:t>
      </w:r>
      <w:r w:rsidR="007C24C7">
        <w:rPr>
          <w:rFonts w:ascii="Arial" w:hAnsi="Arial" w:cs="Arial"/>
          <w:sz w:val="18"/>
          <w:szCs w:val="18"/>
        </w:rPr>
        <w:t xml:space="preserve">celkem </w:t>
      </w:r>
      <w:r w:rsidRPr="00C35F53">
        <w:rPr>
          <w:rFonts w:ascii="Arial" w:hAnsi="Arial" w:cs="Arial"/>
          <w:sz w:val="18"/>
          <w:szCs w:val="18"/>
        </w:rPr>
        <w:t>v roce 201</w:t>
      </w:r>
      <w:r>
        <w:rPr>
          <w:rFonts w:ascii="Arial" w:hAnsi="Arial" w:cs="Arial"/>
          <w:sz w:val="18"/>
          <w:szCs w:val="18"/>
        </w:rPr>
        <w:t>3</w:t>
      </w:r>
      <w:r w:rsidRPr="00C35F53">
        <w:rPr>
          <w:rFonts w:ascii="Arial" w:hAnsi="Arial" w:cs="Arial"/>
          <w:sz w:val="18"/>
          <w:szCs w:val="18"/>
        </w:rPr>
        <w:t xml:space="preserve"> </w:t>
      </w:r>
      <w:r w:rsidR="000201C6" w:rsidRPr="000201C6">
        <w:rPr>
          <w:rFonts w:ascii="Arial" w:hAnsi="Arial" w:cs="Arial"/>
          <w:sz w:val="18"/>
          <w:szCs w:val="18"/>
        </w:rPr>
        <w:t xml:space="preserve">ve srovnání s předchozím rokem </w:t>
      </w:r>
      <w:r w:rsidR="00235DBF">
        <w:rPr>
          <w:rFonts w:ascii="Arial" w:hAnsi="Arial" w:cs="Arial"/>
          <w:sz w:val="18"/>
          <w:szCs w:val="18"/>
        </w:rPr>
        <w:t>zaznamenal mírný růst vývozu a </w:t>
      </w:r>
      <w:r w:rsidR="000201C6" w:rsidRPr="000201C6">
        <w:rPr>
          <w:rFonts w:ascii="Arial" w:hAnsi="Arial" w:cs="Arial"/>
          <w:sz w:val="18"/>
          <w:szCs w:val="18"/>
        </w:rPr>
        <w:t>pokles dovozu. Po přírůstku vývozu o 3,4 % a dovozu o 1,9 % v roce 2012 stoupl v roce 2013 meziročně vývoz států EU pouze o 1,1 % (51,0 mld. EUR), zatímco dovoz byl o 2,6 % (117,8 mld. EUR</w:t>
      </w:r>
      <w:r w:rsidR="007C24C7">
        <w:rPr>
          <w:rFonts w:ascii="Arial" w:hAnsi="Arial" w:cs="Arial"/>
          <w:sz w:val="18"/>
          <w:szCs w:val="18"/>
        </w:rPr>
        <w:t>) nižší. Vývoz států eurozóny v </w:t>
      </w:r>
      <w:r w:rsidR="000201C6" w:rsidRPr="000201C6">
        <w:rPr>
          <w:rFonts w:ascii="Arial" w:hAnsi="Arial" w:cs="Arial"/>
          <w:sz w:val="18"/>
          <w:szCs w:val="18"/>
        </w:rPr>
        <w:t>roce 2013 stagnoval a jejich dovoz meziročně klesl o 2,0 %. Česká republika se na vývo</w:t>
      </w:r>
      <w:r w:rsidR="00235DBF">
        <w:rPr>
          <w:rFonts w:ascii="Arial" w:hAnsi="Arial" w:cs="Arial"/>
          <w:sz w:val="18"/>
          <w:szCs w:val="18"/>
        </w:rPr>
        <w:t>zu států EU podílela 2,7 % a na </w:t>
      </w:r>
      <w:r w:rsidR="000201C6" w:rsidRPr="000201C6">
        <w:rPr>
          <w:rFonts w:ascii="Arial" w:hAnsi="Arial" w:cs="Arial"/>
          <w:sz w:val="18"/>
          <w:szCs w:val="18"/>
        </w:rPr>
        <w:t>dovozu 2,4 % stejně jako v roce 2012. Její vývoz a dovoz v porovnání s rokem 2012, kdy byly zaznamenány přírůstky o 4,1 % a 0,2 %, klesl o 0,5 % a 1,8 %. Bilance států EU celkem skončila přebytkem 127,1 mld. EUR</w:t>
      </w:r>
      <w:r w:rsidR="00235DBF">
        <w:rPr>
          <w:rFonts w:ascii="Arial" w:hAnsi="Arial" w:cs="Arial"/>
          <w:sz w:val="18"/>
          <w:szCs w:val="18"/>
        </w:rPr>
        <w:t xml:space="preserve"> ve </w:t>
      </w:r>
      <w:r w:rsidR="000201C6" w:rsidRPr="000201C6">
        <w:rPr>
          <w:rFonts w:ascii="Arial" w:hAnsi="Arial" w:cs="Arial"/>
          <w:sz w:val="18"/>
          <w:szCs w:val="18"/>
        </w:rPr>
        <w:t>srovnání s deficitem 41,8 mld. Kč v roce 2012.</w:t>
      </w:r>
      <w:r w:rsidRPr="00D651E6">
        <w:rPr>
          <w:rFonts w:ascii="Arial" w:hAnsi="Arial" w:cs="Arial"/>
          <w:color w:val="FF0000"/>
          <w:sz w:val="18"/>
          <w:szCs w:val="18"/>
        </w:rPr>
        <w:t xml:space="preserve">    </w:t>
      </w:r>
    </w:p>
    <w:p w:rsidR="00C35F53" w:rsidRPr="00B768D8" w:rsidRDefault="00C35F53" w:rsidP="00C35F53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B768D8">
        <w:rPr>
          <w:rFonts w:ascii="Arial" w:hAnsi="Arial" w:cs="Arial"/>
          <w:b/>
          <w:i/>
          <w:sz w:val="18"/>
          <w:szCs w:val="18"/>
        </w:rPr>
        <w:t>Graf 1</w:t>
      </w:r>
      <w:r w:rsidR="00FB1041">
        <w:rPr>
          <w:rFonts w:ascii="Arial" w:hAnsi="Arial" w:cs="Arial"/>
          <w:b/>
          <w:i/>
          <w:sz w:val="18"/>
          <w:szCs w:val="18"/>
        </w:rPr>
        <w:t>8</w:t>
      </w:r>
      <w:r w:rsidRPr="00B768D8">
        <w:rPr>
          <w:rFonts w:ascii="Arial" w:hAnsi="Arial" w:cs="Arial"/>
          <w:b/>
          <w:i/>
          <w:sz w:val="18"/>
          <w:szCs w:val="18"/>
        </w:rPr>
        <w:t xml:space="preserve"> - Podíl České republiky a jejích sousedních států </w:t>
      </w:r>
    </w:p>
    <w:p w:rsidR="00C35F53" w:rsidRPr="00B768D8" w:rsidRDefault="00C35F53" w:rsidP="00C35F5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B768D8">
        <w:rPr>
          <w:rFonts w:ascii="Arial" w:hAnsi="Arial" w:cs="Arial"/>
          <w:b/>
          <w:i/>
          <w:sz w:val="18"/>
          <w:szCs w:val="18"/>
        </w:rPr>
        <w:t xml:space="preserve">                na vývozu a dovozu států EU jako celku v roce 201</w:t>
      </w:r>
      <w:r>
        <w:rPr>
          <w:rFonts w:ascii="Arial" w:hAnsi="Arial" w:cs="Arial"/>
          <w:b/>
          <w:i/>
          <w:sz w:val="18"/>
          <w:szCs w:val="18"/>
        </w:rPr>
        <w:t>3</w:t>
      </w:r>
    </w:p>
    <w:p w:rsidR="00C35F53" w:rsidRPr="00B768D8" w:rsidRDefault="00C35F53" w:rsidP="00C35F53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B768D8">
        <w:rPr>
          <w:rFonts w:ascii="Arial" w:hAnsi="Arial" w:cs="Arial"/>
          <w:i/>
          <w:sz w:val="18"/>
          <w:szCs w:val="18"/>
        </w:rPr>
        <w:tab/>
      </w:r>
      <w:r w:rsidRPr="00B768D8">
        <w:rPr>
          <w:rFonts w:ascii="Arial" w:hAnsi="Arial" w:cs="Arial"/>
          <w:i/>
          <w:sz w:val="18"/>
          <w:szCs w:val="18"/>
        </w:rPr>
        <w:tab/>
        <w:t xml:space="preserve">      vývoz</w:t>
      </w:r>
      <w:r w:rsidRPr="00B768D8">
        <w:rPr>
          <w:rFonts w:ascii="Arial" w:hAnsi="Arial" w:cs="Arial"/>
          <w:i/>
          <w:sz w:val="18"/>
          <w:szCs w:val="18"/>
        </w:rPr>
        <w:tab/>
      </w:r>
      <w:r w:rsidRPr="00B768D8">
        <w:rPr>
          <w:rFonts w:ascii="Arial" w:hAnsi="Arial" w:cs="Arial"/>
          <w:i/>
          <w:sz w:val="18"/>
          <w:szCs w:val="18"/>
        </w:rPr>
        <w:tab/>
      </w:r>
      <w:r w:rsidRPr="00B768D8">
        <w:rPr>
          <w:rFonts w:ascii="Arial" w:hAnsi="Arial" w:cs="Arial"/>
          <w:i/>
          <w:sz w:val="18"/>
          <w:szCs w:val="18"/>
        </w:rPr>
        <w:tab/>
      </w:r>
      <w:r w:rsidRPr="00B768D8">
        <w:rPr>
          <w:rFonts w:ascii="Arial" w:hAnsi="Arial" w:cs="Arial"/>
          <w:i/>
          <w:sz w:val="18"/>
          <w:szCs w:val="18"/>
        </w:rPr>
        <w:tab/>
      </w:r>
      <w:r w:rsidRPr="00B768D8">
        <w:rPr>
          <w:rFonts w:ascii="Arial" w:hAnsi="Arial" w:cs="Arial"/>
          <w:i/>
          <w:sz w:val="18"/>
          <w:szCs w:val="18"/>
        </w:rPr>
        <w:tab/>
      </w:r>
      <w:r w:rsidRPr="00B768D8">
        <w:rPr>
          <w:rFonts w:ascii="Arial" w:hAnsi="Arial" w:cs="Arial"/>
          <w:i/>
          <w:sz w:val="18"/>
          <w:szCs w:val="18"/>
        </w:rPr>
        <w:tab/>
        <w:t xml:space="preserve">        dovoz</w:t>
      </w:r>
    </w:p>
    <w:p w:rsidR="00C35F53" w:rsidRPr="00D651E6" w:rsidRDefault="00837A19" w:rsidP="00C35F53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F8628E">
        <w:rPr>
          <w:rFonts w:ascii="Arial" w:hAnsi="Arial" w:cs="Arial"/>
          <w:sz w:val="18"/>
          <w:szCs w:val="18"/>
        </w:rPr>
        <w:pict>
          <v:shape id="_x0000_i1048" type="#_x0000_t75" style="width:222.8pt;height:157.6pt">
            <v:imagedata r:id="rId31" o:title=""/>
          </v:shape>
        </w:pict>
      </w:r>
      <w:r w:rsidR="00C35F53" w:rsidRPr="00D651E6">
        <w:rPr>
          <w:rFonts w:ascii="Arial" w:hAnsi="Arial" w:cs="Arial"/>
          <w:color w:val="FF0000"/>
          <w:sz w:val="18"/>
          <w:szCs w:val="18"/>
        </w:rPr>
        <w:t xml:space="preserve">             </w:t>
      </w:r>
      <w:r w:rsidRPr="00F8628E">
        <w:rPr>
          <w:rFonts w:ascii="Arial" w:hAnsi="Arial" w:cs="Arial"/>
          <w:color w:val="FF0000"/>
          <w:sz w:val="18"/>
          <w:szCs w:val="18"/>
        </w:rPr>
        <w:pict>
          <v:shape id="_x0000_i1049" type="#_x0000_t75" style="width:222.8pt;height:157.6pt">
            <v:imagedata r:id="rId32" o:title=""/>
          </v:shape>
        </w:pict>
      </w:r>
    </w:p>
    <w:p w:rsidR="00C35F53" w:rsidRPr="00D651E6" w:rsidRDefault="00C35F53" w:rsidP="00C35F53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p w:rsidR="00235DBF" w:rsidRPr="00235DBF" w:rsidRDefault="00C35F53" w:rsidP="00235DBF">
      <w:pPr>
        <w:jc w:val="both"/>
        <w:rPr>
          <w:rFonts w:ascii="Arial" w:hAnsi="Arial" w:cs="Arial"/>
          <w:sz w:val="18"/>
          <w:szCs w:val="18"/>
        </w:rPr>
      </w:pPr>
      <w:r w:rsidRPr="00B47FAA">
        <w:rPr>
          <w:rFonts w:ascii="Arial" w:hAnsi="Arial" w:cs="Arial"/>
          <w:sz w:val="18"/>
          <w:szCs w:val="18"/>
        </w:rPr>
        <w:t>Nové členské státy EU</w:t>
      </w:r>
      <w:r w:rsidRPr="00B47FAA">
        <w:rPr>
          <w:rStyle w:val="Znakapoznpodarou"/>
          <w:rFonts w:ascii="Arial" w:hAnsi="Arial" w:cs="Arial"/>
          <w:sz w:val="18"/>
          <w:szCs w:val="18"/>
        </w:rPr>
        <w:footnoteReference w:id="10"/>
      </w:r>
      <w:r w:rsidRPr="00B47FAA">
        <w:rPr>
          <w:rFonts w:ascii="Arial" w:hAnsi="Arial" w:cs="Arial"/>
          <w:sz w:val="18"/>
          <w:szCs w:val="18"/>
        </w:rPr>
        <w:t xml:space="preserve"> se v roce 201</w:t>
      </w:r>
      <w:r w:rsidR="00B47FAA">
        <w:rPr>
          <w:rFonts w:ascii="Arial" w:hAnsi="Arial" w:cs="Arial"/>
          <w:sz w:val="18"/>
          <w:szCs w:val="18"/>
        </w:rPr>
        <w:t>3</w:t>
      </w:r>
      <w:r w:rsidRPr="00B47FAA">
        <w:rPr>
          <w:rFonts w:ascii="Arial" w:hAnsi="Arial" w:cs="Arial"/>
          <w:sz w:val="18"/>
          <w:szCs w:val="18"/>
        </w:rPr>
        <w:t xml:space="preserve"> podílely na celkovém vývozu EU</w:t>
      </w:r>
      <w:r w:rsidRPr="00235DBF">
        <w:rPr>
          <w:rFonts w:ascii="Arial" w:hAnsi="Arial" w:cs="Arial"/>
          <w:sz w:val="18"/>
          <w:szCs w:val="18"/>
        </w:rPr>
        <w:t xml:space="preserve"> </w:t>
      </w:r>
      <w:r w:rsidR="00235DBF" w:rsidRPr="00235DBF">
        <w:rPr>
          <w:rFonts w:ascii="Arial" w:hAnsi="Arial" w:cs="Arial"/>
          <w:sz w:val="18"/>
          <w:szCs w:val="18"/>
        </w:rPr>
        <w:t>12,6 % a na celkovém dovozu EU 13,1</w:t>
      </w:r>
      <w:r w:rsidR="00235DBF">
        <w:rPr>
          <w:rFonts w:ascii="Arial" w:hAnsi="Arial" w:cs="Arial"/>
          <w:sz w:val="18"/>
          <w:szCs w:val="18"/>
        </w:rPr>
        <w:t xml:space="preserve"> % ve </w:t>
      </w:r>
      <w:r w:rsidR="00235DBF" w:rsidRPr="00235DBF">
        <w:rPr>
          <w:rFonts w:ascii="Arial" w:hAnsi="Arial" w:cs="Arial"/>
          <w:sz w:val="18"/>
          <w:szCs w:val="18"/>
        </w:rPr>
        <w:t>srovnání s 12,4 % a 12,8 % v předchozím roce. Meziročně vzrostl jejich vývoz a dovoz o 2,9 % a 0,1 % oproti 4,6</w:t>
      </w:r>
      <w:r w:rsidR="00235DBF">
        <w:rPr>
          <w:rFonts w:ascii="Arial" w:hAnsi="Arial" w:cs="Arial"/>
          <w:sz w:val="18"/>
          <w:szCs w:val="18"/>
        </w:rPr>
        <w:t xml:space="preserve"> % a </w:t>
      </w:r>
      <w:r w:rsidR="00235DBF" w:rsidRPr="00235DBF">
        <w:rPr>
          <w:rFonts w:ascii="Arial" w:hAnsi="Arial" w:cs="Arial"/>
          <w:sz w:val="18"/>
          <w:szCs w:val="18"/>
        </w:rPr>
        <w:t>2,5 % v roce 2012. Česká republika se v roce 2013 podílela na vývozu a dovozu nových členských států EU 21,0</w:t>
      </w:r>
      <w:r w:rsidR="00235DBF">
        <w:rPr>
          <w:rFonts w:ascii="Arial" w:hAnsi="Arial" w:cs="Arial"/>
          <w:sz w:val="18"/>
          <w:szCs w:val="18"/>
        </w:rPr>
        <w:t xml:space="preserve"> % a </w:t>
      </w:r>
      <w:r w:rsidR="00235DBF" w:rsidRPr="00235DBF">
        <w:rPr>
          <w:rFonts w:ascii="Arial" w:hAnsi="Arial" w:cs="Arial"/>
          <w:sz w:val="18"/>
          <w:szCs w:val="18"/>
        </w:rPr>
        <w:t>18,5 %. Bilance zahraničního obchodu nových členských států EU skončila v roce 2013 schodkem 6,1 mld. EUR, který byl o 15,9 mld. EUR menší než v předešlém roce. Přebytek obchodní bilance vykázaly z nových členských států EU Česká republika (13,6 mld. EUR), Maďarsko (6,0 mld. EUR), Slovensko (3,1 mld. EUR) a Slovinsko (0,5 mld. EUR). Největší deficit zaznamenalo Chorvatsko (6,8 mld. EUR), Rumunsko (5,7 mld. EUR) a Bulharsko (3,6 mld. EUR).</w:t>
      </w:r>
    </w:p>
    <w:p w:rsidR="009B4C45" w:rsidRDefault="009B4C45" w:rsidP="001F53C7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B768D8">
        <w:rPr>
          <w:rFonts w:ascii="Arial" w:hAnsi="Arial" w:cs="Arial"/>
          <w:b/>
          <w:i/>
          <w:sz w:val="18"/>
          <w:szCs w:val="18"/>
        </w:rPr>
        <w:t>Graf 1</w:t>
      </w:r>
      <w:r w:rsidR="00FB1041">
        <w:rPr>
          <w:rFonts w:ascii="Arial" w:hAnsi="Arial" w:cs="Arial"/>
          <w:b/>
          <w:i/>
          <w:sz w:val="18"/>
          <w:szCs w:val="18"/>
        </w:rPr>
        <w:t>9</w:t>
      </w:r>
      <w:r w:rsidRPr="00B768D8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-</w:t>
      </w:r>
      <w:r w:rsidRPr="00B768D8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Zahraniční obchod jednotlivých států EU v roce 2013</w:t>
      </w:r>
      <w:r w:rsidRPr="00B768D8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1F53C7" w:rsidRDefault="00837A19" w:rsidP="009B4C45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F8628E">
        <w:rPr>
          <w:rFonts w:ascii="Arial" w:hAnsi="Arial" w:cs="Arial"/>
          <w:b/>
          <w:i/>
          <w:sz w:val="18"/>
          <w:szCs w:val="18"/>
        </w:rPr>
        <w:pict>
          <v:shape id="_x0000_i1050" type="#_x0000_t75" style="width:491.75pt;height:169.8pt">
            <v:imagedata r:id="rId33" o:title=""/>
          </v:shape>
        </w:pict>
      </w:r>
    </w:p>
    <w:sectPr w:rsidR="001F53C7" w:rsidSect="00FF4BBD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BD4" w:rsidRDefault="007F1BD4" w:rsidP="001D5B60">
      <w:pPr>
        <w:spacing w:after="0" w:line="240" w:lineRule="auto"/>
      </w:pPr>
      <w:r>
        <w:separator/>
      </w:r>
    </w:p>
  </w:endnote>
  <w:endnote w:type="continuationSeparator" w:id="0">
    <w:p w:rsidR="007F1BD4" w:rsidRDefault="007F1BD4" w:rsidP="001D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BD4" w:rsidRDefault="007F1BD4" w:rsidP="001D5B60">
      <w:pPr>
        <w:spacing w:after="0" w:line="240" w:lineRule="auto"/>
      </w:pPr>
      <w:r>
        <w:separator/>
      </w:r>
    </w:p>
  </w:footnote>
  <w:footnote w:type="continuationSeparator" w:id="0">
    <w:p w:rsidR="007F1BD4" w:rsidRDefault="007F1BD4" w:rsidP="001D5B60">
      <w:pPr>
        <w:spacing w:after="0" w:line="240" w:lineRule="auto"/>
      </w:pPr>
      <w:r>
        <w:continuationSeparator/>
      </w:r>
    </w:p>
  </w:footnote>
  <w:footnote w:id="1">
    <w:p w:rsidR="008856D9" w:rsidRPr="007C5401" w:rsidRDefault="008856D9" w:rsidP="008856D9">
      <w:pPr>
        <w:pStyle w:val="Textpoznpodarou"/>
        <w:rPr>
          <w:rFonts w:ascii="Arial" w:hAnsi="Arial" w:cs="Arial"/>
          <w:sz w:val="16"/>
          <w:szCs w:val="16"/>
        </w:rPr>
      </w:pPr>
      <w:r w:rsidRPr="007C5401">
        <w:rPr>
          <w:rStyle w:val="Znakapoznpodarou"/>
          <w:rFonts w:ascii="Arial" w:hAnsi="Arial" w:cs="Arial"/>
          <w:sz w:val="16"/>
          <w:szCs w:val="16"/>
        </w:rPr>
        <w:footnoteRef/>
      </w:r>
      <w:r w:rsidRPr="007C5401">
        <w:rPr>
          <w:rFonts w:ascii="Arial" w:hAnsi="Arial" w:cs="Arial"/>
          <w:sz w:val="16"/>
          <w:szCs w:val="16"/>
        </w:rPr>
        <w:t xml:space="preserve">  Údaje za rok 2012 a 2013 jsou definitivní.</w:t>
      </w:r>
    </w:p>
  </w:footnote>
  <w:footnote w:id="2">
    <w:p w:rsidR="008856D9" w:rsidRPr="005D748F" w:rsidRDefault="008856D9" w:rsidP="008856D9">
      <w:pPr>
        <w:pStyle w:val="Textpoznpodarou"/>
        <w:rPr>
          <w:rFonts w:ascii="Arial" w:hAnsi="Arial" w:cs="Arial"/>
          <w:sz w:val="16"/>
          <w:szCs w:val="16"/>
        </w:rPr>
      </w:pPr>
      <w:r w:rsidRPr="00BA1859">
        <w:rPr>
          <w:rStyle w:val="Znakapoznpodarou"/>
          <w:rFonts w:ascii="Arial" w:hAnsi="Arial" w:cs="Arial"/>
          <w:sz w:val="17"/>
          <w:szCs w:val="17"/>
        </w:rPr>
        <w:footnoteRef/>
      </w:r>
      <w:r w:rsidRPr="00BA1859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 </w:t>
      </w:r>
      <w:r w:rsidRPr="005D748F">
        <w:rPr>
          <w:rFonts w:ascii="Arial" w:hAnsi="Arial" w:cs="Arial"/>
          <w:sz w:val="16"/>
          <w:szCs w:val="16"/>
        </w:rPr>
        <w:t>V lednu až prosinci 2013 proti lednu až prosinci 2012</w:t>
      </w:r>
      <w:r w:rsidRPr="005D748F">
        <w:rPr>
          <w:rFonts w:ascii="Arial" w:hAnsi="Arial" w:cs="Arial"/>
          <w:color w:val="FF0000"/>
          <w:sz w:val="16"/>
          <w:szCs w:val="16"/>
        </w:rPr>
        <w:t xml:space="preserve"> </w:t>
      </w:r>
      <w:r w:rsidRPr="00547ED7">
        <w:rPr>
          <w:rFonts w:ascii="Arial" w:hAnsi="Arial" w:cs="Arial"/>
          <w:sz w:val="16"/>
          <w:szCs w:val="16"/>
        </w:rPr>
        <w:t>oslabila Kč k</w:t>
      </w:r>
      <w:r w:rsidRPr="00547ED7">
        <w:rPr>
          <w:rFonts w:ascii="Arial" w:hAnsi="Arial" w:cs="Arial"/>
          <w:sz w:val="16"/>
          <w:szCs w:val="16"/>
          <w:lang w:val="cs-CZ"/>
        </w:rPr>
        <w:t xml:space="preserve"> </w:t>
      </w:r>
      <w:proofErr w:type="gramStart"/>
      <w:r w:rsidRPr="00547ED7">
        <w:rPr>
          <w:rFonts w:ascii="Arial" w:hAnsi="Arial" w:cs="Arial"/>
          <w:sz w:val="16"/>
          <w:szCs w:val="16"/>
        </w:rPr>
        <w:t>EUR</w:t>
      </w:r>
      <w:proofErr w:type="gramEnd"/>
      <w:r w:rsidRPr="005D748F">
        <w:rPr>
          <w:rFonts w:ascii="Arial" w:hAnsi="Arial" w:cs="Arial"/>
          <w:color w:val="FF0000"/>
          <w:sz w:val="16"/>
          <w:szCs w:val="16"/>
        </w:rPr>
        <w:t xml:space="preserve"> </w:t>
      </w:r>
      <w:r w:rsidRPr="00547ED7">
        <w:rPr>
          <w:rFonts w:ascii="Arial" w:hAnsi="Arial" w:cs="Arial"/>
          <w:sz w:val="16"/>
          <w:szCs w:val="16"/>
        </w:rPr>
        <w:t xml:space="preserve">o </w:t>
      </w:r>
      <w:r w:rsidR="00547ED7" w:rsidRPr="00547ED7">
        <w:rPr>
          <w:rFonts w:ascii="Arial" w:hAnsi="Arial" w:cs="Arial"/>
          <w:sz w:val="16"/>
          <w:szCs w:val="16"/>
        </w:rPr>
        <w:t>3</w:t>
      </w:r>
      <w:r w:rsidRPr="00547ED7">
        <w:rPr>
          <w:rFonts w:ascii="Arial" w:hAnsi="Arial" w:cs="Arial"/>
          <w:sz w:val="16"/>
          <w:szCs w:val="16"/>
          <w:lang w:val="cs-CZ"/>
        </w:rPr>
        <w:t xml:space="preserve">,2 </w:t>
      </w:r>
      <w:r w:rsidRPr="00547ED7">
        <w:rPr>
          <w:rFonts w:ascii="Arial" w:hAnsi="Arial" w:cs="Arial"/>
          <w:sz w:val="16"/>
          <w:szCs w:val="16"/>
        </w:rPr>
        <w:t>%</w:t>
      </w:r>
      <w:r w:rsidRPr="00547ED7">
        <w:rPr>
          <w:rFonts w:ascii="Arial" w:hAnsi="Arial" w:cs="Arial"/>
          <w:sz w:val="16"/>
          <w:szCs w:val="16"/>
          <w:lang w:val="cs-CZ"/>
        </w:rPr>
        <w:t xml:space="preserve"> a</w:t>
      </w:r>
      <w:r w:rsidRPr="00547ED7">
        <w:rPr>
          <w:rFonts w:ascii="Arial" w:hAnsi="Arial" w:cs="Arial"/>
          <w:sz w:val="16"/>
          <w:szCs w:val="16"/>
        </w:rPr>
        <w:t xml:space="preserve"> </w:t>
      </w:r>
      <w:r w:rsidR="00547ED7" w:rsidRPr="00547ED7">
        <w:rPr>
          <w:rFonts w:ascii="Arial" w:hAnsi="Arial" w:cs="Arial"/>
          <w:sz w:val="16"/>
          <w:szCs w:val="16"/>
        </w:rPr>
        <w:t>posílila vůči USD</w:t>
      </w:r>
      <w:r w:rsidRPr="00547ED7">
        <w:rPr>
          <w:rFonts w:ascii="Arial" w:hAnsi="Arial" w:cs="Arial"/>
          <w:sz w:val="16"/>
          <w:szCs w:val="16"/>
        </w:rPr>
        <w:t xml:space="preserve"> o</w:t>
      </w:r>
      <w:r w:rsidRPr="00547ED7">
        <w:rPr>
          <w:rFonts w:ascii="Arial" w:hAnsi="Arial" w:cs="Arial"/>
          <w:sz w:val="16"/>
          <w:szCs w:val="16"/>
          <w:lang w:val="cs-CZ"/>
        </w:rPr>
        <w:t xml:space="preserve"> </w:t>
      </w:r>
      <w:r w:rsidR="00547ED7" w:rsidRPr="00547ED7">
        <w:rPr>
          <w:rFonts w:ascii="Arial" w:hAnsi="Arial" w:cs="Arial"/>
          <w:sz w:val="16"/>
          <w:szCs w:val="16"/>
        </w:rPr>
        <w:t>0,1</w:t>
      </w:r>
      <w:r w:rsidRPr="00547ED7">
        <w:rPr>
          <w:rFonts w:ascii="Arial" w:hAnsi="Arial" w:cs="Arial"/>
          <w:sz w:val="16"/>
          <w:szCs w:val="16"/>
        </w:rPr>
        <w:t xml:space="preserve"> %.</w:t>
      </w:r>
    </w:p>
  </w:footnote>
  <w:footnote w:id="3">
    <w:p w:rsidR="00B2160A" w:rsidRPr="007C5401" w:rsidRDefault="00B2160A" w:rsidP="00B2160A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C5401">
        <w:rPr>
          <w:rStyle w:val="Znakapoznpodarou"/>
          <w:rFonts w:ascii="Arial" w:hAnsi="Arial" w:cs="Arial"/>
          <w:sz w:val="16"/>
          <w:szCs w:val="16"/>
        </w:rPr>
        <w:footnoteRef/>
      </w:r>
      <w:r w:rsidRPr="007C5401">
        <w:rPr>
          <w:rFonts w:ascii="Arial" w:hAnsi="Arial" w:cs="Arial"/>
          <w:sz w:val="16"/>
          <w:szCs w:val="16"/>
        </w:rPr>
        <w:t xml:space="preserve"> </w:t>
      </w:r>
      <w:r w:rsidRPr="007C5401">
        <w:rPr>
          <w:rFonts w:ascii="Arial" w:hAnsi="Arial" w:cs="Arial"/>
          <w:sz w:val="16"/>
          <w:szCs w:val="16"/>
          <w:lang w:val="cs-CZ"/>
        </w:rPr>
        <w:t xml:space="preserve">Státy EU </w:t>
      </w:r>
      <w:r>
        <w:rPr>
          <w:rFonts w:ascii="Arial" w:hAnsi="Arial" w:cs="Arial"/>
          <w:sz w:val="16"/>
          <w:szCs w:val="16"/>
        </w:rPr>
        <w:t>-</w:t>
      </w:r>
      <w:r w:rsidRPr="007C5401">
        <w:rPr>
          <w:rFonts w:ascii="Arial" w:hAnsi="Arial" w:cs="Arial"/>
          <w:sz w:val="16"/>
          <w:szCs w:val="16"/>
          <w:lang w:val="cs-CZ"/>
        </w:rPr>
        <w:t xml:space="preserve"> státy Evropské unie (2</w:t>
      </w:r>
      <w:r w:rsidRPr="007C5401">
        <w:rPr>
          <w:rFonts w:ascii="Arial" w:hAnsi="Arial" w:cs="Arial"/>
          <w:sz w:val="16"/>
          <w:szCs w:val="16"/>
        </w:rPr>
        <w:t>8</w:t>
      </w:r>
      <w:r w:rsidRPr="007C5401">
        <w:rPr>
          <w:rFonts w:ascii="Arial" w:hAnsi="Arial" w:cs="Arial"/>
          <w:sz w:val="16"/>
          <w:szCs w:val="16"/>
          <w:lang w:val="cs-CZ"/>
        </w:rPr>
        <w:t xml:space="preserve"> členských států): Belgie, Bulharsko, Česká republika, Dánsko, Estonsko, Finsko, Francie, </w:t>
      </w:r>
      <w:r>
        <w:rPr>
          <w:rFonts w:ascii="Arial" w:hAnsi="Arial" w:cs="Arial"/>
          <w:sz w:val="16"/>
          <w:szCs w:val="16"/>
        </w:rPr>
        <w:t xml:space="preserve">Chorvatsko, </w:t>
      </w:r>
      <w:r w:rsidRPr="007C5401">
        <w:rPr>
          <w:rFonts w:ascii="Arial" w:hAnsi="Arial" w:cs="Arial"/>
          <w:sz w:val="16"/>
          <w:szCs w:val="16"/>
          <w:lang w:val="cs-CZ"/>
        </w:rPr>
        <w:t>Irsko, Itálie, Kypr, Litva, Lotyšsko, Lucembursko, Maďarsko, Malta, Německo, Nizozemsko, Polsko, Portugalsko, Rakousko, Rumunsko, Řecko, Slovensko, Slovinsko, Spojené království, Španělsko, Švédsko.</w:t>
      </w:r>
    </w:p>
  </w:footnote>
  <w:footnote w:id="4">
    <w:p w:rsidR="003B7C15" w:rsidRPr="003B7C15" w:rsidRDefault="003B7C1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 </w:t>
      </w:r>
      <w:r w:rsidRPr="003B7C15">
        <w:rPr>
          <w:rFonts w:ascii="Arial" w:hAnsi="Arial" w:cs="Arial"/>
          <w:sz w:val="16"/>
          <w:szCs w:val="16"/>
        </w:rPr>
        <w:t xml:space="preserve">Podíl nespecifikovaných států v roce 2013 na celkovém obratu zahraničního obchodu </w:t>
      </w:r>
      <w:r w:rsidR="00A856AE">
        <w:rPr>
          <w:rFonts w:ascii="Arial" w:hAnsi="Arial" w:cs="Arial"/>
          <w:sz w:val="16"/>
          <w:szCs w:val="16"/>
        </w:rPr>
        <w:t>zůstal na</w:t>
      </w:r>
      <w:r w:rsidRPr="003B7C15">
        <w:rPr>
          <w:rFonts w:ascii="Arial" w:hAnsi="Arial" w:cs="Arial"/>
          <w:sz w:val="16"/>
          <w:szCs w:val="16"/>
        </w:rPr>
        <w:t xml:space="preserve"> </w:t>
      </w:r>
      <w:r w:rsidRPr="00B359FC">
        <w:rPr>
          <w:rFonts w:ascii="Arial" w:hAnsi="Arial" w:cs="Arial"/>
          <w:sz w:val="16"/>
          <w:szCs w:val="16"/>
        </w:rPr>
        <w:t>0,3</w:t>
      </w:r>
      <w:r w:rsidRPr="003B7C15">
        <w:rPr>
          <w:rFonts w:ascii="Arial" w:hAnsi="Arial" w:cs="Arial"/>
          <w:sz w:val="16"/>
          <w:szCs w:val="16"/>
        </w:rPr>
        <w:t xml:space="preserve"> %.</w:t>
      </w:r>
    </w:p>
  </w:footnote>
  <w:footnote w:id="5">
    <w:p w:rsidR="001257D5" w:rsidRPr="00E23A64" w:rsidRDefault="001257D5" w:rsidP="001257D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23A64">
        <w:rPr>
          <w:rStyle w:val="Znakapoznpodarou"/>
          <w:rFonts w:ascii="Arial" w:hAnsi="Arial" w:cs="Arial"/>
          <w:sz w:val="16"/>
          <w:szCs w:val="16"/>
        </w:rPr>
        <w:footnoteRef/>
      </w:r>
      <w:r w:rsidRPr="00E23A64">
        <w:rPr>
          <w:rFonts w:ascii="Arial" w:hAnsi="Arial" w:cs="Arial"/>
          <w:sz w:val="16"/>
          <w:szCs w:val="16"/>
        </w:rPr>
        <w:t xml:space="preserve"> Čína (CN), Korejská republika</w:t>
      </w:r>
      <w:r>
        <w:rPr>
          <w:rFonts w:ascii="Arial" w:hAnsi="Arial" w:cs="Arial"/>
          <w:sz w:val="16"/>
          <w:szCs w:val="16"/>
        </w:rPr>
        <w:t xml:space="preserve"> (KR)</w:t>
      </w:r>
      <w:r w:rsidRPr="00E23A6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Ruská federace (RU)</w:t>
      </w:r>
      <w:r w:rsidRPr="00E23A6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Japonsko (JP), </w:t>
      </w:r>
      <w:r w:rsidRPr="00E23A64">
        <w:rPr>
          <w:rFonts w:ascii="Arial" w:hAnsi="Arial" w:cs="Arial"/>
          <w:sz w:val="16"/>
          <w:szCs w:val="16"/>
        </w:rPr>
        <w:t>Ázerb</w:t>
      </w:r>
      <w:r>
        <w:rPr>
          <w:rFonts w:ascii="Arial" w:hAnsi="Arial" w:cs="Arial"/>
          <w:sz w:val="16"/>
          <w:szCs w:val="16"/>
        </w:rPr>
        <w:t>á</w:t>
      </w:r>
      <w:r w:rsidRPr="00E23A64">
        <w:rPr>
          <w:rFonts w:ascii="Arial" w:hAnsi="Arial" w:cs="Arial"/>
          <w:sz w:val="16"/>
          <w:szCs w:val="16"/>
        </w:rPr>
        <w:t>jdžán</w:t>
      </w:r>
      <w:r>
        <w:rPr>
          <w:rFonts w:ascii="Arial" w:hAnsi="Arial" w:cs="Arial"/>
          <w:sz w:val="16"/>
          <w:szCs w:val="16"/>
        </w:rPr>
        <w:t xml:space="preserve"> (AZ)</w:t>
      </w:r>
      <w:r w:rsidRPr="00E23A6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Polsko (PL), </w:t>
      </w:r>
      <w:r w:rsidRPr="00E23A64">
        <w:rPr>
          <w:rFonts w:ascii="Arial" w:hAnsi="Arial" w:cs="Arial"/>
          <w:sz w:val="16"/>
          <w:szCs w:val="16"/>
        </w:rPr>
        <w:t>Německo</w:t>
      </w:r>
      <w:r>
        <w:rPr>
          <w:rFonts w:ascii="Arial" w:hAnsi="Arial" w:cs="Arial"/>
          <w:sz w:val="16"/>
          <w:szCs w:val="16"/>
        </w:rPr>
        <w:t xml:space="preserve"> (DE)</w:t>
      </w:r>
      <w:r w:rsidRPr="00E23A64">
        <w:rPr>
          <w:rFonts w:ascii="Arial" w:hAnsi="Arial" w:cs="Arial"/>
          <w:sz w:val="16"/>
          <w:szCs w:val="16"/>
        </w:rPr>
        <w:t>, Slovensko</w:t>
      </w:r>
      <w:r>
        <w:rPr>
          <w:rFonts w:ascii="Arial" w:hAnsi="Arial" w:cs="Arial"/>
          <w:sz w:val="16"/>
          <w:szCs w:val="16"/>
        </w:rPr>
        <w:t> (SK)</w:t>
      </w:r>
      <w:r w:rsidRPr="00E23A64">
        <w:rPr>
          <w:rFonts w:ascii="Arial" w:hAnsi="Arial" w:cs="Arial"/>
          <w:sz w:val="16"/>
          <w:szCs w:val="16"/>
        </w:rPr>
        <w:t>, Spojené království</w:t>
      </w:r>
      <w:r>
        <w:rPr>
          <w:rFonts w:ascii="Arial" w:hAnsi="Arial" w:cs="Arial"/>
          <w:sz w:val="16"/>
          <w:szCs w:val="16"/>
        </w:rPr>
        <w:t xml:space="preserve"> (GB)</w:t>
      </w:r>
      <w:r w:rsidRPr="00E23A64">
        <w:rPr>
          <w:rFonts w:ascii="Arial" w:hAnsi="Arial" w:cs="Arial"/>
          <w:sz w:val="16"/>
          <w:szCs w:val="16"/>
        </w:rPr>
        <w:t>, Francie</w:t>
      </w:r>
      <w:r>
        <w:rPr>
          <w:rFonts w:ascii="Arial" w:hAnsi="Arial" w:cs="Arial"/>
          <w:sz w:val="16"/>
          <w:szCs w:val="16"/>
        </w:rPr>
        <w:t xml:space="preserve"> (FR)</w:t>
      </w:r>
      <w:r w:rsidRPr="00E23A64">
        <w:rPr>
          <w:rFonts w:ascii="Arial" w:hAnsi="Arial" w:cs="Arial"/>
          <w:sz w:val="16"/>
          <w:szCs w:val="16"/>
        </w:rPr>
        <w:t>, Rakousko</w:t>
      </w:r>
      <w:r>
        <w:rPr>
          <w:rFonts w:ascii="Arial" w:hAnsi="Arial" w:cs="Arial"/>
          <w:sz w:val="16"/>
          <w:szCs w:val="16"/>
        </w:rPr>
        <w:t xml:space="preserve"> (AT), Belgie (BE)</w:t>
      </w:r>
    </w:p>
  </w:footnote>
  <w:footnote w:id="6">
    <w:p w:rsidR="009B66BB" w:rsidRPr="009B66BB" w:rsidRDefault="009B66BB">
      <w:pPr>
        <w:pStyle w:val="Textpoznpodarou"/>
        <w:rPr>
          <w:rFonts w:ascii="Arial" w:hAnsi="Arial" w:cs="Arial"/>
          <w:sz w:val="16"/>
          <w:szCs w:val="16"/>
        </w:rPr>
      </w:pPr>
      <w:r w:rsidRPr="009B66BB">
        <w:rPr>
          <w:rStyle w:val="Znakapoznpodarou"/>
          <w:rFonts w:ascii="Arial" w:hAnsi="Arial" w:cs="Arial"/>
          <w:sz w:val="16"/>
          <w:szCs w:val="16"/>
        </w:rPr>
        <w:footnoteRef/>
      </w:r>
      <w:r w:rsidRPr="009B66BB">
        <w:rPr>
          <w:rFonts w:ascii="Arial" w:hAnsi="Arial" w:cs="Arial"/>
          <w:sz w:val="16"/>
          <w:szCs w:val="16"/>
        </w:rPr>
        <w:t xml:space="preserve">  Údaje </w:t>
      </w:r>
      <w:proofErr w:type="spellStart"/>
      <w:r w:rsidRPr="009B66BB">
        <w:rPr>
          <w:rFonts w:ascii="Arial" w:hAnsi="Arial" w:cs="Arial"/>
          <w:sz w:val="16"/>
          <w:szCs w:val="16"/>
        </w:rPr>
        <w:t>Eurostatu</w:t>
      </w:r>
      <w:proofErr w:type="spellEnd"/>
      <w:r w:rsidRPr="009B66BB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15. srpen 2014</w:t>
      </w:r>
    </w:p>
  </w:footnote>
  <w:footnote w:id="7">
    <w:p w:rsidR="009B4C45" w:rsidRPr="009B4C45" w:rsidRDefault="009B4C45">
      <w:pPr>
        <w:pStyle w:val="Textpoznpodarou"/>
        <w:rPr>
          <w:rFonts w:ascii="Arial" w:hAnsi="Arial" w:cs="Arial"/>
          <w:sz w:val="16"/>
          <w:szCs w:val="16"/>
        </w:rPr>
      </w:pPr>
      <w:r w:rsidRPr="009B4C45">
        <w:rPr>
          <w:rStyle w:val="Znakapoznpodarou"/>
          <w:rFonts w:ascii="Arial" w:hAnsi="Arial" w:cs="Arial"/>
          <w:sz w:val="16"/>
          <w:szCs w:val="16"/>
        </w:rPr>
        <w:footnoteRef/>
      </w:r>
      <w:r w:rsidRPr="009B4C45">
        <w:rPr>
          <w:rFonts w:ascii="Arial" w:hAnsi="Arial" w:cs="Arial"/>
          <w:sz w:val="16"/>
          <w:szCs w:val="16"/>
        </w:rPr>
        <w:t xml:space="preserve"> Výrobky zpracovatelského průmyslu = sekce C (</w:t>
      </w:r>
      <w:r w:rsidR="00B77DBB">
        <w:rPr>
          <w:rFonts w:ascii="Arial" w:hAnsi="Arial" w:cs="Arial"/>
          <w:sz w:val="16"/>
          <w:szCs w:val="16"/>
        </w:rPr>
        <w:t xml:space="preserve">oddíl </w:t>
      </w:r>
      <w:r w:rsidRPr="009B4C45">
        <w:rPr>
          <w:rFonts w:ascii="Arial" w:hAnsi="Arial" w:cs="Arial"/>
          <w:sz w:val="16"/>
          <w:szCs w:val="16"/>
        </w:rPr>
        <w:t>10-3</w:t>
      </w:r>
      <w:r w:rsidR="00B77DBB">
        <w:rPr>
          <w:rFonts w:ascii="Arial" w:hAnsi="Arial" w:cs="Arial"/>
          <w:sz w:val="16"/>
          <w:szCs w:val="16"/>
        </w:rPr>
        <w:t>3</w:t>
      </w:r>
      <w:r w:rsidRPr="009B4C45">
        <w:rPr>
          <w:rFonts w:ascii="Arial" w:hAnsi="Arial" w:cs="Arial"/>
          <w:sz w:val="16"/>
          <w:szCs w:val="16"/>
        </w:rPr>
        <w:t>)</w:t>
      </w:r>
      <w:r w:rsidR="00837A19">
        <w:rPr>
          <w:rFonts w:ascii="Arial" w:hAnsi="Arial" w:cs="Arial"/>
          <w:sz w:val="16"/>
          <w:szCs w:val="16"/>
        </w:rPr>
        <w:t>,</w:t>
      </w:r>
      <w:r w:rsidRPr="009B4C45">
        <w:rPr>
          <w:rFonts w:ascii="Arial" w:hAnsi="Arial" w:cs="Arial"/>
          <w:sz w:val="16"/>
          <w:szCs w:val="16"/>
        </w:rPr>
        <w:t xml:space="preserve"> Klasifikace produkce CZ-CPA</w:t>
      </w:r>
    </w:p>
  </w:footnote>
  <w:footnote w:id="8">
    <w:p w:rsidR="000736BD" w:rsidRPr="00641C6A" w:rsidRDefault="000736BD" w:rsidP="009B4C45">
      <w:pPr>
        <w:pStyle w:val="Textpoznpodarou"/>
        <w:spacing w:after="40"/>
        <w:rPr>
          <w:rFonts w:ascii="Arial" w:hAnsi="Arial" w:cs="Arial"/>
          <w:color w:val="FF0000"/>
          <w:sz w:val="16"/>
          <w:szCs w:val="16"/>
        </w:rPr>
      </w:pPr>
      <w:r w:rsidRPr="00641C6A">
        <w:rPr>
          <w:rStyle w:val="Znakapoznpodarou"/>
          <w:rFonts w:ascii="Arial" w:hAnsi="Arial" w:cs="Arial"/>
          <w:sz w:val="16"/>
          <w:szCs w:val="16"/>
        </w:rPr>
        <w:footnoteRef/>
      </w:r>
      <w:r w:rsidRPr="00641C6A">
        <w:rPr>
          <w:rFonts w:ascii="Arial" w:hAnsi="Arial" w:cs="Arial"/>
          <w:sz w:val="16"/>
          <w:szCs w:val="16"/>
        </w:rPr>
        <w:t xml:space="preserve"> </w:t>
      </w:r>
      <w:r w:rsidRPr="00641C6A">
        <w:rPr>
          <w:rFonts w:ascii="Arial" w:hAnsi="Arial" w:cs="Arial"/>
          <w:sz w:val="16"/>
          <w:szCs w:val="16"/>
          <w:lang w:val="cs-CZ"/>
        </w:rPr>
        <w:t xml:space="preserve">Údaje </w:t>
      </w:r>
      <w:proofErr w:type="spellStart"/>
      <w:r w:rsidRPr="00641C6A">
        <w:rPr>
          <w:rFonts w:ascii="Arial" w:hAnsi="Arial" w:cs="Arial"/>
          <w:sz w:val="16"/>
          <w:szCs w:val="16"/>
          <w:lang w:val="cs-CZ"/>
        </w:rPr>
        <w:t>Eurostatu</w:t>
      </w:r>
      <w:proofErr w:type="spellEnd"/>
      <w:r w:rsidRPr="00D044C0">
        <w:rPr>
          <w:rFonts w:ascii="Arial" w:hAnsi="Arial" w:cs="Arial"/>
          <w:color w:val="000000" w:themeColor="text1"/>
          <w:sz w:val="16"/>
          <w:szCs w:val="16"/>
          <w:lang w:val="cs-CZ"/>
        </w:rPr>
        <w:t>, 15. srpen 201</w:t>
      </w:r>
      <w:r w:rsidRPr="00D044C0">
        <w:rPr>
          <w:rFonts w:ascii="Arial" w:hAnsi="Arial" w:cs="Arial"/>
          <w:color w:val="000000" w:themeColor="text1"/>
          <w:sz w:val="16"/>
          <w:szCs w:val="16"/>
        </w:rPr>
        <w:t>4</w:t>
      </w:r>
      <w:r w:rsidRPr="00641C6A">
        <w:rPr>
          <w:rFonts w:ascii="Arial" w:hAnsi="Arial" w:cs="Arial"/>
          <w:sz w:val="16"/>
          <w:szCs w:val="16"/>
          <w:lang w:val="cs-CZ"/>
        </w:rPr>
        <w:t>.</w:t>
      </w:r>
    </w:p>
  </w:footnote>
  <w:footnote w:id="9">
    <w:p w:rsidR="000736BD" w:rsidRPr="007C5401" w:rsidRDefault="000736BD" w:rsidP="009B4C45">
      <w:pPr>
        <w:pStyle w:val="Textpoznpodarou"/>
        <w:spacing w:after="40"/>
        <w:jc w:val="both"/>
        <w:rPr>
          <w:rFonts w:ascii="Arial" w:hAnsi="Arial" w:cs="Arial"/>
          <w:sz w:val="16"/>
          <w:szCs w:val="16"/>
        </w:rPr>
      </w:pPr>
      <w:r w:rsidRPr="007C5401">
        <w:rPr>
          <w:rStyle w:val="Znakapoznpodarou"/>
          <w:rFonts w:ascii="Arial" w:hAnsi="Arial" w:cs="Arial"/>
          <w:sz w:val="16"/>
          <w:szCs w:val="16"/>
        </w:rPr>
        <w:footnoteRef/>
      </w:r>
      <w:r w:rsidRPr="007C5401">
        <w:rPr>
          <w:rFonts w:ascii="Arial" w:hAnsi="Arial" w:cs="Arial"/>
          <w:sz w:val="16"/>
          <w:szCs w:val="16"/>
        </w:rPr>
        <w:t xml:space="preserve"> </w:t>
      </w:r>
      <w:r w:rsidRPr="007C5401">
        <w:rPr>
          <w:rFonts w:ascii="Arial" w:hAnsi="Arial" w:cs="Arial"/>
          <w:sz w:val="16"/>
          <w:szCs w:val="16"/>
          <w:lang w:val="cs-CZ"/>
        </w:rPr>
        <w:t xml:space="preserve">Státy EU </w:t>
      </w:r>
      <w:r>
        <w:rPr>
          <w:rFonts w:ascii="Arial" w:hAnsi="Arial" w:cs="Arial"/>
          <w:sz w:val="16"/>
          <w:szCs w:val="16"/>
        </w:rPr>
        <w:t>-</w:t>
      </w:r>
      <w:r w:rsidRPr="007C5401">
        <w:rPr>
          <w:rFonts w:ascii="Arial" w:hAnsi="Arial" w:cs="Arial"/>
          <w:sz w:val="16"/>
          <w:szCs w:val="16"/>
          <w:lang w:val="cs-CZ"/>
        </w:rPr>
        <w:t xml:space="preserve"> státy Evropské unie (2</w:t>
      </w:r>
      <w:r w:rsidRPr="007C5401">
        <w:rPr>
          <w:rFonts w:ascii="Arial" w:hAnsi="Arial" w:cs="Arial"/>
          <w:sz w:val="16"/>
          <w:szCs w:val="16"/>
        </w:rPr>
        <w:t>8</w:t>
      </w:r>
      <w:r w:rsidRPr="007C5401">
        <w:rPr>
          <w:rFonts w:ascii="Arial" w:hAnsi="Arial" w:cs="Arial"/>
          <w:sz w:val="16"/>
          <w:szCs w:val="16"/>
          <w:lang w:val="cs-CZ"/>
        </w:rPr>
        <w:t xml:space="preserve"> členských států): Belgie</w:t>
      </w:r>
      <w:r w:rsidR="009B4C45">
        <w:rPr>
          <w:rFonts w:ascii="Arial" w:hAnsi="Arial" w:cs="Arial"/>
          <w:sz w:val="16"/>
          <w:szCs w:val="16"/>
        </w:rPr>
        <w:t xml:space="preserve"> (BE)</w:t>
      </w:r>
      <w:r w:rsidRPr="007C5401">
        <w:rPr>
          <w:rFonts w:ascii="Arial" w:hAnsi="Arial" w:cs="Arial"/>
          <w:sz w:val="16"/>
          <w:szCs w:val="16"/>
          <w:lang w:val="cs-CZ"/>
        </w:rPr>
        <w:t>, Bulharsko</w:t>
      </w:r>
      <w:r w:rsidR="009B4C45">
        <w:rPr>
          <w:rFonts w:ascii="Arial" w:hAnsi="Arial" w:cs="Arial"/>
          <w:sz w:val="16"/>
          <w:szCs w:val="16"/>
        </w:rPr>
        <w:t xml:space="preserve"> (BG)</w:t>
      </w:r>
      <w:r w:rsidRPr="007C5401">
        <w:rPr>
          <w:rFonts w:ascii="Arial" w:hAnsi="Arial" w:cs="Arial"/>
          <w:sz w:val="16"/>
          <w:szCs w:val="16"/>
          <w:lang w:val="cs-CZ"/>
        </w:rPr>
        <w:t>, Česká republika</w:t>
      </w:r>
      <w:r w:rsidR="009B4C45">
        <w:rPr>
          <w:rFonts w:ascii="Arial" w:hAnsi="Arial" w:cs="Arial"/>
          <w:sz w:val="16"/>
          <w:szCs w:val="16"/>
        </w:rPr>
        <w:t xml:space="preserve"> (CZ)</w:t>
      </w:r>
      <w:r w:rsidRPr="007C5401">
        <w:rPr>
          <w:rFonts w:ascii="Arial" w:hAnsi="Arial" w:cs="Arial"/>
          <w:sz w:val="16"/>
          <w:szCs w:val="16"/>
          <w:lang w:val="cs-CZ"/>
        </w:rPr>
        <w:t xml:space="preserve">, </w:t>
      </w:r>
      <w:r w:rsidRPr="00B05445">
        <w:rPr>
          <w:rFonts w:ascii="Arial" w:hAnsi="Arial" w:cs="Arial"/>
          <w:sz w:val="16"/>
          <w:szCs w:val="16"/>
          <w:lang w:val="cs-CZ"/>
        </w:rPr>
        <w:t>Dánsko</w:t>
      </w:r>
      <w:r w:rsidR="00B05445" w:rsidRPr="00B05445">
        <w:rPr>
          <w:rFonts w:ascii="Arial" w:hAnsi="Arial" w:cs="Arial"/>
          <w:sz w:val="16"/>
          <w:szCs w:val="16"/>
        </w:rPr>
        <w:t xml:space="preserve"> (DK)</w:t>
      </w:r>
      <w:r w:rsidRPr="00B05445">
        <w:rPr>
          <w:rFonts w:ascii="Arial" w:hAnsi="Arial" w:cs="Arial"/>
          <w:sz w:val="16"/>
          <w:szCs w:val="16"/>
          <w:lang w:val="cs-CZ"/>
        </w:rPr>
        <w:t>, Estonsko</w:t>
      </w:r>
      <w:r w:rsidR="00B05445">
        <w:rPr>
          <w:rFonts w:ascii="Arial" w:hAnsi="Arial" w:cs="Arial"/>
          <w:sz w:val="16"/>
          <w:szCs w:val="16"/>
        </w:rPr>
        <w:t xml:space="preserve"> (EE)</w:t>
      </w:r>
      <w:r w:rsidRPr="00B05445">
        <w:rPr>
          <w:rFonts w:ascii="Arial" w:hAnsi="Arial" w:cs="Arial"/>
          <w:sz w:val="16"/>
          <w:szCs w:val="16"/>
          <w:lang w:val="cs-CZ"/>
        </w:rPr>
        <w:t>, Finsko</w:t>
      </w:r>
      <w:r w:rsidR="00B05445">
        <w:rPr>
          <w:rFonts w:ascii="Arial" w:hAnsi="Arial" w:cs="Arial"/>
          <w:sz w:val="16"/>
          <w:szCs w:val="16"/>
        </w:rPr>
        <w:t xml:space="preserve"> (FI)</w:t>
      </w:r>
      <w:r w:rsidRPr="00B05445">
        <w:rPr>
          <w:rFonts w:ascii="Arial" w:hAnsi="Arial" w:cs="Arial"/>
          <w:sz w:val="16"/>
          <w:szCs w:val="16"/>
          <w:lang w:val="cs-CZ"/>
        </w:rPr>
        <w:t>, Francie</w:t>
      </w:r>
      <w:r w:rsidR="00B05445">
        <w:rPr>
          <w:rFonts w:ascii="Arial" w:hAnsi="Arial" w:cs="Arial"/>
          <w:sz w:val="16"/>
          <w:szCs w:val="16"/>
        </w:rPr>
        <w:t xml:space="preserve"> (FR)</w:t>
      </w:r>
      <w:r w:rsidRPr="00B05445">
        <w:rPr>
          <w:rFonts w:ascii="Arial" w:hAnsi="Arial" w:cs="Arial"/>
          <w:sz w:val="16"/>
          <w:szCs w:val="16"/>
          <w:lang w:val="cs-CZ"/>
        </w:rPr>
        <w:t xml:space="preserve">, </w:t>
      </w:r>
      <w:r w:rsidRPr="00B05445">
        <w:rPr>
          <w:rFonts w:ascii="Arial" w:hAnsi="Arial" w:cs="Arial"/>
          <w:sz w:val="16"/>
          <w:szCs w:val="16"/>
        </w:rPr>
        <w:t>Chorvatsko</w:t>
      </w:r>
      <w:r w:rsidR="008760F3">
        <w:rPr>
          <w:rFonts w:ascii="Arial" w:hAnsi="Arial" w:cs="Arial"/>
          <w:sz w:val="16"/>
          <w:szCs w:val="16"/>
        </w:rPr>
        <w:t xml:space="preserve"> (HR)</w:t>
      </w:r>
      <w:r w:rsidRPr="00B05445">
        <w:rPr>
          <w:rFonts w:ascii="Arial" w:hAnsi="Arial" w:cs="Arial"/>
          <w:sz w:val="16"/>
          <w:szCs w:val="16"/>
        </w:rPr>
        <w:t xml:space="preserve">, </w:t>
      </w:r>
      <w:r w:rsidRPr="00B05445">
        <w:rPr>
          <w:rFonts w:ascii="Arial" w:hAnsi="Arial" w:cs="Arial"/>
          <w:sz w:val="16"/>
          <w:szCs w:val="16"/>
          <w:lang w:val="cs-CZ"/>
        </w:rPr>
        <w:t>Irsko</w:t>
      </w:r>
      <w:r w:rsidR="00B05445">
        <w:rPr>
          <w:rFonts w:ascii="Arial" w:hAnsi="Arial" w:cs="Arial"/>
          <w:sz w:val="16"/>
          <w:szCs w:val="16"/>
        </w:rPr>
        <w:t xml:space="preserve"> (IE)</w:t>
      </w:r>
      <w:r w:rsidRPr="00B05445">
        <w:rPr>
          <w:rFonts w:ascii="Arial" w:hAnsi="Arial" w:cs="Arial"/>
          <w:sz w:val="16"/>
          <w:szCs w:val="16"/>
          <w:lang w:val="cs-CZ"/>
        </w:rPr>
        <w:t>, Itálie</w:t>
      </w:r>
      <w:r w:rsidR="00B05445">
        <w:rPr>
          <w:rFonts w:ascii="Arial" w:hAnsi="Arial" w:cs="Arial"/>
          <w:sz w:val="16"/>
          <w:szCs w:val="16"/>
        </w:rPr>
        <w:t xml:space="preserve"> (IT)</w:t>
      </w:r>
      <w:r w:rsidRPr="00B05445">
        <w:rPr>
          <w:rFonts w:ascii="Arial" w:hAnsi="Arial" w:cs="Arial"/>
          <w:sz w:val="16"/>
          <w:szCs w:val="16"/>
          <w:lang w:val="cs-CZ"/>
        </w:rPr>
        <w:t>, Kypr</w:t>
      </w:r>
      <w:r w:rsidR="00792526">
        <w:rPr>
          <w:rFonts w:ascii="Arial" w:hAnsi="Arial" w:cs="Arial"/>
          <w:sz w:val="16"/>
          <w:szCs w:val="16"/>
        </w:rPr>
        <w:t xml:space="preserve"> (CY)</w:t>
      </w:r>
      <w:r w:rsidRPr="00B05445">
        <w:rPr>
          <w:rFonts w:ascii="Arial" w:hAnsi="Arial" w:cs="Arial"/>
          <w:sz w:val="16"/>
          <w:szCs w:val="16"/>
          <w:lang w:val="cs-CZ"/>
        </w:rPr>
        <w:t>, Litva</w:t>
      </w:r>
      <w:r w:rsidR="00792526">
        <w:rPr>
          <w:rFonts w:ascii="Arial" w:hAnsi="Arial" w:cs="Arial"/>
          <w:sz w:val="16"/>
          <w:szCs w:val="16"/>
        </w:rPr>
        <w:t xml:space="preserve"> (LT)</w:t>
      </w:r>
      <w:r w:rsidRPr="00B05445">
        <w:rPr>
          <w:rFonts w:ascii="Arial" w:hAnsi="Arial" w:cs="Arial"/>
          <w:sz w:val="16"/>
          <w:szCs w:val="16"/>
          <w:lang w:val="cs-CZ"/>
        </w:rPr>
        <w:t>, Lotyšsko</w:t>
      </w:r>
      <w:r w:rsidR="00792526">
        <w:rPr>
          <w:rFonts w:ascii="Arial" w:hAnsi="Arial" w:cs="Arial"/>
          <w:sz w:val="16"/>
          <w:szCs w:val="16"/>
        </w:rPr>
        <w:t xml:space="preserve"> (LV)</w:t>
      </w:r>
      <w:r w:rsidRPr="00B05445">
        <w:rPr>
          <w:rFonts w:ascii="Arial" w:hAnsi="Arial" w:cs="Arial"/>
          <w:sz w:val="16"/>
          <w:szCs w:val="16"/>
          <w:lang w:val="cs-CZ"/>
        </w:rPr>
        <w:t>, Lucembursko</w:t>
      </w:r>
      <w:r w:rsidR="00792526">
        <w:rPr>
          <w:rFonts w:ascii="Arial" w:hAnsi="Arial" w:cs="Arial"/>
          <w:sz w:val="16"/>
          <w:szCs w:val="16"/>
        </w:rPr>
        <w:t xml:space="preserve"> (LU)</w:t>
      </w:r>
      <w:r w:rsidRPr="00B05445">
        <w:rPr>
          <w:rFonts w:ascii="Arial" w:hAnsi="Arial" w:cs="Arial"/>
          <w:sz w:val="16"/>
          <w:szCs w:val="16"/>
          <w:lang w:val="cs-CZ"/>
        </w:rPr>
        <w:t>, Maďarsko</w:t>
      </w:r>
      <w:r w:rsidR="00792526">
        <w:rPr>
          <w:rFonts w:ascii="Arial" w:hAnsi="Arial" w:cs="Arial"/>
          <w:sz w:val="16"/>
          <w:szCs w:val="16"/>
        </w:rPr>
        <w:t xml:space="preserve"> (HU)</w:t>
      </w:r>
      <w:r w:rsidRPr="00B05445">
        <w:rPr>
          <w:rFonts w:ascii="Arial" w:hAnsi="Arial" w:cs="Arial"/>
          <w:sz w:val="16"/>
          <w:szCs w:val="16"/>
          <w:lang w:val="cs-CZ"/>
        </w:rPr>
        <w:t>, Malta</w:t>
      </w:r>
      <w:r w:rsidR="00792526">
        <w:rPr>
          <w:rFonts w:ascii="Arial" w:hAnsi="Arial" w:cs="Arial"/>
          <w:sz w:val="16"/>
          <w:szCs w:val="16"/>
        </w:rPr>
        <w:t xml:space="preserve"> (MT)</w:t>
      </w:r>
      <w:r w:rsidRPr="00B05445">
        <w:rPr>
          <w:rFonts w:ascii="Arial" w:hAnsi="Arial" w:cs="Arial"/>
          <w:sz w:val="16"/>
          <w:szCs w:val="16"/>
          <w:lang w:val="cs-CZ"/>
        </w:rPr>
        <w:t>, Německo</w:t>
      </w:r>
      <w:r w:rsidR="00792526">
        <w:rPr>
          <w:rFonts w:ascii="Arial" w:hAnsi="Arial" w:cs="Arial"/>
          <w:sz w:val="16"/>
          <w:szCs w:val="16"/>
        </w:rPr>
        <w:t xml:space="preserve"> (DE)</w:t>
      </w:r>
      <w:r w:rsidRPr="00B05445">
        <w:rPr>
          <w:rFonts w:ascii="Arial" w:hAnsi="Arial" w:cs="Arial"/>
          <w:sz w:val="16"/>
          <w:szCs w:val="16"/>
          <w:lang w:val="cs-CZ"/>
        </w:rPr>
        <w:t>, Nizozemsko</w:t>
      </w:r>
      <w:r w:rsidR="00792526">
        <w:rPr>
          <w:rFonts w:ascii="Arial" w:hAnsi="Arial" w:cs="Arial"/>
          <w:sz w:val="16"/>
          <w:szCs w:val="16"/>
        </w:rPr>
        <w:t xml:space="preserve"> (NL)</w:t>
      </w:r>
      <w:r w:rsidRPr="00B05445">
        <w:rPr>
          <w:rFonts w:ascii="Arial" w:hAnsi="Arial" w:cs="Arial"/>
          <w:sz w:val="16"/>
          <w:szCs w:val="16"/>
          <w:lang w:val="cs-CZ"/>
        </w:rPr>
        <w:t>,</w:t>
      </w:r>
      <w:r w:rsidRPr="007C5401">
        <w:rPr>
          <w:rFonts w:ascii="Arial" w:hAnsi="Arial" w:cs="Arial"/>
          <w:sz w:val="16"/>
          <w:szCs w:val="16"/>
          <w:lang w:val="cs-CZ"/>
        </w:rPr>
        <w:t xml:space="preserve"> Polsko</w:t>
      </w:r>
      <w:r w:rsidR="00792526">
        <w:rPr>
          <w:rFonts w:ascii="Arial" w:hAnsi="Arial" w:cs="Arial"/>
          <w:sz w:val="16"/>
          <w:szCs w:val="16"/>
        </w:rPr>
        <w:t xml:space="preserve"> (PL)</w:t>
      </w:r>
      <w:r w:rsidRPr="007C5401">
        <w:rPr>
          <w:rFonts w:ascii="Arial" w:hAnsi="Arial" w:cs="Arial"/>
          <w:sz w:val="16"/>
          <w:szCs w:val="16"/>
          <w:lang w:val="cs-CZ"/>
        </w:rPr>
        <w:t>, Portugalsko</w:t>
      </w:r>
      <w:r w:rsidR="00792526">
        <w:rPr>
          <w:rFonts w:ascii="Arial" w:hAnsi="Arial" w:cs="Arial"/>
          <w:sz w:val="16"/>
          <w:szCs w:val="16"/>
        </w:rPr>
        <w:t xml:space="preserve"> (PT)</w:t>
      </w:r>
      <w:r w:rsidRPr="007C5401">
        <w:rPr>
          <w:rFonts w:ascii="Arial" w:hAnsi="Arial" w:cs="Arial"/>
          <w:sz w:val="16"/>
          <w:szCs w:val="16"/>
          <w:lang w:val="cs-CZ"/>
        </w:rPr>
        <w:t>, Rakousko</w:t>
      </w:r>
      <w:r w:rsidR="00792526">
        <w:rPr>
          <w:rFonts w:ascii="Arial" w:hAnsi="Arial" w:cs="Arial"/>
          <w:sz w:val="16"/>
          <w:szCs w:val="16"/>
        </w:rPr>
        <w:t xml:space="preserve"> (AT)</w:t>
      </w:r>
      <w:r w:rsidRPr="007C5401">
        <w:rPr>
          <w:rFonts w:ascii="Arial" w:hAnsi="Arial" w:cs="Arial"/>
          <w:sz w:val="16"/>
          <w:szCs w:val="16"/>
          <w:lang w:val="cs-CZ"/>
        </w:rPr>
        <w:t>, Rumunsko</w:t>
      </w:r>
      <w:r w:rsidR="00792526">
        <w:rPr>
          <w:rFonts w:ascii="Arial" w:hAnsi="Arial" w:cs="Arial"/>
          <w:sz w:val="16"/>
          <w:szCs w:val="16"/>
        </w:rPr>
        <w:t xml:space="preserve"> (RO)</w:t>
      </w:r>
      <w:r w:rsidRPr="007C5401">
        <w:rPr>
          <w:rFonts w:ascii="Arial" w:hAnsi="Arial" w:cs="Arial"/>
          <w:sz w:val="16"/>
          <w:szCs w:val="16"/>
          <w:lang w:val="cs-CZ"/>
        </w:rPr>
        <w:t>, Řecko</w:t>
      </w:r>
      <w:r w:rsidR="00792526">
        <w:rPr>
          <w:rFonts w:ascii="Arial" w:hAnsi="Arial" w:cs="Arial"/>
          <w:sz w:val="16"/>
          <w:szCs w:val="16"/>
        </w:rPr>
        <w:t xml:space="preserve"> (GR)</w:t>
      </w:r>
      <w:r w:rsidRPr="007C5401">
        <w:rPr>
          <w:rFonts w:ascii="Arial" w:hAnsi="Arial" w:cs="Arial"/>
          <w:sz w:val="16"/>
          <w:szCs w:val="16"/>
          <w:lang w:val="cs-CZ"/>
        </w:rPr>
        <w:t>, Slovensko</w:t>
      </w:r>
      <w:r w:rsidR="00792526">
        <w:rPr>
          <w:rFonts w:ascii="Arial" w:hAnsi="Arial" w:cs="Arial"/>
          <w:sz w:val="16"/>
          <w:szCs w:val="16"/>
        </w:rPr>
        <w:t xml:space="preserve"> (SK)</w:t>
      </w:r>
      <w:r w:rsidRPr="007C5401">
        <w:rPr>
          <w:rFonts w:ascii="Arial" w:hAnsi="Arial" w:cs="Arial"/>
          <w:sz w:val="16"/>
          <w:szCs w:val="16"/>
          <w:lang w:val="cs-CZ"/>
        </w:rPr>
        <w:t>, Slovinsko</w:t>
      </w:r>
      <w:r w:rsidR="00792526">
        <w:rPr>
          <w:rFonts w:ascii="Arial" w:hAnsi="Arial" w:cs="Arial"/>
          <w:sz w:val="16"/>
          <w:szCs w:val="16"/>
        </w:rPr>
        <w:t xml:space="preserve"> (SI)</w:t>
      </w:r>
      <w:r w:rsidRPr="007C5401">
        <w:rPr>
          <w:rFonts w:ascii="Arial" w:hAnsi="Arial" w:cs="Arial"/>
          <w:sz w:val="16"/>
          <w:szCs w:val="16"/>
          <w:lang w:val="cs-CZ"/>
        </w:rPr>
        <w:t>, Spojené království</w:t>
      </w:r>
      <w:r w:rsidR="00792526">
        <w:rPr>
          <w:rFonts w:ascii="Arial" w:hAnsi="Arial" w:cs="Arial"/>
          <w:sz w:val="16"/>
          <w:szCs w:val="16"/>
        </w:rPr>
        <w:t xml:space="preserve"> (GB)</w:t>
      </w:r>
      <w:r w:rsidRPr="007C5401">
        <w:rPr>
          <w:rFonts w:ascii="Arial" w:hAnsi="Arial" w:cs="Arial"/>
          <w:sz w:val="16"/>
          <w:szCs w:val="16"/>
          <w:lang w:val="cs-CZ"/>
        </w:rPr>
        <w:t>, Španělsko</w:t>
      </w:r>
      <w:r w:rsidR="00792526">
        <w:rPr>
          <w:rFonts w:ascii="Arial" w:hAnsi="Arial" w:cs="Arial"/>
          <w:sz w:val="16"/>
          <w:szCs w:val="16"/>
        </w:rPr>
        <w:t xml:space="preserve"> (ES)</w:t>
      </w:r>
      <w:r w:rsidRPr="007C5401">
        <w:rPr>
          <w:rFonts w:ascii="Arial" w:hAnsi="Arial" w:cs="Arial"/>
          <w:sz w:val="16"/>
          <w:szCs w:val="16"/>
          <w:lang w:val="cs-CZ"/>
        </w:rPr>
        <w:t>, Švédsko</w:t>
      </w:r>
      <w:r w:rsidR="00792526">
        <w:rPr>
          <w:rFonts w:ascii="Arial" w:hAnsi="Arial" w:cs="Arial"/>
          <w:sz w:val="16"/>
          <w:szCs w:val="16"/>
        </w:rPr>
        <w:t xml:space="preserve"> (SE)</w:t>
      </w:r>
      <w:r w:rsidRPr="007C5401">
        <w:rPr>
          <w:rFonts w:ascii="Arial" w:hAnsi="Arial" w:cs="Arial"/>
          <w:sz w:val="16"/>
          <w:szCs w:val="16"/>
          <w:lang w:val="cs-CZ"/>
        </w:rPr>
        <w:t>.</w:t>
      </w:r>
    </w:p>
  </w:footnote>
  <w:footnote w:id="10">
    <w:p w:rsidR="00C35F53" w:rsidRPr="00D044C0" w:rsidRDefault="00C35F53" w:rsidP="00C35F53">
      <w:pPr>
        <w:pStyle w:val="Textpoznpodarou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41C6A">
        <w:rPr>
          <w:rStyle w:val="Znakapoznpodarou"/>
          <w:rFonts w:ascii="Arial" w:hAnsi="Arial" w:cs="Arial"/>
          <w:sz w:val="16"/>
          <w:szCs w:val="16"/>
        </w:rPr>
        <w:footnoteRef/>
      </w:r>
      <w:r w:rsidR="00B47FAA" w:rsidRPr="00641C6A">
        <w:rPr>
          <w:rFonts w:ascii="Arial" w:hAnsi="Arial" w:cs="Arial"/>
          <w:sz w:val="16"/>
          <w:szCs w:val="16"/>
        </w:rPr>
        <w:t xml:space="preserve"> </w:t>
      </w:r>
      <w:r w:rsidRPr="00641C6A">
        <w:rPr>
          <w:rFonts w:ascii="Arial" w:hAnsi="Arial" w:cs="Arial"/>
          <w:sz w:val="16"/>
          <w:szCs w:val="16"/>
          <w:lang w:val="cs-CZ"/>
        </w:rPr>
        <w:t>Nové členské státy EU</w:t>
      </w:r>
      <w:r w:rsidRPr="00641C6A">
        <w:rPr>
          <w:rFonts w:ascii="Arial" w:hAnsi="Arial" w:cs="Arial"/>
          <w:color w:val="FF0000"/>
          <w:sz w:val="16"/>
          <w:szCs w:val="16"/>
          <w:lang w:val="cs-CZ"/>
        </w:rPr>
        <w:t xml:space="preserve">: </w:t>
      </w:r>
      <w:r w:rsidRPr="00D044C0">
        <w:rPr>
          <w:rFonts w:ascii="Arial" w:hAnsi="Arial" w:cs="Arial"/>
          <w:color w:val="000000" w:themeColor="text1"/>
          <w:sz w:val="16"/>
          <w:szCs w:val="16"/>
          <w:lang w:val="cs-CZ"/>
        </w:rPr>
        <w:t xml:space="preserve">Bulharsko, Česká republika, Estonsko, </w:t>
      </w:r>
      <w:r w:rsidR="00D044C0" w:rsidRPr="00D044C0">
        <w:rPr>
          <w:rFonts w:ascii="Arial" w:hAnsi="Arial" w:cs="Arial"/>
          <w:color w:val="000000" w:themeColor="text1"/>
          <w:sz w:val="16"/>
          <w:szCs w:val="16"/>
        </w:rPr>
        <w:t xml:space="preserve">Chorvatsko, </w:t>
      </w:r>
      <w:r w:rsidRPr="00D044C0">
        <w:rPr>
          <w:rFonts w:ascii="Arial" w:hAnsi="Arial" w:cs="Arial"/>
          <w:color w:val="000000" w:themeColor="text1"/>
          <w:sz w:val="16"/>
          <w:szCs w:val="16"/>
          <w:lang w:val="cs-CZ"/>
        </w:rPr>
        <w:t>Kypr, Litva, Lotyšsko, Maďarsko, Malta, Polsko, Rumunsko, Slovensko, Slovinsko.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2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64F"/>
    <w:rsid w:val="000000BD"/>
    <w:rsid w:val="00001CBA"/>
    <w:rsid w:val="00002D96"/>
    <w:rsid w:val="000037D6"/>
    <w:rsid w:val="0000416A"/>
    <w:rsid w:val="000041B9"/>
    <w:rsid w:val="00004C15"/>
    <w:rsid w:val="00005080"/>
    <w:rsid w:val="00006BF0"/>
    <w:rsid w:val="00006C32"/>
    <w:rsid w:val="00007233"/>
    <w:rsid w:val="00014033"/>
    <w:rsid w:val="000141C1"/>
    <w:rsid w:val="000154E8"/>
    <w:rsid w:val="00017F19"/>
    <w:rsid w:val="000201C6"/>
    <w:rsid w:val="00020AB4"/>
    <w:rsid w:val="000216F4"/>
    <w:rsid w:val="00024F17"/>
    <w:rsid w:val="00032A9F"/>
    <w:rsid w:val="00037C23"/>
    <w:rsid w:val="00037CA7"/>
    <w:rsid w:val="00041A7F"/>
    <w:rsid w:val="000424B5"/>
    <w:rsid w:val="00043A9F"/>
    <w:rsid w:val="00045737"/>
    <w:rsid w:val="00045906"/>
    <w:rsid w:val="00045DD7"/>
    <w:rsid w:val="00047DAF"/>
    <w:rsid w:val="00051761"/>
    <w:rsid w:val="0005273F"/>
    <w:rsid w:val="00055EF1"/>
    <w:rsid w:val="00056F66"/>
    <w:rsid w:val="000570D6"/>
    <w:rsid w:val="00063920"/>
    <w:rsid w:val="00064371"/>
    <w:rsid w:val="0006607C"/>
    <w:rsid w:val="00066111"/>
    <w:rsid w:val="0006624F"/>
    <w:rsid w:val="000701D6"/>
    <w:rsid w:val="000736BD"/>
    <w:rsid w:val="00074B5C"/>
    <w:rsid w:val="00075C8E"/>
    <w:rsid w:val="000764F0"/>
    <w:rsid w:val="00076C56"/>
    <w:rsid w:val="00077742"/>
    <w:rsid w:val="00081165"/>
    <w:rsid w:val="000819EF"/>
    <w:rsid w:val="00084D6C"/>
    <w:rsid w:val="0009121B"/>
    <w:rsid w:val="000A2857"/>
    <w:rsid w:val="000A3143"/>
    <w:rsid w:val="000A35EC"/>
    <w:rsid w:val="000A36BF"/>
    <w:rsid w:val="000A426F"/>
    <w:rsid w:val="000A66D0"/>
    <w:rsid w:val="000A6ADF"/>
    <w:rsid w:val="000A7389"/>
    <w:rsid w:val="000B4B33"/>
    <w:rsid w:val="000B673C"/>
    <w:rsid w:val="000C11C7"/>
    <w:rsid w:val="000C1ED0"/>
    <w:rsid w:val="000C3A9E"/>
    <w:rsid w:val="000C63B5"/>
    <w:rsid w:val="000C6A56"/>
    <w:rsid w:val="000C7D49"/>
    <w:rsid w:val="000D0CBB"/>
    <w:rsid w:val="000D1A0F"/>
    <w:rsid w:val="000D2464"/>
    <w:rsid w:val="000D6FA9"/>
    <w:rsid w:val="000D7DAC"/>
    <w:rsid w:val="000E0BE7"/>
    <w:rsid w:val="000E0DD4"/>
    <w:rsid w:val="000E5764"/>
    <w:rsid w:val="000E5F22"/>
    <w:rsid w:val="000E7EA9"/>
    <w:rsid w:val="000F31BC"/>
    <w:rsid w:val="000F354B"/>
    <w:rsid w:val="000F3A52"/>
    <w:rsid w:val="000F46EB"/>
    <w:rsid w:val="000F78EF"/>
    <w:rsid w:val="0010029E"/>
    <w:rsid w:val="00105BA7"/>
    <w:rsid w:val="0011092B"/>
    <w:rsid w:val="0011167B"/>
    <w:rsid w:val="00114EFC"/>
    <w:rsid w:val="00120913"/>
    <w:rsid w:val="00120BC1"/>
    <w:rsid w:val="00123A60"/>
    <w:rsid w:val="001243B7"/>
    <w:rsid w:val="001257D5"/>
    <w:rsid w:val="00125E10"/>
    <w:rsid w:val="00131BDC"/>
    <w:rsid w:val="00133C73"/>
    <w:rsid w:val="0013472F"/>
    <w:rsid w:val="00135199"/>
    <w:rsid w:val="00135559"/>
    <w:rsid w:val="00136017"/>
    <w:rsid w:val="00136553"/>
    <w:rsid w:val="00137177"/>
    <w:rsid w:val="001377B3"/>
    <w:rsid w:val="00137873"/>
    <w:rsid w:val="00137C7C"/>
    <w:rsid w:val="00140B48"/>
    <w:rsid w:val="00140CD9"/>
    <w:rsid w:val="00141670"/>
    <w:rsid w:val="00143FDA"/>
    <w:rsid w:val="0014654F"/>
    <w:rsid w:val="0014687C"/>
    <w:rsid w:val="00146EFC"/>
    <w:rsid w:val="0015224F"/>
    <w:rsid w:val="00153176"/>
    <w:rsid w:val="0015344A"/>
    <w:rsid w:val="001621F8"/>
    <w:rsid w:val="00162D5A"/>
    <w:rsid w:val="00163982"/>
    <w:rsid w:val="00166956"/>
    <w:rsid w:val="00171998"/>
    <w:rsid w:val="00173183"/>
    <w:rsid w:val="00174937"/>
    <w:rsid w:val="00177678"/>
    <w:rsid w:val="00180268"/>
    <w:rsid w:val="001811C8"/>
    <w:rsid w:val="00184DB7"/>
    <w:rsid w:val="001866E2"/>
    <w:rsid w:val="00186A7E"/>
    <w:rsid w:val="00186D2C"/>
    <w:rsid w:val="001908C3"/>
    <w:rsid w:val="00192825"/>
    <w:rsid w:val="00192952"/>
    <w:rsid w:val="00193762"/>
    <w:rsid w:val="00193B56"/>
    <w:rsid w:val="001A021F"/>
    <w:rsid w:val="001A72E7"/>
    <w:rsid w:val="001B1A99"/>
    <w:rsid w:val="001B2888"/>
    <w:rsid w:val="001B365D"/>
    <w:rsid w:val="001B39D4"/>
    <w:rsid w:val="001B45D7"/>
    <w:rsid w:val="001B6232"/>
    <w:rsid w:val="001B6DE9"/>
    <w:rsid w:val="001C02B6"/>
    <w:rsid w:val="001C64E4"/>
    <w:rsid w:val="001D185A"/>
    <w:rsid w:val="001D1DE5"/>
    <w:rsid w:val="001D3939"/>
    <w:rsid w:val="001D5B60"/>
    <w:rsid w:val="001D71AB"/>
    <w:rsid w:val="001E3952"/>
    <w:rsid w:val="001E5C31"/>
    <w:rsid w:val="001E720C"/>
    <w:rsid w:val="001F0C30"/>
    <w:rsid w:val="001F30B3"/>
    <w:rsid w:val="001F457D"/>
    <w:rsid w:val="001F53C7"/>
    <w:rsid w:val="002015E3"/>
    <w:rsid w:val="00203007"/>
    <w:rsid w:val="00207D14"/>
    <w:rsid w:val="00213876"/>
    <w:rsid w:val="00213E44"/>
    <w:rsid w:val="0021792C"/>
    <w:rsid w:val="00222016"/>
    <w:rsid w:val="002267AC"/>
    <w:rsid w:val="00226E8C"/>
    <w:rsid w:val="002315BE"/>
    <w:rsid w:val="00231A8B"/>
    <w:rsid w:val="00234653"/>
    <w:rsid w:val="00235DBF"/>
    <w:rsid w:val="00236CAD"/>
    <w:rsid w:val="002373B8"/>
    <w:rsid w:val="00240E58"/>
    <w:rsid w:val="00241C2C"/>
    <w:rsid w:val="00242C2C"/>
    <w:rsid w:val="00246130"/>
    <w:rsid w:val="00247B17"/>
    <w:rsid w:val="00253ED6"/>
    <w:rsid w:val="002549A7"/>
    <w:rsid w:val="00254A29"/>
    <w:rsid w:val="00255048"/>
    <w:rsid w:val="002569C9"/>
    <w:rsid w:val="00261A84"/>
    <w:rsid w:val="0026271B"/>
    <w:rsid w:val="00262B93"/>
    <w:rsid w:val="0026317F"/>
    <w:rsid w:val="0026383E"/>
    <w:rsid w:val="00265C70"/>
    <w:rsid w:val="00267368"/>
    <w:rsid w:val="002679D2"/>
    <w:rsid w:val="00271B15"/>
    <w:rsid w:val="00272263"/>
    <w:rsid w:val="0027491D"/>
    <w:rsid w:val="002762B7"/>
    <w:rsid w:val="00276A71"/>
    <w:rsid w:val="00276E99"/>
    <w:rsid w:val="0027751B"/>
    <w:rsid w:val="0028543A"/>
    <w:rsid w:val="00285DCA"/>
    <w:rsid w:val="0028648B"/>
    <w:rsid w:val="00286AC0"/>
    <w:rsid w:val="002871CB"/>
    <w:rsid w:val="00287B43"/>
    <w:rsid w:val="00287B66"/>
    <w:rsid w:val="00290FA6"/>
    <w:rsid w:val="002924E7"/>
    <w:rsid w:val="0029432A"/>
    <w:rsid w:val="002A1327"/>
    <w:rsid w:val="002A3224"/>
    <w:rsid w:val="002A4003"/>
    <w:rsid w:val="002A7D55"/>
    <w:rsid w:val="002B3833"/>
    <w:rsid w:val="002B4C87"/>
    <w:rsid w:val="002C4329"/>
    <w:rsid w:val="002C50BB"/>
    <w:rsid w:val="002C680E"/>
    <w:rsid w:val="002D128E"/>
    <w:rsid w:val="002D30B5"/>
    <w:rsid w:val="002D55CE"/>
    <w:rsid w:val="002E139D"/>
    <w:rsid w:val="002E2DCB"/>
    <w:rsid w:val="002E40E6"/>
    <w:rsid w:val="002E7C62"/>
    <w:rsid w:val="002F1B2F"/>
    <w:rsid w:val="002F303C"/>
    <w:rsid w:val="002F595A"/>
    <w:rsid w:val="002F7AEA"/>
    <w:rsid w:val="002F7B9C"/>
    <w:rsid w:val="00302CF3"/>
    <w:rsid w:val="0030406D"/>
    <w:rsid w:val="00304473"/>
    <w:rsid w:val="00317CE2"/>
    <w:rsid w:val="003210FA"/>
    <w:rsid w:val="003230FC"/>
    <w:rsid w:val="00323E70"/>
    <w:rsid w:val="00323FDF"/>
    <w:rsid w:val="00325B44"/>
    <w:rsid w:val="00327E99"/>
    <w:rsid w:val="0033069C"/>
    <w:rsid w:val="003321BA"/>
    <w:rsid w:val="0033260D"/>
    <w:rsid w:val="00333FB5"/>
    <w:rsid w:val="00334CE1"/>
    <w:rsid w:val="0034212D"/>
    <w:rsid w:val="00343310"/>
    <w:rsid w:val="00343407"/>
    <w:rsid w:val="00343549"/>
    <w:rsid w:val="0034367E"/>
    <w:rsid w:val="00344ACF"/>
    <w:rsid w:val="00347D2A"/>
    <w:rsid w:val="0035016F"/>
    <w:rsid w:val="00357C49"/>
    <w:rsid w:val="00360703"/>
    <w:rsid w:val="0036197A"/>
    <w:rsid w:val="00365DCD"/>
    <w:rsid w:val="00370DBE"/>
    <w:rsid w:val="003748C1"/>
    <w:rsid w:val="00374E46"/>
    <w:rsid w:val="00376483"/>
    <w:rsid w:val="00376EC3"/>
    <w:rsid w:val="00377092"/>
    <w:rsid w:val="00377931"/>
    <w:rsid w:val="003818DB"/>
    <w:rsid w:val="003865C8"/>
    <w:rsid w:val="00387F58"/>
    <w:rsid w:val="003905E6"/>
    <w:rsid w:val="0039200C"/>
    <w:rsid w:val="00393FAE"/>
    <w:rsid w:val="003942A5"/>
    <w:rsid w:val="003946B9"/>
    <w:rsid w:val="00396218"/>
    <w:rsid w:val="003A03A1"/>
    <w:rsid w:val="003A1E39"/>
    <w:rsid w:val="003A4849"/>
    <w:rsid w:val="003A53D8"/>
    <w:rsid w:val="003A5AEB"/>
    <w:rsid w:val="003A5FEE"/>
    <w:rsid w:val="003B3C2D"/>
    <w:rsid w:val="003B599B"/>
    <w:rsid w:val="003B5F24"/>
    <w:rsid w:val="003B6C10"/>
    <w:rsid w:val="003B788F"/>
    <w:rsid w:val="003B7C15"/>
    <w:rsid w:val="003C19A2"/>
    <w:rsid w:val="003C5560"/>
    <w:rsid w:val="003C6A7E"/>
    <w:rsid w:val="003C7977"/>
    <w:rsid w:val="003D2DA7"/>
    <w:rsid w:val="003D3087"/>
    <w:rsid w:val="003D461D"/>
    <w:rsid w:val="003D7A14"/>
    <w:rsid w:val="003D7C44"/>
    <w:rsid w:val="003D7CAF"/>
    <w:rsid w:val="003E0C9B"/>
    <w:rsid w:val="003E12FA"/>
    <w:rsid w:val="003E458D"/>
    <w:rsid w:val="003F3EEF"/>
    <w:rsid w:val="003F54AF"/>
    <w:rsid w:val="00401B11"/>
    <w:rsid w:val="00415CA6"/>
    <w:rsid w:val="004208D1"/>
    <w:rsid w:val="004212B5"/>
    <w:rsid w:val="00421A21"/>
    <w:rsid w:val="00422B4F"/>
    <w:rsid w:val="0042311E"/>
    <w:rsid w:val="00433C81"/>
    <w:rsid w:val="00434B3E"/>
    <w:rsid w:val="004359FE"/>
    <w:rsid w:val="00437779"/>
    <w:rsid w:val="0044210E"/>
    <w:rsid w:val="00444EA0"/>
    <w:rsid w:val="00450F12"/>
    <w:rsid w:val="004512A3"/>
    <w:rsid w:val="00454F2A"/>
    <w:rsid w:val="0046448E"/>
    <w:rsid w:val="004735EF"/>
    <w:rsid w:val="004737BE"/>
    <w:rsid w:val="0048169D"/>
    <w:rsid w:val="00482DA1"/>
    <w:rsid w:val="00483B6F"/>
    <w:rsid w:val="00486239"/>
    <w:rsid w:val="00487700"/>
    <w:rsid w:val="004937F0"/>
    <w:rsid w:val="004939D1"/>
    <w:rsid w:val="00494507"/>
    <w:rsid w:val="004A2FE2"/>
    <w:rsid w:val="004A3A49"/>
    <w:rsid w:val="004B0137"/>
    <w:rsid w:val="004B147E"/>
    <w:rsid w:val="004B3118"/>
    <w:rsid w:val="004B4BB5"/>
    <w:rsid w:val="004B5ACA"/>
    <w:rsid w:val="004B6356"/>
    <w:rsid w:val="004B73E9"/>
    <w:rsid w:val="004C0D33"/>
    <w:rsid w:val="004C1E3D"/>
    <w:rsid w:val="004C2FD1"/>
    <w:rsid w:val="004C62E4"/>
    <w:rsid w:val="004C680C"/>
    <w:rsid w:val="004C761B"/>
    <w:rsid w:val="004C78DC"/>
    <w:rsid w:val="004D04D0"/>
    <w:rsid w:val="004D1759"/>
    <w:rsid w:val="004D4976"/>
    <w:rsid w:val="004D4F81"/>
    <w:rsid w:val="004D6E95"/>
    <w:rsid w:val="004D6EED"/>
    <w:rsid w:val="004D746C"/>
    <w:rsid w:val="004E0669"/>
    <w:rsid w:val="004E295D"/>
    <w:rsid w:val="004E2AEA"/>
    <w:rsid w:val="004E4802"/>
    <w:rsid w:val="004E48DE"/>
    <w:rsid w:val="004E5AAF"/>
    <w:rsid w:val="004E5BAC"/>
    <w:rsid w:val="004E5C05"/>
    <w:rsid w:val="004E6A05"/>
    <w:rsid w:val="004F3C9A"/>
    <w:rsid w:val="004F4476"/>
    <w:rsid w:val="004F46EB"/>
    <w:rsid w:val="004F6E62"/>
    <w:rsid w:val="004F6FFF"/>
    <w:rsid w:val="004F717C"/>
    <w:rsid w:val="004F77CA"/>
    <w:rsid w:val="00501855"/>
    <w:rsid w:val="00501920"/>
    <w:rsid w:val="005038E6"/>
    <w:rsid w:val="00514134"/>
    <w:rsid w:val="005143F8"/>
    <w:rsid w:val="00515B3C"/>
    <w:rsid w:val="00515C38"/>
    <w:rsid w:val="00521045"/>
    <w:rsid w:val="005217D4"/>
    <w:rsid w:val="00522FF0"/>
    <w:rsid w:val="0052599A"/>
    <w:rsid w:val="00525EDA"/>
    <w:rsid w:val="0053411E"/>
    <w:rsid w:val="0053422B"/>
    <w:rsid w:val="0053648F"/>
    <w:rsid w:val="005367C4"/>
    <w:rsid w:val="00536848"/>
    <w:rsid w:val="0053768C"/>
    <w:rsid w:val="00537C2B"/>
    <w:rsid w:val="00537E04"/>
    <w:rsid w:val="00541603"/>
    <w:rsid w:val="005427AE"/>
    <w:rsid w:val="00543DFC"/>
    <w:rsid w:val="00545F8A"/>
    <w:rsid w:val="00547ED7"/>
    <w:rsid w:val="00552B2D"/>
    <w:rsid w:val="005534AD"/>
    <w:rsid w:val="005537A7"/>
    <w:rsid w:val="00554954"/>
    <w:rsid w:val="00555ED6"/>
    <w:rsid w:val="00556989"/>
    <w:rsid w:val="00561281"/>
    <w:rsid w:val="005615B6"/>
    <w:rsid w:val="00561A28"/>
    <w:rsid w:val="00575F09"/>
    <w:rsid w:val="0058084F"/>
    <w:rsid w:val="005819AF"/>
    <w:rsid w:val="005873B1"/>
    <w:rsid w:val="00587CAA"/>
    <w:rsid w:val="005902AB"/>
    <w:rsid w:val="00595C6C"/>
    <w:rsid w:val="0059669B"/>
    <w:rsid w:val="005A15B4"/>
    <w:rsid w:val="005A3648"/>
    <w:rsid w:val="005A5215"/>
    <w:rsid w:val="005A5C38"/>
    <w:rsid w:val="005B3F2B"/>
    <w:rsid w:val="005B415F"/>
    <w:rsid w:val="005B566D"/>
    <w:rsid w:val="005B578F"/>
    <w:rsid w:val="005B764F"/>
    <w:rsid w:val="005C2345"/>
    <w:rsid w:val="005C5BD9"/>
    <w:rsid w:val="005D0995"/>
    <w:rsid w:val="005D1DAD"/>
    <w:rsid w:val="005D427E"/>
    <w:rsid w:val="005D4CCC"/>
    <w:rsid w:val="005D4F62"/>
    <w:rsid w:val="005D748F"/>
    <w:rsid w:val="005D7934"/>
    <w:rsid w:val="005E0779"/>
    <w:rsid w:val="005E1B07"/>
    <w:rsid w:val="005E1C8C"/>
    <w:rsid w:val="005E4E58"/>
    <w:rsid w:val="005E5CFD"/>
    <w:rsid w:val="005F1372"/>
    <w:rsid w:val="005F14A0"/>
    <w:rsid w:val="005F17E8"/>
    <w:rsid w:val="005F3326"/>
    <w:rsid w:val="005F66AB"/>
    <w:rsid w:val="005F7E2B"/>
    <w:rsid w:val="006000D3"/>
    <w:rsid w:val="00604EE1"/>
    <w:rsid w:val="00606E85"/>
    <w:rsid w:val="006104FF"/>
    <w:rsid w:val="00612212"/>
    <w:rsid w:val="00613E27"/>
    <w:rsid w:val="0061736F"/>
    <w:rsid w:val="00625D54"/>
    <w:rsid w:val="00630F0C"/>
    <w:rsid w:val="00631604"/>
    <w:rsid w:val="00632497"/>
    <w:rsid w:val="0063397A"/>
    <w:rsid w:val="0063419A"/>
    <w:rsid w:val="006348CE"/>
    <w:rsid w:val="00635050"/>
    <w:rsid w:val="00636EA2"/>
    <w:rsid w:val="0064047E"/>
    <w:rsid w:val="00640DB2"/>
    <w:rsid w:val="00640E04"/>
    <w:rsid w:val="006413FF"/>
    <w:rsid w:val="00641C6A"/>
    <w:rsid w:val="00641DBE"/>
    <w:rsid w:val="006426F0"/>
    <w:rsid w:val="00643524"/>
    <w:rsid w:val="00645075"/>
    <w:rsid w:val="00645A6F"/>
    <w:rsid w:val="00652483"/>
    <w:rsid w:val="00660A70"/>
    <w:rsid w:val="00661D94"/>
    <w:rsid w:val="006625FA"/>
    <w:rsid w:val="00664E56"/>
    <w:rsid w:val="0066724E"/>
    <w:rsid w:val="006716BC"/>
    <w:rsid w:val="006768D7"/>
    <w:rsid w:val="00680402"/>
    <w:rsid w:val="0068177E"/>
    <w:rsid w:val="00681878"/>
    <w:rsid w:val="00682BF8"/>
    <w:rsid w:val="006858FE"/>
    <w:rsid w:val="0069567E"/>
    <w:rsid w:val="00696670"/>
    <w:rsid w:val="00697E53"/>
    <w:rsid w:val="006A1CED"/>
    <w:rsid w:val="006A2B99"/>
    <w:rsid w:val="006A4392"/>
    <w:rsid w:val="006A7517"/>
    <w:rsid w:val="006B1028"/>
    <w:rsid w:val="006B35D2"/>
    <w:rsid w:val="006B540F"/>
    <w:rsid w:val="006B5616"/>
    <w:rsid w:val="006B753C"/>
    <w:rsid w:val="006B7E34"/>
    <w:rsid w:val="006C04FD"/>
    <w:rsid w:val="006C2CE0"/>
    <w:rsid w:val="006C306C"/>
    <w:rsid w:val="006C479F"/>
    <w:rsid w:val="006C51A0"/>
    <w:rsid w:val="006C588F"/>
    <w:rsid w:val="006D2898"/>
    <w:rsid w:val="006D5434"/>
    <w:rsid w:val="006E12ED"/>
    <w:rsid w:val="006E5800"/>
    <w:rsid w:val="006E7050"/>
    <w:rsid w:val="006E736A"/>
    <w:rsid w:val="006F39F9"/>
    <w:rsid w:val="006F6FAF"/>
    <w:rsid w:val="00703099"/>
    <w:rsid w:val="00704105"/>
    <w:rsid w:val="00704296"/>
    <w:rsid w:val="007063D6"/>
    <w:rsid w:val="00706444"/>
    <w:rsid w:val="0072049A"/>
    <w:rsid w:val="00721FBD"/>
    <w:rsid w:val="00722A69"/>
    <w:rsid w:val="007244D9"/>
    <w:rsid w:val="007279E6"/>
    <w:rsid w:val="00727A92"/>
    <w:rsid w:val="00730B0E"/>
    <w:rsid w:val="007339E2"/>
    <w:rsid w:val="00733B3C"/>
    <w:rsid w:val="00733D16"/>
    <w:rsid w:val="0073456A"/>
    <w:rsid w:val="0073680C"/>
    <w:rsid w:val="0074248B"/>
    <w:rsid w:val="00743182"/>
    <w:rsid w:val="00743F9E"/>
    <w:rsid w:val="00744200"/>
    <w:rsid w:val="00744554"/>
    <w:rsid w:val="00746389"/>
    <w:rsid w:val="007472B0"/>
    <w:rsid w:val="00747CF3"/>
    <w:rsid w:val="00753626"/>
    <w:rsid w:val="0075635F"/>
    <w:rsid w:val="007578A6"/>
    <w:rsid w:val="00761AAE"/>
    <w:rsid w:val="00761E29"/>
    <w:rsid w:val="00761F87"/>
    <w:rsid w:val="00766039"/>
    <w:rsid w:val="007673BF"/>
    <w:rsid w:val="007678FC"/>
    <w:rsid w:val="007739FD"/>
    <w:rsid w:val="007763D0"/>
    <w:rsid w:val="00776ACB"/>
    <w:rsid w:val="007774DB"/>
    <w:rsid w:val="00781486"/>
    <w:rsid w:val="0078511A"/>
    <w:rsid w:val="00785A35"/>
    <w:rsid w:val="00787E6F"/>
    <w:rsid w:val="00791382"/>
    <w:rsid w:val="00792096"/>
    <w:rsid w:val="00792526"/>
    <w:rsid w:val="00794C23"/>
    <w:rsid w:val="00795362"/>
    <w:rsid w:val="00797659"/>
    <w:rsid w:val="007A014D"/>
    <w:rsid w:val="007A016C"/>
    <w:rsid w:val="007A6C5C"/>
    <w:rsid w:val="007B263B"/>
    <w:rsid w:val="007B2CDA"/>
    <w:rsid w:val="007B7769"/>
    <w:rsid w:val="007C24C7"/>
    <w:rsid w:val="007C5401"/>
    <w:rsid w:val="007D109F"/>
    <w:rsid w:val="007D5928"/>
    <w:rsid w:val="007D5DCD"/>
    <w:rsid w:val="007E25D5"/>
    <w:rsid w:val="007E6FD1"/>
    <w:rsid w:val="007F1BD4"/>
    <w:rsid w:val="007F27D5"/>
    <w:rsid w:val="007F2A1B"/>
    <w:rsid w:val="007F3E5F"/>
    <w:rsid w:val="007F43D1"/>
    <w:rsid w:val="00800511"/>
    <w:rsid w:val="00801044"/>
    <w:rsid w:val="00801D43"/>
    <w:rsid w:val="008022B1"/>
    <w:rsid w:val="00802A7C"/>
    <w:rsid w:val="008042D0"/>
    <w:rsid w:val="00806E90"/>
    <w:rsid w:val="00807AB2"/>
    <w:rsid w:val="00811B0F"/>
    <w:rsid w:val="00814C63"/>
    <w:rsid w:val="0081568F"/>
    <w:rsid w:val="00815A27"/>
    <w:rsid w:val="00816CA5"/>
    <w:rsid w:val="00820544"/>
    <w:rsid w:val="00821AA7"/>
    <w:rsid w:val="00823FF9"/>
    <w:rsid w:val="00824902"/>
    <w:rsid w:val="00825F1C"/>
    <w:rsid w:val="00827A8F"/>
    <w:rsid w:val="008333B9"/>
    <w:rsid w:val="008336FB"/>
    <w:rsid w:val="00833758"/>
    <w:rsid w:val="0083519E"/>
    <w:rsid w:val="00836D74"/>
    <w:rsid w:val="008379BD"/>
    <w:rsid w:val="00837A19"/>
    <w:rsid w:val="008402F3"/>
    <w:rsid w:val="008404CB"/>
    <w:rsid w:val="008436D6"/>
    <w:rsid w:val="00843770"/>
    <w:rsid w:val="00844391"/>
    <w:rsid w:val="008479C4"/>
    <w:rsid w:val="00852EB4"/>
    <w:rsid w:val="0086362E"/>
    <w:rsid w:val="0086400B"/>
    <w:rsid w:val="00865909"/>
    <w:rsid w:val="00866D9B"/>
    <w:rsid w:val="00867D3C"/>
    <w:rsid w:val="008703AB"/>
    <w:rsid w:val="00871F56"/>
    <w:rsid w:val="008722E5"/>
    <w:rsid w:val="008734B8"/>
    <w:rsid w:val="00873EB7"/>
    <w:rsid w:val="0087418E"/>
    <w:rsid w:val="008760F3"/>
    <w:rsid w:val="00876C91"/>
    <w:rsid w:val="00883AFD"/>
    <w:rsid w:val="00885014"/>
    <w:rsid w:val="008856D9"/>
    <w:rsid w:val="00885A4D"/>
    <w:rsid w:val="00886440"/>
    <w:rsid w:val="00891781"/>
    <w:rsid w:val="00893BD5"/>
    <w:rsid w:val="008A2C30"/>
    <w:rsid w:val="008A4245"/>
    <w:rsid w:val="008A5118"/>
    <w:rsid w:val="008A7122"/>
    <w:rsid w:val="008B0C5C"/>
    <w:rsid w:val="008B3209"/>
    <w:rsid w:val="008C4AA1"/>
    <w:rsid w:val="008C7297"/>
    <w:rsid w:val="008D07AB"/>
    <w:rsid w:val="008D11F0"/>
    <w:rsid w:val="008D3CA6"/>
    <w:rsid w:val="008D48B0"/>
    <w:rsid w:val="008D5243"/>
    <w:rsid w:val="008D5755"/>
    <w:rsid w:val="008D61FE"/>
    <w:rsid w:val="008D6FEA"/>
    <w:rsid w:val="008D7261"/>
    <w:rsid w:val="008D7A8E"/>
    <w:rsid w:val="008E1519"/>
    <w:rsid w:val="008E2A04"/>
    <w:rsid w:val="008E5DD3"/>
    <w:rsid w:val="008E5DDB"/>
    <w:rsid w:val="008E654A"/>
    <w:rsid w:val="008E7B82"/>
    <w:rsid w:val="008F0084"/>
    <w:rsid w:val="008F0235"/>
    <w:rsid w:val="008F0F15"/>
    <w:rsid w:val="008F4521"/>
    <w:rsid w:val="008F4834"/>
    <w:rsid w:val="008F6BBE"/>
    <w:rsid w:val="00901016"/>
    <w:rsid w:val="00902815"/>
    <w:rsid w:val="00904380"/>
    <w:rsid w:val="00904633"/>
    <w:rsid w:val="00904A60"/>
    <w:rsid w:val="00905CBA"/>
    <w:rsid w:val="00905CE0"/>
    <w:rsid w:val="00906313"/>
    <w:rsid w:val="009065FF"/>
    <w:rsid w:val="00910187"/>
    <w:rsid w:val="009104AD"/>
    <w:rsid w:val="009143C7"/>
    <w:rsid w:val="00916644"/>
    <w:rsid w:val="00916826"/>
    <w:rsid w:val="00916CBC"/>
    <w:rsid w:val="00920F40"/>
    <w:rsid w:val="00924372"/>
    <w:rsid w:val="00926FFA"/>
    <w:rsid w:val="00930626"/>
    <w:rsid w:val="00930D56"/>
    <w:rsid w:val="009324B6"/>
    <w:rsid w:val="00933817"/>
    <w:rsid w:val="00936233"/>
    <w:rsid w:val="0093654D"/>
    <w:rsid w:val="009404B4"/>
    <w:rsid w:val="009409D8"/>
    <w:rsid w:val="00941B04"/>
    <w:rsid w:val="00945013"/>
    <w:rsid w:val="00950C0C"/>
    <w:rsid w:val="00954A64"/>
    <w:rsid w:val="0095508D"/>
    <w:rsid w:val="00961317"/>
    <w:rsid w:val="00962260"/>
    <w:rsid w:val="009622A8"/>
    <w:rsid w:val="00964DC9"/>
    <w:rsid w:val="00965117"/>
    <w:rsid w:val="009655D3"/>
    <w:rsid w:val="009714DE"/>
    <w:rsid w:val="009742D0"/>
    <w:rsid w:val="00975862"/>
    <w:rsid w:val="00976D99"/>
    <w:rsid w:val="00976F91"/>
    <w:rsid w:val="00977CBE"/>
    <w:rsid w:val="00981850"/>
    <w:rsid w:val="00982B07"/>
    <w:rsid w:val="00984B06"/>
    <w:rsid w:val="009856D7"/>
    <w:rsid w:val="00985C75"/>
    <w:rsid w:val="00987CD4"/>
    <w:rsid w:val="009932A8"/>
    <w:rsid w:val="009958EC"/>
    <w:rsid w:val="00997BB1"/>
    <w:rsid w:val="009A2A4B"/>
    <w:rsid w:val="009A574F"/>
    <w:rsid w:val="009A6367"/>
    <w:rsid w:val="009A79FC"/>
    <w:rsid w:val="009A7B54"/>
    <w:rsid w:val="009B4C45"/>
    <w:rsid w:val="009B66BB"/>
    <w:rsid w:val="009B67E5"/>
    <w:rsid w:val="009B73CE"/>
    <w:rsid w:val="009C0B7F"/>
    <w:rsid w:val="009C484A"/>
    <w:rsid w:val="009C4D19"/>
    <w:rsid w:val="009C5DBC"/>
    <w:rsid w:val="009C659C"/>
    <w:rsid w:val="009C713D"/>
    <w:rsid w:val="009D09FD"/>
    <w:rsid w:val="009D14FB"/>
    <w:rsid w:val="009D5884"/>
    <w:rsid w:val="009D5A45"/>
    <w:rsid w:val="009D686C"/>
    <w:rsid w:val="009D7213"/>
    <w:rsid w:val="009E532D"/>
    <w:rsid w:val="009F197D"/>
    <w:rsid w:val="009F2217"/>
    <w:rsid w:val="009F2910"/>
    <w:rsid w:val="009F399C"/>
    <w:rsid w:val="00A103EC"/>
    <w:rsid w:val="00A11446"/>
    <w:rsid w:val="00A12A83"/>
    <w:rsid w:val="00A12B4D"/>
    <w:rsid w:val="00A13E8C"/>
    <w:rsid w:val="00A155C3"/>
    <w:rsid w:val="00A1707C"/>
    <w:rsid w:val="00A1716E"/>
    <w:rsid w:val="00A1795D"/>
    <w:rsid w:val="00A2394B"/>
    <w:rsid w:val="00A256CF"/>
    <w:rsid w:val="00A25D22"/>
    <w:rsid w:val="00A2688E"/>
    <w:rsid w:val="00A27962"/>
    <w:rsid w:val="00A27BF2"/>
    <w:rsid w:val="00A27E14"/>
    <w:rsid w:val="00A303C1"/>
    <w:rsid w:val="00A30FF5"/>
    <w:rsid w:val="00A315D8"/>
    <w:rsid w:val="00A32F92"/>
    <w:rsid w:val="00A361F7"/>
    <w:rsid w:val="00A37B75"/>
    <w:rsid w:val="00A37D04"/>
    <w:rsid w:val="00A37EAA"/>
    <w:rsid w:val="00A42C9F"/>
    <w:rsid w:val="00A435FD"/>
    <w:rsid w:val="00A46B12"/>
    <w:rsid w:val="00A46B20"/>
    <w:rsid w:val="00A5112B"/>
    <w:rsid w:val="00A51CC0"/>
    <w:rsid w:val="00A5789E"/>
    <w:rsid w:val="00A605B9"/>
    <w:rsid w:val="00A60AA1"/>
    <w:rsid w:val="00A645BC"/>
    <w:rsid w:val="00A6752F"/>
    <w:rsid w:val="00A67CE5"/>
    <w:rsid w:val="00A70972"/>
    <w:rsid w:val="00A71825"/>
    <w:rsid w:val="00A72588"/>
    <w:rsid w:val="00A72BB8"/>
    <w:rsid w:val="00A7468A"/>
    <w:rsid w:val="00A80893"/>
    <w:rsid w:val="00A823E4"/>
    <w:rsid w:val="00A83375"/>
    <w:rsid w:val="00A856AE"/>
    <w:rsid w:val="00A9005F"/>
    <w:rsid w:val="00A909D8"/>
    <w:rsid w:val="00A922F2"/>
    <w:rsid w:val="00A97520"/>
    <w:rsid w:val="00AA3B2B"/>
    <w:rsid w:val="00AA3E9A"/>
    <w:rsid w:val="00AA5922"/>
    <w:rsid w:val="00AA6671"/>
    <w:rsid w:val="00AA7DA4"/>
    <w:rsid w:val="00AB3D68"/>
    <w:rsid w:val="00AB5A4B"/>
    <w:rsid w:val="00AB665D"/>
    <w:rsid w:val="00AB6705"/>
    <w:rsid w:val="00AD00A1"/>
    <w:rsid w:val="00AD0DC8"/>
    <w:rsid w:val="00AD4A8F"/>
    <w:rsid w:val="00AD5AF1"/>
    <w:rsid w:val="00AD6DF7"/>
    <w:rsid w:val="00AD7070"/>
    <w:rsid w:val="00AD7C10"/>
    <w:rsid w:val="00AE1AA0"/>
    <w:rsid w:val="00AE4319"/>
    <w:rsid w:val="00AE6C88"/>
    <w:rsid w:val="00AF215D"/>
    <w:rsid w:val="00AF26F3"/>
    <w:rsid w:val="00AF44DE"/>
    <w:rsid w:val="00AF592E"/>
    <w:rsid w:val="00AF5F5E"/>
    <w:rsid w:val="00B02DB8"/>
    <w:rsid w:val="00B04032"/>
    <w:rsid w:val="00B04092"/>
    <w:rsid w:val="00B05445"/>
    <w:rsid w:val="00B073D7"/>
    <w:rsid w:val="00B131D2"/>
    <w:rsid w:val="00B13688"/>
    <w:rsid w:val="00B13A9E"/>
    <w:rsid w:val="00B13B76"/>
    <w:rsid w:val="00B151DA"/>
    <w:rsid w:val="00B178EE"/>
    <w:rsid w:val="00B214F4"/>
    <w:rsid w:val="00B2160A"/>
    <w:rsid w:val="00B24AC1"/>
    <w:rsid w:val="00B260D2"/>
    <w:rsid w:val="00B2745B"/>
    <w:rsid w:val="00B27F56"/>
    <w:rsid w:val="00B3052F"/>
    <w:rsid w:val="00B31505"/>
    <w:rsid w:val="00B3284C"/>
    <w:rsid w:val="00B3356E"/>
    <w:rsid w:val="00B359FC"/>
    <w:rsid w:val="00B36213"/>
    <w:rsid w:val="00B43C70"/>
    <w:rsid w:val="00B440FD"/>
    <w:rsid w:val="00B44813"/>
    <w:rsid w:val="00B47FAA"/>
    <w:rsid w:val="00B5670A"/>
    <w:rsid w:val="00B6127B"/>
    <w:rsid w:val="00B623B5"/>
    <w:rsid w:val="00B64682"/>
    <w:rsid w:val="00B64EC6"/>
    <w:rsid w:val="00B65E46"/>
    <w:rsid w:val="00B66705"/>
    <w:rsid w:val="00B702BC"/>
    <w:rsid w:val="00B757FD"/>
    <w:rsid w:val="00B768D8"/>
    <w:rsid w:val="00B76B17"/>
    <w:rsid w:val="00B775E5"/>
    <w:rsid w:val="00B77DBB"/>
    <w:rsid w:val="00B85EF2"/>
    <w:rsid w:val="00B85F93"/>
    <w:rsid w:val="00B87037"/>
    <w:rsid w:val="00B873F4"/>
    <w:rsid w:val="00B94FDA"/>
    <w:rsid w:val="00B9663F"/>
    <w:rsid w:val="00B96B79"/>
    <w:rsid w:val="00BA17E6"/>
    <w:rsid w:val="00BA1859"/>
    <w:rsid w:val="00BA230B"/>
    <w:rsid w:val="00BA47D6"/>
    <w:rsid w:val="00BB687C"/>
    <w:rsid w:val="00BC4667"/>
    <w:rsid w:val="00BC7C39"/>
    <w:rsid w:val="00BD2D03"/>
    <w:rsid w:val="00BD2E2F"/>
    <w:rsid w:val="00BD452E"/>
    <w:rsid w:val="00BD5EEB"/>
    <w:rsid w:val="00BD66DF"/>
    <w:rsid w:val="00BD7DE4"/>
    <w:rsid w:val="00BE4513"/>
    <w:rsid w:val="00BE7715"/>
    <w:rsid w:val="00BF0237"/>
    <w:rsid w:val="00BF185B"/>
    <w:rsid w:val="00BF2CF4"/>
    <w:rsid w:val="00BF75E7"/>
    <w:rsid w:val="00C00468"/>
    <w:rsid w:val="00C00CB0"/>
    <w:rsid w:val="00C041E7"/>
    <w:rsid w:val="00C045AA"/>
    <w:rsid w:val="00C0468A"/>
    <w:rsid w:val="00C21A3D"/>
    <w:rsid w:val="00C21A4D"/>
    <w:rsid w:val="00C22030"/>
    <w:rsid w:val="00C223B9"/>
    <w:rsid w:val="00C25097"/>
    <w:rsid w:val="00C34D90"/>
    <w:rsid w:val="00C34DF2"/>
    <w:rsid w:val="00C35F53"/>
    <w:rsid w:val="00C40432"/>
    <w:rsid w:val="00C42AC2"/>
    <w:rsid w:val="00C438E1"/>
    <w:rsid w:val="00C4465F"/>
    <w:rsid w:val="00C463A1"/>
    <w:rsid w:val="00C52E32"/>
    <w:rsid w:val="00C5360D"/>
    <w:rsid w:val="00C54BB8"/>
    <w:rsid w:val="00C558F6"/>
    <w:rsid w:val="00C57787"/>
    <w:rsid w:val="00C61428"/>
    <w:rsid w:val="00C614B8"/>
    <w:rsid w:val="00C63DC9"/>
    <w:rsid w:val="00C64868"/>
    <w:rsid w:val="00C70C85"/>
    <w:rsid w:val="00C71630"/>
    <w:rsid w:val="00C73284"/>
    <w:rsid w:val="00C73806"/>
    <w:rsid w:val="00C74486"/>
    <w:rsid w:val="00C82C06"/>
    <w:rsid w:val="00C860FA"/>
    <w:rsid w:val="00C86DBE"/>
    <w:rsid w:val="00C91AD1"/>
    <w:rsid w:val="00C93D3D"/>
    <w:rsid w:val="00CA0EDC"/>
    <w:rsid w:val="00CA28AC"/>
    <w:rsid w:val="00CA2948"/>
    <w:rsid w:val="00CA30FE"/>
    <w:rsid w:val="00CB0ED6"/>
    <w:rsid w:val="00CB12D0"/>
    <w:rsid w:val="00CB2C5E"/>
    <w:rsid w:val="00CB4357"/>
    <w:rsid w:val="00CB52CD"/>
    <w:rsid w:val="00CB5F5C"/>
    <w:rsid w:val="00CB6005"/>
    <w:rsid w:val="00CC1E05"/>
    <w:rsid w:val="00CD0815"/>
    <w:rsid w:val="00CD0F51"/>
    <w:rsid w:val="00CD3904"/>
    <w:rsid w:val="00CD39B1"/>
    <w:rsid w:val="00CD53A4"/>
    <w:rsid w:val="00CD6477"/>
    <w:rsid w:val="00CD715D"/>
    <w:rsid w:val="00CE17FE"/>
    <w:rsid w:val="00CE1909"/>
    <w:rsid w:val="00CE2F72"/>
    <w:rsid w:val="00CE33FE"/>
    <w:rsid w:val="00CE4755"/>
    <w:rsid w:val="00CF2498"/>
    <w:rsid w:val="00CF44E6"/>
    <w:rsid w:val="00CF7522"/>
    <w:rsid w:val="00D0337A"/>
    <w:rsid w:val="00D036F4"/>
    <w:rsid w:val="00D044C0"/>
    <w:rsid w:val="00D0468D"/>
    <w:rsid w:val="00D05F01"/>
    <w:rsid w:val="00D123F4"/>
    <w:rsid w:val="00D12730"/>
    <w:rsid w:val="00D16B50"/>
    <w:rsid w:val="00D171EE"/>
    <w:rsid w:val="00D21288"/>
    <w:rsid w:val="00D232CF"/>
    <w:rsid w:val="00D248F1"/>
    <w:rsid w:val="00D2713D"/>
    <w:rsid w:val="00D317E1"/>
    <w:rsid w:val="00D3221B"/>
    <w:rsid w:val="00D32B7F"/>
    <w:rsid w:val="00D3302D"/>
    <w:rsid w:val="00D334B4"/>
    <w:rsid w:val="00D343C0"/>
    <w:rsid w:val="00D345CC"/>
    <w:rsid w:val="00D34C9B"/>
    <w:rsid w:val="00D375A7"/>
    <w:rsid w:val="00D41C8B"/>
    <w:rsid w:val="00D43A21"/>
    <w:rsid w:val="00D4771F"/>
    <w:rsid w:val="00D5296A"/>
    <w:rsid w:val="00D52FE7"/>
    <w:rsid w:val="00D614CE"/>
    <w:rsid w:val="00D615CE"/>
    <w:rsid w:val="00D651E6"/>
    <w:rsid w:val="00D66A3F"/>
    <w:rsid w:val="00D67046"/>
    <w:rsid w:val="00D72B61"/>
    <w:rsid w:val="00D753E7"/>
    <w:rsid w:val="00D81601"/>
    <w:rsid w:val="00D82EC6"/>
    <w:rsid w:val="00D95B07"/>
    <w:rsid w:val="00D97D19"/>
    <w:rsid w:val="00DA1CE0"/>
    <w:rsid w:val="00DA3802"/>
    <w:rsid w:val="00DA5816"/>
    <w:rsid w:val="00DB0B7B"/>
    <w:rsid w:val="00DB3623"/>
    <w:rsid w:val="00DB6C49"/>
    <w:rsid w:val="00DC07DE"/>
    <w:rsid w:val="00DC146B"/>
    <w:rsid w:val="00DC27C2"/>
    <w:rsid w:val="00DC558F"/>
    <w:rsid w:val="00DC7653"/>
    <w:rsid w:val="00DD149F"/>
    <w:rsid w:val="00DD2489"/>
    <w:rsid w:val="00DD36D9"/>
    <w:rsid w:val="00DE1A44"/>
    <w:rsid w:val="00DE21C7"/>
    <w:rsid w:val="00DE5DE0"/>
    <w:rsid w:val="00DE6FA7"/>
    <w:rsid w:val="00DE7639"/>
    <w:rsid w:val="00DF00E3"/>
    <w:rsid w:val="00DF1293"/>
    <w:rsid w:val="00DF2004"/>
    <w:rsid w:val="00DF23A8"/>
    <w:rsid w:val="00DF48F3"/>
    <w:rsid w:val="00DF4BAF"/>
    <w:rsid w:val="00DF4F3F"/>
    <w:rsid w:val="00DF6250"/>
    <w:rsid w:val="00DF74EE"/>
    <w:rsid w:val="00DF7781"/>
    <w:rsid w:val="00E03BED"/>
    <w:rsid w:val="00E040BE"/>
    <w:rsid w:val="00E070C5"/>
    <w:rsid w:val="00E103AB"/>
    <w:rsid w:val="00E107D9"/>
    <w:rsid w:val="00E10A02"/>
    <w:rsid w:val="00E12DF5"/>
    <w:rsid w:val="00E14932"/>
    <w:rsid w:val="00E16F73"/>
    <w:rsid w:val="00E17FB6"/>
    <w:rsid w:val="00E2325B"/>
    <w:rsid w:val="00E23A64"/>
    <w:rsid w:val="00E26295"/>
    <w:rsid w:val="00E300F9"/>
    <w:rsid w:val="00E31E11"/>
    <w:rsid w:val="00E3450C"/>
    <w:rsid w:val="00E34D2A"/>
    <w:rsid w:val="00E42D48"/>
    <w:rsid w:val="00E43C76"/>
    <w:rsid w:val="00E43E7F"/>
    <w:rsid w:val="00E44FDE"/>
    <w:rsid w:val="00E45FAC"/>
    <w:rsid w:val="00E47A6D"/>
    <w:rsid w:val="00E50269"/>
    <w:rsid w:val="00E50B14"/>
    <w:rsid w:val="00E51D65"/>
    <w:rsid w:val="00E51E17"/>
    <w:rsid w:val="00E52DD0"/>
    <w:rsid w:val="00E54F9F"/>
    <w:rsid w:val="00E568E9"/>
    <w:rsid w:val="00E57C50"/>
    <w:rsid w:val="00E61715"/>
    <w:rsid w:val="00E63B56"/>
    <w:rsid w:val="00E67283"/>
    <w:rsid w:val="00E72182"/>
    <w:rsid w:val="00E721F0"/>
    <w:rsid w:val="00E72FC6"/>
    <w:rsid w:val="00E77573"/>
    <w:rsid w:val="00E82A89"/>
    <w:rsid w:val="00E82D4F"/>
    <w:rsid w:val="00E8480C"/>
    <w:rsid w:val="00E84C49"/>
    <w:rsid w:val="00E86455"/>
    <w:rsid w:val="00E86A13"/>
    <w:rsid w:val="00E87F23"/>
    <w:rsid w:val="00E903FE"/>
    <w:rsid w:val="00E92938"/>
    <w:rsid w:val="00E92A0D"/>
    <w:rsid w:val="00E9303B"/>
    <w:rsid w:val="00E933BD"/>
    <w:rsid w:val="00E9340C"/>
    <w:rsid w:val="00E93F8A"/>
    <w:rsid w:val="00E96E59"/>
    <w:rsid w:val="00E97449"/>
    <w:rsid w:val="00EA2151"/>
    <w:rsid w:val="00EA3AC9"/>
    <w:rsid w:val="00EA4B13"/>
    <w:rsid w:val="00EA6012"/>
    <w:rsid w:val="00EA64E4"/>
    <w:rsid w:val="00EA7066"/>
    <w:rsid w:val="00EA77C7"/>
    <w:rsid w:val="00EB334C"/>
    <w:rsid w:val="00EB5C86"/>
    <w:rsid w:val="00EC064F"/>
    <w:rsid w:val="00EC3152"/>
    <w:rsid w:val="00EC370D"/>
    <w:rsid w:val="00EC4F5E"/>
    <w:rsid w:val="00EC5579"/>
    <w:rsid w:val="00EC76A4"/>
    <w:rsid w:val="00ED291A"/>
    <w:rsid w:val="00ED55F7"/>
    <w:rsid w:val="00ED5870"/>
    <w:rsid w:val="00ED6061"/>
    <w:rsid w:val="00EE0CB6"/>
    <w:rsid w:val="00EE3BE6"/>
    <w:rsid w:val="00EE4B34"/>
    <w:rsid w:val="00EE67BD"/>
    <w:rsid w:val="00EE7A55"/>
    <w:rsid w:val="00EE7A5F"/>
    <w:rsid w:val="00EE7E4B"/>
    <w:rsid w:val="00EF4736"/>
    <w:rsid w:val="00EF4895"/>
    <w:rsid w:val="00EF571E"/>
    <w:rsid w:val="00F009EB"/>
    <w:rsid w:val="00F01A38"/>
    <w:rsid w:val="00F04291"/>
    <w:rsid w:val="00F062AB"/>
    <w:rsid w:val="00F11E82"/>
    <w:rsid w:val="00F124B2"/>
    <w:rsid w:val="00F14A07"/>
    <w:rsid w:val="00F1686D"/>
    <w:rsid w:val="00F174E4"/>
    <w:rsid w:val="00F217B9"/>
    <w:rsid w:val="00F23034"/>
    <w:rsid w:val="00F24399"/>
    <w:rsid w:val="00F257BC"/>
    <w:rsid w:val="00F30A4C"/>
    <w:rsid w:val="00F33777"/>
    <w:rsid w:val="00F361AC"/>
    <w:rsid w:val="00F36784"/>
    <w:rsid w:val="00F36857"/>
    <w:rsid w:val="00F40A6A"/>
    <w:rsid w:val="00F42FD5"/>
    <w:rsid w:val="00F4523A"/>
    <w:rsid w:val="00F50131"/>
    <w:rsid w:val="00F5091F"/>
    <w:rsid w:val="00F510E1"/>
    <w:rsid w:val="00F5167E"/>
    <w:rsid w:val="00F6015C"/>
    <w:rsid w:val="00F6024B"/>
    <w:rsid w:val="00F6045F"/>
    <w:rsid w:val="00F60FEA"/>
    <w:rsid w:val="00F616F7"/>
    <w:rsid w:val="00F6301A"/>
    <w:rsid w:val="00F637AB"/>
    <w:rsid w:val="00F6531F"/>
    <w:rsid w:val="00F654F4"/>
    <w:rsid w:val="00F66B2F"/>
    <w:rsid w:val="00F7014A"/>
    <w:rsid w:val="00F72026"/>
    <w:rsid w:val="00F7410A"/>
    <w:rsid w:val="00F74A04"/>
    <w:rsid w:val="00F74B77"/>
    <w:rsid w:val="00F75A16"/>
    <w:rsid w:val="00F85D27"/>
    <w:rsid w:val="00F8628E"/>
    <w:rsid w:val="00F914F5"/>
    <w:rsid w:val="00F91D47"/>
    <w:rsid w:val="00F95C50"/>
    <w:rsid w:val="00FA0EBB"/>
    <w:rsid w:val="00FA126F"/>
    <w:rsid w:val="00FA13BF"/>
    <w:rsid w:val="00FA3339"/>
    <w:rsid w:val="00FA3A8F"/>
    <w:rsid w:val="00FA6D12"/>
    <w:rsid w:val="00FA7949"/>
    <w:rsid w:val="00FB0E16"/>
    <w:rsid w:val="00FB1041"/>
    <w:rsid w:val="00FB2C03"/>
    <w:rsid w:val="00FB5A36"/>
    <w:rsid w:val="00FC137D"/>
    <w:rsid w:val="00FC1B04"/>
    <w:rsid w:val="00FC5171"/>
    <w:rsid w:val="00FC553F"/>
    <w:rsid w:val="00FC7445"/>
    <w:rsid w:val="00FC7481"/>
    <w:rsid w:val="00FC7B67"/>
    <w:rsid w:val="00FD02EF"/>
    <w:rsid w:val="00FD4B2D"/>
    <w:rsid w:val="00FD6BFD"/>
    <w:rsid w:val="00FD7934"/>
    <w:rsid w:val="00FD7EB3"/>
    <w:rsid w:val="00FE0FA9"/>
    <w:rsid w:val="00FE1025"/>
    <w:rsid w:val="00FE1096"/>
    <w:rsid w:val="00FE4977"/>
    <w:rsid w:val="00FE4DFC"/>
    <w:rsid w:val="00FE5E97"/>
    <w:rsid w:val="00FE620A"/>
    <w:rsid w:val="00FF34B6"/>
    <w:rsid w:val="00FF4BBD"/>
    <w:rsid w:val="00FF5578"/>
    <w:rsid w:val="00FF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93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B60"/>
    <w:pPr>
      <w:spacing w:after="0" w:line="240" w:lineRule="auto"/>
    </w:pPr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1D5B60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1D5B60"/>
    <w:rPr>
      <w:vertAlign w:val="superscript"/>
    </w:rPr>
  </w:style>
  <w:style w:type="character" w:styleId="Hypertextovodkaz">
    <w:name w:val="Hyperlink"/>
    <w:uiPriority w:val="99"/>
    <w:unhideWhenUsed/>
    <w:rsid w:val="0086400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818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18DB"/>
    <w:pPr>
      <w:spacing w:line="240" w:lineRule="auto"/>
    </w:pPr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3818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18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18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8D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3818DB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D1A0F"/>
    <w:rPr>
      <w:sz w:val="20"/>
      <w:szCs w:val="20"/>
      <w:lang/>
    </w:rPr>
  </w:style>
  <w:style w:type="character" w:customStyle="1" w:styleId="TextvysvtlivekChar">
    <w:name w:val="Text vysvětlivek Char"/>
    <w:link w:val="Textvysvtlivek"/>
    <w:uiPriority w:val="99"/>
    <w:semiHidden/>
    <w:rsid w:val="000D1A0F"/>
    <w:rPr>
      <w:lang w:eastAsia="en-US"/>
    </w:rPr>
  </w:style>
  <w:style w:type="character" w:styleId="Odkaznavysvtlivky">
    <w:name w:val="endnote reference"/>
    <w:uiPriority w:val="99"/>
    <w:semiHidden/>
    <w:unhideWhenUsed/>
    <w:rsid w:val="000D1A0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35F53"/>
    <w:pPr>
      <w:ind w:left="708"/>
    </w:pPr>
  </w:style>
  <w:style w:type="paragraph" w:styleId="Zpat">
    <w:name w:val="footer"/>
    <w:basedOn w:val="Normln"/>
    <w:link w:val="ZpatChar"/>
    <w:semiHidden/>
    <w:rsid w:val="00EE4B34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EE4B34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semiHidden/>
    <w:rsid w:val="008D5243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D5243"/>
    <w:rPr>
      <w:rFonts w:ascii="Arial" w:eastAsia="Times New Roman" w:hAnsi="Arial" w:cs="Arial"/>
      <w:szCs w:val="24"/>
    </w:rPr>
  </w:style>
  <w:style w:type="paragraph" w:styleId="Zkladntext2">
    <w:name w:val="Body Text 2"/>
    <w:basedOn w:val="Normln"/>
    <w:link w:val="Zkladntext2Char"/>
    <w:semiHidden/>
    <w:rsid w:val="008D5243"/>
    <w:pPr>
      <w:spacing w:after="0" w:line="240" w:lineRule="auto"/>
      <w:jc w:val="both"/>
    </w:pPr>
    <w:rPr>
      <w:rFonts w:ascii="Arial" w:eastAsia="Times New Roman" w:hAnsi="Arial"/>
      <w:color w:val="000000"/>
      <w:sz w:val="1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D5243"/>
    <w:rPr>
      <w:rFonts w:ascii="Arial" w:eastAsia="Times New Roman" w:hAnsi="Arial"/>
      <w:color w:val="000000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F66B-3F77-4AD4-8470-66FCC8F7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10</Pages>
  <Words>3662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Semanová</dc:creator>
  <cp:lastModifiedBy>bartlova327</cp:lastModifiedBy>
  <cp:revision>188</cp:revision>
  <cp:lastPrinted>2014-09-12T08:44:00Z</cp:lastPrinted>
  <dcterms:created xsi:type="dcterms:W3CDTF">2014-05-15T06:27:00Z</dcterms:created>
  <dcterms:modified xsi:type="dcterms:W3CDTF">2014-09-23T11:03:00Z</dcterms:modified>
</cp:coreProperties>
</file>