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B96E5C">
      <w:pPr>
        <w:spacing w:after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A95AB5" w:rsidRDefault="00A95AB5" w:rsidP="00A95AB5">
      <w:pPr>
        <w:rPr>
          <w:rFonts w:cs="Arial"/>
        </w:rPr>
      </w:pPr>
      <w:r w:rsidRPr="007036F2">
        <w:rPr>
          <w:rFonts w:cs="Arial"/>
        </w:rPr>
        <w:t xml:space="preserve">Veškeré údaje se týkají </w:t>
      </w:r>
      <w:r>
        <w:rPr>
          <w:rFonts w:cs="Arial"/>
        </w:rPr>
        <w:t xml:space="preserve">občanů </w:t>
      </w:r>
      <w:r w:rsidR="00A34D90">
        <w:rPr>
          <w:rFonts w:cs="Arial"/>
        </w:rPr>
        <w:t>Česka</w:t>
      </w:r>
      <w:r>
        <w:rPr>
          <w:rFonts w:cs="Arial"/>
        </w:rPr>
        <w:t xml:space="preserve"> a cizinců s trvalým pobytem v České republice, občanů třetích zemí s přechodným pobytem na území </w:t>
      </w:r>
      <w:r w:rsidR="00A34D90">
        <w:rPr>
          <w:rFonts w:cs="Arial"/>
        </w:rPr>
        <w:t>Česka</w:t>
      </w:r>
      <w:r>
        <w:rPr>
          <w:rFonts w:cs="Arial"/>
        </w:rPr>
        <w:t xml:space="preserve"> na základě dlouhodobého víza (nad 90 dnů) nebo povolení k dlouhodobému pobytu, občanů zemí EU, Norska, Švýcarska, Islandu, Lichtenštejnska a jejich rodinných příslušníků s hlášeným přechodným pobytem na území </w:t>
      </w:r>
      <w:r w:rsidR="00A34D90">
        <w:rPr>
          <w:rFonts w:cs="Arial"/>
        </w:rPr>
        <w:t>Česka</w:t>
      </w:r>
      <w:r>
        <w:rPr>
          <w:rFonts w:cs="Arial"/>
        </w:rPr>
        <w:t xml:space="preserve"> a cizinců s platným azylem v České republice.</w:t>
      </w:r>
      <w:r w:rsidRPr="007036F2">
        <w:rPr>
          <w:rFonts w:cs="Arial"/>
        </w:rPr>
        <w:t xml:space="preserve"> </w:t>
      </w:r>
    </w:p>
    <w:p w:rsidR="00A95AB5" w:rsidRPr="007036F2" w:rsidRDefault="00A95AB5" w:rsidP="00A95AB5">
      <w:pPr>
        <w:rPr>
          <w:rFonts w:cs="Arial"/>
        </w:rPr>
      </w:pPr>
      <w:r w:rsidRPr="007036F2">
        <w:rPr>
          <w:rFonts w:cs="Arial"/>
        </w:rPr>
        <w:t xml:space="preserve">Údaje zahrnují </w:t>
      </w:r>
      <w:r>
        <w:rPr>
          <w:rFonts w:cs="Arial"/>
        </w:rPr>
        <w:t>i</w:t>
      </w:r>
      <w:r w:rsidRPr="007036F2">
        <w:rPr>
          <w:rFonts w:cs="Arial"/>
        </w:rPr>
        <w:t xml:space="preserve"> události (sňatky, narození a úmrtí) </w:t>
      </w:r>
      <w:r>
        <w:rPr>
          <w:rFonts w:cs="Arial"/>
        </w:rPr>
        <w:t xml:space="preserve">českých </w:t>
      </w:r>
      <w:r w:rsidRPr="007036F2">
        <w:rPr>
          <w:rFonts w:cs="Arial"/>
        </w:rPr>
        <w:t xml:space="preserve">občanů s trvalým pobytem na území ČR, </w:t>
      </w:r>
      <w:r w:rsidR="00804364">
        <w:rPr>
          <w:rFonts w:cs="Arial"/>
        </w:rPr>
        <w:t>ke </w:t>
      </w:r>
      <w:r w:rsidRPr="007036F2">
        <w:rPr>
          <w:rFonts w:cs="Arial"/>
        </w:rPr>
        <w:t>kter</w:t>
      </w:r>
      <w:r>
        <w:rPr>
          <w:rFonts w:cs="Arial"/>
        </w:rPr>
        <w:t>ým</w:t>
      </w:r>
      <w:r w:rsidRPr="007036F2">
        <w:rPr>
          <w:rFonts w:cs="Arial"/>
        </w:rPr>
        <w:t xml:space="preserve"> </w:t>
      </w:r>
      <w:r>
        <w:rPr>
          <w:rFonts w:cs="Arial"/>
        </w:rPr>
        <w:t>došlo</w:t>
      </w:r>
      <w:r w:rsidRPr="007036F2">
        <w:rPr>
          <w:rFonts w:cs="Arial"/>
        </w:rPr>
        <w:t xml:space="preserve"> v</w:t>
      </w:r>
      <w:r>
        <w:rPr>
          <w:rFonts w:cs="Arial"/>
        </w:rPr>
        <w:t> </w:t>
      </w:r>
      <w:r w:rsidRPr="007036F2">
        <w:rPr>
          <w:rFonts w:cs="Arial"/>
        </w:rPr>
        <w:t>cizině</w:t>
      </w:r>
      <w:r>
        <w:rPr>
          <w:rFonts w:cs="Arial"/>
        </w:rPr>
        <w:t>, a byly zaregistrovány v ČR v termínu, který umožňuje jejich zařazení do statistiky</w:t>
      </w:r>
      <w:r w:rsidRPr="007036F2">
        <w:rPr>
          <w:rFonts w:cs="Arial"/>
        </w:rPr>
        <w:t>.</w:t>
      </w:r>
    </w:p>
    <w:p w:rsidR="00A95AB5" w:rsidRDefault="00A95AB5" w:rsidP="00A95AB5">
      <w:pPr>
        <w:rPr>
          <w:rStyle w:val="Hypertextovodkaz"/>
          <w:rFonts w:cs="Arial"/>
        </w:rPr>
      </w:pPr>
      <w:r w:rsidRPr="007036F2">
        <w:rPr>
          <w:rFonts w:cs="Arial"/>
        </w:rPr>
        <w:t xml:space="preserve">Definice </w:t>
      </w:r>
      <w:r>
        <w:rPr>
          <w:rFonts w:cs="Arial"/>
        </w:rPr>
        <w:t>demografických událostí</w:t>
      </w:r>
      <w:r w:rsidRPr="007036F2">
        <w:rPr>
          <w:rFonts w:cs="Arial"/>
        </w:rPr>
        <w:t xml:space="preserve"> a </w:t>
      </w:r>
      <w:r>
        <w:rPr>
          <w:rFonts w:cs="Arial"/>
        </w:rPr>
        <w:t xml:space="preserve">nejpoužívanějších </w:t>
      </w:r>
      <w:r w:rsidRPr="007036F2">
        <w:rPr>
          <w:rFonts w:cs="Arial"/>
        </w:rPr>
        <w:t>z nich odvo</w:t>
      </w:r>
      <w:r>
        <w:rPr>
          <w:rFonts w:cs="Arial"/>
        </w:rPr>
        <w:t xml:space="preserve">zených souhrnných ukazatelů jsou uvedeny na </w:t>
      </w:r>
      <w:hyperlink r:id="rId8" w:history="1">
        <w:r w:rsidRPr="007147CD">
          <w:rPr>
            <w:rStyle w:val="Hypertextovodkaz"/>
            <w:rFonts w:cs="Arial"/>
          </w:rPr>
          <w:t>https://www.czso.cz/csu/czso/pohyb-obyvatelstva-metodika</w:t>
        </w:r>
      </w:hyperlink>
      <w:r>
        <w:rPr>
          <w:rStyle w:val="Hypertextovodkaz"/>
          <w:rFonts w:cs="Arial"/>
        </w:rPr>
        <w:t>.</w:t>
      </w:r>
    </w:p>
    <w:p w:rsidR="00A95AB5" w:rsidRPr="00E971A7" w:rsidRDefault="00A95AB5" w:rsidP="00E971A7">
      <w:pPr>
        <w:rPr>
          <w:rFonts w:cs="Arial"/>
        </w:rPr>
      </w:pPr>
      <w:r>
        <w:rPr>
          <w:rFonts w:cs="Arial"/>
        </w:rPr>
        <w:t>Věkem se rozumí dokončený věk (v letech)</w:t>
      </w:r>
      <w:r w:rsidRPr="007036F2">
        <w:rPr>
          <w:rFonts w:cs="Arial"/>
        </w:rPr>
        <w:t xml:space="preserve">. </w:t>
      </w:r>
    </w:p>
    <w:p w:rsidR="00A95AB5" w:rsidRPr="002024E3" w:rsidRDefault="00471C44" w:rsidP="002024E3">
      <w:r>
        <w:t xml:space="preserve">Správní </w:t>
      </w:r>
      <w:r w:rsidR="00B96E5C" w:rsidRPr="00B96E5C">
        <w:t xml:space="preserve">obvody obcí s rozšířenou působností (dále jen SO ORP) </w:t>
      </w:r>
      <w:r w:rsidR="00A95AB5" w:rsidRPr="002024E3">
        <w:rPr>
          <w:bCs/>
        </w:rPr>
        <w:t xml:space="preserve">vymezuje od roku 2021 </w:t>
      </w:r>
      <w:r w:rsidR="006E236D">
        <w:rPr>
          <w:bCs/>
        </w:rPr>
        <w:t xml:space="preserve">zákon č. 51/2020 Sb., o </w:t>
      </w:r>
      <w:r w:rsidR="006E236D" w:rsidRPr="006E236D">
        <w:rPr>
          <w:bCs/>
        </w:rPr>
        <w:t>územně správním členění státu</w:t>
      </w:r>
      <w:r w:rsidR="006E236D">
        <w:rPr>
          <w:bCs/>
        </w:rPr>
        <w:t xml:space="preserve">, resp. </w:t>
      </w:r>
      <w:r w:rsidR="00A04A57">
        <w:rPr>
          <w:bCs/>
        </w:rPr>
        <w:t>prováděcí v</w:t>
      </w:r>
      <w:r w:rsidR="00A95AB5" w:rsidRPr="002024E3">
        <w:rPr>
          <w:bCs/>
        </w:rPr>
        <w:t>yhláška č. 346/2020 Sb., o stanovení správních obvodů obcí s rozšířenou působností, území obvodů hlavního města Prahy a</w:t>
      </w:r>
      <w:r w:rsidR="00804364">
        <w:rPr>
          <w:bCs/>
        </w:rPr>
        <w:t xml:space="preserve"> příslušnosti některých obcí do </w:t>
      </w:r>
      <w:r w:rsidR="00A95AB5" w:rsidRPr="002024E3">
        <w:rPr>
          <w:bCs/>
        </w:rPr>
        <w:t>jiného okresu</w:t>
      </w:r>
      <w:r w:rsidR="006E236D" w:rsidRPr="006E236D">
        <w:rPr>
          <w:bCs/>
        </w:rPr>
        <w:t xml:space="preserve"> </w:t>
      </w:r>
      <w:r w:rsidR="00A95AB5" w:rsidRPr="002024E3">
        <w:rPr>
          <w:bCs/>
        </w:rPr>
        <w:t>(</w:t>
      </w:r>
      <w:r w:rsidR="00625F1B">
        <w:rPr>
          <w:bCs/>
        </w:rPr>
        <w:t>v</w:t>
      </w:r>
      <w:r w:rsidR="00A95AB5" w:rsidRPr="002024E3">
        <w:rPr>
          <w:bCs/>
        </w:rPr>
        <w:t> předchozích letech byly stanoveny vyhláškou</w:t>
      </w:r>
      <w:r w:rsidR="00B96E5C" w:rsidRPr="002024E3">
        <w:t xml:space="preserve"> </w:t>
      </w:r>
      <w:r w:rsidR="00A95AB5" w:rsidRPr="002024E3">
        <w:rPr>
          <w:rFonts w:cs="Arial"/>
        </w:rPr>
        <w:t>Ministerstva vnitra č. 388/2002 Sb.</w:t>
      </w:r>
      <w:r w:rsidR="00804364">
        <w:rPr>
          <w:rFonts w:cs="Arial"/>
        </w:rPr>
        <w:t>, ve </w:t>
      </w:r>
      <w:r w:rsidR="00625F1B">
        <w:rPr>
          <w:rFonts w:cs="Arial"/>
        </w:rPr>
        <w:t>znění pozdějších předpisů).</w:t>
      </w:r>
      <w:r w:rsidR="00A95AB5">
        <w:rPr>
          <w:b/>
        </w:rPr>
        <w:t xml:space="preserve"> </w:t>
      </w:r>
    </w:p>
    <w:p w:rsidR="002024E3" w:rsidRPr="00E9637E" w:rsidRDefault="00647F86" w:rsidP="002024E3">
      <w:pPr>
        <w:pStyle w:val="A-tabvtext2"/>
        <w:spacing w:after="240" w:line="288" w:lineRule="auto"/>
        <w:rPr>
          <w:b w:val="0"/>
        </w:rPr>
      </w:pPr>
      <w:r w:rsidRPr="00B96E5C">
        <w:rPr>
          <w:b w:val="0"/>
          <w:bCs w:val="0"/>
          <w:szCs w:val="24"/>
        </w:rPr>
        <w:t>Kódy uvedené za názvy SO ORP jsou převzaté z číselník</w:t>
      </w:r>
      <w:r w:rsidR="00BC7696">
        <w:rPr>
          <w:b w:val="0"/>
          <w:bCs w:val="0"/>
          <w:szCs w:val="24"/>
        </w:rPr>
        <w:t>u obcí s rozšířenou působností.</w:t>
      </w:r>
    </w:p>
    <w:p w:rsidR="000F6421" w:rsidRDefault="002024E3" w:rsidP="000F6421">
      <w:r w:rsidRPr="00E9637E">
        <w:rPr>
          <w:rFonts w:cs="Arial"/>
        </w:rPr>
        <w:t xml:space="preserve">Publikace obsahuje údaje o počtu a pohybu obyvatel jednotlivých </w:t>
      </w:r>
      <w:r>
        <w:rPr>
          <w:rFonts w:cs="Arial"/>
        </w:rPr>
        <w:t xml:space="preserve">správních obvodů obcí s rozšířenou působností </w:t>
      </w:r>
      <w:r w:rsidRPr="00E9637E">
        <w:rPr>
          <w:rFonts w:cs="Arial"/>
        </w:rPr>
        <w:t>v desetileté časové řadě let 201</w:t>
      </w:r>
      <w:r w:rsidR="00B94164">
        <w:rPr>
          <w:rFonts w:cs="Arial"/>
        </w:rPr>
        <w:t>3</w:t>
      </w:r>
      <w:r w:rsidR="00393D83">
        <w:rPr>
          <w:rFonts w:cs="Arial"/>
        </w:rPr>
        <w:t>–</w:t>
      </w:r>
      <w:r w:rsidR="00A34D90">
        <w:rPr>
          <w:rFonts w:cs="Arial"/>
        </w:rPr>
        <w:t>202</w:t>
      </w:r>
      <w:r w:rsidR="00B94164">
        <w:rPr>
          <w:rFonts w:cs="Arial"/>
        </w:rPr>
        <w:t>2</w:t>
      </w:r>
      <w:r w:rsidRPr="00E9637E">
        <w:rPr>
          <w:rFonts w:cs="Arial"/>
        </w:rPr>
        <w:t xml:space="preserve">, přičemž všechny uvedené údaje se vztahují </w:t>
      </w:r>
      <w:r w:rsidRPr="00B71349">
        <w:rPr>
          <w:rFonts w:cs="Arial"/>
          <w:b/>
        </w:rPr>
        <w:t xml:space="preserve">k území daného </w:t>
      </w:r>
      <w:r>
        <w:rPr>
          <w:rFonts w:cs="Arial"/>
          <w:b/>
        </w:rPr>
        <w:t>SO ORP</w:t>
      </w:r>
      <w:r w:rsidRPr="00B71349">
        <w:rPr>
          <w:rFonts w:cs="Arial"/>
          <w:b/>
        </w:rPr>
        <w:t xml:space="preserve"> platnému k 1. 1. 202</w:t>
      </w:r>
      <w:r w:rsidR="00B94164">
        <w:rPr>
          <w:rFonts w:cs="Arial"/>
          <w:b/>
        </w:rPr>
        <w:t>3</w:t>
      </w:r>
      <w:r w:rsidRPr="00E9637E">
        <w:rPr>
          <w:rFonts w:cs="Arial"/>
        </w:rPr>
        <w:t xml:space="preserve">. Údaje za jednotlivé </w:t>
      </w:r>
      <w:r>
        <w:rPr>
          <w:rFonts w:cs="Arial"/>
        </w:rPr>
        <w:t>územní celky</w:t>
      </w:r>
      <w:r w:rsidRPr="00E9637E">
        <w:rPr>
          <w:rFonts w:cs="Arial"/>
        </w:rPr>
        <w:t xml:space="preserve"> jsou tak v čase plně srovnatelné</w:t>
      </w:r>
      <w:r w:rsidRPr="00E9637E">
        <w:rPr>
          <w:rStyle w:val="Znakapoznpodarou"/>
          <w:rFonts w:cs="Arial"/>
        </w:rPr>
        <w:footnoteReference w:id="1"/>
      </w:r>
      <w:r w:rsidRPr="00E9637E">
        <w:rPr>
          <w:rFonts w:cs="Arial"/>
        </w:rPr>
        <w:t xml:space="preserve">. </w:t>
      </w:r>
      <w:r w:rsidRPr="00B96E5C">
        <w:t xml:space="preserve">SO ORP je </w:t>
      </w:r>
      <w:r>
        <w:t xml:space="preserve">v ČR celkem </w:t>
      </w:r>
      <w:r w:rsidRPr="00B96E5C">
        <w:t>205, Praha do nich zařazena není.</w:t>
      </w:r>
    </w:p>
    <w:p w:rsidR="002024E3" w:rsidRPr="000F6421" w:rsidRDefault="00E64D4E" w:rsidP="00B96E5C">
      <w:pPr>
        <w:pStyle w:val="A-tabvtext2"/>
        <w:spacing w:after="240" w:line="288" w:lineRule="auto"/>
      </w:pPr>
      <w:r w:rsidRPr="000F6421">
        <w:t>V </w:t>
      </w:r>
      <w:r w:rsidR="002024E3" w:rsidRPr="000F6421">
        <w:t>uvedeném časovém období došlo k těmto územním změnám SO ORP: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Zákonem</w:t>
      </w:r>
      <w:r w:rsidR="00C97536">
        <w:rPr>
          <w:b w:val="0"/>
          <w:bCs w:val="0"/>
          <w:szCs w:val="24"/>
        </w:rPr>
        <w:t xml:space="preserve"> </w:t>
      </w:r>
      <w:r w:rsidRPr="00B96E5C">
        <w:rPr>
          <w:b w:val="0"/>
          <w:bCs w:val="0"/>
          <w:szCs w:val="24"/>
        </w:rPr>
        <w:t xml:space="preserve">č.15/2015 Sb., s účinností od 1. 1. 2016, byl zrušen vojenský újezd (VÚ) Brdy v SO ORP Příbram a stanoveny nové hranice ostatních VÚ. V souladu se změnou územní příslušnosti dotčených katastrálních území došlo ke změně hranic a obyvatelstva SO ORP Hořovice, Příbram, Český Krumlov, Prachatice, Rokycany, Karlovy Vary, Ostrov, Kadaň, Podbořany, Vyškov, </w:t>
      </w:r>
      <w:r w:rsidR="00493A10">
        <w:rPr>
          <w:b w:val="0"/>
          <w:bCs w:val="0"/>
          <w:szCs w:val="24"/>
        </w:rPr>
        <w:t xml:space="preserve">Hranice, </w:t>
      </w:r>
      <w:r w:rsidRPr="00B96E5C">
        <w:rPr>
          <w:b w:val="0"/>
          <w:bCs w:val="0"/>
          <w:szCs w:val="24"/>
        </w:rPr>
        <w:t xml:space="preserve">Olomouc, Prostějov a </w:t>
      </w:r>
      <w:r w:rsidR="00493A10">
        <w:rPr>
          <w:b w:val="0"/>
          <w:bCs w:val="0"/>
          <w:szCs w:val="24"/>
        </w:rPr>
        <w:t>Šternberk</w:t>
      </w:r>
      <w:r w:rsidRPr="00B96E5C">
        <w:rPr>
          <w:b w:val="0"/>
          <w:bCs w:val="0"/>
          <w:szCs w:val="24"/>
        </w:rPr>
        <w:t>.</w:t>
      </w:r>
    </w:p>
    <w:p w:rsidR="00B96E5C" w:rsidRPr="00B96E5C" w:rsidRDefault="00B96E5C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B96E5C">
        <w:rPr>
          <w:b w:val="0"/>
          <w:bCs w:val="0"/>
          <w:szCs w:val="24"/>
        </w:rPr>
        <w:t>Ze SO ORP Příbram přešla část obyvatel do SO ORP Rokycany (do obce Skořice) a SO ORP Hořovice (do</w:t>
      </w:r>
      <w:r w:rsidR="006B16CC">
        <w:rPr>
          <w:b w:val="0"/>
          <w:bCs w:val="0"/>
          <w:szCs w:val="24"/>
        </w:rPr>
        <w:t> </w:t>
      </w:r>
      <w:r w:rsidRPr="00B96E5C">
        <w:rPr>
          <w:b w:val="0"/>
          <w:bCs w:val="0"/>
          <w:szCs w:val="24"/>
        </w:rPr>
        <w:t xml:space="preserve">obce Zaječov). Část obyvatel VÚ Boletice v SO ORP Český Krumlov byla nově začleněna do SO ORP Prachatice (do obcí Křišťanov a Ktiš). Obyvatelé VÚ </w:t>
      </w:r>
      <w:r w:rsidRPr="006B2087">
        <w:rPr>
          <w:b w:val="0"/>
          <w:bCs w:val="0"/>
          <w:szCs w:val="24"/>
        </w:rPr>
        <w:t>Březina</w:t>
      </w:r>
      <w:r w:rsidRPr="00B96E5C">
        <w:rPr>
          <w:b w:val="0"/>
          <w:bCs w:val="0"/>
          <w:szCs w:val="24"/>
        </w:rPr>
        <w:t xml:space="preserve"> v SO ORP Vyškov byli nově začleněni do SO ORP Prostějov (do obcí Krumsín a Otaslavice). Ze SO ORP Karlovy Vary přešla část obyvatel do SO ORP Ostrov (do obcí Doupovské Hradiště a Stráž nad Ohří), SO ORP Podbořany (do obce Podbořanský Rohozec) a SO ORP Kadaň (do obce Radonice). Část obyvatel VÚ Libavá v SO ORP Olomouc byla nově </w:t>
      </w:r>
      <w:r w:rsidR="000F2B0D">
        <w:rPr>
          <w:b w:val="0"/>
          <w:bCs w:val="0"/>
          <w:szCs w:val="24"/>
        </w:rPr>
        <w:t>z</w:t>
      </w:r>
      <w:r w:rsidRPr="00B96E5C">
        <w:rPr>
          <w:b w:val="0"/>
          <w:bCs w:val="0"/>
          <w:szCs w:val="24"/>
        </w:rPr>
        <w:t xml:space="preserve">ačleněna do SO ORP </w:t>
      </w:r>
      <w:r w:rsidR="00493A10">
        <w:rPr>
          <w:b w:val="0"/>
          <w:bCs w:val="0"/>
          <w:szCs w:val="24"/>
        </w:rPr>
        <w:t>Hranice</w:t>
      </w:r>
      <w:r w:rsidRPr="00B96E5C">
        <w:rPr>
          <w:b w:val="0"/>
          <w:bCs w:val="0"/>
          <w:szCs w:val="24"/>
        </w:rPr>
        <w:t xml:space="preserve"> (do obce Luboměř pod Strážnou)</w:t>
      </w:r>
      <w:r w:rsidR="00493A10">
        <w:rPr>
          <w:b w:val="0"/>
          <w:bCs w:val="0"/>
          <w:szCs w:val="24"/>
        </w:rPr>
        <w:t xml:space="preserve"> a SO ORP Šternberk (do obce Město Libavá)</w:t>
      </w:r>
      <w:r w:rsidRPr="00B96E5C">
        <w:rPr>
          <w:b w:val="0"/>
          <w:bCs w:val="0"/>
          <w:szCs w:val="24"/>
        </w:rPr>
        <w:t xml:space="preserve">. </w:t>
      </w:r>
    </w:p>
    <w:p w:rsidR="00B96E5C" w:rsidRPr="00B96E5C" w:rsidRDefault="002247D7" w:rsidP="00B96E5C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334042">
        <w:rPr>
          <w:b w:val="0"/>
          <w:bCs w:val="0"/>
          <w:szCs w:val="24"/>
        </w:rPr>
        <w:lastRenderedPageBreak/>
        <w:t xml:space="preserve">K 1. 1. 2021 byla provedena změna zařazení obcí Bříství, Kounice a Vykáň z SO ORP Český Brod do SO ORP Lysá nad Labem, obce Frýdštejn z SO ORP Turnov </w:t>
      </w:r>
      <w:r w:rsidR="0036405C" w:rsidRPr="00334042">
        <w:rPr>
          <w:b w:val="0"/>
          <w:bCs w:val="0"/>
          <w:szCs w:val="24"/>
        </w:rPr>
        <w:t>do SO ORP Jablonec nad Nisou a obce Věžnice z SO ORP Jihlava do SO ORP Havlíčkův Brod.</w:t>
      </w:r>
      <w:r>
        <w:rPr>
          <w:b w:val="0"/>
          <w:bCs w:val="0"/>
          <w:szCs w:val="24"/>
        </w:rPr>
        <w:t xml:space="preserve"> </w:t>
      </w:r>
    </w:p>
    <w:p w:rsidR="003F64B5" w:rsidRDefault="003F64B5" w:rsidP="003F64B5">
      <w:pPr>
        <w:pStyle w:val="A-tabvtext2"/>
        <w:spacing w:after="240" w:line="288" w:lineRule="auto"/>
        <w:rPr>
          <w:b w:val="0"/>
          <w:bCs w:val="0"/>
          <w:szCs w:val="24"/>
        </w:rPr>
      </w:pPr>
      <w:r w:rsidRPr="00FE74AE">
        <w:rPr>
          <w:b w:val="0"/>
          <w:bCs w:val="0"/>
          <w:szCs w:val="24"/>
        </w:rPr>
        <w:t>K 1. 1. 2023 byla provedena změna zařazení obce Přemyslovice z SO ORP Prostějov do SO ORP Konice.</w:t>
      </w:r>
      <w:r>
        <w:rPr>
          <w:b w:val="0"/>
          <w:bCs w:val="0"/>
          <w:szCs w:val="24"/>
        </w:rPr>
        <w:t xml:space="preserve"> </w:t>
      </w:r>
    </w:p>
    <w:p w:rsidR="00E64D4E" w:rsidRDefault="00E64D4E" w:rsidP="00E64D4E">
      <w:pPr>
        <w:rPr>
          <w:rFonts w:cs="Arial"/>
        </w:rPr>
      </w:pPr>
      <w:r>
        <w:rPr>
          <w:rFonts w:cs="Arial"/>
        </w:rPr>
        <w:t xml:space="preserve">Pro výpočet relativních ukazatelů, které udávají počet událostí v přepočtu na </w:t>
      </w:r>
      <w:r w:rsidR="00804364">
        <w:rPr>
          <w:rFonts w:cs="Arial"/>
        </w:rPr>
        <w:t>1 000 obyvatel, se využívá tzv. </w:t>
      </w:r>
      <w:r>
        <w:rPr>
          <w:rFonts w:cs="Arial"/>
        </w:rPr>
        <w:t>střední stav obyvatel. Za střední stav obyvatel v</w:t>
      </w:r>
      <w:r w:rsidR="00113004">
        <w:rPr>
          <w:rFonts w:cs="Arial"/>
        </w:rPr>
        <w:t> SO ORP</w:t>
      </w:r>
      <w:r>
        <w:rPr>
          <w:rFonts w:cs="Arial"/>
        </w:rPr>
        <w:t xml:space="preserve"> v kalendářním roce je považován celkový počet obyvatel daného území o půlnoci z 30. 6. na 1. 7. sledovaného roku, který </w:t>
      </w:r>
      <w:r w:rsidRPr="00A45E4F">
        <w:rPr>
          <w:rFonts w:cs="Arial"/>
        </w:rPr>
        <w:t>vychází z bilance počtu obyvatel daného</w:t>
      </w:r>
      <w:r>
        <w:rPr>
          <w:rFonts w:cs="Arial"/>
        </w:rPr>
        <w:t xml:space="preserve"> území od počátku roku do konce června</w:t>
      </w:r>
      <w:r>
        <w:rPr>
          <w:rStyle w:val="Znakapoznpodarou"/>
          <w:rFonts w:cs="Arial"/>
        </w:rPr>
        <w:footnoteReference w:id="2"/>
      </w:r>
      <w:r>
        <w:rPr>
          <w:rFonts w:cs="Arial"/>
        </w:rPr>
        <w:t>.</w:t>
      </w:r>
    </w:p>
    <w:p w:rsidR="00E64D4E" w:rsidRDefault="00E64D4E" w:rsidP="00E64D4E">
      <w:pPr>
        <w:rPr>
          <w:rFonts w:cs="Arial"/>
        </w:rPr>
      </w:pPr>
      <w:r>
        <w:rPr>
          <w:rFonts w:cs="Arial"/>
        </w:rPr>
        <w:t>S</w:t>
      </w:r>
      <w:r w:rsidRPr="00A45E4F">
        <w:rPr>
          <w:rFonts w:cs="Arial"/>
        </w:rPr>
        <w:t>ňatky</w:t>
      </w:r>
      <w:r>
        <w:rPr>
          <w:rFonts w:cs="Arial"/>
        </w:rPr>
        <w:t xml:space="preserve"> jsou tříděny podle místa pobytu ženicha, p</w:t>
      </w:r>
      <w:r w:rsidRPr="00A45E4F">
        <w:rPr>
          <w:rFonts w:cs="Arial"/>
        </w:rPr>
        <w:t>okud není uvedeno jinak</w:t>
      </w:r>
      <w:r>
        <w:rPr>
          <w:rFonts w:cs="Arial"/>
        </w:rPr>
        <w:t>.</w:t>
      </w:r>
      <w:r w:rsidRPr="00A45E4F">
        <w:rPr>
          <w:rFonts w:cs="Arial"/>
        </w:rPr>
        <w:t xml:space="preserve"> </w:t>
      </w:r>
      <w:r>
        <w:rPr>
          <w:rFonts w:cs="Arial"/>
        </w:rPr>
        <w:t>Průměrný věk ženicha/nevěsty při sňatku vychází z rozložení absolutních počtů sňatků podle věku ženicha/nevěsty.</w:t>
      </w:r>
    </w:p>
    <w:p w:rsidR="00E64D4E" w:rsidRDefault="00E64D4E" w:rsidP="00E64D4E">
      <w:pPr>
        <w:rPr>
          <w:rFonts w:cs="Arial"/>
        </w:rPr>
      </w:pPr>
      <w:r>
        <w:rPr>
          <w:rFonts w:cs="Arial"/>
        </w:rPr>
        <w:t>Údaje o rozvodech přebírá ČSÚ od Ministerstva spravedlnosti ČR. Rozvody jsou územně tříděny podle posledního společného bydliště manželů. Délka trvání manželství vychází z data uzavření manželství a data nabytí právní moci rozvodu.</w:t>
      </w:r>
    </w:p>
    <w:p w:rsidR="00E64D4E" w:rsidRDefault="00E64D4E" w:rsidP="00E64D4E">
      <w:pPr>
        <w:rPr>
          <w:rFonts w:cs="Arial"/>
        </w:rPr>
      </w:pPr>
      <w:r>
        <w:rPr>
          <w:rFonts w:cs="Arial"/>
        </w:rPr>
        <w:t xml:space="preserve">Narození jsou tříděni podle místa pobytu matky v době porodu. Do roku 2013 pořadí dítěte reflektovalo všechny děti ženě narozené (včetně mrtvě narozených), od roku 2014 je pořadí zjišťováno pouze u živě narozených dětí a ze živě narozených dětí. Průměrný věk matky při narození dítěte vychází z rozložení absolutních počtů živě narozených podle věku matek. </w:t>
      </w:r>
    </w:p>
    <w:p w:rsidR="00E64D4E" w:rsidRDefault="00E64D4E" w:rsidP="00E64D4E">
      <w:pPr>
        <w:rPr>
          <w:rFonts w:cs="Arial"/>
        </w:rPr>
      </w:pPr>
      <w:r>
        <w:rPr>
          <w:rFonts w:cs="Arial"/>
        </w:rPr>
        <w:t xml:space="preserve">Data o potratech ČSÚ přebírá od Ústavu zdravotnických informací a statistiky ČR (ÚZIS ČR). Beze změny jsou převzaty také související číselníky. Územně jsou potraty tříděny podle místa pobytu ženy v době potratu. </w:t>
      </w:r>
    </w:p>
    <w:p w:rsidR="00E64D4E" w:rsidRPr="002D6091" w:rsidRDefault="00E64D4E" w:rsidP="00E64D4E">
      <w:r>
        <w:rPr>
          <w:rFonts w:cs="Arial"/>
        </w:rPr>
        <w:t>Příčiny smrti jsou kódovány dle Mezinárodní statistické klasifikace nemocní a přidružených zdravotních problémů ve znění 10. decenální revize (MKN-10) a následných aktualizací, vydávaných Světovou zdravotnickou organizací (WHO). Od roku 2011 provádí ČSÚ výběr základní příčiny smrti automatizovaně, pomocí programu (software IRIS).</w:t>
      </w:r>
    </w:p>
    <w:p w:rsidR="007036F2" w:rsidRPr="007036F2" w:rsidRDefault="00E64D4E" w:rsidP="00B96E5C">
      <w:pPr>
        <w:pStyle w:val="A-tabvtext2"/>
        <w:spacing w:after="240" w:line="288" w:lineRule="auto"/>
      </w:pPr>
      <w:r w:rsidRPr="00E9637E">
        <w:rPr>
          <w:b w:val="0"/>
        </w:rPr>
        <w:t xml:space="preserve">Do údajů o stěhování </w:t>
      </w:r>
      <w:r>
        <w:rPr>
          <w:b w:val="0"/>
        </w:rPr>
        <w:t xml:space="preserve">(přistěhovalí, vystěhovalí, přírůstek stěhováním) </w:t>
      </w:r>
      <w:r w:rsidRPr="00E9637E">
        <w:rPr>
          <w:b w:val="0"/>
        </w:rPr>
        <w:t>jsou zahrnuty změny trvalého bydliště</w:t>
      </w:r>
      <w:r>
        <w:rPr>
          <w:b w:val="0"/>
        </w:rPr>
        <w:t xml:space="preserve">, </w:t>
      </w:r>
      <w:r w:rsidRPr="00B53D6E">
        <w:rPr>
          <w:b w:val="0"/>
        </w:rPr>
        <w:t>v případě cizinců i změn</w:t>
      </w:r>
      <w:r>
        <w:rPr>
          <w:b w:val="0"/>
        </w:rPr>
        <w:t>y</w:t>
      </w:r>
      <w:r w:rsidRPr="00B53D6E">
        <w:rPr>
          <w:b w:val="0"/>
        </w:rPr>
        <w:t xml:space="preserve"> přechodného pobytu (viz výše)</w:t>
      </w:r>
      <w:r>
        <w:rPr>
          <w:b w:val="0"/>
        </w:rPr>
        <w:t>,</w:t>
      </w:r>
      <w:r w:rsidRPr="00E9637E">
        <w:rPr>
          <w:b w:val="0"/>
        </w:rPr>
        <w:t xml:space="preserve"> </w:t>
      </w:r>
      <w:r w:rsidRPr="00B53D6E">
        <w:rPr>
          <w:b w:val="0"/>
        </w:rPr>
        <w:t xml:space="preserve">z obce do obce </w:t>
      </w:r>
      <w:r>
        <w:rPr>
          <w:b w:val="0"/>
        </w:rPr>
        <w:t xml:space="preserve">přes hranice </w:t>
      </w:r>
      <w:r w:rsidR="00796B46">
        <w:rPr>
          <w:b w:val="0"/>
        </w:rPr>
        <w:t>SO ORP</w:t>
      </w:r>
      <w:r w:rsidRPr="00B53D6E">
        <w:rPr>
          <w:b w:val="0"/>
        </w:rPr>
        <w:t xml:space="preserve"> </w:t>
      </w:r>
      <w:r w:rsidR="00A00F9B" w:rsidRPr="00B53D6E">
        <w:rPr>
          <w:b w:val="0"/>
        </w:rPr>
        <w:t xml:space="preserve">nebo </w:t>
      </w:r>
      <w:r w:rsidR="00A00F9B">
        <w:rPr>
          <w:b w:val="0"/>
        </w:rPr>
        <w:t>z/do daného SO ORP</w:t>
      </w:r>
      <w:r w:rsidRPr="00B53D6E">
        <w:rPr>
          <w:b w:val="0"/>
        </w:rPr>
        <w:t xml:space="preserve"> přes hranice ČR.</w:t>
      </w:r>
      <w:r>
        <w:rPr>
          <w:b w:val="0"/>
        </w:rPr>
        <w:t xml:space="preserve"> </w:t>
      </w:r>
      <w:r w:rsidRPr="00B53D6E">
        <w:rPr>
          <w:b w:val="0"/>
        </w:rPr>
        <w:t>V publikaci jsou uvedeny údaje za stěhování celkem, to znamená v úhrnu za stěhování mezi obcemi ČR a za zahraniční stěhování</w:t>
      </w:r>
      <w:r>
        <w:rPr>
          <w:b w:val="0"/>
        </w:rPr>
        <w:t>.</w:t>
      </w:r>
      <w:r w:rsidRPr="00B53D6E">
        <w:rPr>
          <w:b w:val="0"/>
        </w:rPr>
        <w:t xml:space="preserve"> </w:t>
      </w:r>
      <w:r>
        <w:rPr>
          <w:b w:val="0"/>
        </w:rPr>
        <w:t xml:space="preserve">Navíc je uvedeno zvlášť i </w:t>
      </w:r>
      <w:r w:rsidRPr="00E9637E">
        <w:rPr>
          <w:b w:val="0"/>
        </w:rPr>
        <w:t xml:space="preserve">stěhování mezi obcemi uvnitř </w:t>
      </w:r>
      <w:r w:rsidR="00796B46">
        <w:rPr>
          <w:b w:val="0"/>
        </w:rPr>
        <w:t>SO ORP</w:t>
      </w:r>
      <w:r>
        <w:rPr>
          <w:b w:val="0"/>
        </w:rPr>
        <w:t>.</w:t>
      </w:r>
      <w:r w:rsidRPr="00E9637E">
        <w:rPr>
          <w:b w:val="0"/>
        </w:rPr>
        <w:t xml:space="preserve"> </w:t>
      </w:r>
      <w:r w:rsidR="00B96E5C" w:rsidRPr="00B96E5C">
        <w:rPr>
          <w:b w:val="0"/>
          <w:bCs w:val="0"/>
          <w:szCs w:val="24"/>
        </w:rPr>
        <w:t>U SO ORP 6203 Brno vnitřní stěhování v ORP není, neboť tento SO ORP je tvořen pouze jednou obcí.</w:t>
      </w:r>
    </w:p>
    <w:p w:rsidR="000F2B0D" w:rsidRDefault="000F2B0D" w:rsidP="006F5E16">
      <w:pPr>
        <w:rPr>
          <w:rFonts w:cs="Arial"/>
        </w:rPr>
      </w:pPr>
      <w:bookmarkStart w:id="0" w:name="_GoBack"/>
      <w:bookmarkEnd w:id="0"/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9A27A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98" w:rsidRDefault="00104698" w:rsidP="00E71A58">
      <w:r>
        <w:separator/>
      </w:r>
    </w:p>
  </w:endnote>
  <w:endnote w:type="continuationSeparator" w:id="0">
    <w:p w:rsidR="00104698" w:rsidRDefault="0010469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33" w:rsidRPr="00BD3C33" w:rsidRDefault="00B21224" w:rsidP="00A418BC">
    <w:pPr>
      <w:pStyle w:val="Zpat"/>
      <w:rPr>
        <w:i/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AC" w:rsidRPr="009A27AC">
      <w:rPr>
        <w:szCs w:val="16"/>
      </w:rPr>
      <w:fldChar w:fldCharType="begin"/>
    </w:r>
    <w:r w:rsidR="009A27AC" w:rsidRPr="009A27AC">
      <w:rPr>
        <w:szCs w:val="16"/>
      </w:rPr>
      <w:instrText>PAGE   \* MERGEFORMAT</w:instrText>
    </w:r>
    <w:r w:rsidR="009A27AC" w:rsidRPr="009A27AC">
      <w:rPr>
        <w:szCs w:val="16"/>
      </w:rPr>
      <w:fldChar w:fldCharType="separate"/>
    </w:r>
    <w:r w:rsidR="0013664D">
      <w:rPr>
        <w:szCs w:val="16"/>
      </w:rPr>
      <w:t>4</w:t>
    </w:r>
    <w:r w:rsidR="009A27AC" w:rsidRPr="009A27AC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BD3C33">
      <w:rPr>
        <w:rStyle w:val="ZpatChar"/>
        <w:szCs w:val="16"/>
      </w:rPr>
      <w:t>1</w:t>
    </w:r>
    <w:r w:rsidR="00E70C06">
      <w:rPr>
        <w:rStyle w:val="ZpatChar"/>
        <w:szCs w:val="16"/>
      </w:rPr>
      <w:t>3</w:t>
    </w:r>
    <w:r w:rsidR="00393D83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1B4EC5">
      <w:rPr>
        <w:rStyle w:val="ZpatChar"/>
        <w:szCs w:val="16"/>
      </w:rPr>
      <w:t>2</w:t>
    </w:r>
    <w:r w:rsidR="00E70C06">
      <w:rPr>
        <w:rStyle w:val="ZpatChar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BD3C33">
      <w:rPr>
        <w:rStyle w:val="ZpatChar"/>
        <w:szCs w:val="16"/>
      </w:rPr>
      <w:t>1</w:t>
    </w:r>
    <w:r w:rsidR="00E70C06">
      <w:rPr>
        <w:rStyle w:val="ZpatChar"/>
        <w:szCs w:val="16"/>
      </w:rPr>
      <w:t>3</w:t>
    </w:r>
    <w:r w:rsidR="00393D83">
      <w:rPr>
        <w:rStyle w:val="ZpatChar"/>
        <w:szCs w:val="16"/>
      </w:rPr>
      <w:t>–</w:t>
    </w:r>
    <w:r w:rsidR="00DE6C8F">
      <w:rPr>
        <w:rStyle w:val="ZpatChar"/>
        <w:szCs w:val="16"/>
      </w:rPr>
      <w:t>20</w:t>
    </w:r>
    <w:r w:rsidR="001B4EC5">
      <w:rPr>
        <w:rStyle w:val="ZpatChar"/>
        <w:szCs w:val="16"/>
      </w:rPr>
      <w:t>2</w:t>
    </w:r>
    <w:r w:rsidR="00E70C06">
      <w:rPr>
        <w:rStyle w:val="ZpatChar"/>
        <w:szCs w:val="16"/>
      </w:rPr>
      <w:t>2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13664D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98" w:rsidRDefault="00104698" w:rsidP="00E71A58">
      <w:r>
        <w:separator/>
      </w:r>
    </w:p>
  </w:footnote>
  <w:footnote w:type="continuationSeparator" w:id="0">
    <w:p w:rsidR="00104698" w:rsidRDefault="00104698" w:rsidP="00E71A58">
      <w:r>
        <w:continuationSeparator/>
      </w:r>
    </w:p>
  </w:footnote>
  <w:footnote w:id="1">
    <w:p w:rsidR="002024E3" w:rsidRPr="00667D84" w:rsidRDefault="002024E3" w:rsidP="002024E3">
      <w:pPr>
        <w:rPr>
          <w:rFonts w:cs="Arial"/>
          <w:i/>
          <w:sz w:val="18"/>
          <w:szCs w:val="18"/>
        </w:rPr>
      </w:pPr>
      <w:r w:rsidRPr="00667D84">
        <w:rPr>
          <w:rStyle w:val="Znakapoznpodarou"/>
          <w:i/>
          <w:sz w:val="18"/>
          <w:szCs w:val="18"/>
        </w:rPr>
        <w:footnoteRef/>
      </w:r>
      <w:r w:rsidRPr="00667D84">
        <w:rPr>
          <w:i/>
          <w:sz w:val="18"/>
          <w:szCs w:val="18"/>
        </w:rPr>
        <w:t xml:space="preserve"> V</w:t>
      </w:r>
      <w:r w:rsidRPr="00667D84">
        <w:rPr>
          <w:rFonts w:cs="Arial"/>
          <w:i/>
          <w:sz w:val="18"/>
          <w:szCs w:val="18"/>
        </w:rPr>
        <w:t xml:space="preserve"> případě změny územního vymezení </w:t>
      </w:r>
      <w:r>
        <w:rPr>
          <w:rFonts w:cs="Arial"/>
          <w:i/>
          <w:sz w:val="18"/>
          <w:szCs w:val="18"/>
        </w:rPr>
        <w:t>SO ORP</w:t>
      </w:r>
      <w:r w:rsidRPr="00667D84">
        <w:rPr>
          <w:rFonts w:cs="Arial"/>
          <w:i/>
          <w:sz w:val="18"/>
          <w:szCs w:val="18"/>
        </w:rPr>
        <w:t xml:space="preserve"> v dané časové řadě se proto zde prezentované údaje v letech před touto změnou liší od údajů uváděných v ostatních výstupech demografické statistiky </w:t>
      </w:r>
      <w:r>
        <w:rPr>
          <w:rFonts w:cs="Arial"/>
          <w:i/>
          <w:sz w:val="18"/>
          <w:szCs w:val="18"/>
        </w:rPr>
        <w:t xml:space="preserve">Českého statistického úřadu </w:t>
      </w:r>
      <w:r w:rsidRPr="00667D84">
        <w:rPr>
          <w:rFonts w:cs="Arial"/>
          <w:i/>
          <w:sz w:val="18"/>
          <w:szCs w:val="18"/>
        </w:rPr>
        <w:t xml:space="preserve">a veřejné databázi pro daný </w:t>
      </w:r>
      <w:r w:rsidR="00334042">
        <w:rPr>
          <w:rFonts w:cs="Arial"/>
          <w:i/>
          <w:sz w:val="18"/>
          <w:szCs w:val="18"/>
        </w:rPr>
        <w:t>SO ORP</w:t>
      </w:r>
      <w:r w:rsidRPr="00667D84">
        <w:rPr>
          <w:rFonts w:cs="Arial"/>
          <w:i/>
          <w:sz w:val="18"/>
          <w:szCs w:val="18"/>
        </w:rPr>
        <w:t xml:space="preserve"> a rok.</w:t>
      </w:r>
    </w:p>
    <w:p w:rsidR="002024E3" w:rsidRDefault="002024E3" w:rsidP="002024E3">
      <w:pPr>
        <w:pStyle w:val="Textpoznpodarou"/>
      </w:pPr>
    </w:p>
  </w:footnote>
  <w:footnote w:id="2">
    <w:p w:rsidR="00E64D4E" w:rsidRPr="003042F9" w:rsidRDefault="00E64D4E" w:rsidP="00E64D4E">
      <w:pPr>
        <w:pStyle w:val="Textpoznpodarou"/>
        <w:spacing w:after="240" w:line="288" w:lineRule="auto"/>
        <w:rPr>
          <w:sz w:val="18"/>
          <w:szCs w:val="18"/>
        </w:rPr>
      </w:pPr>
      <w:r w:rsidRPr="003042F9">
        <w:rPr>
          <w:rStyle w:val="Znakapoznpodarou"/>
          <w:sz w:val="18"/>
          <w:szCs w:val="18"/>
        </w:rPr>
        <w:footnoteRef/>
      </w:r>
      <w:r w:rsidRPr="003042F9">
        <w:rPr>
          <w:sz w:val="18"/>
          <w:szCs w:val="18"/>
        </w:rPr>
        <w:t xml:space="preserve"> </w:t>
      </w:r>
      <w:r w:rsidRPr="003042F9">
        <w:rPr>
          <w:i/>
          <w:sz w:val="18"/>
          <w:szCs w:val="18"/>
        </w:rPr>
        <w:t xml:space="preserve">Bilancován k 1. 7. je jen celkový počet obyvatel, střední stavy podle věku jsou získávány aritmetickým průměrem počátečního a koncového stavu daného roku. Rozdíl součtu středních stavů za jednotky věku a bilancovaného celkového početního stavu je rozpuštěn do vybraných jednotek věku.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5C" w:rsidRDefault="00B96E5C" w:rsidP="00B96E5C">
    <w:pPr>
      <w:pStyle w:val="Zhlav"/>
    </w:pPr>
    <w:r w:rsidRPr="00625F34">
      <w:t>Demografická ročenka správních obvodů obcí s rozšířenou působností</w:t>
    </w:r>
  </w:p>
  <w:p w:rsidR="00B96E5C" w:rsidRPr="003C31BE" w:rsidRDefault="00B96E5C" w:rsidP="00B96E5C">
    <w:pPr>
      <w:pStyle w:val="Zhlav"/>
      <w:rPr>
        <w:i/>
        <w:lang w:val="en-US"/>
      </w:rPr>
    </w:pPr>
    <w:r w:rsidRPr="00625F34">
      <w:rPr>
        <w:i/>
        <w:lang w:val="en-US"/>
      </w:rPr>
      <w:t>Demographic Yearbook of Administrative Districts of Municipalities with Extended Powers</w:t>
    </w:r>
  </w:p>
  <w:p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5C" w:rsidRDefault="00B96E5C" w:rsidP="00B96E5C">
    <w:pPr>
      <w:pStyle w:val="Zhlav"/>
    </w:pPr>
    <w:r w:rsidRPr="00625F34">
      <w:t>Demografická ročenka správních obvodů obcí s rozšířenou působností</w:t>
    </w:r>
  </w:p>
  <w:p w:rsidR="00284876" w:rsidRPr="00B96E5C" w:rsidRDefault="00B96E5C" w:rsidP="00DE6C8F">
    <w:pPr>
      <w:pStyle w:val="Zhlav"/>
      <w:rPr>
        <w:i/>
        <w:lang w:val="en-US"/>
      </w:rPr>
    </w:pPr>
    <w:r w:rsidRPr="00625F34">
      <w:rPr>
        <w:i/>
        <w:lang w:val="en-US"/>
      </w:rPr>
      <w:t>Demographic Yearbook of Administrative Districts of Municipalities with Extended Powers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22448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B169B"/>
    <w:rsid w:val="000C0F8E"/>
    <w:rsid w:val="000C3408"/>
    <w:rsid w:val="000C6AFD"/>
    <w:rsid w:val="000D5637"/>
    <w:rsid w:val="000E6FBD"/>
    <w:rsid w:val="000E7AE9"/>
    <w:rsid w:val="000F2B0D"/>
    <w:rsid w:val="000F6421"/>
    <w:rsid w:val="00100F5C"/>
    <w:rsid w:val="00101B1E"/>
    <w:rsid w:val="00104698"/>
    <w:rsid w:val="00104C4C"/>
    <w:rsid w:val="001071AC"/>
    <w:rsid w:val="00113004"/>
    <w:rsid w:val="0012192F"/>
    <w:rsid w:val="00125D69"/>
    <w:rsid w:val="0012607D"/>
    <w:rsid w:val="00127114"/>
    <w:rsid w:val="00131362"/>
    <w:rsid w:val="0013664D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4EC5"/>
    <w:rsid w:val="001B6C09"/>
    <w:rsid w:val="001C05CD"/>
    <w:rsid w:val="001D231C"/>
    <w:rsid w:val="001D4072"/>
    <w:rsid w:val="001D68B2"/>
    <w:rsid w:val="001E7E48"/>
    <w:rsid w:val="001F4597"/>
    <w:rsid w:val="002024E3"/>
    <w:rsid w:val="002118B9"/>
    <w:rsid w:val="00213C0A"/>
    <w:rsid w:val="00217C5B"/>
    <w:rsid w:val="0022139E"/>
    <w:rsid w:val="00224049"/>
    <w:rsid w:val="002247D7"/>
    <w:rsid w:val="002252E0"/>
    <w:rsid w:val="002255F6"/>
    <w:rsid w:val="00227850"/>
    <w:rsid w:val="00230C6E"/>
    <w:rsid w:val="0023625F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86627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34042"/>
    <w:rsid w:val="00334E4B"/>
    <w:rsid w:val="00344668"/>
    <w:rsid w:val="003462D9"/>
    <w:rsid w:val="00347140"/>
    <w:rsid w:val="003527A3"/>
    <w:rsid w:val="00355E13"/>
    <w:rsid w:val="0036405C"/>
    <w:rsid w:val="003657F3"/>
    <w:rsid w:val="003818DC"/>
    <w:rsid w:val="00385D98"/>
    <w:rsid w:val="00393D83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E6411"/>
    <w:rsid w:val="003F313C"/>
    <w:rsid w:val="003F551C"/>
    <w:rsid w:val="003F64B5"/>
    <w:rsid w:val="003F65ED"/>
    <w:rsid w:val="00407C13"/>
    <w:rsid w:val="00410638"/>
    <w:rsid w:val="00432A58"/>
    <w:rsid w:val="00434617"/>
    <w:rsid w:val="00440900"/>
    <w:rsid w:val="004441A0"/>
    <w:rsid w:val="004564C6"/>
    <w:rsid w:val="00462C5A"/>
    <w:rsid w:val="00471C44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93A10"/>
    <w:rsid w:val="004A1719"/>
    <w:rsid w:val="004A3212"/>
    <w:rsid w:val="004A4F4D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289C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31E5"/>
    <w:rsid w:val="00616E05"/>
    <w:rsid w:val="00622215"/>
    <w:rsid w:val="00624093"/>
    <w:rsid w:val="00625F1B"/>
    <w:rsid w:val="00626AD7"/>
    <w:rsid w:val="006404A7"/>
    <w:rsid w:val="00640B02"/>
    <w:rsid w:val="006451E4"/>
    <w:rsid w:val="00645B33"/>
    <w:rsid w:val="00645EA4"/>
    <w:rsid w:val="00647F86"/>
    <w:rsid w:val="00650584"/>
    <w:rsid w:val="006516CB"/>
    <w:rsid w:val="006532D6"/>
    <w:rsid w:val="00657E87"/>
    <w:rsid w:val="006621EA"/>
    <w:rsid w:val="00664803"/>
    <w:rsid w:val="00665BA4"/>
    <w:rsid w:val="00667AF2"/>
    <w:rsid w:val="006700AA"/>
    <w:rsid w:val="00670881"/>
    <w:rsid w:val="006710C9"/>
    <w:rsid w:val="00674D89"/>
    <w:rsid w:val="00675E37"/>
    <w:rsid w:val="00680071"/>
    <w:rsid w:val="0068174E"/>
    <w:rsid w:val="00681DCE"/>
    <w:rsid w:val="0068260E"/>
    <w:rsid w:val="00690638"/>
    <w:rsid w:val="006956DF"/>
    <w:rsid w:val="00695BEF"/>
    <w:rsid w:val="006977F6"/>
    <w:rsid w:val="00697A13"/>
    <w:rsid w:val="006A109C"/>
    <w:rsid w:val="006A2DAB"/>
    <w:rsid w:val="006A6111"/>
    <w:rsid w:val="006A6488"/>
    <w:rsid w:val="006B16CC"/>
    <w:rsid w:val="006B2087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36D"/>
    <w:rsid w:val="006E279A"/>
    <w:rsid w:val="006E313B"/>
    <w:rsid w:val="006F5E16"/>
    <w:rsid w:val="007036F2"/>
    <w:rsid w:val="00704A5B"/>
    <w:rsid w:val="00706AD4"/>
    <w:rsid w:val="00710BAF"/>
    <w:rsid w:val="007140BE"/>
    <w:rsid w:val="007211F5"/>
    <w:rsid w:val="00723C8E"/>
    <w:rsid w:val="007256E2"/>
    <w:rsid w:val="00725BB5"/>
    <w:rsid w:val="00730AE8"/>
    <w:rsid w:val="0073775E"/>
    <w:rsid w:val="00741493"/>
    <w:rsid w:val="00752180"/>
    <w:rsid w:val="00755202"/>
    <w:rsid w:val="007557FD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96B46"/>
    <w:rsid w:val="007A56F0"/>
    <w:rsid w:val="007B6689"/>
    <w:rsid w:val="007D40DF"/>
    <w:rsid w:val="007E18EC"/>
    <w:rsid w:val="007E347D"/>
    <w:rsid w:val="007E7E61"/>
    <w:rsid w:val="007F0845"/>
    <w:rsid w:val="008027F5"/>
    <w:rsid w:val="00804364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1307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3096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6240"/>
    <w:rsid w:val="00961998"/>
    <w:rsid w:val="00962B9D"/>
    <w:rsid w:val="0097102C"/>
    <w:rsid w:val="00974923"/>
    <w:rsid w:val="00980D3D"/>
    <w:rsid w:val="00992CF3"/>
    <w:rsid w:val="009948C0"/>
    <w:rsid w:val="009968D6"/>
    <w:rsid w:val="009A19C9"/>
    <w:rsid w:val="009A1CAB"/>
    <w:rsid w:val="009A27AC"/>
    <w:rsid w:val="009A60D1"/>
    <w:rsid w:val="009B1B48"/>
    <w:rsid w:val="009B6FD3"/>
    <w:rsid w:val="009C1750"/>
    <w:rsid w:val="009C2E29"/>
    <w:rsid w:val="009C554B"/>
    <w:rsid w:val="009C719E"/>
    <w:rsid w:val="009D3ACD"/>
    <w:rsid w:val="009D4A2F"/>
    <w:rsid w:val="009E003B"/>
    <w:rsid w:val="009E3739"/>
    <w:rsid w:val="009E5DDB"/>
    <w:rsid w:val="009F4754"/>
    <w:rsid w:val="009F4CA7"/>
    <w:rsid w:val="00A00F9B"/>
    <w:rsid w:val="00A02D97"/>
    <w:rsid w:val="00A04A57"/>
    <w:rsid w:val="00A10D66"/>
    <w:rsid w:val="00A14114"/>
    <w:rsid w:val="00A210EA"/>
    <w:rsid w:val="00A23ACE"/>
    <w:rsid w:val="00A23E43"/>
    <w:rsid w:val="00A26D83"/>
    <w:rsid w:val="00A30F65"/>
    <w:rsid w:val="00A34D90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877EE"/>
    <w:rsid w:val="00A95AB5"/>
    <w:rsid w:val="00A97FE2"/>
    <w:rsid w:val="00AA1076"/>
    <w:rsid w:val="00AA1F80"/>
    <w:rsid w:val="00AA2996"/>
    <w:rsid w:val="00AA52BF"/>
    <w:rsid w:val="00AA559A"/>
    <w:rsid w:val="00AB2AF1"/>
    <w:rsid w:val="00AB6B12"/>
    <w:rsid w:val="00AC1083"/>
    <w:rsid w:val="00AC4AF7"/>
    <w:rsid w:val="00AD306C"/>
    <w:rsid w:val="00AE03C0"/>
    <w:rsid w:val="00AE09B3"/>
    <w:rsid w:val="00AE1A83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3686"/>
    <w:rsid w:val="00B34528"/>
    <w:rsid w:val="00B402FC"/>
    <w:rsid w:val="00B429BF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3BFF"/>
    <w:rsid w:val="00B85736"/>
    <w:rsid w:val="00B92262"/>
    <w:rsid w:val="00B92D1D"/>
    <w:rsid w:val="00B938C5"/>
    <w:rsid w:val="00B94164"/>
    <w:rsid w:val="00B95940"/>
    <w:rsid w:val="00B96E5C"/>
    <w:rsid w:val="00B974F9"/>
    <w:rsid w:val="00BA17B7"/>
    <w:rsid w:val="00BA39DB"/>
    <w:rsid w:val="00BB2376"/>
    <w:rsid w:val="00BB46F3"/>
    <w:rsid w:val="00BB4CB1"/>
    <w:rsid w:val="00BB4F98"/>
    <w:rsid w:val="00BC4555"/>
    <w:rsid w:val="00BC7154"/>
    <w:rsid w:val="00BC7696"/>
    <w:rsid w:val="00BD366B"/>
    <w:rsid w:val="00BD3C33"/>
    <w:rsid w:val="00BD67F2"/>
    <w:rsid w:val="00BD6D50"/>
    <w:rsid w:val="00BE18B9"/>
    <w:rsid w:val="00BE2495"/>
    <w:rsid w:val="00BE3108"/>
    <w:rsid w:val="00BF1578"/>
    <w:rsid w:val="00C0258A"/>
    <w:rsid w:val="00C02ACB"/>
    <w:rsid w:val="00C02F3F"/>
    <w:rsid w:val="00C040D5"/>
    <w:rsid w:val="00C06741"/>
    <w:rsid w:val="00C21F94"/>
    <w:rsid w:val="00C26AEC"/>
    <w:rsid w:val="00C27913"/>
    <w:rsid w:val="00C33B68"/>
    <w:rsid w:val="00C36A79"/>
    <w:rsid w:val="00C37FA8"/>
    <w:rsid w:val="00C405D4"/>
    <w:rsid w:val="00C446ED"/>
    <w:rsid w:val="00C4513B"/>
    <w:rsid w:val="00C54697"/>
    <w:rsid w:val="00C6352B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97536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8084C"/>
    <w:rsid w:val="00DA7C0C"/>
    <w:rsid w:val="00DB2EC8"/>
    <w:rsid w:val="00DB5695"/>
    <w:rsid w:val="00DC0AB1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0652B"/>
    <w:rsid w:val="00E12B1E"/>
    <w:rsid w:val="00E17262"/>
    <w:rsid w:val="00E253A2"/>
    <w:rsid w:val="00E259D8"/>
    <w:rsid w:val="00E2600D"/>
    <w:rsid w:val="00E3309D"/>
    <w:rsid w:val="00E36C79"/>
    <w:rsid w:val="00E50156"/>
    <w:rsid w:val="00E53470"/>
    <w:rsid w:val="00E539F6"/>
    <w:rsid w:val="00E53C6B"/>
    <w:rsid w:val="00E64D4E"/>
    <w:rsid w:val="00E6519D"/>
    <w:rsid w:val="00E67696"/>
    <w:rsid w:val="00E70C06"/>
    <w:rsid w:val="00E71A58"/>
    <w:rsid w:val="00E72A7A"/>
    <w:rsid w:val="00E75C94"/>
    <w:rsid w:val="00E93820"/>
    <w:rsid w:val="00E96E34"/>
    <w:rsid w:val="00E971A7"/>
    <w:rsid w:val="00EA0C68"/>
    <w:rsid w:val="00EC03D7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0DC6"/>
    <w:rsid w:val="00F3364D"/>
    <w:rsid w:val="00F42A72"/>
    <w:rsid w:val="00F437CC"/>
    <w:rsid w:val="00F47067"/>
    <w:rsid w:val="00F475F1"/>
    <w:rsid w:val="00F4762A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0B1A"/>
    <w:rsid w:val="00FE2F78"/>
    <w:rsid w:val="00FE74AE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1FA5515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  <w:style w:type="paragraph" w:styleId="Normlnweb">
    <w:name w:val="Normal (Web)"/>
    <w:basedOn w:val="Normln"/>
    <w:semiHidden/>
    <w:rsid w:val="0022404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etodpozn">
    <w:name w:val="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Metodpozn">
    <w:name w:val="A-Metod pozn"/>
    <w:basedOn w:val="Normln"/>
    <w:rsid w:val="00224049"/>
    <w:pPr>
      <w:tabs>
        <w:tab w:val="left" w:pos="180"/>
      </w:tabs>
      <w:autoSpaceDE w:val="0"/>
      <w:autoSpaceDN w:val="0"/>
      <w:adjustRightInd w:val="0"/>
      <w:spacing w:after="360" w:line="240" w:lineRule="auto"/>
      <w:ind w:firstLine="709"/>
      <w:jc w:val="both"/>
    </w:pPr>
    <w:rPr>
      <w:rFonts w:cs="Arial"/>
      <w:bCs/>
      <w:color w:val="000000"/>
      <w:szCs w:val="20"/>
    </w:rPr>
  </w:style>
  <w:style w:type="paragraph" w:customStyle="1" w:styleId="A-tabvtext2">
    <w:name w:val="A-tab_v_text2"/>
    <w:basedOn w:val="Normln"/>
    <w:next w:val="Normln"/>
    <w:autoRedefine/>
    <w:rsid w:val="00224049"/>
    <w:pPr>
      <w:autoSpaceDE w:val="0"/>
      <w:autoSpaceDN w:val="0"/>
      <w:adjustRightInd w:val="0"/>
      <w:spacing w:after="0" w:line="240" w:lineRule="auto"/>
    </w:pPr>
    <w:rPr>
      <w:rFonts w:cs="Arial"/>
      <w:b/>
      <w:bCs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024E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24E3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202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hyb-obyvatelstva-metodik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341B-214B-4F9B-A377-04B2734C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133</TotalTime>
  <Pages>2</Pages>
  <Words>833</Words>
  <Characters>4918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Metodické poznámky</vt:lpstr>
      <vt:lpstr/>
    </vt:vector>
  </TitlesOfParts>
  <Company>CSU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poznámky</dc:title>
  <dc:creator>ČSÚ</dc:creator>
  <cp:lastModifiedBy>Bílík Jan</cp:lastModifiedBy>
  <cp:revision>28</cp:revision>
  <cp:lastPrinted>2022-10-31T10:08:00Z</cp:lastPrinted>
  <dcterms:created xsi:type="dcterms:W3CDTF">2021-09-30T14:28:00Z</dcterms:created>
  <dcterms:modified xsi:type="dcterms:W3CDTF">2023-09-07T06:22:00Z</dcterms:modified>
</cp:coreProperties>
</file>